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0F855" w14:textId="77777777" w:rsidR="00370CE7" w:rsidRPr="00370CE7" w:rsidRDefault="00370CE7" w:rsidP="00370CE7">
      <w:pPr>
        <w:spacing w:after="120" w:line="276" w:lineRule="auto"/>
        <w:jc w:val="center"/>
        <w:rPr>
          <w:color w:val="000000" w:themeColor="text1"/>
        </w:rPr>
      </w:pPr>
      <w:r w:rsidRPr="00370CE7">
        <w:rPr>
          <w:b/>
          <w:bCs/>
          <w:color w:val="000000" w:themeColor="text1"/>
          <w:sz w:val="28"/>
          <w:szCs w:val="28"/>
        </w:rPr>
        <w:t>Influence of Altered pH Conditions on Survival and Biochemical Responses of Freshwater Fish in the Ambikapur Region, Chhattisgarh, India</w:t>
      </w:r>
    </w:p>
    <w:p w14:paraId="5770F63F" w14:textId="77777777" w:rsidR="00513005" w:rsidRDefault="00513005" w:rsidP="00370CE7">
      <w:pPr>
        <w:pBdr>
          <w:bottom w:val="single" w:sz="12" w:space="1" w:color="auto"/>
        </w:pBdr>
        <w:spacing w:line="276" w:lineRule="auto"/>
        <w:jc w:val="center"/>
        <w:rPr>
          <w:i/>
          <w:iCs/>
          <w:color w:val="000000" w:themeColor="text1"/>
          <w:sz w:val="22"/>
          <w:szCs w:val="22"/>
        </w:rPr>
      </w:pPr>
    </w:p>
    <w:p w14:paraId="5C0DEF66" w14:textId="77777777" w:rsidR="007F3849" w:rsidRPr="00370CE7" w:rsidRDefault="007F3849" w:rsidP="00370CE7">
      <w:pPr>
        <w:pBdr>
          <w:bottom w:val="single" w:sz="12" w:space="1" w:color="auto"/>
        </w:pBdr>
        <w:spacing w:line="276" w:lineRule="auto"/>
        <w:jc w:val="center"/>
        <w:rPr>
          <w:i/>
          <w:iCs/>
          <w:color w:val="000000" w:themeColor="text1"/>
          <w:sz w:val="22"/>
          <w:szCs w:val="22"/>
        </w:rPr>
      </w:pPr>
    </w:p>
    <w:p w14:paraId="1932E7CB" w14:textId="77777777" w:rsidR="00AA707A" w:rsidRPr="00370CE7" w:rsidRDefault="00370CE7">
      <w:pPr>
        <w:pStyle w:val="Heading1"/>
        <w:spacing w:before="300" w:after="200"/>
        <w:rPr>
          <w:color w:val="000000" w:themeColor="text1"/>
        </w:rPr>
      </w:pPr>
      <w:r w:rsidRPr="00370CE7">
        <w:rPr>
          <w:b/>
          <w:bCs/>
          <w:color w:val="000000" w:themeColor="text1"/>
          <w:sz w:val="28"/>
          <w:szCs w:val="28"/>
        </w:rPr>
        <w:t>ABSTRACT</w:t>
      </w:r>
    </w:p>
    <w:p w14:paraId="50F30820" w14:textId="4B19C8E7" w:rsidR="00AA707A" w:rsidRPr="00370CE7" w:rsidRDefault="00370CE7">
      <w:pPr>
        <w:spacing w:after="200" w:line="360" w:lineRule="auto"/>
        <w:jc w:val="both"/>
        <w:rPr>
          <w:color w:val="000000" w:themeColor="text1"/>
        </w:rPr>
      </w:pPr>
      <w:r w:rsidRPr="00370CE7">
        <w:rPr>
          <w:color w:val="000000" w:themeColor="text1"/>
          <w:sz w:val="24"/>
          <w:szCs w:val="24"/>
        </w:rPr>
        <w:t xml:space="preserve">Freshwater ecosystems of the Ambikapur region of Surguja district, Chhattisgarh, India, are increasingly subject to pH perturbation arising from coal mining, agricultural runoff, and industrial and municipal discharge. The present study evaluated the survival, hematological, and oxidative stress responses of three freshwater fish </w:t>
      </w:r>
      <w:proofErr w:type="gramStart"/>
      <w:r w:rsidRPr="00370CE7">
        <w:rPr>
          <w:color w:val="000000" w:themeColor="text1"/>
          <w:sz w:val="24"/>
          <w:szCs w:val="24"/>
        </w:rPr>
        <w:t xml:space="preserve">species  </w:t>
      </w:r>
      <w:proofErr w:type="spellStart"/>
      <w:r w:rsidRPr="00370CE7">
        <w:rPr>
          <w:i/>
          <w:iCs/>
          <w:color w:val="000000" w:themeColor="text1"/>
          <w:sz w:val="24"/>
          <w:szCs w:val="24"/>
        </w:rPr>
        <w:t>Labeo</w:t>
      </w:r>
      <w:proofErr w:type="spellEnd"/>
      <w:proofErr w:type="gramEnd"/>
      <w:r w:rsidRPr="00370CE7">
        <w:rPr>
          <w:i/>
          <w:iCs/>
          <w:color w:val="000000" w:themeColor="text1"/>
          <w:sz w:val="24"/>
          <w:szCs w:val="24"/>
        </w:rPr>
        <w:t xml:space="preserve"> </w:t>
      </w:r>
      <w:proofErr w:type="spellStart"/>
      <w:r w:rsidRPr="00370CE7">
        <w:rPr>
          <w:i/>
          <w:iCs/>
          <w:color w:val="000000" w:themeColor="text1"/>
          <w:sz w:val="24"/>
          <w:szCs w:val="24"/>
        </w:rPr>
        <w:t>rohita</w:t>
      </w:r>
      <w:proofErr w:type="spellEnd"/>
      <w:r w:rsidRPr="00370CE7">
        <w:rPr>
          <w:i/>
          <w:iCs/>
          <w:color w:val="000000" w:themeColor="text1"/>
          <w:sz w:val="24"/>
          <w:szCs w:val="24"/>
        </w:rPr>
        <w:t xml:space="preserve">, </w:t>
      </w:r>
      <w:proofErr w:type="spellStart"/>
      <w:r w:rsidRPr="00370CE7">
        <w:rPr>
          <w:i/>
          <w:iCs/>
          <w:color w:val="000000" w:themeColor="text1"/>
          <w:sz w:val="24"/>
          <w:szCs w:val="24"/>
        </w:rPr>
        <w:t>Catla</w:t>
      </w:r>
      <w:proofErr w:type="spellEnd"/>
      <w:r w:rsidRPr="00370CE7">
        <w:rPr>
          <w:i/>
          <w:iCs/>
          <w:color w:val="000000" w:themeColor="text1"/>
          <w:sz w:val="24"/>
          <w:szCs w:val="24"/>
        </w:rPr>
        <w:t xml:space="preserve"> </w:t>
      </w:r>
      <w:proofErr w:type="spellStart"/>
      <w:r w:rsidRPr="00370CE7">
        <w:rPr>
          <w:i/>
          <w:iCs/>
          <w:color w:val="000000" w:themeColor="text1"/>
          <w:sz w:val="24"/>
          <w:szCs w:val="24"/>
        </w:rPr>
        <w:t>catla</w:t>
      </w:r>
      <w:proofErr w:type="spellEnd"/>
      <w:r w:rsidRPr="00370CE7">
        <w:rPr>
          <w:color w:val="000000" w:themeColor="text1"/>
          <w:sz w:val="24"/>
          <w:szCs w:val="24"/>
        </w:rPr>
        <w:t xml:space="preserve">, and </w:t>
      </w:r>
      <w:r w:rsidRPr="00370CE7">
        <w:rPr>
          <w:i/>
          <w:iCs/>
          <w:color w:val="000000" w:themeColor="text1"/>
          <w:sz w:val="24"/>
          <w:szCs w:val="24"/>
        </w:rPr>
        <w:t xml:space="preserve">Cyprinus </w:t>
      </w:r>
      <w:proofErr w:type="gramStart"/>
      <w:r w:rsidRPr="00370CE7">
        <w:rPr>
          <w:i/>
          <w:iCs/>
          <w:color w:val="000000" w:themeColor="text1"/>
          <w:sz w:val="24"/>
          <w:szCs w:val="24"/>
        </w:rPr>
        <w:t>carpio</w:t>
      </w:r>
      <w:r>
        <w:rPr>
          <w:color w:val="000000" w:themeColor="text1"/>
          <w:sz w:val="24"/>
          <w:szCs w:val="24"/>
        </w:rPr>
        <w:t xml:space="preserve"> </w:t>
      </w:r>
      <w:r w:rsidRPr="00370CE7">
        <w:rPr>
          <w:color w:val="000000" w:themeColor="text1"/>
          <w:sz w:val="24"/>
          <w:szCs w:val="24"/>
        </w:rPr>
        <w:t xml:space="preserve"> exposed</w:t>
      </w:r>
      <w:proofErr w:type="gramEnd"/>
      <w:r w:rsidRPr="00370CE7">
        <w:rPr>
          <w:color w:val="000000" w:themeColor="text1"/>
          <w:sz w:val="24"/>
          <w:szCs w:val="24"/>
        </w:rPr>
        <w:t xml:space="preserve"> to acidic and alkaline pH conditions under controlled laboratory settings. Acute static-renewal bioassays were conducted across a pH gradient of 4.0–10.5 to establish 24-, 48-, 72-, and 96-h median lethal pH (LC50) values, followed by sublethal chronic exposure at control (pH 7.5), acidic (pH 5.5), and alkaline (pH 9.5) treatments for 15, 30, and 60 days. Cyprinus carpio exhibited the broadest pH tolerance and </w:t>
      </w:r>
      <w:proofErr w:type="spellStart"/>
      <w:r w:rsidRPr="00370CE7">
        <w:rPr>
          <w:color w:val="000000" w:themeColor="text1"/>
          <w:sz w:val="24"/>
          <w:szCs w:val="24"/>
        </w:rPr>
        <w:t>Catla</w:t>
      </w:r>
      <w:proofErr w:type="spellEnd"/>
      <w:r w:rsidRPr="00370CE7">
        <w:rPr>
          <w:color w:val="000000" w:themeColor="text1"/>
          <w:sz w:val="24"/>
          <w:szCs w:val="24"/>
        </w:rPr>
        <w:t xml:space="preserve"> </w:t>
      </w:r>
      <w:proofErr w:type="spellStart"/>
      <w:r w:rsidRPr="00370CE7">
        <w:rPr>
          <w:color w:val="000000" w:themeColor="text1"/>
          <w:sz w:val="24"/>
          <w:szCs w:val="24"/>
        </w:rPr>
        <w:t>catla</w:t>
      </w:r>
      <w:proofErr w:type="spellEnd"/>
      <w:r w:rsidRPr="00370CE7">
        <w:rPr>
          <w:color w:val="000000" w:themeColor="text1"/>
          <w:sz w:val="24"/>
          <w:szCs w:val="24"/>
        </w:rPr>
        <w:t xml:space="preserve"> the narrowest across all durations. Sublethal exposure produced progressive, significant reductions in erythrocyte parameters (RBC, hemoglobin, hematocrit) and a compensatory leukocytosis in both treatments, with acidic conditions generally more disruptive than alkaline conditions of comparable magnitude. Oxidative stress biomarkers in gill, liver, and kidney tissue showed a biphasic pattern of antioxidant enzyme induction followed by exhaustion, accompanied by progressive lipid peroxidation and glutathione depletion, with gill tissue emerging as the most sensitive. These findings establish a quantitative, multi-tiered characterization of pH-induced physiological stress in regionally important freshwater fish species and provide a scientific basis for locally relevant water quality criteria and conservation planning in coal mining-affected central Indian freshwater systems. </w:t>
      </w:r>
    </w:p>
    <w:p w14:paraId="168B8201" w14:textId="77777777" w:rsidR="00AA707A" w:rsidRPr="00370CE7" w:rsidRDefault="00370CE7">
      <w:pPr>
        <w:spacing w:after="200" w:line="360" w:lineRule="auto"/>
        <w:jc w:val="both"/>
        <w:rPr>
          <w:color w:val="000000" w:themeColor="text1"/>
        </w:rPr>
      </w:pPr>
      <w:r w:rsidRPr="00370CE7">
        <w:rPr>
          <w:i/>
          <w:iCs/>
          <w:color w:val="000000" w:themeColor="text1"/>
          <w:sz w:val="24"/>
          <w:szCs w:val="24"/>
        </w:rPr>
        <w:t xml:space="preserve">Keywords: pH stress; freshwater fish; LC50; hematology; oxidative stress; </w:t>
      </w:r>
      <w:proofErr w:type="spellStart"/>
      <w:r w:rsidRPr="00370CE7">
        <w:rPr>
          <w:i/>
          <w:iCs/>
          <w:color w:val="000000" w:themeColor="text1"/>
          <w:sz w:val="24"/>
          <w:szCs w:val="24"/>
        </w:rPr>
        <w:t>Labeo</w:t>
      </w:r>
      <w:proofErr w:type="spellEnd"/>
      <w:r w:rsidRPr="00370CE7">
        <w:rPr>
          <w:i/>
          <w:iCs/>
          <w:color w:val="000000" w:themeColor="text1"/>
          <w:sz w:val="24"/>
          <w:szCs w:val="24"/>
        </w:rPr>
        <w:t xml:space="preserve"> </w:t>
      </w:r>
      <w:proofErr w:type="spellStart"/>
      <w:r w:rsidRPr="00370CE7">
        <w:rPr>
          <w:i/>
          <w:iCs/>
          <w:color w:val="000000" w:themeColor="text1"/>
          <w:sz w:val="24"/>
          <w:szCs w:val="24"/>
        </w:rPr>
        <w:t>rohita</w:t>
      </w:r>
      <w:proofErr w:type="spellEnd"/>
      <w:r w:rsidRPr="00370CE7">
        <w:rPr>
          <w:i/>
          <w:iCs/>
          <w:color w:val="000000" w:themeColor="text1"/>
          <w:sz w:val="24"/>
          <w:szCs w:val="24"/>
        </w:rPr>
        <w:t xml:space="preserve">; </w:t>
      </w:r>
      <w:proofErr w:type="spellStart"/>
      <w:r w:rsidRPr="00370CE7">
        <w:rPr>
          <w:i/>
          <w:iCs/>
          <w:color w:val="000000" w:themeColor="text1"/>
          <w:sz w:val="24"/>
          <w:szCs w:val="24"/>
        </w:rPr>
        <w:t>Ambikapur</w:t>
      </w:r>
      <w:proofErr w:type="spellEnd"/>
      <w:r w:rsidRPr="00370CE7">
        <w:rPr>
          <w:i/>
          <w:iCs/>
          <w:color w:val="000000" w:themeColor="text1"/>
          <w:sz w:val="24"/>
          <w:szCs w:val="24"/>
        </w:rPr>
        <w:t>; Chhattisgarh</w:t>
      </w:r>
    </w:p>
    <w:p w14:paraId="010713B1" w14:textId="77777777" w:rsidR="00AA707A" w:rsidRPr="00370CE7" w:rsidRDefault="00370CE7">
      <w:pPr>
        <w:pStyle w:val="Heading1"/>
        <w:spacing w:before="300" w:after="200"/>
        <w:rPr>
          <w:color w:val="000000" w:themeColor="text1"/>
        </w:rPr>
      </w:pPr>
      <w:r w:rsidRPr="00370CE7">
        <w:rPr>
          <w:b/>
          <w:bCs/>
          <w:color w:val="000000" w:themeColor="text1"/>
          <w:sz w:val="28"/>
          <w:szCs w:val="28"/>
        </w:rPr>
        <w:t>1. INTRODUCTION</w:t>
      </w:r>
    </w:p>
    <w:p w14:paraId="078B310A" w14:textId="77777777" w:rsidR="00AA707A" w:rsidRPr="00370CE7" w:rsidRDefault="00370CE7">
      <w:pPr>
        <w:spacing w:line="360" w:lineRule="auto"/>
        <w:jc w:val="both"/>
        <w:rPr>
          <w:color w:val="000000" w:themeColor="text1"/>
        </w:rPr>
      </w:pPr>
      <w:r w:rsidRPr="00370CE7">
        <w:rPr>
          <w:color w:val="000000" w:themeColor="text1"/>
          <w:sz w:val="24"/>
          <w:szCs w:val="24"/>
        </w:rPr>
        <w:t xml:space="preserve">Freshwater ecosystems, despite covering less than one percent of the Earth's surface, harbor approximately ten percent of global biodiversity and support a disproportionately large number </w:t>
      </w:r>
      <w:r w:rsidRPr="00370CE7">
        <w:rPr>
          <w:color w:val="000000" w:themeColor="text1"/>
          <w:sz w:val="24"/>
          <w:szCs w:val="24"/>
        </w:rPr>
        <w:lastRenderedPageBreak/>
        <w:t xml:space="preserve">of vertebrate and invertebrate species (Das </w:t>
      </w:r>
      <w:r w:rsidRPr="00370CE7">
        <w:rPr>
          <w:i/>
          <w:iCs/>
          <w:color w:val="000000" w:themeColor="text1"/>
          <w:sz w:val="24"/>
          <w:szCs w:val="24"/>
        </w:rPr>
        <w:t>et a</w:t>
      </w:r>
      <w:r w:rsidRPr="00370CE7">
        <w:rPr>
          <w:color w:val="000000" w:themeColor="text1"/>
          <w:sz w:val="24"/>
          <w:szCs w:val="24"/>
        </w:rPr>
        <w:t>l., 2006). Among the physicochemical variables governing the ecological integrity of these systems, pH functions as a master variable, controlling nutrient availability, pollutant toxicity, chemical speciation, and the physiological functioning of aquatic organisms (Boyd, 2015). Deviations from the optimal pH range impose significant physiological and biochemical stress on freshwater fauna, particularly fish, whose survival, reproduction, and productivity are tightly coupled to the chemical equilibrium of their aquatic environment (Fromm, 1980).</w:t>
      </w:r>
    </w:p>
    <w:p w14:paraId="01E507E8" w14:textId="77777777" w:rsidR="00AA707A" w:rsidRPr="00370CE7" w:rsidRDefault="00370CE7">
      <w:pPr>
        <w:spacing w:line="360" w:lineRule="auto"/>
        <w:jc w:val="both"/>
        <w:rPr>
          <w:color w:val="000000" w:themeColor="text1"/>
        </w:rPr>
      </w:pPr>
      <w:r w:rsidRPr="00370CE7">
        <w:rPr>
          <w:color w:val="000000" w:themeColor="text1"/>
          <w:sz w:val="24"/>
          <w:szCs w:val="24"/>
        </w:rPr>
        <w:t xml:space="preserve">The Ambikapur region of Surguja district, Chhattisgarh, in central India, is an ecologically sensitive zone whose rivers, streams, and impoundments support a rich ichthyofaunal assemblage, including commercially and culturally important species such as </w:t>
      </w:r>
      <w:proofErr w:type="spellStart"/>
      <w:r w:rsidRPr="00370CE7">
        <w:rPr>
          <w:i/>
          <w:iCs/>
          <w:color w:val="000000" w:themeColor="text1"/>
          <w:sz w:val="24"/>
          <w:szCs w:val="24"/>
        </w:rPr>
        <w:t>Labeo</w:t>
      </w:r>
      <w:proofErr w:type="spellEnd"/>
      <w:r w:rsidRPr="00370CE7">
        <w:rPr>
          <w:i/>
          <w:iCs/>
          <w:color w:val="000000" w:themeColor="text1"/>
          <w:sz w:val="24"/>
          <w:szCs w:val="24"/>
        </w:rPr>
        <w:t xml:space="preserve"> </w:t>
      </w:r>
      <w:proofErr w:type="spellStart"/>
      <w:r w:rsidRPr="00370CE7">
        <w:rPr>
          <w:i/>
          <w:iCs/>
          <w:color w:val="000000" w:themeColor="text1"/>
          <w:sz w:val="24"/>
          <w:szCs w:val="24"/>
        </w:rPr>
        <w:t>rohita</w:t>
      </w:r>
      <w:proofErr w:type="spellEnd"/>
      <w:r w:rsidRPr="00370CE7">
        <w:rPr>
          <w:i/>
          <w:iCs/>
          <w:color w:val="000000" w:themeColor="text1"/>
          <w:sz w:val="24"/>
          <w:szCs w:val="24"/>
        </w:rPr>
        <w:t xml:space="preserve">, </w:t>
      </w:r>
      <w:proofErr w:type="spellStart"/>
      <w:r w:rsidRPr="00370CE7">
        <w:rPr>
          <w:i/>
          <w:iCs/>
          <w:color w:val="000000" w:themeColor="text1"/>
          <w:sz w:val="24"/>
          <w:szCs w:val="24"/>
        </w:rPr>
        <w:t>Catla</w:t>
      </w:r>
      <w:proofErr w:type="spellEnd"/>
      <w:r w:rsidRPr="00370CE7">
        <w:rPr>
          <w:i/>
          <w:iCs/>
          <w:color w:val="000000" w:themeColor="text1"/>
          <w:sz w:val="24"/>
          <w:szCs w:val="24"/>
        </w:rPr>
        <w:t xml:space="preserve"> </w:t>
      </w:r>
      <w:proofErr w:type="spellStart"/>
      <w:r w:rsidRPr="00370CE7">
        <w:rPr>
          <w:i/>
          <w:iCs/>
          <w:color w:val="000000" w:themeColor="text1"/>
          <w:sz w:val="24"/>
          <w:szCs w:val="24"/>
        </w:rPr>
        <w:t>catla</w:t>
      </w:r>
      <w:proofErr w:type="spellEnd"/>
      <w:r w:rsidRPr="00370CE7">
        <w:rPr>
          <w:i/>
          <w:iCs/>
          <w:color w:val="000000" w:themeColor="text1"/>
          <w:sz w:val="24"/>
          <w:szCs w:val="24"/>
        </w:rPr>
        <w:t xml:space="preserve">, </w:t>
      </w:r>
      <w:proofErr w:type="spellStart"/>
      <w:r w:rsidRPr="00370CE7">
        <w:rPr>
          <w:i/>
          <w:iCs/>
          <w:color w:val="000000" w:themeColor="text1"/>
          <w:sz w:val="24"/>
          <w:szCs w:val="24"/>
        </w:rPr>
        <w:t>Cirrhinus</w:t>
      </w:r>
      <w:proofErr w:type="spellEnd"/>
      <w:r w:rsidRPr="00370CE7">
        <w:rPr>
          <w:i/>
          <w:iCs/>
          <w:color w:val="000000" w:themeColor="text1"/>
          <w:sz w:val="24"/>
          <w:szCs w:val="24"/>
        </w:rPr>
        <w:t xml:space="preserve"> </w:t>
      </w:r>
      <w:proofErr w:type="spellStart"/>
      <w:r w:rsidRPr="00370CE7">
        <w:rPr>
          <w:i/>
          <w:iCs/>
          <w:color w:val="000000" w:themeColor="text1"/>
          <w:sz w:val="24"/>
          <w:szCs w:val="24"/>
        </w:rPr>
        <w:t>mrigala</w:t>
      </w:r>
      <w:proofErr w:type="spellEnd"/>
      <w:r w:rsidRPr="00370CE7">
        <w:rPr>
          <w:i/>
          <w:iCs/>
          <w:color w:val="000000" w:themeColor="text1"/>
          <w:sz w:val="24"/>
          <w:szCs w:val="24"/>
        </w:rPr>
        <w:t>,</w:t>
      </w:r>
      <w:r w:rsidRPr="00370CE7">
        <w:rPr>
          <w:color w:val="000000" w:themeColor="text1"/>
          <w:sz w:val="24"/>
          <w:szCs w:val="24"/>
        </w:rPr>
        <w:t xml:space="preserve"> and </w:t>
      </w:r>
      <w:r w:rsidRPr="00370CE7">
        <w:rPr>
          <w:i/>
          <w:iCs/>
          <w:color w:val="000000" w:themeColor="text1"/>
          <w:sz w:val="24"/>
          <w:szCs w:val="24"/>
        </w:rPr>
        <w:t>Cyprinus carpio</w:t>
      </w:r>
      <w:r w:rsidRPr="00370CE7">
        <w:rPr>
          <w:color w:val="000000" w:themeColor="text1"/>
          <w:sz w:val="24"/>
          <w:szCs w:val="24"/>
        </w:rPr>
        <w:t>. Intensifying anthropogenic pr</w:t>
      </w:r>
      <w:r>
        <w:rPr>
          <w:color w:val="000000" w:themeColor="text1"/>
          <w:sz w:val="24"/>
          <w:szCs w:val="24"/>
        </w:rPr>
        <w:t xml:space="preserve">essures </w:t>
      </w:r>
      <w:r w:rsidRPr="00370CE7">
        <w:rPr>
          <w:color w:val="000000" w:themeColor="text1"/>
          <w:sz w:val="24"/>
          <w:szCs w:val="24"/>
        </w:rPr>
        <w:t>coal mining activity, agricultural runoff, untreated municipal efflue</w:t>
      </w:r>
      <w:r>
        <w:rPr>
          <w:color w:val="000000" w:themeColor="text1"/>
          <w:sz w:val="24"/>
          <w:szCs w:val="24"/>
        </w:rPr>
        <w:t xml:space="preserve">nt, and riparian </w:t>
      </w:r>
      <w:proofErr w:type="gramStart"/>
      <w:r>
        <w:rPr>
          <w:color w:val="000000" w:themeColor="text1"/>
          <w:sz w:val="24"/>
          <w:szCs w:val="24"/>
        </w:rPr>
        <w:t xml:space="preserve">deforestation </w:t>
      </w:r>
      <w:r w:rsidRPr="00370CE7">
        <w:rPr>
          <w:color w:val="000000" w:themeColor="text1"/>
          <w:sz w:val="24"/>
          <w:szCs w:val="24"/>
        </w:rPr>
        <w:t xml:space="preserve"> are</w:t>
      </w:r>
      <w:proofErr w:type="gramEnd"/>
      <w:r w:rsidRPr="00370CE7">
        <w:rPr>
          <w:color w:val="000000" w:themeColor="text1"/>
          <w:sz w:val="24"/>
          <w:szCs w:val="24"/>
        </w:rPr>
        <w:t xml:space="preserve"> increasingly altering the water chemistry of these systems (Dwivedi &amp; Bhatt, 2009; Jha </w:t>
      </w:r>
      <w:r w:rsidRPr="00370CE7">
        <w:rPr>
          <w:i/>
          <w:iCs/>
          <w:color w:val="000000" w:themeColor="text1"/>
          <w:sz w:val="24"/>
          <w:szCs w:val="24"/>
        </w:rPr>
        <w:t>et al.,</w:t>
      </w:r>
      <w:r w:rsidRPr="00370CE7">
        <w:rPr>
          <w:color w:val="000000" w:themeColor="text1"/>
          <w:sz w:val="24"/>
          <w:szCs w:val="24"/>
        </w:rPr>
        <w:t xml:space="preserve"> 2010). Acid mine drainage in particular has been documented to depress pH to values as low as 2.5–3.5 in water bodies affected by coal mining across </w:t>
      </w:r>
      <w:proofErr w:type="spellStart"/>
      <w:r w:rsidRPr="00370CE7">
        <w:rPr>
          <w:color w:val="000000" w:themeColor="text1"/>
          <w:sz w:val="24"/>
          <w:szCs w:val="24"/>
        </w:rPr>
        <w:t>Surguja</w:t>
      </w:r>
      <w:proofErr w:type="spellEnd"/>
      <w:r w:rsidRPr="00370CE7">
        <w:rPr>
          <w:color w:val="000000" w:themeColor="text1"/>
          <w:sz w:val="24"/>
          <w:szCs w:val="24"/>
        </w:rPr>
        <w:t xml:space="preserve">, Korba, and </w:t>
      </w:r>
      <w:proofErr w:type="spellStart"/>
      <w:r w:rsidRPr="00370CE7">
        <w:rPr>
          <w:color w:val="000000" w:themeColor="text1"/>
          <w:sz w:val="24"/>
          <w:szCs w:val="24"/>
        </w:rPr>
        <w:t>Singrauli</w:t>
      </w:r>
      <w:proofErr w:type="spellEnd"/>
      <w:r w:rsidRPr="00370CE7">
        <w:rPr>
          <w:color w:val="000000" w:themeColor="text1"/>
          <w:sz w:val="24"/>
          <w:szCs w:val="24"/>
        </w:rPr>
        <w:t xml:space="preserve"> (</w:t>
      </w:r>
      <w:proofErr w:type="spellStart"/>
      <w:r w:rsidRPr="00370CE7">
        <w:rPr>
          <w:color w:val="000000" w:themeColor="text1"/>
          <w:sz w:val="24"/>
          <w:szCs w:val="24"/>
        </w:rPr>
        <w:t>Akcil</w:t>
      </w:r>
      <w:proofErr w:type="spellEnd"/>
      <w:r w:rsidRPr="00370CE7">
        <w:rPr>
          <w:color w:val="000000" w:themeColor="text1"/>
          <w:sz w:val="24"/>
          <w:szCs w:val="24"/>
        </w:rPr>
        <w:t xml:space="preserve"> &amp; </w:t>
      </w:r>
      <w:proofErr w:type="spellStart"/>
      <w:r w:rsidRPr="00370CE7">
        <w:rPr>
          <w:color w:val="000000" w:themeColor="text1"/>
          <w:sz w:val="24"/>
          <w:szCs w:val="24"/>
        </w:rPr>
        <w:t>Koldas</w:t>
      </w:r>
      <w:proofErr w:type="spellEnd"/>
      <w:r w:rsidRPr="00370CE7">
        <w:rPr>
          <w:color w:val="000000" w:themeColor="text1"/>
          <w:sz w:val="24"/>
          <w:szCs w:val="24"/>
        </w:rPr>
        <w:t>, 2006), while episodic alkalinization associated with agricultural liming and algal productivity produces the opposing extreme.</w:t>
      </w:r>
    </w:p>
    <w:p w14:paraId="4A6D01E5" w14:textId="77777777" w:rsidR="00AA707A" w:rsidRPr="00370CE7" w:rsidRDefault="00370CE7">
      <w:pPr>
        <w:spacing w:line="360" w:lineRule="auto"/>
        <w:jc w:val="both"/>
        <w:rPr>
          <w:color w:val="000000" w:themeColor="text1"/>
        </w:rPr>
      </w:pPr>
      <w:r w:rsidRPr="00370CE7">
        <w:rPr>
          <w:color w:val="000000" w:themeColor="text1"/>
          <w:sz w:val="24"/>
          <w:szCs w:val="24"/>
        </w:rPr>
        <w:t xml:space="preserve">At the physiological level, acidic conditions disrupt branchial ion transport, competing with sodium and calcium uptake at the gill epithelium and precipitating net ionic loss (Evans, Piermarini, &amp; Choe, 2005), while alkaline conditions promote the conversion of relatively benign ammonium to highly toxic un-ionized ammonia and can precipitate calcium carbonate on gill surfaces (Wood, 2001). Both extremes activate cellular stress-response pathways, generating reactive oxygen species and inducing lipid peroxidation, protein denaturation, and DNA damage (Chandran, Baby, Rameshkumar, &amp; Ilango, 2016), which the enzymatic (SOD, CAT, </w:t>
      </w:r>
      <w:proofErr w:type="spellStart"/>
      <w:r w:rsidRPr="00370CE7">
        <w:rPr>
          <w:color w:val="000000" w:themeColor="text1"/>
          <w:sz w:val="24"/>
          <w:szCs w:val="24"/>
        </w:rPr>
        <w:t>GPx</w:t>
      </w:r>
      <w:proofErr w:type="spellEnd"/>
      <w:r w:rsidRPr="00370CE7">
        <w:rPr>
          <w:color w:val="000000" w:themeColor="text1"/>
          <w:sz w:val="24"/>
          <w:szCs w:val="24"/>
        </w:rPr>
        <w:t>) and non-enzymatic (GSH) antioxidant systems act to counteract.</w:t>
      </w:r>
    </w:p>
    <w:p w14:paraId="52EE8FA3" w14:textId="77777777" w:rsidR="00AA707A" w:rsidRPr="00370CE7" w:rsidRDefault="00370CE7">
      <w:pPr>
        <w:spacing w:line="360" w:lineRule="auto"/>
        <w:jc w:val="both"/>
        <w:rPr>
          <w:color w:val="000000" w:themeColor="text1"/>
        </w:rPr>
      </w:pPr>
      <w:r w:rsidRPr="00370CE7">
        <w:rPr>
          <w:color w:val="000000" w:themeColor="text1"/>
          <w:sz w:val="24"/>
          <w:szCs w:val="24"/>
        </w:rPr>
        <w:t xml:space="preserve">Regional studies from central India have documented elevated antioxidant enzyme activity and lipid peroxidation in fish from mining-affected stretches of the </w:t>
      </w:r>
      <w:proofErr w:type="spellStart"/>
      <w:r w:rsidRPr="00370CE7">
        <w:rPr>
          <w:color w:val="000000" w:themeColor="text1"/>
          <w:sz w:val="24"/>
          <w:szCs w:val="24"/>
        </w:rPr>
        <w:t>Rihand</w:t>
      </w:r>
      <w:proofErr w:type="spellEnd"/>
      <w:r w:rsidRPr="00370CE7">
        <w:rPr>
          <w:color w:val="000000" w:themeColor="text1"/>
          <w:sz w:val="24"/>
          <w:szCs w:val="24"/>
        </w:rPr>
        <w:t xml:space="preserve"> River (Mishra &amp; Srivastava, 2014) and histopathological gill and liver lesions correlated with pH depression in the Surguja district (Pandey, Tiwari, &amp; Sinha, 2017). Yadav, Sharma, and Verma (2020) reported a significant negative relationship between pH depression and fish species richness in Surguja water bodies, and Tiwari and Thakur (2021) documented biphasic antioxidant responses in </w:t>
      </w:r>
      <w:r w:rsidRPr="00370CE7">
        <w:rPr>
          <w:color w:val="000000" w:themeColor="text1"/>
          <w:sz w:val="24"/>
          <w:szCs w:val="24"/>
        </w:rPr>
        <w:lastRenderedPageBreak/>
        <w:t xml:space="preserve">Puntius </w:t>
      </w:r>
      <w:proofErr w:type="spellStart"/>
      <w:r w:rsidRPr="00370CE7">
        <w:rPr>
          <w:color w:val="000000" w:themeColor="text1"/>
          <w:sz w:val="24"/>
          <w:szCs w:val="24"/>
        </w:rPr>
        <w:t>ticto</w:t>
      </w:r>
      <w:proofErr w:type="spellEnd"/>
      <w:r w:rsidRPr="00370CE7">
        <w:rPr>
          <w:color w:val="000000" w:themeColor="text1"/>
          <w:sz w:val="24"/>
          <w:szCs w:val="24"/>
        </w:rPr>
        <w:t xml:space="preserve"> under controlled acute and chronic pH stress. Despite this growing body of evidence, region-specific, multi-tiered data integrating acute lethality with hematological and biochemical biomarker responses remain scarce for the economically and ecologically important fish species of the Ambikapur region specifically.</w:t>
      </w:r>
    </w:p>
    <w:p w14:paraId="2509466B" w14:textId="77777777" w:rsidR="00AA707A" w:rsidRPr="00370CE7" w:rsidRDefault="00370CE7">
      <w:pPr>
        <w:spacing w:line="360" w:lineRule="auto"/>
        <w:jc w:val="both"/>
        <w:rPr>
          <w:color w:val="000000" w:themeColor="text1"/>
        </w:rPr>
      </w:pPr>
      <w:r w:rsidRPr="00370CE7">
        <w:rPr>
          <w:color w:val="000000" w:themeColor="text1"/>
          <w:sz w:val="24"/>
          <w:szCs w:val="24"/>
        </w:rPr>
        <w:t>The present study was therefore designed to assess the infl</w:t>
      </w:r>
      <w:r>
        <w:rPr>
          <w:color w:val="000000" w:themeColor="text1"/>
          <w:sz w:val="24"/>
          <w:szCs w:val="24"/>
        </w:rPr>
        <w:t xml:space="preserve">uence of altered pH </w:t>
      </w:r>
      <w:proofErr w:type="gramStart"/>
      <w:r>
        <w:rPr>
          <w:color w:val="000000" w:themeColor="text1"/>
          <w:sz w:val="24"/>
          <w:szCs w:val="24"/>
        </w:rPr>
        <w:t>conditions  both</w:t>
      </w:r>
      <w:proofErr w:type="gramEnd"/>
      <w:r>
        <w:rPr>
          <w:color w:val="000000" w:themeColor="text1"/>
          <w:sz w:val="24"/>
          <w:szCs w:val="24"/>
        </w:rPr>
        <w:t xml:space="preserve"> acidic and alkaline </w:t>
      </w:r>
      <w:r w:rsidRPr="00370CE7">
        <w:rPr>
          <w:color w:val="000000" w:themeColor="text1"/>
          <w:sz w:val="24"/>
          <w:szCs w:val="24"/>
        </w:rPr>
        <w:t xml:space="preserve">on the survival, hematological profile, and oxidative stress biomarker responses of </w:t>
      </w:r>
      <w:proofErr w:type="spellStart"/>
      <w:r w:rsidRPr="00370CE7">
        <w:rPr>
          <w:i/>
          <w:iCs/>
          <w:color w:val="000000" w:themeColor="text1"/>
          <w:sz w:val="24"/>
          <w:szCs w:val="24"/>
        </w:rPr>
        <w:t>Labeo</w:t>
      </w:r>
      <w:proofErr w:type="spellEnd"/>
      <w:r w:rsidRPr="00370CE7">
        <w:rPr>
          <w:i/>
          <w:iCs/>
          <w:color w:val="000000" w:themeColor="text1"/>
          <w:sz w:val="24"/>
          <w:szCs w:val="24"/>
        </w:rPr>
        <w:t xml:space="preserve"> </w:t>
      </w:r>
      <w:proofErr w:type="spellStart"/>
      <w:r w:rsidRPr="00370CE7">
        <w:rPr>
          <w:i/>
          <w:iCs/>
          <w:color w:val="000000" w:themeColor="text1"/>
          <w:sz w:val="24"/>
          <w:szCs w:val="24"/>
        </w:rPr>
        <w:t>rohita</w:t>
      </w:r>
      <w:proofErr w:type="spellEnd"/>
      <w:r w:rsidRPr="00370CE7">
        <w:rPr>
          <w:i/>
          <w:iCs/>
          <w:color w:val="000000" w:themeColor="text1"/>
          <w:sz w:val="24"/>
          <w:szCs w:val="24"/>
        </w:rPr>
        <w:t xml:space="preserve">, </w:t>
      </w:r>
      <w:proofErr w:type="spellStart"/>
      <w:r w:rsidRPr="00370CE7">
        <w:rPr>
          <w:i/>
          <w:iCs/>
          <w:color w:val="000000" w:themeColor="text1"/>
          <w:sz w:val="24"/>
          <w:szCs w:val="24"/>
        </w:rPr>
        <w:t>Catla</w:t>
      </w:r>
      <w:proofErr w:type="spellEnd"/>
      <w:r w:rsidRPr="00370CE7">
        <w:rPr>
          <w:i/>
          <w:iCs/>
          <w:color w:val="000000" w:themeColor="text1"/>
          <w:sz w:val="24"/>
          <w:szCs w:val="24"/>
        </w:rPr>
        <w:t xml:space="preserve"> </w:t>
      </w:r>
      <w:proofErr w:type="spellStart"/>
      <w:r w:rsidRPr="00370CE7">
        <w:rPr>
          <w:i/>
          <w:iCs/>
          <w:color w:val="000000" w:themeColor="text1"/>
          <w:sz w:val="24"/>
          <w:szCs w:val="24"/>
        </w:rPr>
        <w:t>catla</w:t>
      </w:r>
      <w:proofErr w:type="spellEnd"/>
      <w:r w:rsidRPr="00370CE7">
        <w:rPr>
          <w:color w:val="000000" w:themeColor="text1"/>
          <w:sz w:val="24"/>
          <w:szCs w:val="24"/>
        </w:rPr>
        <w:t xml:space="preserve">, and </w:t>
      </w:r>
      <w:r w:rsidRPr="00370CE7">
        <w:rPr>
          <w:i/>
          <w:iCs/>
          <w:color w:val="000000" w:themeColor="text1"/>
          <w:sz w:val="24"/>
          <w:szCs w:val="24"/>
        </w:rPr>
        <w:t>Cyprinus carpio</w:t>
      </w:r>
      <w:r w:rsidRPr="00370CE7">
        <w:rPr>
          <w:color w:val="000000" w:themeColor="text1"/>
          <w:sz w:val="24"/>
          <w:szCs w:val="24"/>
        </w:rPr>
        <w:t xml:space="preserve"> collected from the Ambikapur region. The specific objectives were to: (</w:t>
      </w:r>
      <w:proofErr w:type="spellStart"/>
      <w:r w:rsidRPr="00370CE7">
        <w:rPr>
          <w:color w:val="000000" w:themeColor="text1"/>
          <w:sz w:val="24"/>
          <w:szCs w:val="24"/>
        </w:rPr>
        <w:t>i</w:t>
      </w:r>
      <w:proofErr w:type="spellEnd"/>
      <w:r w:rsidRPr="00370CE7">
        <w:rPr>
          <w:color w:val="000000" w:themeColor="text1"/>
          <w:sz w:val="24"/>
          <w:szCs w:val="24"/>
        </w:rPr>
        <w:t>) determine 24-, 48-, 72-, and 96-h LC50 values for each species under laboratory-controlled acidic and alkaline conditions; (ii) evaluate hematological responses (RBC, WBC, hemoglobin, hematocrit, and differential leukocyte count) under sublethal acute and chronic exposure; and (iii) assess oxidative stress biomarkers — lipid peroxidation (MDA), superoxide dismutase (SOD), catalase (CAT), glutathione peroxidase (</w:t>
      </w:r>
      <w:proofErr w:type="spellStart"/>
      <w:r w:rsidRPr="00370CE7">
        <w:rPr>
          <w:color w:val="000000" w:themeColor="text1"/>
          <w:sz w:val="24"/>
          <w:szCs w:val="24"/>
        </w:rPr>
        <w:t>GPx</w:t>
      </w:r>
      <w:proofErr w:type="spellEnd"/>
      <w:r w:rsidRPr="00370CE7">
        <w:rPr>
          <w:color w:val="000000" w:themeColor="text1"/>
          <w:sz w:val="24"/>
          <w:szCs w:val="24"/>
        </w:rPr>
        <w:t xml:space="preserve">), </w:t>
      </w:r>
      <w:r>
        <w:rPr>
          <w:color w:val="000000" w:themeColor="text1"/>
          <w:sz w:val="24"/>
          <w:szCs w:val="24"/>
        </w:rPr>
        <w:t xml:space="preserve">and reduced glutathione (GSH) </w:t>
      </w:r>
      <w:r w:rsidRPr="00370CE7">
        <w:rPr>
          <w:color w:val="000000" w:themeColor="text1"/>
          <w:sz w:val="24"/>
          <w:szCs w:val="24"/>
        </w:rPr>
        <w:t>in gill, liver, and kidney tissues of pH-stressed fish. The findings are intended to provide a scientific basis for locally relevant water quality criteria, biomonitoring frameworks, and conservation planning in pH-impacted freshwater systems of central India.</w:t>
      </w:r>
    </w:p>
    <w:p w14:paraId="6FDF476B" w14:textId="77777777" w:rsidR="00AA707A" w:rsidRPr="00370CE7" w:rsidRDefault="00370CE7">
      <w:pPr>
        <w:pStyle w:val="Heading1"/>
        <w:rPr>
          <w:color w:val="000000" w:themeColor="text1"/>
        </w:rPr>
      </w:pPr>
      <w:r w:rsidRPr="00370CE7">
        <w:rPr>
          <w:b/>
          <w:bCs/>
          <w:color w:val="000000" w:themeColor="text1"/>
          <w:sz w:val="28"/>
          <w:szCs w:val="28"/>
        </w:rPr>
        <w:t>2. MATERIALS AND METHODS</w:t>
      </w:r>
    </w:p>
    <w:p w14:paraId="63C3B7D3" w14:textId="77777777" w:rsidR="00AA707A" w:rsidRPr="00370CE7" w:rsidRDefault="00370CE7">
      <w:pPr>
        <w:pStyle w:val="Heading2"/>
        <w:rPr>
          <w:color w:val="000000" w:themeColor="text1"/>
        </w:rPr>
      </w:pPr>
      <w:r w:rsidRPr="00370CE7">
        <w:rPr>
          <w:b/>
          <w:bCs/>
          <w:color w:val="000000" w:themeColor="text1"/>
        </w:rPr>
        <w:t>2.1 Study Area and Fish Collection</w:t>
      </w:r>
    </w:p>
    <w:p w14:paraId="666FFF7A" w14:textId="77777777" w:rsidR="00AA707A" w:rsidRPr="00370CE7" w:rsidRDefault="00370CE7">
      <w:pPr>
        <w:spacing w:line="360" w:lineRule="auto"/>
        <w:jc w:val="both"/>
        <w:rPr>
          <w:color w:val="000000" w:themeColor="text1"/>
        </w:rPr>
      </w:pPr>
      <w:r w:rsidRPr="00370CE7">
        <w:rPr>
          <w:color w:val="000000" w:themeColor="text1"/>
          <w:sz w:val="24"/>
          <w:szCs w:val="24"/>
        </w:rPr>
        <w:t xml:space="preserve">Healthy, disease-free specimens of </w:t>
      </w:r>
      <w:proofErr w:type="spellStart"/>
      <w:r w:rsidRPr="00370CE7">
        <w:rPr>
          <w:i/>
          <w:iCs/>
          <w:color w:val="000000" w:themeColor="text1"/>
          <w:sz w:val="24"/>
          <w:szCs w:val="24"/>
        </w:rPr>
        <w:t>Labeo</w:t>
      </w:r>
      <w:proofErr w:type="spellEnd"/>
      <w:r w:rsidRPr="00370CE7">
        <w:rPr>
          <w:i/>
          <w:iCs/>
          <w:color w:val="000000" w:themeColor="text1"/>
          <w:sz w:val="24"/>
          <w:szCs w:val="24"/>
        </w:rPr>
        <w:t xml:space="preserve"> </w:t>
      </w:r>
      <w:proofErr w:type="spellStart"/>
      <w:r w:rsidRPr="00370CE7">
        <w:rPr>
          <w:i/>
          <w:iCs/>
          <w:color w:val="000000" w:themeColor="text1"/>
          <w:sz w:val="24"/>
          <w:szCs w:val="24"/>
        </w:rPr>
        <w:t>rohita</w:t>
      </w:r>
      <w:proofErr w:type="spellEnd"/>
      <w:r w:rsidRPr="00370CE7">
        <w:rPr>
          <w:i/>
          <w:iCs/>
          <w:color w:val="000000" w:themeColor="text1"/>
          <w:sz w:val="24"/>
          <w:szCs w:val="24"/>
        </w:rPr>
        <w:t xml:space="preserve">, </w:t>
      </w:r>
      <w:proofErr w:type="spellStart"/>
      <w:r w:rsidRPr="00370CE7">
        <w:rPr>
          <w:i/>
          <w:iCs/>
          <w:color w:val="000000" w:themeColor="text1"/>
          <w:sz w:val="24"/>
          <w:szCs w:val="24"/>
        </w:rPr>
        <w:t>Catla</w:t>
      </w:r>
      <w:proofErr w:type="spellEnd"/>
      <w:r w:rsidRPr="00370CE7">
        <w:rPr>
          <w:i/>
          <w:iCs/>
          <w:color w:val="000000" w:themeColor="text1"/>
          <w:sz w:val="24"/>
          <w:szCs w:val="24"/>
        </w:rPr>
        <w:t xml:space="preserve"> </w:t>
      </w:r>
      <w:proofErr w:type="spellStart"/>
      <w:r w:rsidRPr="00370CE7">
        <w:rPr>
          <w:i/>
          <w:iCs/>
          <w:color w:val="000000" w:themeColor="text1"/>
          <w:sz w:val="24"/>
          <w:szCs w:val="24"/>
        </w:rPr>
        <w:t>catla</w:t>
      </w:r>
      <w:proofErr w:type="spellEnd"/>
      <w:r w:rsidRPr="00370CE7">
        <w:rPr>
          <w:color w:val="000000" w:themeColor="text1"/>
          <w:sz w:val="24"/>
          <w:szCs w:val="24"/>
        </w:rPr>
        <w:t xml:space="preserve">, and </w:t>
      </w:r>
      <w:r w:rsidRPr="00370CE7">
        <w:rPr>
          <w:i/>
          <w:iCs/>
          <w:color w:val="000000" w:themeColor="text1"/>
          <w:sz w:val="24"/>
          <w:szCs w:val="24"/>
        </w:rPr>
        <w:t>Cyprinus carpio</w:t>
      </w:r>
      <w:r w:rsidRPr="00370CE7">
        <w:rPr>
          <w:color w:val="000000" w:themeColor="text1"/>
          <w:sz w:val="24"/>
          <w:szCs w:val="24"/>
        </w:rPr>
        <w:t xml:space="preserve"> (mean body weight 25–35 g; total length 10–13 cm) were procured from fish rearing ponds and local water bodies of the Ambikapur region, Surguja district, Chhattisgarh, India. Fish were transported live to the laboratory in aerated containers and acclimatized for 14 days in large fibre-reinforced plastic (FRP) tanks under laboratory conditions (photoperiod 12L:12D, temperature 24–26 °C, dechlorinated and continuously aerated water) prior to the commencement of experiments. Fish were fed a commercial pelleted diet ad libitum during acclimatization, with feeding withheld 24 h prior to experimental exposure. Mortality or abnormal behavior during acclimatization resulted in exclusion of the affected individuals from the study.</w:t>
      </w:r>
    </w:p>
    <w:p w14:paraId="71A8E5C0" w14:textId="77777777" w:rsidR="00370CE7" w:rsidRDefault="00370CE7">
      <w:pPr>
        <w:pStyle w:val="Heading2"/>
        <w:spacing w:before="260" w:after="160"/>
        <w:rPr>
          <w:b/>
          <w:bCs/>
          <w:color w:val="000000" w:themeColor="text1"/>
        </w:rPr>
      </w:pPr>
    </w:p>
    <w:p w14:paraId="7782EF4E" w14:textId="77777777" w:rsidR="00AA707A" w:rsidRPr="00370CE7" w:rsidRDefault="00370CE7">
      <w:pPr>
        <w:pStyle w:val="Heading2"/>
        <w:spacing w:before="260" w:after="160"/>
        <w:rPr>
          <w:color w:val="000000" w:themeColor="text1"/>
        </w:rPr>
      </w:pPr>
      <w:r w:rsidRPr="00370CE7">
        <w:rPr>
          <w:b/>
          <w:bCs/>
          <w:color w:val="000000" w:themeColor="text1"/>
        </w:rPr>
        <w:t>2.2 Experimental Design</w:t>
      </w:r>
    </w:p>
    <w:p w14:paraId="75238D93" w14:textId="77777777" w:rsidR="00AA707A" w:rsidRPr="00370CE7" w:rsidRDefault="00370CE7">
      <w:pPr>
        <w:spacing w:line="360" w:lineRule="auto"/>
        <w:jc w:val="both"/>
        <w:rPr>
          <w:color w:val="000000" w:themeColor="text1"/>
        </w:rPr>
      </w:pPr>
      <w:r w:rsidRPr="00370CE7">
        <w:rPr>
          <w:color w:val="000000" w:themeColor="text1"/>
          <w:sz w:val="24"/>
          <w:szCs w:val="24"/>
        </w:rPr>
        <w:t xml:space="preserve">Two sequential experimental phases were conducted. In the acute toxicity phase, static-renewal bioassays following APHA (2017) guidelines were used to expose groups of ten fish per species </w:t>
      </w:r>
      <w:r w:rsidRPr="00370CE7">
        <w:rPr>
          <w:color w:val="000000" w:themeColor="text1"/>
          <w:sz w:val="24"/>
          <w:szCs w:val="24"/>
        </w:rPr>
        <w:lastRenderedPageBreak/>
        <w:t>to a series of pH treatments spanning 4.0 to 10.5, adjusted using dilute HCl or NaOH solutions and verified using a calibrated digital pH meter. Mortality was recorded at 24, 48, 72, and 96 h, and median lethal pH (LC50) values with 95% fiducial confidence limits were calculated by probit analysis (Finney, 1971). In the chronic sublethal phase, fish were exposed for 60 days to three treatments control (pH 7.5 ± 0.2), acidic (pH 5.5 ± 0.2), and alkaline (pH 9.5 ± 0.2), corresponding to approximately 65–70% of the respective 96-h LC50 values with six replicate fish sampled per treatment at each of three sampling intervals (days 15, 30, and 60).</w:t>
      </w:r>
    </w:p>
    <w:p w14:paraId="6FFB458C" w14:textId="77777777" w:rsidR="00AA707A" w:rsidRPr="00370CE7" w:rsidRDefault="00370CE7">
      <w:pPr>
        <w:pStyle w:val="Heading2"/>
        <w:rPr>
          <w:color w:val="000000" w:themeColor="text1"/>
        </w:rPr>
      </w:pPr>
      <w:r w:rsidRPr="00370CE7">
        <w:rPr>
          <w:b/>
          <w:bCs/>
          <w:color w:val="000000" w:themeColor="text1"/>
        </w:rPr>
        <w:t>2.3 Water Quality Monitoring</w:t>
      </w:r>
    </w:p>
    <w:p w14:paraId="15A80386" w14:textId="77777777" w:rsidR="00AA707A" w:rsidRPr="00370CE7" w:rsidRDefault="00370CE7">
      <w:pPr>
        <w:spacing w:line="360" w:lineRule="auto"/>
        <w:jc w:val="both"/>
        <w:rPr>
          <w:color w:val="000000" w:themeColor="text1"/>
        </w:rPr>
      </w:pPr>
      <w:r w:rsidRPr="00370CE7">
        <w:rPr>
          <w:color w:val="000000" w:themeColor="text1"/>
          <w:sz w:val="24"/>
          <w:szCs w:val="24"/>
        </w:rPr>
        <w:t>Water temperature, dissolved oxygen, total hardness, total alkalinity, electrical conductivity, and un-ionized ammonia were monitored every 48 h throughout the exposure period following standard methods (APHA, 2017), with 25% water renewal performed daily to maintain water quality and target pH within tanks fitted with continuous aeration.</w:t>
      </w:r>
    </w:p>
    <w:p w14:paraId="699BE24D" w14:textId="77777777" w:rsidR="00AA707A" w:rsidRPr="00370CE7" w:rsidRDefault="00370CE7">
      <w:pPr>
        <w:pStyle w:val="Heading2"/>
        <w:rPr>
          <w:color w:val="000000" w:themeColor="text1"/>
        </w:rPr>
      </w:pPr>
      <w:r w:rsidRPr="00370CE7">
        <w:rPr>
          <w:b/>
          <w:bCs/>
          <w:color w:val="000000" w:themeColor="text1"/>
        </w:rPr>
        <w:t>2.4 Hematological Analysis</w:t>
      </w:r>
    </w:p>
    <w:p w14:paraId="1C458DC6" w14:textId="77777777" w:rsidR="00AA707A" w:rsidRPr="00370CE7" w:rsidRDefault="00370CE7">
      <w:pPr>
        <w:spacing w:line="360" w:lineRule="auto"/>
        <w:jc w:val="both"/>
        <w:rPr>
          <w:color w:val="000000" w:themeColor="text1"/>
        </w:rPr>
      </w:pPr>
      <w:r w:rsidRPr="00370CE7">
        <w:rPr>
          <w:color w:val="000000" w:themeColor="text1"/>
          <w:sz w:val="24"/>
          <w:szCs w:val="24"/>
        </w:rPr>
        <w:t>Blood samples were collected from the caudal vein of anaesthetized fish using heparinized syringes. Red blood cell (RBC) and white blood cell (WBC) counts were determined using a Neubauer hemocytometer following standard dilution procedures. Hemoglobin (Hb) concentration was estimated by the cyanmethemoglobin method, and hematocrit (packed cell volume) was determined by the microhematocrit centrifugation method. Differential leukocyte counts were obtained from Giemsa-stained peripheral blood smears, examining a minimum of 200 leukocytes per slide (</w:t>
      </w:r>
      <w:proofErr w:type="spellStart"/>
      <w:r w:rsidRPr="00370CE7">
        <w:rPr>
          <w:color w:val="000000" w:themeColor="text1"/>
          <w:sz w:val="24"/>
          <w:szCs w:val="24"/>
        </w:rPr>
        <w:t>Blaxhall</w:t>
      </w:r>
      <w:proofErr w:type="spellEnd"/>
      <w:r w:rsidRPr="00370CE7">
        <w:rPr>
          <w:color w:val="000000" w:themeColor="text1"/>
          <w:sz w:val="24"/>
          <w:szCs w:val="24"/>
        </w:rPr>
        <w:t xml:space="preserve"> &amp; Daisley, 1973).</w:t>
      </w:r>
    </w:p>
    <w:p w14:paraId="335CAAB0" w14:textId="77777777" w:rsidR="00AA707A" w:rsidRPr="00370CE7" w:rsidRDefault="00370CE7">
      <w:pPr>
        <w:pStyle w:val="Heading2"/>
        <w:rPr>
          <w:color w:val="000000" w:themeColor="text1"/>
        </w:rPr>
      </w:pPr>
      <w:r w:rsidRPr="00370CE7">
        <w:rPr>
          <w:b/>
          <w:bCs/>
          <w:color w:val="000000" w:themeColor="text1"/>
        </w:rPr>
        <w:t>2.5 Tissue Collection and Biochemical Assays</w:t>
      </w:r>
    </w:p>
    <w:p w14:paraId="050CFFE7" w14:textId="77777777" w:rsidR="00AA707A" w:rsidRPr="00370CE7" w:rsidRDefault="00370CE7">
      <w:pPr>
        <w:spacing w:line="360" w:lineRule="auto"/>
        <w:jc w:val="both"/>
        <w:rPr>
          <w:color w:val="000000" w:themeColor="text1"/>
        </w:rPr>
      </w:pPr>
      <w:r w:rsidRPr="00370CE7">
        <w:rPr>
          <w:color w:val="000000" w:themeColor="text1"/>
          <w:sz w:val="24"/>
          <w:szCs w:val="24"/>
        </w:rPr>
        <w:t xml:space="preserve">At each sampling interval, fish were euthanized and gill, liver, and kidney tissues were rapidly excised, rinsed in ice-cold saline, and homogenized in chilled phosphate buffer (pH 7.4). Homogenates were centrifuged at 10,000 × g for 15 min at 4 °C, and the resulting supernatants were used for biochemical assays. Lipid peroxidation was estimated as malondialdehyde (MDA) content using the </w:t>
      </w:r>
      <w:proofErr w:type="spellStart"/>
      <w:r w:rsidRPr="00370CE7">
        <w:rPr>
          <w:color w:val="000000" w:themeColor="text1"/>
          <w:sz w:val="24"/>
          <w:szCs w:val="24"/>
        </w:rPr>
        <w:t>thiobarbituric</w:t>
      </w:r>
      <w:proofErr w:type="spellEnd"/>
      <w:r w:rsidRPr="00370CE7">
        <w:rPr>
          <w:color w:val="000000" w:themeColor="text1"/>
          <w:sz w:val="24"/>
          <w:szCs w:val="24"/>
        </w:rPr>
        <w:t xml:space="preserve"> acid reactive substances (TBARS) method. Superoxide dismutase (SOD) activity was assayed by the pyrogallol autoxidation inhibition method (Marklund &amp; Marklund, 1974), catalase (CAT) activity by the rate of hydrogen peroxide decomposition (Aebi, 1984), glutathione peroxidase (</w:t>
      </w:r>
      <w:proofErr w:type="spellStart"/>
      <w:r w:rsidRPr="00370CE7">
        <w:rPr>
          <w:color w:val="000000" w:themeColor="text1"/>
          <w:sz w:val="24"/>
          <w:szCs w:val="24"/>
        </w:rPr>
        <w:t>GPx</w:t>
      </w:r>
      <w:proofErr w:type="spellEnd"/>
      <w:r w:rsidRPr="00370CE7">
        <w:rPr>
          <w:color w:val="000000" w:themeColor="text1"/>
          <w:sz w:val="24"/>
          <w:szCs w:val="24"/>
        </w:rPr>
        <w:t>) activity following Rotruck et al. (1973), and reduced glutathione (GSH) content by the method of Ellman (1959). Total protein content of tissue homogenates was estimated by the Lowry method for normalization of enzyme activities.</w:t>
      </w:r>
    </w:p>
    <w:p w14:paraId="5EC1EBDA" w14:textId="77777777" w:rsidR="00AA707A" w:rsidRPr="00370CE7" w:rsidRDefault="00370CE7">
      <w:pPr>
        <w:pStyle w:val="Heading2"/>
        <w:rPr>
          <w:color w:val="000000" w:themeColor="text1"/>
        </w:rPr>
      </w:pPr>
      <w:r w:rsidRPr="00370CE7">
        <w:rPr>
          <w:b/>
          <w:bCs/>
          <w:color w:val="000000" w:themeColor="text1"/>
        </w:rPr>
        <w:lastRenderedPageBreak/>
        <w:t>2.6 Statistical Analysis</w:t>
      </w:r>
    </w:p>
    <w:p w14:paraId="5081E71B" w14:textId="77777777" w:rsidR="00AA707A" w:rsidRPr="00370CE7" w:rsidRDefault="00370CE7">
      <w:pPr>
        <w:spacing w:line="360" w:lineRule="auto"/>
        <w:jc w:val="both"/>
        <w:rPr>
          <w:color w:val="000000" w:themeColor="text1"/>
        </w:rPr>
      </w:pPr>
      <w:r w:rsidRPr="00370CE7">
        <w:rPr>
          <w:color w:val="000000" w:themeColor="text1"/>
          <w:sz w:val="24"/>
          <w:szCs w:val="24"/>
        </w:rPr>
        <w:t>LC50 values and 95% fiducial confidence limits were computed by probit regression analysis. Hematological and biochemical data are expressed as mean ± standard deviation (n = 6). Differences among treatment groups were evaluated by one-way and two-way analysis of variance (ANOVA) followed by Tukey's honestly significant difference (HSD) post hoc test, with p &lt; 0.05 considered statistically significant. Pearson correlation coefficients were computed to assess relationships between pH deviation and biomarker responses. All statistical analyses were performed using SPSS (v.26) and GraphPad Prism (v.9).</w:t>
      </w:r>
    </w:p>
    <w:p w14:paraId="228BD9A4" w14:textId="77777777" w:rsidR="00AA707A" w:rsidRPr="00370CE7" w:rsidRDefault="00370CE7" w:rsidP="00370CE7">
      <w:pPr>
        <w:pStyle w:val="Heading1"/>
        <w:rPr>
          <w:color w:val="000000" w:themeColor="text1"/>
        </w:rPr>
      </w:pPr>
      <w:r w:rsidRPr="00370CE7">
        <w:rPr>
          <w:b/>
          <w:bCs/>
          <w:color w:val="000000" w:themeColor="text1"/>
          <w:sz w:val="28"/>
          <w:szCs w:val="28"/>
        </w:rPr>
        <w:t>3. RESULTS</w:t>
      </w:r>
    </w:p>
    <w:p w14:paraId="6A293275" w14:textId="77777777" w:rsidR="00AA707A" w:rsidRPr="00370CE7" w:rsidRDefault="00370CE7" w:rsidP="00370CE7">
      <w:pPr>
        <w:spacing w:line="360" w:lineRule="auto"/>
        <w:jc w:val="both"/>
        <w:rPr>
          <w:color w:val="000000" w:themeColor="text1"/>
        </w:rPr>
      </w:pPr>
      <w:r w:rsidRPr="00370CE7">
        <w:rPr>
          <w:color w:val="000000" w:themeColor="text1"/>
          <w:sz w:val="24"/>
          <w:szCs w:val="24"/>
        </w:rPr>
        <w:t xml:space="preserve">This section presents the survival, hematological, and biochemical responses of the three freshwater fish </w:t>
      </w:r>
      <w:proofErr w:type="gramStart"/>
      <w:r w:rsidRPr="00370CE7">
        <w:rPr>
          <w:color w:val="000000" w:themeColor="text1"/>
          <w:sz w:val="24"/>
          <w:szCs w:val="24"/>
        </w:rPr>
        <w:t xml:space="preserve">species  </w:t>
      </w:r>
      <w:proofErr w:type="spellStart"/>
      <w:r w:rsidRPr="00370CE7">
        <w:rPr>
          <w:i/>
          <w:iCs/>
          <w:color w:val="000000" w:themeColor="text1"/>
          <w:sz w:val="24"/>
          <w:szCs w:val="24"/>
        </w:rPr>
        <w:t>Labeo</w:t>
      </w:r>
      <w:proofErr w:type="spellEnd"/>
      <w:proofErr w:type="gramEnd"/>
      <w:r w:rsidRPr="00370CE7">
        <w:rPr>
          <w:i/>
          <w:iCs/>
          <w:color w:val="000000" w:themeColor="text1"/>
          <w:sz w:val="24"/>
          <w:szCs w:val="24"/>
        </w:rPr>
        <w:t xml:space="preserve"> </w:t>
      </w:r>
      <w:proofErr w:type="spellStart"/>
      <w:r w:rsidRPr="00370CE7">
        <w:rPr>
          <w:i/>
          <w:iCs/>
          <w:color w:val="000000" w:themeColor="text1"/>
          <w:sz w:val="24"/>
          <w:szCs w:val="24"/>
        </w:rPr>
        <w:t>rohita</w:t>
      </w:r>
      <w:proofErr w:type="spellEnd"/>
      <w:r w:rsidRPr="00370CE7">
        <w:rPr>
          <w:i/>
          <w:iCs/>
          <w:color w:val="000000" w:themeColor="text1"/>
          <w:sz w:val="24"/>
          <w:szCs w:val="24"/>
        </w:rPr>
        <w:t xml:space="preserve">, </w:t>
      </w:r>
      <w:proofErr w:type="spellStart"/>
      <w:r w:rsidRPr="00370CE7">
        <w:rPr>
          <w:i/>
          <w:iCs/>
          <w:color w:val="000000" w:themeColor="text1"/>
          <w:sz w:val="24"/>
          <w:szCs w:val="24"/>
        </w:rPr>
        <w:t>Catla</w:t>
      </w:r>
      <w:proofErr w:type="spellEnd"/>
      <w:r w:rsidRPr="00370CE7">
        <w:rPr>
          <w:i/>
          <w:iCs/>
          <w:color w:val="000000" w:themeColor="text1"/>
          <w:sz w:val="24"/>
          <w:szCs w:val="24"/>
        </w:rPr>
        <w:t xml:space="preserve"> </w:t>
      </w:r>
      <w:proofErr w:type="spellStart"/>
      <w:r w:rsidRPr="00370CE7">
        <w:rPr>
          <w:i/>
          <w:iCs/>
          <w:color w:val="000000" w:themeColor="text1"/>
          <w:sz w:val="24"/>
          <w:szCs w:val="24"/>
        </w:rPr>
        <w:t>catla</w:t>
      </w:r>
      <w:proofErr w:type="spellEnd"/>
      <w:r w:rsidRPr="00370CE7">
        <w:rPr>
          <w:color w:val="000000" w:themeColor="text1"/>
          <w:sz w:val="24"/>
          <w:szCs w:val="24"/>
        </w:rPr>
        <w:t xml:space="preserve">, and </w:t>
      </w:r>
      <w:r w:rsidRPr="00370CE7">
        <w:rPr>
          <w:i/>
          <w:iCs/>
          <w:color w:val="000000" w:themeColor="text1"/>
          <w:sz w:val="24"/>
          <w:szCs w:val="24"/>
        </w:rPr>
        <w:t>Cyprinus carpio</w:t>
      </w:r>
      <w:r w:rsidRPr="00370CE7">
        <w:rPr>
          <w:color w:val="000000" w:themeColor="text1"/>
          <w:sz w:val="24"/>
          <w:szCs w:val="24"/>
        </w:rPr>
        <w:t xml:space="preserve">, collected from the Ambikapur region of Surguja district, </w:t>
      </w:r>
      <w:proofErr w:type="gramStart"/>
      <w:r w:rsidRPr="00370CE7">
        <w:rPr>
          <w:color w:val="000000" w:themeColor="text1"/>
          <w:sz w:val="24"/>
          <w:szCs w:val="24"/>
        </w:rPr>
        <w:t>Chhattisgarh  following</w:t>
      </w:r>
      <w:proofErr w:type="gramEnd"/>
      <w:r w:rsidRPr="00370CE7">
        <w:rPr>
          <w:color w:val="000000" w:themeColor="text1"/>
          <w:sz w:val="24"/>
          <w:szCs w:val="24"/>
        </w:rPr>
        <w:t xml:space="preserve"> controlled laboratory exposure to acidic and alkaline pH regimes. Fish were subjected to acute static-renewal bioassays across a pH gradient of 4.0 to 10.5 to determine 24-, 48-, 72-, and 96-hour median lethal pH (LC50) values, followed by sublethal chronic exposure trials at three pH </w:t>
      </w:r>
      <w:proofErr w:type="gramStart"/>
      <w:r w:rsidRPr="00370CE7">
        <w:rPr>
          <w:color w:val="000000" w:themeColor="text1"/>
          <w:sz w:val="24"/>
          <w:szCs w:val="24"/>
        </w:rPr>
        <w:t>treatments  control</w:t>
      </w:r>
      <w:proofErr w:type="gramEnd"/>
      <w:r w:rsidRPr="00370CE7">
        <w:rPr>
          <w:color w:val="000000" w:themeColor="text1"/>
          <w:sz w:val="24"/>
          <w:szCs w:val="24"/>
        </w:rPr>
        <w:t xml:space="preserve"> (pH 7.5 ± 0.2), acidic (pH 5.5 ± 0.2), and alkaline (pH 9.5 ± 0.2</w:t>
      </w:r>
      <w:proofErr w:type="gramStart"/>
      <w:r w:rsidRPr="00370CE7">
        <w:rPr>
          <w:color w:val="000000" w:themeColor="text1"/>
          <w:sz w:val="24"/>
          <w:szCs w:val="24"/>
        </w:rPr>
        <w:t>)  for</w:t>
      </w:r>
      <w:proofErr w:type="gramEnd"/>
      <w:r w:rsidRPr="00370CE7">
        <w:rPr>
          <w:color w:val="000000" w:themeColor="text1"/>
          <w:sz w:val="24"/>
          <w:szCs w:val="24"/>
        </w:rPr>
        <w:t xml:space="preserve"> durations of 15, 30, and 60 days, during which hematological and oxidative stress parameters were assessed in gill, liver, and kidney tissues. All values are expressed as mean ± standard deviation (n = 6 per treatment group). One-way ANOVA followed by Tukey's post hoc test was used for inter-group comparisons, and values bearing different superscript letters within a row differ significantly (p &lt; 0.05).</w:t>
      </w:r>
    </w:p>
    <w:p w14:paraId="49819017" w14:textId="77777777" w:rsidR="00AA707A" w:rsidRPr="00370CE7" w:rsidRDefault="00370CE7" w:rsidP="00370CE7">
      <w:pPr>
        <w:pStyle w:val="Heading2"/>
        <w:rPr>
          <w:color w:val="000000" w:themeColor="text1"/>
        </w:rPr>
      </w:pPr>
      <w:r w:rsidRPr="00370CE7">
        <w:rPr>
          <w:b/>
          <w:bCs/>
          <w:color w:val="000000" w:themeColor="text1"/>
        </w:rPr>
        <w:t>3.1 Physicochemical Characteristics of the Experimental Water</w:t>
      </w:r>
    </w:p>
    <w:p w14:paraId="0A81972E" w14:textId="77777777" w:rsidR="00AA707A" w:rsidRPr="00370CE7" w:rsidRDefault="00370CE7" w:rsidP="00370CE7">
      <w:pPr>
        <w:spacing w:line="360" w:lineRule="auto"/>
        <w:jc w:val="both"/>
        <w:rPr>
          <w:color w:val="000000" w:themeColor="text1"/>
        </w:rPr>
      </w:pPr>
      <w:r w:rsidRPr="00370CE7">
        <w:rPr>
          <w:color w:val="000000" w:themeColor="text1"/>
          <w:sz w:val="24"/>
          <w:szCs w:val="24"/>
        </w:rPr>
        <w:t>The baseline physicochemical parameters of dechlorinated municipal water used for the acclimatization and exposure trials, prior to pH adjustment, are summarized in Table 1. Except for the deliberately manipulated pH, all other water quality parameters were maintained within narrow, biologically tolerable ranges throughout the exposure period through daily monitoring and partial water renewal, minimizing the confounding influence of ancillary variables such as dissolved oxygen depletion or ammonia accumulation on the observed biological responses.</w:t>
      </w:r>
    </w:p>
    <w:p w14:paraId="28916481" w14:textId="77777777" w:rsidR="00AA707A" w:rsidRPr="00370CE7" w:rsidRDefault="00370CE7" w:rsidP="00370CE7">
      <w:pPr>
        <w:jc w:val="center"/>
        <w:rPr>
          <w:color w:val="000000" w:themeColor="text1"/>
        </w:rPr>
      </w:pPr>
      <w:r w:rsidRPr="00370CE7">
        <w:rPr>
          <w:b/>
          <w:bCs/>
          <w:color w:val="000000" w:themeColor="text1"/>
          <w:sz w:val="22"/>
          <w:szCs w:val="22"/>
        </w:rPr>
        <w:t>Table 1. Physicochemical parameters of experimental water during the exposure period (mean ± SD, n = 6).</w:t>
      </w:r>
    </w:p>
    <w:tbl>
      <w:tblPr>
        <w:tblStyle w:val="TableGrid"/>
        <w:tblW w:w="9500" w:type="dxa"/>
        <w:tblLook w:val="04A0" w:firstRow="1" w:lastRow="0" w:firstColumn="1" w:lastColumn="0" w:noHBand="0" w:noVBand="1"/>
      </w:tblPr>
      <w:tblGrid>
        <w:gridCol w:w="3200"/>
        <w:gridCol w:w="2100"/>
        <w:gridCol w:w="2100"/>
        <w:gridCol w:w="2100"/>
      </w:tblGrid>
      <w:tr w:rsidR="00AA707A" w:rsidRPr="00370CE7" w14:paraId="373608AC" w14:textId="77777777" w:rsidTr="00370CE7">
        <w:tc>
          <w:tcPr>
            <w:tcW w:w="3200" w:type="dxa"/>
          </w:tcPr>
          <w:p w14:paraId="6CC96374" w14:textId="77777777" w:rsidR="00AA707A" w:rsidRPr="00370CE7" w:rsidRDefault="00370CE7" w:rsidP="00370CE7">
            <w:pPr>
              <w:spacing w:line="360" w:lineRule="auto"/>
              <w:jc w:val="center"/>
              <w:rPr>
                <w:color w:val="000000" w:themeColor="text1"/>
              </w:rPr>
            </w:pPr>
            <w:r w:rsidRPr="00370CE7">
              <w:rPr>
                <w:b/>
                <w:bCs/>
                <w:color w:val="000000" w:themeColor="text1"/>
              </w:rPr>
              <w:t>Parameter</w:t>
            </w:r>
          </w:p>
        </w:tc>
        <w:tc>
          <w:tcPr>
            <w:tcW w:w="2100" w:type="dxa"/>
          </w:tcPr>
          <w:p w14:paraId="04F95AFF" w14:textId="77777777" w:rsidR="00AA707A" w:rsidRPr="00370CE7" w:rsidRDefault="00370CE7" w:rsidP="00370CE7">
            <w:pPr>
              <w:spacing w:line="360" w:lineRule="auto"/>
              <w:jc w:val="center"/>
              <w:rPr>
                <w:color w:val="000000" w:themeColor="text1"/>
              </w:rPr>
            </w:pPr>
            <w:r w:rsidRPr="00370CE7">
              <w:rPr>
                <w:b/>
                <w:bCs/>
                <w:color w:val="000000" w:themeColor="text1"/>
              </w:rPr>
              <w:t>Control (pH 7.5)</w:t>
            </w:r>
          </w:p>
        </w:tc>
        <w:tc>
          <w:tcPr>
            <w:tcW w:w="2100" w:type="dxa"/>
          </w:tcPr>
          <w:p w14:paraId="6D2493DE" w14:textId="77777777" w:rsidR="00AA707A" w:rsidRPr="00370CE7" w:rsidRDefault="00370CE7" w:rsidP="00370CE7">
            <w:pPr>
              <w:spacing w:line="360" w:lineRule="auto"/>
              <w:jc w:val="center"/>
              <w:rPr>
                <w:color w:val="000000" w:themeColor="text1"/>
              </w:rPr>
            </w:pPr>
            <w:r w:rsidRPr="00370CE7">
              <w:rPr>
                <w:b/>
                <w:bCs/>
                <w:color w:val="000000" w:themeColor="text1"/>
              </w:rPr>
              <w:t>Acidic (pH 5.5)</w:t>
            </w:r>
          </w:p>
        </w:tc>
        <w:tc>
          <w:tcPr>
            <w:tcW w:w="2100" w:type="dxa"/>
          </w:tcPr>
          <w:p w14:paraId="2F49A46F" w14:textId="77777777" w:rsidR="00AA707A" w:rsidRPr="00370CE7" w:rsidRDefault="00370CE7" w:rsidP="00370CE7">
            <w:pPr>
              <w:spacing w:line="360" w:lineRule="auto"/>
              <w:jc w:val="center"/>
              <w:rPr>
                <w:color w:val="000000" w:themeColor="text1"/>
              </w:rPr>
            </w:pPr>
            <w:r w:rsidRPr="00370CE7">
              <w:rPr>
                <w:b/>
                <w:bCs/>
                <w:color w:val="000000" w:themeColor="text1"/>
              </w:rPr>
              <w:t>Alkaline (pH 9.5)</w:t>
            </w:r>
          </w:p>
        </w:tc>
      </w:tr>
      <w:tr w:rsidR="00AA707A" w:rsidRPr="00370CE7" w14:paraId="0CE1A13F" w14:textId="77777777" w:rsidTr="00370CE7">
        <w:tc>
          <w:tcPr>
            <w:tcW w:w="3200" w:type="dxa"/>
          </w:tcPr>
          <w:p w14:paraId="2EF779DD" w14:textId="77777777" w:rsidR="00AA707A" w:rsidRPr="00370CE7" w:rsidRDefault="00370CE7" w:rsidP="00370CE7">
            <w:pPr>
              <w:spacing w:line="360" w:lineRule="auto"/>
              <w:rPr>
                <w:color w:val="000000" w:themeColor="text1"/>
              </w:rPr>
            </w:pPr>
            <w:r w:rsidRPr="00370CE7">
              <w:rPr>
                <w:color w:val="000000" w:themeColor="text1"/>
              </w:rPr>
              <w:t>Temperature (°C)</w:t>
            </w:r>
          </w:p>
        </w:tc>
        <w:tc>
          <w:tcPr>
            <w:tcW w:w="2100" w:type="dxa"/>
          </w:tcPr>
          <w:p w14:paraId="670AE2C8" w14:textId="77777777" w:rsidR="00AA707A" w:rsidRPr="00370CE7" w:rsidRDefault="00370CE7" w:rsidP="00370CE7">
            <w:pPr>
              <w:spacing w:line="360" w:lineRule="auto"/>
              <w:jc w:val="center"/>
              <w:rPr>
                <w:color w:val="000000" w:themeColor="text1"/>
              </w:rPr>
            </w:pPr>
            <w:r w:rsidRPr="00370CE7">
              <w:rPr>
                <w:color w:val="000000" w:themeColor="text1"/>
              </w:rPr>
              <w:t>24.8 ± 0.6</w:t>
            </w:r>
          </w:p>
        </w:tc>
        <w:tc>
          <w:tcPr>
            <w:tcW w:w="2100" w:type="dxa"/>
          </w:tcPr>
          <w:p w14:paraId="27AB0825" w14:textId="77777777" w:rsidR="00AA707A" w:rsidRPr="00370CE7" w:rsidRDefault="00370CE7" w:rsidP="00370CE7">
            <w:pPr>
              <w:spacing w:line="360" w:lineRule="auto"/>
              <w:jc w:val="center"/>
              <w:rPr>
                <w:color w:val="000000" w:themeColor="text1"/>
              </w:rPr>
            </w:pPr>
            <w:r w:rsidRPr="00370CE7">
              <w:rPr>
                <w:color w:val="000000" w:themeColor="text1"/>
              </w:rPr>
              <w:t>24.6 ± 0.5</w:t>
            </w:r>
          </w:p>
        </w:tc>
        <w:tc>
          <w:tcPr>
            <w:tcW w:w="2100" w:type="dxa"/>
          </w:tcPr>
          <w:p w14:paraId="67644616" w14:textId="77777777" w:rsidR="00AA707A" w:rsidRPr="00370CE7" w:rsidRDefault="00370CE7" w:rsidP="00370CE7">
            <w:pPr>
              <w:spacing w:line="360" w:lineRule="auto"/>
              <w:jc w:val="center"/>
              <w:rPr>
                <w:color w:val="000000" w:themeColor="text1"/>
              </w:rPr>
            </w:pPr>
            <w:r w:rsidRPr="00370CE7">
              <w:rPr>
                <w:color w:val="000000" w:themeColor="text1"/>
              </w:rPr>
              <w:t>24.9 ± 0.7</w:t>
            </w:r>
          </w:p>
        </w:tc>
      </w:tr>
      <w:tr w:rsidR="00AA707A" w:rsidRPr="00370CE7" w14:paraId="2209059A" w14:textId="77777777" w:rsidTr="00370CE7">
        <w:tc>
          <w:tcPr>
            <w:tcW w:w="3200" w:type="dxa"/>
          </w:tcPr>
          <w:p w14:paraId="46F3ACE7" w14:textId="77777777" w:rsidR="00AA707A" w:rsidRPr="00370CE7" w:rsidRDefault="00370CE7" w:rsidP="00370CE7">
            <w:pPr>
              <w:spacing w:line="360" w:lineRule="auto"/>
              <w:rPr>
                <w:color w:val="000000" w:themeColor="text1"/>
              </w:rPr>
            </w:pPr>
            <w:r w:rsidRPr="00370CE7">
              <w:rPr>
                <w:color w:val="000000" w:themeColor="text1"/>
              </w:rPr>
              <w:t>Dissolved oxygen (mg/L)</w:t>
            </w:r>
          </w:p>
        </w:tc>
        <w:tc>
          <w:tcPr>
            <w:tcW w:w="2100" w:type="dxa"/>
          </w:tcPr>
          <w:p w14:paraId="0D3CEA8B" w14:textId="77777777" w:rsidR="00AA707A" w:rsidRPr="00370CE7" w:rsidRDefault="00370CE7" w:rsidP="00370CE7">
            <w:pPr>
              <w:spacing w:line="360" w:lineRule="auto"/>
              <w:jc w:val="center"/>
              <w:rPr>
                <w:color w:val="000000" w:themeColor="text1"/>
              </w:rPr>
            </w:pPr>
            <w:r w:rsidRPr="00370CE7">
              <w:rPr>
                <w:color w:val="000000" w:themeColor="text1"/>
              </w:rPr>
              <w:t>6.9 ± 0.3</w:t>
            </w:r>
          </w:p>
        </w:tc>
        <w:tc>
          <w:tcPr>
            <w:tcW w:w="2100" w:type="dxa"/>
          </w:tcPr>
          <w:p w14:paraId="74FE9B0D" w14:textId="77777777" w:rsidR="00AA707A" w:rsidRPr="00370CE7" w:rsidRDefault="00370CE7" w:rsidP="00370CE7">
            <w:pPr>
              <w:spacing w:line="360" w:lineRule="auto"/>
              <w:jc w:val="center"/>
              <w:rPr>
                <w:color w:val="000000" w:themeColor="text1"/>
              </w:rPr>
            </w:pPr>
            <w:r w:rsidRPr="00370CE7">
              <w:rPr>
                <w:color w:val="000000" w:themeColor="text1"/>
              </w:rPr>
              <w:t>6.4 ± 0.4</w:t>
            </w:r>
          </w:p>
        </w:tc>
        <w:tc>
          <w:tcPr>
            <w:tcW w:w="2100" w:type="dxa"/>
          </w:tcPr>
          <w:p w14:paraId="668F49A4" w14:textId="77777777" w:rsidR="00AA707A" w:rsidRPr="00370CE7" w:rsidRDefault="00370CE7" w:rsidP="00370CE7">
            <w:pPr>
              <w:spacing w:line="360" w:lineRule="auto"/>
              <w:jc w:val="center"/>
              <w:rPr>
                <w:color w:val="000000" w:themeColor="text1"/>
              </w:rPr>
            </w:pPr>
            <w:r w:rsidRPr="00370CE7">
              <w:rPr>
                <w:color w:val="000000" w:themeColor="text1"/>
              </w:rPr>
              <w:t>6.2 ± 0.3</w:t>
            </w:r>
          </w:p>
        </w:tc>
      </w:tr>
      <w:tr w:rsidR="00AA707A" w:rsidRPr="00370CE7" w14:paraId="47A7DE1D" w14:textId="77777777" w:rsidTr="00370CE7">
        <w:tc>
          <w:tcPr>
            <w:tcW w:w="3200" w:type="dxa"/>
          </w:tcPr>
          <w:p w14:paraId="4F28A36F" w14:textId="77777777" w:rsidR="00AA707A" w:rsidRPr="00370CE7" w:rsidRDefault="00370CE7" w:rsidP="00370CE7">
            <w:pPr>
              <w:spacing w:line="360" w:lineRule="auto"/>
              <w:rPr>
                <w:color w:val="000000" w:themeColor="text1"/>
              </w:rPr>
            </w:pPr>
            <w:r w:rsidRPr="00370CE7">
              <w:rPr>
                <w:color w:val="000000" w:themeColor="text1"/>
              </w:rPr>
              <w:lastRenderedPageBreak/>
              <w:t xml:space="preserve">Total hardness (mg/L </w:t>
            </w:r>
            <w:proofErr w:type="spellStart"/>
            <w:r w:rsidRPr="00370CE7">
              <w:rPr>
                <w:color w:val="000000" w:themeColor="text1"/>
              </w:rPr>
              <w:t>CaCO</w:t>
            </w:r>
            <w:proofErr w:type="spellEnd"/>
            <w:r w:rsidRPr="00370CE7">
              <w:rPr>
                <w:color w:val="000000" w:themeColor="text1"/>
              </w:rPr>
              <w:t>₃)</w:t>
            </w:r>
          </w:p>
        </w:tc>
        <w:tc>
          <w:tcPr>
            <w:tcW w:w="2100" w:type="dxa"/>
          </w:tcPr>
          <w:p w14:paraId="6512C5E5" w14:textId="77777777" w:rsidR="00AA707A" w:rsidRPr="00370CE7" w:rsidRDefault="00370CE7" w:rsidP="00370CE7">
            <w:pPr>
              <w:spacing w:line="360" w:lineRule="auto"/>
              <w:jc w:val="center"/>
              <w:rPr>
                <w:color w:val="000000" w:themeColor="text1"/>
              </w:rPr>
            </w:pPr>
            <w:r w:rsidRPr="00370CE7">
              <w:rPr>
                <w:color w:val="000000" w:themeColor="text1"/>
              </w:rPr>
              <w:t>112 ± 6</w:t>
            </w:r>
          </w:p>
        </w:tc>
        <w:tc>
          <w:tcPr>
            <w:tcW w:w="2100" w:type="dxa"/>
          </w:tcPr>
          <w:p w14:paraId="1C3EC39A" w14:textId="77777777" w:rsidR="00AA707A" w:rsidRPr="00370CE7" w:rsidRDefault="00370CE7" w:rsidP="00370CE7">
            <w:pPr>
              <w:spacing w:line="360" w:lineRule="auto"/>
              <w:jc w:val="center"/>
              <w:rPr>
                <w:color w:val="000000" w:themeColor="text1"/>
              </w:rPr>
            </w:pPr>
            <w:r w:rsidRPr="00370CE7">
              <w:rPr>
                <w:color w:val="000000" w:themeColor="text1"/>
              </w:rPr>
              <w:t>104 ± 8</w:t>
            </w:r>
          </w:p>
        </w:tc>
        <w:tc>
          <w:tcPr>
            <w:tcW w:w="2100" w:type="dxa"/>
          </w:tcPr>
          <w:p w14:paraId="2EE2A384" w14:textId="77777777" w:rsidR="00AA707A" w:rsidRPr="00370CE7" w:rsidRDefault="00370CE7" w:rsidP="00370CE7">
            <w:pPr>
              <w:spacing w:line="360" w:lineRule="auto"/>
              <w:jc w:val="center"/>
              <w:rPr>
                <w:color w:val="000000" w:themeColor="text1"/>
              </w:rPr>
            </w:pPr>
            <w:r w:rsidRPr="00370CE7">
              <w:rPr>
                <w:color w:val="000000" w:themeColor="text1"/>
              </w:rPr>
              <w:t>118 ± 7</w:t>
            </w:r>
          </w:p>
        </w:tc>
      </w:tr>
      <w:tr w:rsidR="00AA707A" w:rsidRPr="00370CE7" w14:paraId="704B4B71" w14:textId="77777777" w:rsidTr="00370CE7">
        <w:tc>
          <w:tcPr>
            <w:tcW w:w="3200" w:type="dxa"/>
          </w:tcPr>
          <w:p w14:paraId="0E00CC3D" w14:textId="77777777" w:rsidR="00AA707A" w:rsidRPr="00370CE7" w:rsidRDefault="00370CE7" w:rsidP="00370CE7">
            <w:pPr>
              <w:spacing w:line="360" w:lineRule="auto"/>
              <w:rPr>
                <w:color w:val="000000" w:themeColor="text1"/>
              </w:rPr>
            </w:pPr>
            <w:r w:rsidRPr="00370CE7">
              <w:rPr>
                <w:color w:val="000000" w:themeColor="text1"/>
              </w:rPr>
              <w:t xml:space="preserve">Total alkalinity (mg/L </w:t>
            </w:r>
            <w:proofErr w:type="spellStart"/>
            <w:r w:rsidRPr="00370CE7">
              <w:rPr>
                <w:color w:val="000000" w:themeColor="text1"/>
              </w:rPr>
              <w:t>CaCO</w:t>
            </w:r>
            <w:proofErr w:type="spellEnd"/>
            <w:r w:rsidRPr="00370CE7">
              <w:rPr>
                <w:color w:val="000000" w:themeColor="text1"/>
              </w:rPr>
              <w:t>₃)</w:t>
            </w:r>
          </w:p>
        </w:tc>
        <w:tc>
          <w:tcPr>
            <w:tcW w:w="2100" w:type="dxa"/>
          </w:tcPr>
          <w:p w14:paraId="4FA8017F" w14:textId="77777777" w:rsidR="00AA707A" w:rsidRPr="00370CE7" w:rsidRDefault="00370CE7" w:rsidP="00370CE7">
            <w:pPr>
              <w:spacing w:line="360" w:lineRule="auto"/>
              <w:jc w:val="center"/>
              <w:rPr>
                <w:color w:val="000000" w:themeColor="text1"/>
              </w:rPr>
            </w:pPr>
            <w:r w:rsidRPr="00370CE7">
              <w:rPr>
                <w:color w:val="000000" w:themeColor="text1"/>
              </w:rPr>
              <w:t>96 ± 5</w:t>
            </w:r>
          </w:p>
        </w:tc>
        <w:tc>
          <w:tcPr>
            <w:tcW w:w="2100" w:type="dxa"/>
          </w:tcPr>
          <w:p w14:paraId="7B4E4DF5" w14:textId="77777777" w:rsidR="00AA707A" w:rsidRPr="00370CE7" w:rsidRDefault="00370CE7" w:rsidP="00370CE7">
            <w:pPr>
              <w:spacing w:line="360" w:lineRule="auto"/>
              <w:jc w:val="center"/>
              <w:rPr>
                <w:color w:val="000000" w:themeColor="text1"/>
              </w:rPr>
            </w:pPr>
            <w:r w:rsidRPr="00370CE7">
              <w:rPr>
                <w:color w:val="000000" w:themeColor="text1"/>
              </w:rPr>
              <w:t>62 ± 6</w:t>
            </w:r>
          </w:p>
        </w:tc>
        <w:tc>
          <w:tcPr>
            <w:tcW w:w="2100" w:type="dxa"/>
          </w:tcPr>
          <w:p w14:paraId="0611B4A1" w14:textId="77777777" w:rsidR="00AA707A" w:rsidRPr="00370CE7" w:rsidRDefault="00370CE7" w:rsidP="00370CE7">
            <w:pPr>
              <w:spacing w:line="360" w:lineRule="auto"/>
              <w:jc w:val="center"/>
              <w:rPr>
                <w:color w:val="000000" w:themeColor="text1"/>
              </w:rPr>
            </w:pPr>
            <w:r w:rsidRPr="00370CE7">
              <w:rPr>
                <w:color w:val="000000" w:themeColor="text1"/>
              </w:rPr>
              <w:t>134 ± 9</w:t>
            </w:r>
          </w:p>
        </w:tc>
      </w:tr>
      <w:tr w:rsidR="00AA707A" w:rsidRPr="00370CE7" w14:paraId="5F6EBCC0" w14:textId="77777777" w:rsidTr="00370CE7">
        <w:tc>
          <w:tcPr>
            <w:tcW w:w="3200" w:type="dxa"/>
          </w:tcPr>
          <w:p w14:paraId="139A2EC8" w14:textId="77777777" w:rsidR="00AA707A" w:rsidRPr="00370CE7" w:rsidRDefault="00370CE7" w:rsidP="00370CE7">
            <w:pPr>
              <w:spacing w:line="360" w:lineRule="auto"/>
              <w:rPr>
                <w:color w:val="000000" w:themeColor="text1"/>
              </w:rPr>
            </w:pPr>
            <w:r w:rsidRPr="00370CE7">
              <w:rPr>
                <w:color w:val="000000" w:themeColor="text1"/>
              </w:rPr>
              <w:t>Electrical conductivity (µS/cm)</w:t>
            </w:r>
          </w:p>
        </w:tc>
        <w:tc>
          <w:tcPr>
            <w:tcW w:w="2100" w:type="dxa"/>
          </w:tcPr>
          <w:p w14:paraId="1D016488" w14:textId="77777777" w:rsidR="00AA707A" w:rsidRPr="00370CE7" w:rsidRDefault="00370CE7" w:rsidP="00370CE7">
            <w:pPr>
              <w:spacing w:line="360" w:lineRule="auto"/>
              <w:jc w:val="center"/>
              <w:rPr>
                <w:color w:val="000000" w:themeColor="text1"/>
              </w:rPr>
            </w:pPr>
            <w:r w:rsidRPr="00370CE7">
              <w:rPr>
                <w:color w:val="000000" w:themeColor="text1"/>
              </w:rPr>
              <w:t>312 ± 14</w:t>
            </w:r>
          </w:p>
        </w:tc>
        <w:tc>
          <w:tcPr>
            <w:tcW w:w="2100" w:type="dxa"/>
          </w:tcPr>
          <w:p w14:paraId="597A7FE2" w14:textId="77777777" w:rsidR="00AA707A" w:rsidRPr="00370CE7" w:rsidRDefault="00370CE7" w:rsidP="00370CE7">
            <w:pPr>
              <w:spacing w:line="360" w:lineRule="auto"/>
              <w:jc w:val="center"/>
              <w:rPr>
                <w:color w:val="000000" w:themeColor="text1"/>
              </w:rPr>
            </w:pPr>
            <w:r w:rsidRPr="00370CE7">
              <w:rPr>
                <w:color w:val="000000" w:themeColor="text1"/>
              </w:rPr>
              <w:t>338 ± 18</w:t>
            </w:r>
          </w:p>
        </w:tc>
        <w:tc>
          <w:tcPr>
            <w:tcW w:w="2100" w:type="dxa"/>
          </w:tcPr>
          <w:p w14:paraId="4B88F012" w14:textId="77777777" w:rsidR="00AA707A" w:rsidRPr="00370CE7" w:rsidRDefault="00370CE7" w:rsidP="00370CE7">
            <w:pPr>
              <w:spacing w:line="360" w:lineRule="auto"/>
              <w:jc w:val="center"/>
              <w:rPr>
                <w:color w:val="000000" w:themeColor="text1"/>
              </w:rPr>
            </w:pPr>
            <w:r w:rsidRPr="00370CE7">
              <w:rPr>
                <w:color w:val="000000" w:themeColor="text1"/>
              </w:rPr>
              <w:t>329 ± 16</w:t>
            </w:r>
          </w:p>
        </w:tc>
      </w:tr>
      <w:tr w:rsidR="00AA707A" w:rsidRPr="00370CE7" w14:paraId="1E24E557" w14:textId="77777777" w:rsidTr="00370CE7">
        <w:tc>
          <w:tcPr>
            <w:tcW w:w="3200" w:type="dxa"/>
          </w:tcPr>
          <w:p w14:paraId="364C0644" w14:textId="77777777" w:rsidR="00AA707A" w:rsidRPr="00370CE7" w:rsidRDefault="00370CE7" w:rsidP="00370CE7">
            <w:pPr>
              <w:spacing w:line="360" w:lineRule="auto"/>
              <w:rPr>
                <w:color w:val="000000" w:themeColor="text1"/>
              </w:rPr>
            </w:pPr>
            <w:r w:rsidRPr="00370CE7">
              <w:rPr>
                <w:color w:val="000000" w:themeColor="text1"/>
              </w:rPr>
              <w:t>Un-ionized ammonia (mg/L)</w:t>
            </w:r>
          </w:p>
        </w:tc>
        <w:tc>
          <w:tcPr>
            <w:tcW w:w="2100" w:type="dxa"/>
          </w:tcPr>
          <w:p w14:paraId="1D99237D" w14:textId="77777777" w:rsidR="00AA707A" w:rsidRPr="00370CE7" w:rsidRDefault="00370CE7" w:rsidP="00370CE7">
            <w:pPr>
              <w:spacing w:line="360" w:lineRule="auto"/>
              <w:jc w:val="center"/>
              <w:rPr>
                <w:color w:val="000000" w:themeColor="text1"/>
              </w:rPr>
            </w:pPr>
            <w:r w:rsidRPr="00370CE7">
              <w:rPr>
                <w:color w:val="000000" w:themeColor="text1"/>
              </w:rPr>
              <w:t>0.012 ± 0.002</w:t>
            </w:r>
          </w:p>
        </w:tc>
        <w:tc>
          <w:tcPr>
            <w:tcW w:w="2100" w:type="dxa"/>
          </w:tcPr>
          <w:p w14:paraId="16F34283" w14:textId="77777777" w:rsidR="00AA707A" w:rsidRPr="00370CE7" w:rsidRDefault="00370CE7" w:rsidP="00370CE7">
            <w:pPr>
              <w:spacing w:line="360" w:lineRule="auto"/>
              <w:jc w:val="center"/>
              <w:rPr>
                <w:color w:val="000000" w:themeColor="text1"/>
              </w:rPr>
            </w:pPr>
            <w:r w:rsidRPr="00370CE7">
              <w:rPr>
                <w:color w:val="000000" w:themeColor="text1"/>
              </w:rPr>
              <w:t>0.008 ± 0.002</w:t>
            </w:r>
          </w:p>
        </w:tc>
        <w:tc>
          <w:tcPr>
            <w:tcW w:w="2100" w:type="dxa"/>
          </w:tcPr>
          <w:p w14:paraId="0D4B55BD" w14:textId="77777777" w:rsidR="00AA707A" w:rsidRPr="00370CE7" w:rsidRDefault="00370CE7" w:rsidP="00370CE7">
            <w:pPr>
              <w:spacing w:line="360" w:lineRule="auto"/>
              <w:jc w:val="center"/>
              <w:rPr>
                <w:color w:val="000000" w:themeColor="text1"/>
              </w:rPr>
            </w:pPr>
            <w:r w:rsidRPr="00370CE7">
              <w:rPr>
                <w:color w:val="000000" w:themeColor="text1"/>
              </w:rPr>
              <w:t>0.041 ± 0.005</w:t>
            </w:r>
          </w:p>
        </w:tc>
      </w:tr>
    </w:tbl>
    <w:p w14:paraId="087EFE7F" w14:textId="77777777" w:rsidR="00AA707A" w:rsidRPr="00370CE7" w:rsidRDefault="00370CE7" w:rsidP="00370CE7">
      <w:pPr>
        <w:jc w:val="center"/>
        <w:rPr>
          <w:color w:val="000000" w:themeColor="text1"/>
        </w:rPr>
      </w:pPr>
      <w:r w:rsidRPr="00370CE7">
        <w:rPr>
          <w:i/>
          <w:iCs/>
          <w:color w:val="000000" w:themeColor="text1"/>
        </w:rPr>
        <w:t>Values represent means of triplicate measurements taken every 48 h across the exposure period.</w:t>
      </w:r>
    </w:p>
    <w:p w14:paraId="0AF5F0FB" w14:textId="77777777" w:rsidR="00AA707A" w:rsidRPr="00370CE7" w:rsidRDefault="00370CE7" w:rsidP="00370CE7">
      <w:pPr>
        <w:pStyle w:val="Heading2"/>
        <w:rPr>
          <w:color w:val="000000" w:themeColor="text1"/>
        </w:rPr>
      </w:pPr>
      <w:r w:rsidRPr="00370CE7">
        <w:rPr>
          <w:b/>
          <w:bCs/>
          <w:color w:val="000000" w:themeColor="text1"/>
        </w:rPr>
        <w:t>3.2 Acute Toxicity Response and Median Lethal pH (LC50) Values</w:t>
      </w:r>
    </w:p>
    <w:p w14:paraId="182A926C" w14:textId="77777777" w:rsidR="00AA707A" w:rsidRPr="00370CE7" w:rsidRDefault="00370CE7" w:rsidP="00370CE7">
      <w:pPr>
        <w:spacing w:line="360" w:lineRule="auto"/>
        <w:jc w:val="both"/>
        <w:rPr>
          <w:color w:val="000000" w:themeColor="text1"/>
        </w:rPr>
      </w:pPr>
      <w:r w:rsidRPr="00370CE7">
        <w:rPr>
          <w:color w:val="000000" w:themeColor="text1"/>
          <w:sz w:val="24"/>
          <w:szCs w:val="24"/>
        </w:rPr>
        <w:t>Mortality among all three species increased in a clearly pH- and duration-dependent manner on both the acidic and alkaline sides of the tested range. At the most extreme acidic treatment (pH 4.0), onset of mortality was observed within 6–10 hours of exposure across all species, preceded by characteristic behavioral signs including erratic surfacing, increased opercular beat frequency, loss of equilibrium, excessive mucus secretion, and periodic air-gulping. At the most extreme alkaline treatment (pH 10.5), mortality was somewhat delayed relative to the acidic extreme but was accompanied by pronounced gill surface discoloration and lethargy prior to death, consistent with ammonia-mediated toxicity superimposed on direct alkaline stress.</w:t>
      </w:r>
    </w:p>
    <w:p w14:paraId="343FE66B" w14:textId="77777777" w:rsidR="00AA707A" w:rsidRPr="00370CE7" w:rsidRDefault="00370CE7" w:rsidP="00370CE7">
      <w:pPr>
        <w:spacing w:line="360" w:lineRule="auto"/>
        <w:jc w:val="both"/>
        <w:rPr>
          <w:color w:val="000000" w:themeColor="text1"/>
        </w:rPr>
      </w:pPr>
      <w:r w:rsidRPr="00370CE7">
        <w:rPr>
          <w:i/>
          <w:iCs/>
          <w:color w:val="000000" w:themeColor="text1"/>
          <w:sz w:val="24"/>
          <w:szCs w:val="24"/>
        </w:rPr>
        <w:t>Cyprinus carpio</w:t>
      </w:r>
      <w:r w:rsidRPr="00370CE7">
        <w:rPr>
          <w:color w:val="000000" w:themeColor="text1"/>
          <w:sz w:val="24"/>
          <w:szCs w:val="24"/>
        </w:rPr>
        <w:t xml:space="preserve"> consistently exhibited the greatest tolerance to both pH extremes among the three species tested, while </w:t>
      </w:r>
      <w:proofErr w:type="spellStart"/>
      <w:r w:rsidRPr="00370CE7">
        <w:rPr>
          <w:i/>
          <w:iCs/>
          <w:color w:val="000000" w:themeColor="text1"/>
          <w:sz w:val="24"/>
          <w:szCs w:val="24"/>
        </w:rPr>
        <w:t>Catla</w:t>
      </w:r>
      <w:proofErr w:type="spellEnd"/>
      <w:r w:rsidRPr="00370CE7">
        <w:rPr>
          <w:i/>
          <w:iCs/>
          <w:color w:val="000000" w:themeColor="text1"/>
          <w:sz w:val="24"/>
          <w:szCs w:val="24"/>
        </w:rPr>
        <w:t xml:space="preserve"> </w:t>
      </w:r>
      <w:proofErr w:type="spellStart"/>
      <w:r w:rsidRPr="00370CE7">
        <w:rPr>
          <w:i/>
          <w:iCs/>
          <w:color w:val="000000" w:themeColor="text1"/>
          <w:sz w:val="24"/>
          <w:szCs w:val="24"/>
        </w:rPr>
        <w:t>catla</w:t>
      </w:r>
      <w:proofErr w:type="spellEnd"/>
      <w:r w:rsidRPr="00370CE7">
        <w:rPr>
          <w:color w:val="000000" w:themeColor="text1"/>
          <w:sz w:val="24"/>
          <w:szCs w:val="24"/>
        </w:rPr>
        <w:t xml:space="preserve"> was the most sensitive, particularly under acidic conditions. </w:t>
      </w:r>
      <w:proofErr w:type="spellStart"/>
      <w:r w:rsidRPr="00370CE7">
        <w:rPr>
          <w:color w:val="000000" w:themeColor="text1"/>
          <w:sz w:val="24"/>
          <w:szCs w:val="24"/>
        </w:rPr>
        <w:t>Labeo</w:t>
      </w:r>
      <w:proofErr w:type="spellEnd"/>
      <w:r w:rsidRPr="00370CE7">
        <w:rPr>
          <w:color w:val="000000" w:themeColor="text1"/>
          <w:sz w:val="24"/>
          <w:szCs w:val="24"/>
        </w:rPr>
        <w:t xml:space="preserve"> </w:t>
      </w:r>
      <w:proofErr w:type="spellStart"/>
      <w:r w:rsidRPr="00370CE7">
        <w:rPr>
          <w:color w:val="000000" w:themeColor="text1"/>
          <w:sz w:val="24"/>
          <w:szCs w:val="24"/>
        </w:rPr>
        <w:t>rohita</w:t>
      </w:r>
      <w:proofErr w:type="spellEnd"/>
      <w:r w:rsidRPr="00370CE7">
        <w:rPr>
          <w:color w:val="000000" w:themeColor="text1"/>
          <w:sz w:val="24"/>
          <w:szCs w:val="24"/>
        </w:rPr>
        <w:t xml:space="preserve"> occupied an intermediate position. The 24-, 48-, 72-, and 96-h LC50 values, calculated using probit analysis with 95% fiducial confidence limits, are presented separately for the acidic (Table 2) and alkaline (Table 3) exposure series.</w:t>
      </w:r>
    </w:p>
    <w:p w14:paraId="12775EA8" w14:textId="77777777" w:rsidR="00AA707A" w:rsidRPr="00370CE7" w:rsidRDefault="00370CE7" w:rsidP="00370CE7">
      <w:pPr>
        <w:rPr>
          <w:color w:val="000000" w:themeColor="text1"/>
        </w:rPr>
      </w:pPr>
      <w:r w:rsidRPr="00370CE7">
        <w:rPr>
          <w:b/>
          <w:bCs/>
          <w:color w:val="000000" w:themeColor="text1"/>
          <w:sz w:val="22"/>
          <w:szCs w:val="22"/>
        </w:rPr>
        <w:t>Table 2. Acid-side median lethal pH (LC50) values with 95% confidence limits for three freshwater fish species.</w:t>
      </w:r>
    </w:p>
    <w:tbl>
      <w:tblPr>
        <w:tblStyle w:val="TableGrid"/>
        <w:tblW w:w="10000" w:type="dxa"/>
        <w:tblLook w:val="04A0" w:firstRow="1" w:lastRow="0" w:firstColumn="1" w:lastColumn="0" w:noHBand="0" w:noVBand="1"/>
      </w:tblPr>
      <w:tblGrid>
        <w:gridCol w:w="2400"/>
        <w:gridCol w:w="1900"/>
        <w:gridCol w:w="1900"/>
        <w:gridCol w:w="1900"/>
        <w:gridCol w:w="1900"/>
      </w:tblGrid>
      <w:tr w:rsidR="00AA707A" w:rsidRPr="00370CE7" w14:paraId="3D1604CC" w14:textId="77777777" w:rsidTr="00370CE7">
        <w:tc>
          <w:tcPr>
            <w:tcW w:w="2400" w:type="dxa"/>
          </w:tcPr>
          <w:p w14:paraId="087706F6" w14:textId="77777777" w:rsidR="00AA707A" w:rsidRPr="00370CE7" w:rsidRDefault="00370CE7" w:rsidP="00370CE7">
            <w:pPr>
              <w:jc w:val="center"/>
              <w:rPr>
                <w:color w:val="000000" w:themeColor="text1"/>
              </w:rPr>
            </w:pPr>
            <w:r w:rsidRPr="00370CE7">
              <w:rPr>
                <w:b/>
                <w:bCs/>
                <w:color w:val="000000" w:themeColor="text1"/>
              </w:rPr>
              <w:t>Species</w:t>
            </w:r>
          </w:p>
        </w:tc>
        <w:tc>
          <w:tcPr>
            <w:tcW w:w="1900" w:type="dxa"/>
          </w:tcPr>
          <w:p w14:paraId="5952BA1F" w14:textId="77777777" w:rsidR="00AA707A" w:rsidRPr="00370CE7" w:rsidRDefault="00370CE7" w:rsidP="00370CE7">
            <w:pPr>
              <w:jc w:val="center"/>
              <w:rPr>
                <w:color w:val="000000" w:themeColor="text1"/>
              </w:rPr>
            </w:pPr>
            <w:r w:rsidRPr="00370CE7">
              <w:rPr>
                <w:b/>
                <w:bCs/>
                <w:color w:val="000000" w:themeColor="text1"/>
              </w:rPr>
              <w:t>24-h LC50</w:t>
            </w:r>
          </w:p>
        </w:tc>
        <w:tc>
          <w:tcPr>
            <w:tcW w:w="1900" w:type="dxa"/>
          </w:tcPr>
          <w:p w14:paraId="55BB1E4A" w14:textId="77777777" w:rsidR="00AA707A" w:rsidRPr="00370CE7" w:rsidRDefault="00370CE7" w:rsidP="00370CE7">
            <w:pPr>
              <w:jc w:val="center"/>
              <w:rPr>
                <w:color w:val="000000" w:themeColor="text1"/>
              </w:rPr>
            </w:pPr>
            <w:r w:rsidRPr="00370CE7">
              <w:rPr>
                <w:b/>
                <w:bCs/>
                <w:color w:val="000000" w:themeColor="text1"/>
              </w:rPr>
              <w:t>48-h LC50</w:t>
            </w:r>
          </w:p>
        </w:tc>
        <w:tc>
          <w:tcPr>
            <w:tcW w:w="1900" w:type="dxa"/>
          </w:tcPr>
          <w:p w14:paraId="0685CD5C" w14:textId="77777777" w:rsidR="00AA707A" w:rsidRPr="00370CE7" w:rsidRDefault="00370CE7" w:rsidP="00370CE7">
            <w:pPr>
              <w:jc w:val="center"/>
              <w:rPr>
                <w:color w:val="000000" w:themeColor="text1"/>
              </w:rPr>
            </w:pPr>
            <w:r w:rsidRPr="00370CE7">
              <w:rPr>
                <w:b/>
                <w:bCs/>
                <w:color w:val="000000" w:themeColor="text1"/>
              </w:rPr>
              <w:t>72-h LC50</w:t>
            </w:r>
          </w:p>
        </w:tc>
        <w:tc>
          <w:tcPr>
            <w:tcW w:w="1900" w:type="dxa"/>
          </w:tcPr>
          <w:p w14:paraId="5623F90B" w14:textId="77777777" w:rsidR="00AA707A" w:rsidRPr="00370CE7" w:rsidRDefault="00370CE7" w:rsidP="00370CE7">
            <w:pPr>
              <w:jc w:val="center"/>
              <w:rPr>
                <w:color w:val="000000" w:themeColor="text1"/>
              </w:rPr>
            </w:pPr>
            <w:r w:rsidRPr="00370CE7">
              <w:rPr>
                <w:b/>
                <w:bCs/>
                <w:color w:val="000000" w:themeColor="text1"/>
              </w:rPr>
              <w:t>96-h LC50</w:t>
            </w:r>
          </w:p>
        </w:tc>
      </w:tr>
      <w:tr w:rsidR="00AA707A" w:rsidRPr="00370CE7" w14:paraId="1D57B21F" w14:textId="77777777" w:rsidTr="00370CE7">
        <w:tc>
          <w:tcPr>
            <w:tcW w:w="2400" w:type="dxa"/>
          </w:tcPr>
          <w:p w14:paraId="10C2CBDF" w14:textId="77777777" w:rsidR="00AA707A" w:rsidRPr="00370CE7" w:rsidRDefault="00370CE7" w:rsidP="00370CE7">
            <w:pPr>
              <w:rPr>
                <w:color w:val="000000" w:themeColor="text1"/>
              </w:rPr>
            </w:pPr>
            <w:proofErr w:type="spellStart"/>
            <w:r w:rsidRPr="00370CE7">
              <w:rPr>
                <w:color w:val="000000" w:themeColor="text1"/>
              </w:rPr>
              <w:t>Labeo</w:t>
            </w:r>
            <w:proofErr w:type="spellEnd"/>
            <w:r w:rsidRPr="00370CE7">
              <w:rPr>
                <w:color w:val="000000" w:themeColor="text1"/>
              </w:rPr>
              <w:t xml:space="preserve"> </w:t>
            </w:r>
            <w:proofErr w:type="spellStart"/>
            <w:r w:rsidRPr="00370CE7">
              <w:rPr>
                <w:color w:val="000000" w:themeColor="text1"/>
              </w:rPr>
              <w:t>rohita</w:t>
            </w:r>
            <w:proofErr w:type="spellEnd"/>
          </w:p>
        </w:tc>
        <w:tc>
          <w:tcPr>
            <w:tcW w:w="1900" w:type="dxa"/>
          </w:tcPr>
          <w:p w14:paraId="1C13E19C" w14:textId="77777777" w:rsidR="00AA707A" w:rsidRPr="00370CE7" w:rsidRDefault="00370CE7" w:rsidP="00370CE7">
            <w:pPr>
              <w:jc w:val="center"/>
              <w:rPr>
                <w:color w:val="000000" w:themeColor="text1"/>
              </w:rPr>
            </w:pPr>
            <w:r w:rsidRPr="00370CE7">
              <w:rPr>
                <w:color w:val="000000" w:themeColor="text1"/>
              </w:rPr>
              <w:t>4.21 (4.05–4.38)</w:t>
            </w:r>
          </w:p>
        </w:tc>
        <w:tc>
          <w:tcPr>
            <w:tcW w:w="1900" w:type="dxa"/>
          </w:tcPr>
          <w:p w14:paraId="41C2EEF8" w14:textId="77777777" w:rsidR="00AA707A" w:rsidRPr="00370CE7" w:rsidRDefault="00370CE7" w:rsidP="00370CE7">
            <w:pPr>
              <w:jc w:val="center"/>
              <w:rPr>
                <w:color w:val="000000" w:themeColor="text1"/>
              </w:rPr>
            </w:pPr>
            <w:r w:rsidRPr="00370CE7">
              <w:rPr>
                <w:color w:val="000000" w:themeColor="text1"/>
              </w:rPr>
              <w:t>4.38 (4.24–4.53)</w:t>
            </w:r>
          </w:p>
        </w:tc>
        <w:tc>
          <w:tcPr>
            <w:tcW w:w="1900" w:type="dxa"/>
          </w:tcPr>
          <w:p w14:paraId="6E567D01" w14:textId="77777777" w:rsidR="00AA707A" w:rsidRPr="00370CE7" w:rsidRDefault="00370CE7" w:rsidP="00370CE7">
            <w:pPr>
              <w:jc w:val="center"/>
              <w:rPr>
                <w:color w:val="000000" w:themeColor="text1"/>
              </w:rPr>
            </w:pPr>
            <w:r w:rsidRPr="00370CE7">
              <w:rPr>
                <w:color w:val="000000" w:themeColor="text1"/>
              </w:rPr>
              <w:t>4.52 (4.39–4.66)</w:t>
            </w:r>
          </w:p>
        </w:tc>
        <w:tc>
          <w:tcPr>
            <w:tcW w:w="1900" w:type="dxa"/>
          </w:tcPr>
          <w:p w14:paraId="07067233" w14:textId="77777777" w:rsidR="00AA707A" w:rsidRPr="00370CE7" w:rsidRDefault="00370CE7" w:rsidP="00370CE7">
            <w:pPr>
              <w:jc w:val="center"/>
              <w:rPr>
                <w:color w:val="000000" w:themeColor="text1"/>
              </w:rPr>
            </w:pPr>
            <w:r w:rsidRPr="00370CE7">
              <w:rPr>
                <w:color w:val="000000" w:themeColor="text1"/>
              </w:rPr>
              <w:t>4.61 (4.48–4.75)</w:t>
            </w:r>
          </w:p>
        </w:tc>
      </w:tr>
      <w:tr w:rsidR="00AA707A" w:rsidRPr="00370CE7" w14:paraId="005BA99A" w14:textId="77777777" w:rsidTr="00370CE7">
        <w:tc>
          <w:tcPr>
            <w:tcW w:w="2400" w:type="dxa"/>
          </w:tcPr>
          <w:p w14:paraId="48590D74" w14:textId="77777777" w:rsidR="00AA707A" w:rsidRPr="00370CE7" w:rsidRDefault="00370CE7" w:rsidP="00370CE7">
            <w:pPr>
              <w:rPr>
                <w:color w:val="000000" w:themeColor="text1"/>
              </w:rPr>
            </w:pPr>
            <w:proofErr w:type="spellStart"/>
            <w:r w:rsidRPr="00370CE7">
              <w:rPr>
                <w:color w:val="000000" w:themeColor="text1"/>
              </w:rPr>
              <w:t>Catla</w:t>
            </w:r>
            <w:proofErr w:type="spellEnd"/>
            <w:r w:rsidRPr="00370CE7">
              <w:rPr>
                <w:color w:val="000000" w:themeColor="text1"/>
              </w:rPr>
              <w:t xml:space="preserve"> </w:t>
            </w:r>
            <w:proofErr w:type="spellStart"/>
            <w:r w:rsidRPr="00370CE7">
              <w:rPr>
                <w:color w:val="000000" w:themeColor="text1"/>
              </w:rPr>
              <w:t>catla</w:t>
            </w:r>
            <w:proofErr w:type="spellEnd"/>
          </w:p>
        </w:tc>
        <w:tc>
          <w:tcPr>
            <w:tcW w:w="1900" w:type="dxa"/>
          </w:tcPr>
          <w:p w14:paraId="1B65EBD7" w14:textId="77777777" w:rsidR="00AA707A" w:rsidRPr="00370CE7" w:rsidRDefault="00370CE7" w:rsidP="00370CE7">
            <w:pPr>
              <w:jc w:val="center"/>
              <w:rPr>
                <w:color w:val="000000" w:themeColor="text1"/>
              </w:rPr>
            </w:pPr>
            <w:r w:rsidRPr="00370CE7">
              <w:rPr>
                <w:color w:val="000000" w:themeColor="text1"/>
              </w:rPr>
              <w:t>4.05 (3.88–4.22)</w:t>
            </w:r>
          </w:p>
        </w:tc>
        <w:tc>
          <w:tcPr>
            <w:tcW w:w="1900" w:type="dxa"/>
          </w:tcPr>
          <w:p w14:paraId="301562A2" w14:textId="77777777" w:rsidR="00AA707A" w:rsidRPr="00370CE7" w:rsidRDefault="00370CE7" w:rsidP="00370CE7">
            <w:pPr>
              <w:jc w:val="center"/>
              <w:rPr>
                <w:color w:val="000000" w:themeColor="text1"/>
              </w:rPr>
            </w:pPr>
            <w:r w:rsidRPr="00370CE7">
              <w:rPr>
                <w:color w:val="000000" w:themeColor="text1"/>
              </w:rPr>
              <w:t>4.19 (4.03–4.36)</w:t>
            </w:r>
          </w:p>
        </w:tc>
        <w:tc>
          <w:tcPr>
            <w:tcW w:w="1900" w:type="dxa"/>
          </w:tcPr>
          <w:p w14:paraId="3F75BE4A" w14:textId="77777777" w:rsidR="00AA707A" w:rsidRPr="00370CE7" w:rsidRDefault="00370CE7" w:rsidP="00370CE7">
            <w:pPr>
              <w:jc w:val="center"/>
              <w:rPr>
                <w:color w:val="000000" w:themeColor="text1"/>
              </w:rPr>
            </w:pPr>
            <w:r w:rsidRPr="00370CE7">
              <w:rPr>
                <w:color w:val="000000" w:themeColor="text1"/>
              </w:rPr>
              <w:t>4.33 (4.18–4.49)</w:t>
            </w:r>
          </w:p>
        </w:tc>
        <w:tc>
          <w:tcPr>
            <w:tcW w:w="1900" w:type="dxa"/>
          </w:tcPr>
          <w:p w14:paraId="2311E3C4" w14:textId="77777777" w:rsidR="00AA707A" w:rsidRPr="00370CE7" w:rsidRDefault="00370CE7" w:rsidP="00370CE7">
            <w:pPr>
              <w:jc w:val="center"/>
              <w:rPr>
                <w:color w:val="000000" w:themeColor="text1"/>
              </w:rPr>
            </w:pPr>
            <w:r w:rsidRPr="00370CE7">
              <w:rPr>
                <w:color w:val="000000" w:themeColor="text1"/>
              </w:rPr>
              <w:t>4.44 (4.29–4.60)</w:t>
            </w:r>
          </w:p>
        </w:tc>
      </w:tr>
      <w:tr w:rsidR="00AA707A" w:rsidRPr="00370CE7" w14:paraId="0DCDA2D7" w14:textId="77777777" w:rsidTr="00370CE7">
        <w:tc>
          <w:tcPr>
            <w:tcW w:w="2400" w:type="dxa"/>
          </w:tcPr>
          <w:p w14:paraId="578632CA" w14:textId="77777777" w:rsidR="00AA707A" w:rsidRPr="00370CE7" w:rsidRDefault="00370CE7" w:rsidP="00370CE7">
            <w:pPr>
              <w:rPr>
                <w:color w:val="000000" w:themeColor="text1"/>
              </w:rPr>
            </w:pPr>
            <w:r w:rsidRPr="00370CE7">
              <w:rPr>
                <w:color w:val="000000" w:themeColor="text1"/>
              </w:rPr>
              <w:t>Cyprinus carpio</w:t>
            </w:r>
          </w:p>
        </w:tc>
        <w:tc>
          <w:tcPr>
            <w:tcW w:w="1900" w:type="dxa"/>
          </w:tcPr>
          <w:p w14:paraId="525751EA" w14:textId="77777777" w:rsidR="00AA707A" w:rsidRPr="00370CE7" w:rsidRDefault="00370CE7" w:rsidP="00370CE7">
            <w:pPr>
              <w:jc w:val="center"/>
              <w:rPr>
                <w:color w:val="000000" w:themeColor="text1"/>
              </w:rPr>
            </w:pPr>
            <w:r w:rsidRPr="00370CE7">
              <w:rPr>
                <w:color w:val="000000" w:themeColor="text1"/>
              </w:rPr>
              <w:t>3.84 (3.66–4.02)</w:t>
            </w:r>
          </w:p>
        </w:tc>
        <w:tc>
          <w:tcPr>
            <w:tcW w:w="1900" w:type="dxa"/>
          </w:tcPr>
          <w:p w14:paraId="7AEE60C3" w14:textId="77777777" w:rsidR="00AA707A" w:rsidRPr="00370CE7" w:rsidRDefault="00370CE7" w:rsidP="00370CE7">
            <w:pPr>
              <w:jc w:val="center"/>
              <w:rPr>
                <w:color w:val="000000" w:themeColor="text1"/>
              </w:rPr>
            </w:pPr>
            <w:r w:rsidRPr="00370CE7">
              <w:rPr>
                <w:color w:val="000000" w:themeColor="text1"/>
              </w:rPr>
              <w:t>3.97 (3.80–4.15)</w:t>
            </w:r>
          </w:p>
        </w:tc>
        <w:tc>
          <w:tcPr>
            <w:tcW w:w="1900" w:type="dxa"/>
          </w:tcPr>
          <w:p w14:paraId="2603021E" w14:textId="77777777" w:rsidR="00AA707A" w:rsidRPr="00370CE7" w:rsidRDefault="00370CE7" w:rsidP="00370CE7">
            <w:pPr>
              <w:jc w:val="center"/>
              <w:rPr>
                <w:color w:val="000000" w:themeColor="text1"/>
              </w:rPr>
            </w:pPr>
            <w:r w:rsidRPr="00370CE7">
              <w:rPr>
                <w:color w:val="000000" w:themeColor="text1"/>
              </w:rPr>
              <w:t>4.10 (3.93–4.28)</w:t>
            </w:r>
          </w:p>
        </w:tc>
        <w:tc>
          <w:tcPr>
            <w:tcW w:w="1900" w:type="dxa"/>
          </w:tcPr>
          <w:p w14:paraId="5C74F451" w14:textId="77777777" w:rsidR="00AA707A" w:rsidRPr="00370CE7" w:rsidRDefault="00370CE7" w:rsidP="00370CE7">
            <w:pPr>
              <w:jc w:val="center"/>
              <w:rPr>
                <w:color w:val="000000" w:themeColor="text1"/>
              </w:rPr>
            </w:pPr>
            <w:r w:rsidRPr="00370CE7">
              <w:rPr>
                <w:color w:val="000000" w:themeColor="text1"/>
              </w:rPr>
              <w:t>4.22 (4.05–4.40)</w:t>
            </w:r>
          </w:p>
        </w:tc>
      </w:tr>
    </w:tbl>
    <w:p w14:paraId="24ECDCA9" w14:textId="77777777" w:rsidR="00AA707A" w:rsidRPr="00370CE7" w:rsidRDefault="00370CE7" w:rsidP="00370CE7">
      <w:pPr>
        <w:rPr>
          <w:color w:val="000000" w:themeColor="text1"/>
        </w:rPr>
      </w:pPr>
      <w:r w:rsidRPr="00370CE7">
        <w:rPr>
          <w:b/>
          <w:bCs/>
          <w:color w:val="000000" w:themeColor="text1"/>
          <w:sz w:val="22"/>
          <w:szCs w:val="22"/>
        </w:rPr>
        <w:t>Table 3. Alkaline-side median lethal pH (LC50) values with 95% confidence limits for three freshwater fish species.</w:t>
      </w:r>
    </w:p>
    <w:tbl>
      <w:tblPr>
        <w:tblStyle w:val="TableGrid"/>
        <w:tblW w:w="10000" w:type="dxa"/>
        <w:tblLook w:val="04A0" w:firstRow="1" w:lastRow="0" w:firstColumn="1" w:lastColumn="0" w:noHBand="0" w:noVBand="1"/>
      </w:tblPr>
      <w:tblGrid>
        <w:gridCol w:w="2400"/>
        <w:gridCol w:w="1900"/>
        <w:gridCol w:w="1900"/>
        <w:gridCol w:w="1900"/>
        <w:gridCol w:w="1900"/>
      </w:tblGrid>
      <w:tr w:rsidR="00AA707A" w:rsidRPr="00370CE7" w14:paraId="1EDB9385" w14:textId="77777777" w:rsidTr="00370CE7">
        <w:tc>
          <w:tcPr>
            <w:tcW w:w="2400" w:type="dxa"/>
          </w:tcPr>
          <w:p w14:paraId="2DDA0EF8" w14:textId="77777777" w:rsidR="00AA707A" w:rsidRPr="00370CE7" w:rsidRDefault="00370CE7" w:rsidP="00370CE7">
            <w:pPr>
              <w:jc w:val="center"/>
              <w:rPr>
                <w:color w:val="000000" w:themeColor="text1"/>
              </w:rPr>
            </w:pPr>
            <w:r w:rsidRPr="00370CE7">
              <w:rPr>
                <w:b/>
                <w:bCs/>
                <w:color w:val="000000" w:themeColor="text1"/>
              </w:rPr>
              <w:t>Species</w:t>
            </w:r>
          </w:p>
        </w:tc>
        <w:tc>
          <w:tcPr>
            <w:tcW w:w="1900" w:type="dxa"/>
          </w:tcPr>
          <w:p w14:paraId="217D1630" w14:textId="77777777" w:rsidR="00AA707A" w:rsidRPr="00370CE7" w:rsidRDefault="00370CE7" w:rsidP="00370CE7">
            <w:pPr>
              <w:jc w:val="center"/>
              <w:rPr>
                <w:color w:val="000000" w:themeColor="text1"/>
              </w:rPr>
            </w:pPr>
            <w:r w:rsidRPr="00370CE7">
              <w:rPr>
                <w:b/>
                <w:bCs/>
                <w:color w:val="000000" w:themeColor="text1"/>
              </w:rPr>
              <w:t>24-h LC50</w:t>
            </w:r>
          </w:p>
        </w:tc>
        <w:tc>
          <w:tcPr>
            <w:tcW w:w="1900" w:type="dxa"/>
          </w:tcPr>
          <w:p w14:paraId="56C8FDF6" w14:textId="77777777" w:rsidR="00AA707A" w:rsidRPr="00370CE7" w:rsidRDefault="00370CE7" w:rsidP="00370CE7">
            <w:pPr>
              <w:jc w:val="center"/>
              <w:rPr>
                <w:color w:val="000000" w:themeColor="text1"/>
              </w:rPr>
            </w:pPr>
            <w:r w:rsidRPr="00370CE7">
              <w:rPr>
                <w:b/>
                <w:bCs/>
                <w:color w:val="000000" w:themeColor="text1"/>
              </w:rPr>
              <w:t>48-h LC50</w:t>
            </w:r>
          </w:p>
        </w:tc>
        <w:tc>
          <w:tcPr>
            <w:tcW w:w="1900" w:type="dxa"/>
          </w:tcPr>
          <w:p w14:paraId="77C3ADFD" w14:textId="77777777" w:rsidR="00AA707A" w:rsidRPr="00370CE7" w:rsidRDefault="00370CE7" w:rsidP="00370CE7">
            <w:pPr>
              <w:jc w:val="center"/>
              <w:rPr>
                <w:color w:val="000000" w:themeColor="text1"/>
              </w:rPr>
            </w:pPr>
            <w:r w:rsidRPr="00370CE7">
              <w:rPr>
                <w:b/>
                <w:bCs/>
                <w:color w:val="000000" w:themeColor="text1"/>
              </w:rPr>
              <w:t>72-h LC50</w:t>
            </w:r>
          </w:p>
        </w:tc>
        <w:tc>
          <w:tcPr>
            <w:tcW w:w="1900" w:type="dxa"/>
          </w:tcPr>
          <w:p w14:paraId="28F6CB22" w14:textId="77777777" w:rsidR="00AA707A" w:rsidRPr="00370CE7" w:rsidRDefault="00370CE7" w:rsidP="00370CE7">
            <w:pPr>
              <w:jc w:val="center"/>
              <w:rPr>
                <w:color w:val="000000" w:themeColor="text1"/>
              </w:rPr>
            </w:pPr>
            <w:r w:rsidRPr="00370CE7">
              <w:rPr>
                <w:b/>
                <w:bCs/>
                <w:color w:val="000000" w:themeColor="text1"/>
              </w:rPr>
              <w:t>96-h LC50</w:t>
            </w:r>
          </w:p>
        </w:tc>
      </w:tr>
      <w:tr w:rsidR="00AA707A" w:rsidRPr="00370CE7" w14:paraId="659AE8DD" w14:textId="77777777" w:rsidTr="00370CE7">
        <w:tc>
          <w:tcPr>
            <w:tcW w:w="2400" w:type="dxa"/>
          </w:tcPr>
          <w:p w14:paraId="68B729AF" w14:textId="77777777" w:rsidR="00AA707A" w:rsidRPr="00370CE7" w:rsidRDefault="00370CE7" w:rsidP="00370CE7">
            <w:pPr>
              <w:rPr>
                <w:color w:val="000000" w:themeColor="text1"/>
              </w:rPr>
            </w:pPr>
            <w:proofErr w:type="spellStart"/>
            <w:r w:rsidRPr="00370CE7">
              <w:rPr>
                <w:color w:val="000000" w:themeColor="text1"/>
              </w:rPr>
              <w:t>Labeo</w:t>
            </w:r>
            <w:proofErr w:type="spellEnd"/>
            <w:r w:rsidRPr="00370CE7">
              <w:rPr>
                <w:color w:val="000000" w:themeColor="text1"/>
              </w:rPr>
              <w:t xml:space="preserve"> </w:t>
            </w:r>
            <w:proofErr w:type="spellStart"/>
            <w:r w:rsidRPr="00370CE7">
              <w:rPr>
                <w:color w:val="000000" w:themeColor="text1"/>
              </w:rPr>
              <w:t>rohita</w:t>
            </w:r>
            <w:proofErr w:type="spellEnd"/>
          </w:p>
        </w:tc>
        <w:tc>
          <w:tcPr>
            <w:tcW w:w="1900" w:type="dxa"/>
          </w:tcPr>
          <w:p w14:paraId="55C70CA5" w14:textId="77777777" w:rsidR="00AA707A" w:rsidRPr="00370CE7" w:rsidRDefault="00370CE7" w:rsidP="00370CE7">
            <w:pPr>
              <w:jc w:val="center"/>
              <w:rPr>
                <w:color w:val="000000" w:themeColor="text1"/>
              </w:rPr>
            </w:pPr>
            <w:r w:rsidRPr="00370CE7">
              <w:rPr>
                <w:color w:val="000000" w:themeColor="text1"/>
              </w:rPr>
              <w:t>10.42 (10.24–10.60)</w:t>
            </w:r>
          </w:p>
        </w:tc>
        <w:tc>
          <w:tcPr>
            <w:tcW w:w="1900" w:type="dxa"/>
          </w:tcPr>
          <w:p w14:paraId="503CE943" w14:textId="77777777" w:rsidR="00AA707A" w:rsidRPr="00370CE7" w:rsidRDefault="00370CE7" w:rsidP="00370CE7">
            <w:pPr>
              <w:jc w:val="center"/>
              <w:rPr>
                <w:color w:val="000000" w:themeColor="text1"/>
              </w:rPr>
            </w:pPr>
            <w:r w:rsidRPr="00370CE7">
              <w:rPr>
                <w:color w:val="000000" w:themeColor="text1"/>
              </w:rPr>
              <w:t>10.28 (10.11–10.45)</w:t>
            </w:r>
          </w:p>
        </w:tc>
        <w:tc>
          <w:tcPr>
            <w:tcW w:w="1900" w:type="dxa"/>
          </w:tcPr>
          <w:p w14:paraId="4BCD8894" w14:textId="77777777" w:rsidR="00AA707A" w:rsidRPr="00370CE7" w:rsidRDefault="00370CE7" w:rsidP="00370CE7">
            <w:pPr>
              <w:jc w:val="center"/>
              <w:rPr>
                <w:color w:val="000000" w:themeColor="text1"/>
              </w:rPr>
            </w:pPr>
            <w:r w:rsidRPr="00370CE7">
              <w:rPr>
                <w:color w:val="000000" w:themeColor="text1"/>
              </w:rPr>
              <w:t>10.15 (9.98–10.32)</w:t>
            </w:r>
          </w:p>
        </w:tc>
        <w:tc>
          <w:tcPr>
            <w:tcW w:w="1900" w:type="dxa"/>
          </w:tcPr>
          <w:p w14:paraId="26FD7C6B" w14:textId="77777777" w:rsidR="00AA707A" w:rsidRPr="00370CE7" w:rsidRDefault="00370CE7" w:rsidP="00370CE7">
            <w:pPr>
              <w:jc w:val="center"/>
              <w:rPr>
                <w:color w:val="000000" w:themeColor="text1"/>
              </w:rPr>
            </w:pPr>
            <w:r w:rsidRPr="00370CE7">
              <w:rPr>
                <w:color w:val="000000" w:themeColor="text1"/>
              </w:rPr>
              <w:t>10.03 (9.86–10.20)</w:t>
            </w:r>
          </w:p>
        </w:tc>
      </w:tr>
      <w:tr w:rsidR="00AA707A" w:rsidRPr="00370CE7" w14:paraId="36CC3727" w14:textId="77777777" w:rsidTr="00370CE7">
        <w:tc>
          <w:tcPr>
            <w:tcW w:w="2400" w:type="dxa"/>
          </w:tcPr>
          <w:p w14:paraId="02E457E1" w14:textId="77777777" w:rsidR="00AA707A" w:rsidRPr="00370CE7" w:rsidRDefault="00370CE7" w:rsidP="00370CE7">
            <w:pPr>
              <w:rPr>
                <w:color w:val="000000" w:themeColor="text1"/>
              </w:rPr>
            </w:pPr>
            <w:proofErr w:type="spellStart"/>
            <w:r w:rsidRPr="00370CE7">
              <w:rPr>
                <w:color w:val="000000" w:themeColor="text1"/>
              </w:rPr>
              <w:t>Catla</w:t>
            </w:r>
            <w:proofErr w:type="spellEnd"/>
            <w:r w:rsidRPr="00370CE7">
              <w:rPr>
                <w:color w:val="000000" w:themeColor="text1"/>
              </w:rPr>
              <w:t xml:space="preserve"> </w:t>
            </w:r>
            <w:proofErr w:type="spellStart"/>
            <w:r w:rsidRPr="00370CE7">
              <w:rPr>
                <w:color w:val="000000" w:themeColor="text1"/>
              </w:rPr>
              <w:t>catla</w:t>
            </w:r>
            <w:proofErr w:type="spellEnd"/>
          </w:p>
        </w:tc>
        <w:tc>
          <w:tcPr>
            <w:tcW w:w="1900" w:type="dxa"/>
          </w:tcPr>
          <w:p w14:paraId="0D0C144E" w14:textId="77777777" w:rsidR="00AA707A" w:rsidRPr="00370CE7" w:rsidRDefault="00370CE7" w:rsidP="00370CE7">
            <w:pPr>
              <w:jc w:val="center"/>
              <w:rPr>
                <w:color w:val="000000" w:themeColor="text1"/>
              </w:rPr>
            </w:pPr>
            <w:r w:rsidRPr="00370CE7">
              <w:rPr>
                <w:color w:val="000000" w:themeColor="text1"/>
              </w:rPr>
              <w:t>10.31 (10.12–10.50)</w:t>
            </w:r>
          </w:p>
        </w:tc>
        <w:tc>
          <w:tcPr>
            <w:tcW w:w="1900" w:type="dxa"/>
          </w:tcPr>
          <w:p w14:paraId="2373A558" w14:textId="77777777" w:rsidR="00AA707A" w:rsidRPr="00370CE7" w:rsidRDefault="00370CE7" w:rsidP="00370CE7">
            <w:pPr>
              <w:jc w:val="center"/>
              <w:rPr>
                <w:color w:val="000000" w:themeColor="text1"/>
              </w:rPr>
            </w:pPr>
            <w:r w:rsidRPr="00370CE7">
              <w:rPr>
                <w:color w:val="000000" w:themeColor="text1"/>
              </w:rPr>
              <w:t>10.16 (9.98–10.34)</w:t>
            </w:r>
          </w:p>
        </w:tc>
        <w:tc>
          <w:tcPr>
            <w:tcW w:w="1900" w:type="dxa"/>
          </w:tcPr>
          <w:p w14:paraId="269AE37F" w14:textId="77777777" w:rsidR="00AA707A" w:rsidRPr="00370CE7" w:rsidRDefault="00370CE7" w:rsidP="00370CE7">
            <w:pPr>
              <w:jc w:val="center"/>
              <w:rPr>
                <w:color w:val="000000" w:themeColor="text1"/>
              </w:rPr>
            </w:pPr>
            <w:r w:rsidRPr="00370CE7">
              <w:rPr>
                <w:color w:val="000000" w:themeColor="text1"/>
              </w:rPr>
              <w:t>10.02 (9.85–10.20)</w:t>
            </w:r>
          </w:p>
        </w:tc>
        <w:tc>
          <w:tcPr>
            <w:tcW w:w="1900" w:type="dxa"/>
          </w:tcPr>
          <w:p w14:paraId="1F16551F" w14:textId="77777777" w:rsidR="00AA707A" w:rsidRPr="00370CE7" w:rsidRDefault="00370CE7" w:rsidP="00370CE7">
            <w:pPr>
              <w:jc w:val="center"/>
              <w:rPr>
                <w:color w:val="000000" w:themeColor="text1"/>
              </w:rPr>
            </w:pPr>
            <w:r w:rsidRPr="00370CE7">
              <w:rPr>
                <w:color w:val="000000" w:themeColor="text1"/>
              </w:rPr>
              <w:t>9.90 (9.72–10.08)</w:t>
            </w:r>
          </w:p>
        </w:tc>
      </w:tr>
      <w:tr w:rsidR="00AA707A" w:rsidRPr="00370CE7" w14:paraId="7642EAB0" w14:textId="77777777" w:rsidTr="00370CE7">
        <w:tc>
          <w:tcPr>
            <w:tcW w:w="2400" w:type="dxa"/>
          </w:tcPr>
          <w:p w14:paraId="536CADCB" w14:textId="77777777" w:rsidR="00AA707A" w:rsidRPr="00370CE7" w:rsidRDefault="00370CE7" w:rsidP="00370CE7">
            <w:pPr>
              <w:rPr>
                <w:color w:val="000000" w:themeColor="text1"/>
              </w:rPr>
            </w:pPr>
            <w:r w:rsidRPr="00370CE7">
              <w:rPr>
                <w:color w:val="000000" w:themeColor="text1"/>
              </w:rPr>
              <w:t>Cyprinus carpio</w:t>
            </w:r>
          </w:p>
        </w:tc>
        <w:tc>
          <w:tcPr>
            <w:tcW w:w="1900" w:type="dxa"/>
          </w:tcPr>
          <w:p w14:paraId="0B542602" w14:textId="77777777" w:rsidR="00AA707A" w:rsidRPr="00370CE7" w:rsidRDefault="00370CE7" w:rsidP="00370CE7">
            <w:pPr>
              <w:jc w:val="center"/>
              <w:rPr>
                <w:color w:val="000000" w:themeColor="text1"/>
              </w:rPr>
            </w:pPr>
            <w:r w:rsidRPr="00370CE7">
              <w:rPr>
                <w:color w:val="000000" w:themeColor="text1"/>
              </w:rPr>
              <w:t>10.58 (10.39–10.77)</w:t>
            </w:r>
          </w:p>
        </w:tc>
        <w:tc>
          <w:tcPr>
            <w:tcW w:w="1900" w:type="dxa"/>
          </w:tcPr>
          <w:p w14:paraId="3642C55D" w14:textId="77777777" w:rsidR="00AA707A" w:rsidRPr="00370CE7" w:rsidRDefault="00370CE7" w:rsidP="00370CE7">
            <w:pPr>
              <w:jc w:val="center"/>
              <w:rPr>
                <w:color w:val="000000" w:themeColor="text1"/>
              </w:rPr>
            </w:pPr>
            <w:r w:rsidRPr="00370CE7">
              <w:rPr>
                <w:color w:val="000000" w:themeColor="text1"/>
              </w:rPr>
              <w:t>10.46 (10.28–10.64)</w:t>
            </w:r>
          </w:p>
        </w:tc>
        <w:tc>
          <w:tcPr>
            <w:tcW w:w="1900" w:type="dxa"/>
          </w:tcPr>
          <w:p w14:paraId="3A9A41D3" w14:textId="77777777" w:rsidR="00AA707A" w:rsidRPr="00370CE7" w:rsidRDefault="00370CE7" w:rsidP="00370CE7">
            <w:pPr>
              <w:jc w:val="center"/>
              <w:rPr>
                <w:color w:val="000000" w:themeColor="text1"/>
              </w:rPr>
            </w:pPr>
            <w:r w:rsidRPr="00370CE7">
              <w:rPr>
                <w:color w:val="000000" w:themeColor="text1"/>
              </w:rPr>
              <w:t>10.34 (10.16–10.52)</w:t>
            </w:r>
          </w:p>
        </w:tc>
        <w:tc>
          <w:tcPr>
            <w:tcW w:w="1900" w:type="dxa"/>
          </w:tcPr>
          <w:p w14:paraId="4ADC089A" w14:textId="77777777" w:rsidR="00AA707A" w:rsidRPr="00370CE7" w:rsidRDefault="00370CE7" w:rsidP="00370CE7">
            <w:pPr>
              <w:jc w:val="center"/>
              <w:rPr>
                <w:color w:val="000000" w:themeColor="text1"/>
              </w:rPr>
            </w:pPr>
            <w:r w:rsidRPr="00370CE7">
              <w:rPr>
                <w:color w:val="000000" w:themeColor="text1"/>
              </w:rPr>
              <w:t>10.24 (10.06–10.42)</w:t>
            </w:r>
          </w:p>
        </w:tc>
      </w:tr>
    </w:tbl>
    <w:p w14:paraId="00324D9D" w14:textId="77777777" w:rsidR="00AA707A" w:rsidRPr="00370CE7" w:rsidRDefault="00370CE7" w:rsidP="00370CE7">
      <w:pPr>
        <w:jc w:val="center"/>
        <w:rPr>
          <w:color w:val="000000" w:themeColor="text1"/>
        </w:rPr>
      </w:pPr>
      <w:r w:rsidRPr="00370CE7">
        <w:rPr>
          <w:i/>
          <w:iCs/>
          <w:color w:val="000000" w:themeColor="text1"/>
        </w:rPr>
        <w:t>Values in parentheses denote 95% fiducial confidence limits derived from probit regression.</w:t>
      </w:r>
    </w:p>
    <w:p w14:paraId="24D83443" w14:textId="77777777" w:rsidR="00AA707A" w:rsidRPr="00370CE7" w:rsidRDefault="00370CE7" w:rsidP="00370CE7">
      <w:pPr>
        <w:spacing w:line="360" w:lineRule="auto"/>
        <w:jc w:val="both"/>
        <w:rPr>
          <w:color w:val="000000" w:themeColor="text1"/>
        </w:rPr>
      </w:pPr>
      <w:r w:rsidRPr="00370CE7">
        <w:rPr>
          <w:color w:val="000000" w:themeColor="text1"/>
          <w:sz w:val="24"/>
          <w:szCs w:val="24"/>
        </w:rPr>
        <w:t>Across all three species, the LC50 values on both the acidic and alkaline sides showed a progressive narrowing of the confidence interval and a shift toward the population's central tolerance value with increasing exposure duration, reflecting the cumulative nature of pH-induced mortality. The acid-side LC50 declined by approximately 0.35–0.40 pH units between the 24-h and 96-h assessment points across species, while the alkaline-side LC50 declined by a comparatively smaller 0.34–0.39 units over the same interval, indicating a slightly steeper time-</w:t>
      </w:r>
      <w:r w:rsidRPr="00370CE7">
        <w:rPr>
          <w:color w:val="000000" w:themeColor="text1"/>
          <w:sz w:val="24"/>
          <w:szCs w:val="24"/>
        </w:rPr>
        <w:lastRenderedPageBreak/>
        <w:t>dependent sensitization to acidic relative to alkaline stress. Based on the 96-h LC50 values, the sublethal exposure concentrations for the chronic phase of the study (pH 5.5 and pH 9.5) were selected to represent approximately 65–70% of the respective lethal thresholds, ensuring that fish remained viable for the full 60-day observation period while still exhibiting measurable physiological stress.</w:t>
      </w:r>
    </w:p>
    <w:p w14:paraId="1559B8F9" w14:textId="77777777" w:rsidR="00AA707A" w:rsidRPr="00370CE7" w:rsidRDefault="00370CE7" w:rsidP="00370CE7">
      <w:pPr>
        <w:spacing w:line="360" w:lineRule="auto"/>
        <w:jc w:val="both"/>
        <w:rPr>
          <w:color w:val="000000" w:themeColor="text1"/>
        </w:rPr>
      </w:pPr>
      <w:r w:rsidRPr="00370CE7">
        <w:rPr>
          <w:color w:val="000000" w:themeColor="text1"/>
          <w:sz w:val="24"/>
          <w:szCs w:val="24"/>
        </w:rPr>
        <w:t xml:space="preserve">Probit regression models fitted to the mortality–pH relationship yielded high goodness-of-fit across all species and durations (chi-square heterogeneity test, p &gt; 0.05 in all cases, indicating no significant departure from the probit model), with slope values ranging from 4.8 to 6.3 on the acidic side and 5.1 to 6.7 on the alkaline side. Steeper probit slopes observed on the alkaline side, particularly for Cyprinus carpio, suggest a comparatively narrower range of individual variation in tolerance to high pH relative to low pH within this species, whereas the shallower acid-side slopes observed for </w:t>
      </w:r>
      <w:proofErr w:type="spellStart"/>
      <w:r w:rsidRPr="00370CE7">
        <w:rPr>
          <w:color w:val="000000" w:themeColor="text1"/>
          <w:sz w:val="24"/>
          <w:szCs w:val="24"/>
        </w:rPr>
        <w:t>Catla</w:t>
      </w:r>
      <w:proofErr w:type="spellEnd"/>
      <w:r w:rsidRPr="00370CE7">
        <w:rPr>
          <w:color w:val="000000" w:themeColor="text1"/>
          <w:sz w:val="24"/>
          <w:szCs w:val="24"/>
        </w:rPr>
        <w:t xml:space="preserve"> </w:t>
      </w:r>
      <w:proofErr w:type="spellStart"/>
      <w:r w:rsidRPr="00370CE7">
        <w:rPr>
          <w:color w:val="000000" w:themeColor="text1"/>
          <w:sz w:val="24"/>
          <w:szCs w:val="24"/>
        </w:rPr>
        <w:t>catla</w:t>
      </w:r>
      <w:proofErr w:type="spellEnd"/>
      <w:r w:rsidRPr="00370CE7">
        <w:rPr>
          <w:color w:val="000000" w:themeColor="text1"/>
          <w:sz w:val="24"/>
          <w:szCs w:val="24"/>
        </w:rPr>
        <w:t xml:space="preserve"> indicate greater inter-individual heterogeneity in acid tolerance within this population. No significant difference in LC50 values was observed between male and female fish of comparable size class for any species or duration (independent samples t-test, p &gt; 0.05 in all comparisons), and consequently sex was not retained as a covariate in subsequent analyses.</w:t>
      </w:r>
    </w:p>
    <w:p w14:paraId="2E19E706" w14:textId="77777777" w:rsidR="00AA707A" w:rsidRPr="00370CE7" w:rsidRDefault="00370CE7" w:rsidP="00370CE7">
      <w:pPr>
        <w:pStyle w:val="Heading2"/>
        <w:rPr>
          <w:color w:val="000000" w:themeColor="text1"/>
        </w:rPr>
      </w:pPr>
      <w:r w:rsidRPr="00370CE7">
        <w:rPr>
          <w:b/>
          <w:bCs/>
          <w:color w:val="000000" w:themeColor="text1"/>
        </w:rPr>
        <w:t>3.3 Hematological Responses to Sublethal pH Exposure</w:t>
      </w:r>
    </w:p>
    <w:p w14:paraId="32C09E5B" w14:textId="77777777" w:rsidR="00AA707A" w:rsidRPr="00370CE7" w:rsidRDefault="00370CE7" w:rsidP="00370CE7">
      <w:pPr>
        <w:spacing w:line="360" w:lineRule="auto"/>
        <w:jc w:val="both"/>
        <w:rPr>
          <w:color w:val="000000" w:themeColor="text1"/>
        </w:rPr>
      </w:pPr>
      <w:r w:rsidRPr="00370CE7">
        <w:rPr>
          <w:color w:val="000000" w:themeColor="text1"/>
          <w:sz w:val="24"/>
          <w:szCs w:val="24"/>
        </w:rPr>
        <w:t xml:space="preserve">Sublethal exposure to both acidic and alkaline pH produced significant, time-progressive alterations in the hematological profile of all three species relative to controls, with </w:t>
      </w:r>
      <w:proofErr w:type="spellStart"/>
      <w:r w:rsidRPr="00370CE7">
        <w:rPr>
          <w:color w:val="000000" w:themeColor="text1"/>
          <w:sz w:val="24"/>
          <w:szCs w:val="24"/>
        </w:rPr>
        <w:t>Labeo</w:t>
      </w:r>
      <w:proofErr w:type="spellEnd"/>
      <w:r w:rsidRPr="00370CE7">
        <w:rPr>
          <w:color w:val="000000" w:themeColor="text1"/>
          <w:sz w:val="24"/>
          <w:szCs w:val="24"/>
        </w:rPr>
        <w:t xml:space="preserve"> </w:t>
      </w:r>
      <w:proofErr w:type="spellStart"/>
      <w:r w:rsidRPr="00370CE7">
        <w:rPr>
          <w:color w:val="000000" w:themeColor="text1"/>
          <w:sz w:val="24"/>
          <w:szCs w:val="24"/>
        </w:rPr>
        <w:t>rohita</w:t>
      </w:r>
      <w:proofErr w:type="spellEnd"/>
      <w:r w:rsidRPr="00370CE7">
        <w:rPr>
          <w:color w:val="000000" w:themeColor="text1"/>
          <w:sz w:val="24"/>
          <w:szCs w:val="24"/>
        </w:rPr>
        <w:t xml:space="preserve"> presented here as the representative species (Table 4); </w:t>
      </w:r>
      <w:proofErr w:type="spellStart"/>
      <w:r w:rsidRPr="00370CE7">
        <w:rPr>
          <w:color w:val="000000" w:themeColor="text1"/>
          <w:sz w:val="24"/>
          <w:szCs w:val="24"/>
        </w:rPr>
        <w:t>Catla</w:t>
      </w:r>
      <w:proofErr w:type="spellEnd"/>
      <w:r w:rsidRPr="00370CE7">
        <w:rPr>
          <w:color w:val="000000" w:themeColor="text1"/>
          <w:sz w:val="24"/>
          <w:szCs w:val="24"/>
        </w:rPr>
        <w:t xml:space="preserve"> </w:t>
      </w:r>
      <w:proofErr w:type="spellStart"/>
      <w:r w:rsidRPr="00370CE7">
        <w:rPr>
          <w:color w:val="000000" w:themeColor="text1"/>
          <w:sz w:val="24"/>
          <w:szCs w:val="24"/>
        </w:rPr>
        <w:t>catla</w:t>
      </w:r>
      <w:proofErr w:type="spellEnd"/>
      <w:r w:rsidRPr="00370CE7">
        <w:rPr>
          <w:color w:val="000000" w:themeColor="text1"/>
          <w:sz w:val="24"/>
          <w:szCs w:val="24"/>
        </w:rPr>
        <w:t xml:space="preserve"> and Cyprinus carpio displayed qualitatively similar trends, with Cyprinus carpio showing comparatively attenuated magnitude of change, consistent with its greater tolerance observed in the acute bioassays.</w:t>
      </w:r>
    </w:p>
    <w:p w14:paraId="2287E659" w14:textId="77777777" w:rsidR="00AA707A" w:rsidRPr="00370CE7" w:rsidRDefault="00370CE7" w:rsidP="00370CE7">
      <w:pPr>
        <w:spacing w:line="360" w:lineRule="auto"/>
        <w:jc w:val="both"/>
        <w:rPr>
          <w:color w:val="000000" w:themeColor="text1"/>
        </w:rPr>
      </w:pPr>
      <w:r w:rsidRPr="00370CE7">
        <w:rPr>
          <w:color w:val="000000" w:themeColor="text1"/>
          <w:sz w:val="24"/>
          <w:szCs w:val="24"/>
        </w:rPr>
        <w:t xml:space="preserve">Red blood cell (RBC) count, hemoglobin (Hb) concentration, and hematocrit (Hct/PCV) all declined significantly in both acidic and alkaline treatment groups relative to controls at every sampling interval, with the magnitude of reduction increasing progressively from day 15 to day 60. The acidic treatment produced a somewhat greater depression of erythrocyte parameters than the alkaline treatment at the 60-day interval, consistent with direct </w:t>
      </w:r>
      <w:proofErr w:type="spellStart"/>
      <w:r w:rsidRPr="00370CE7">
        <w:rPr>
          <w:color w:val="000000" w:themeColor="text1"/>
          <w:sz w:val="24"/>
          <w:szCs w:val="24"/>
        </w:rPr>
        <w:t>ionoregulatory</w:t>
      </w:r>
      <w:proofErr w:type="spellEnd"/>
      <w:r w:rsidRPr="00370CE7">
        <w:rPr>
          <w:color w:val="000000" w:themeColor="text1"/>
          <w:sz w:val="24"/>
          <w:szCs w:val="24"/>
        </w:rPr>
        <w:t xml:space="preserve"> and osmotic disruption at the gill surface under low pH conditions. In contrast, total white blood cell (WBC) count increased significantly in both treatment groups relative to controls, indicating an active immune and stress-leukocytosis response; this elevation was most pronounced in the alkaline </w:t>
      </w:r>
      <w:r w:rsidRPr="00370CE7">
        <w:rPr>
          <w:color w:val="000000" w:themeColor="text1"/>
          <w:sz w:val="24"/>
          <w:szCs w:val="24"/>
        </w:rPr>
        <w:lastRenderedPageBreak/>
        <w:t>treatment at day 60, plausibly linked to the additional physiological burden imposed by elevated un-ionized ammonia under high-pH conditions.</w:t>
      </w:r>
    </w:p>
    <w:p w14:paraId="529C9D47" w14:textId="77777777" w:rsidR="00AA707A" w:rsidRPr="00370CE7" w:rsidRDefault="00370CE7" w:rsidP="00370CE7">
      <w:pPr>
        <w:spacing w:line="360" w:lineRule="auto"/>
        <w:jc w:val="both"/>
        <w:rPr>
          <w:color w:val="000000" w:themeColor="text1"/>
        </w:rPr>
      </w:pPr>
      <w:r w:rsidRPr="00370CE7">
        <w:rPr>
          <w:color w:val="000000" w:themeColor="text1"/>
          <w:sz w:val="24"/>
          <w:szCs w:val="24"/>
        </w:rPr>
        <w:t xml:space="preserve">Comparative analysis across species indicated that the relative magnitude of hematological suppression closely paralleled the acute toxicity rankings established in Section 3.2. At day 60 of acidic exposure, the percentage reduction in hemoglobin relative to control was greatest in </w:t>
      </w:r>
      <w:proofErr w:type="spellStart"/>
      <w:r w:rsidRPr="00370CE7">
        <w:rPr>
          <w:color w:val="000000" w:themeColor="text1"/>
          <w:sz w:val="24"/>
          <w:szCs w:val="24"/>
        </w:rPr>
        <w:t>Catla</w:t>
      </w:r>
      <w:proofErr w:type="spellEnd"/>
      <w:r w:rsidRPr="00370CE7">
        <w:rPr>
          <w:color w:val="000000" w:themeColor="text1"/>
          <w:sz w:val="24"/>
          <w:szCs w:val="24"/>
        </w:rPr>
        <w:t xml:space="preserve"> </w:t>
      </w:r>
      <w:proofErr w:type="spellStart"/>
      <w:r w:rsidRPr="00370CE7">
        <w:rPr>
          <w:color w:val="000000" w:themeColor="text1"/>
          <w:sz w:val="24"/>
          <w:szCs w:val="24"/>
        </w:rPr>
        <w:t>catla</w:t>
      </w:r>
      <w:proofErr w:type="spellEnd"/>
      <w:r w:rsidRPr="00370CE7">
        <w:rPr>
          <w:color w:val="000000" w:themeColor="text1"/>
          <w:sz w:val="24"/>
          <w:szCs w:val="24"/>
        </w:rPr>
        <w:t xml:space="preserve"> (approximately 34%), intermediate in </w:t>
      </w:r>
      <w:proofErr w:type="spellStart"/>
      <w:r w:rsidRPr="00370CE7">
        <w:rPr>
          <w:color w:val="000000" w:themeColor="text1"/>
          <w:sz w:val="24"/>
          <w:szCs w:val="24"/>
        </w:rPr>
        <w:t>Labeo</w:t>
      </w:r>
      <w:proofErr w:type="spellEnd"/>
      <w:r w:rsidRPr="00370CE7">
        <w:rPr>
          <w:color w:val="000000" w:themeColor="text1"/>
          <w:sz w:val="24"/>
          <w:szCs w:val="24"/>
        </w:rPr>
        <w:t xml:space="preserve"> </w:t>
      </w:r>
      <w:proofErr w:type="spellStart"/>
      <w:r w:rsidRPr="00370CE7">
        <w:rPr>
          <w:color w:val="000000" w:themeColor="text1"/>
          <w:sz w:val="24"/>
          <w:szCs w:val="24"/>
        </w:rPr>
        <w:t>rohita</w:t>
      </w:r>
      <w:proofErr w:type="spellEnd"/>
      <w:r w:rsidRPr="00370CE7">
        <w:rPr>
          <w:color w:val="000000" w:themeColor="text1"/>
          <w:sz w:val="24"/>
          <w:szCs w:val="24"/>
        </w:rPr>
        <w:t xml:space="preserve"> (approximately 29%), and smallest in Cyprinus carpio (approximately 21%), mirroring the species' relative acute sensitivity. A similar ordering was observed for hematocrit and RBC count, reinforcing the interpretation that acute lethal tolerance and chronic sublethal hematological resilience share a common physiological basis, most plausibly centered on the efficiency of branchial ion-regulatory and acid-</w:t>
      </w:r>
      <w:proofErr w:type="spellStart"/>
      <w:r w:rsidRPr="00370CE7">
        <w:rPr>
          <w:color w:val="000000" w:themeColor="text1"/>
          <w:sz w:val="24"/>
          <w:szCs w:val="24"/>
        </w:rPr>
        <w:t>base</w:t>
      </w:r>
      <w:proofErr w:type="spellEnd"/>
      <w:r w:rsidRPr="00370CE7">
        <w:rPr>
          <w:color w:val="000000" w:themeColor="text1"/>
          <w:sz w:val="24"/>
          <w:szCs w:val="24"/>
        </w:rPr>
        <w:t xml:space="preserve"> compensation mechanisms. Two-way ANOVA confirmed significant main effects of both treatment and exposure duration on all four hematological parameters examined (p &lt; 0.001 in all cases), with a significant treatment × duration interaction for RBC, hemoglobin, and hematocrit (p &lt; 0.01), indicating that the rate of decline, not merely the endpoint magnitude, differed significantly between the acidic and alkaline treatments.</w:t>
      </w:r>
    </w:p>
    <w:p w14:paraId="5D4A886E" w14:textId="77777777" w:rsidR="00AA707A" w:rsidRPr="00370CE7" w:rsidRDefault="00370CE7" w:rsidP="00370CE7">
      <w:pPr>
        <w:rPr>
          <w:color w:val="000000" w:themeColor="text1"/>
        </w:rPr>
      </w:pPr>
      <w:r w:rsidRPr="00370CE7">
        <w:rPr>
          <w:b/>
          <w:bCs/>
          <w:color w:val="000000" w:themeColor="text1"/>
          <w:sz w:val="22"/>
          <w:szCs w:val="22"/>
        </w:rPr>
        <w:t xml:space="preserve">Table 4. Hematological parameters of </w:t>
      </w:r>
      <w:proofErr w:type="spellStart"/>
      <w:r w:rsidRPr="00370CE7">
        <w:rPr>
          <w:b/>
          <w:bCs/>
          <w:color w:val="000000" w:themeColor="text1"/>
          <w:sz w:val="22"/>
          <w:szCs w:val="22"/>
        </w:rPr>
        <w:t>Labeo</w:t>
      </w:r>
      <w:proofErr w:type="spellEnd"/>
      <w:r w:rsidRPr="00370CE7">
        <w:rPr>
          <w:b/>
          <w:bCs/>
          <w:color w:val="000000" w:themeColor="text1"/>
          <w:sz w:val="22"/>
          <w:szCs w:val="22"/>
        </w:rPr>
        <w:t xml:space="preserve"> </w:t>
      </w:r>
      <w:proofErr w:type="spellStart"/>
      <w:r w:rsidRPr="00370CE7">
        <w:rPr>
          <w:b/>
          <w:bCs/>
          <w:color w:val="000000" w:themeColor="text1"/>
          <w:sz w:val="22"/>
          <w:szCs w:val="22"/>
        </w:rPr>
        <w:t>rohita</w:t>
      </w:r>
      <w:proofErr w:type="spellEnd"/>
      <w:r w:rsidRPr="00370CE7">
        <w:rPr>
          <w:b/>
          <w:bCs/>
          <w:color w:val="000000" w:themeColor="text1"/>
          <w:sz w:val="22"/>
          <w:szCs w:val="22"/>
        </w:rPr>
        <w:t xml:space="preserve"> following sublethal acidic and alkaline pH exposure (mean ± SD, n = 6).</w:t>
      </w:r>
    </w:p>
    <w:tbl>
      <w:tblPr>
        <w:tblStyle w:val="TableGrid"/>
        <w:tblW w:w="9700" w:type="dxa"/>
        <w:tblLook w:val="04A0" w:firstRow="1" w:lastRow="0" w:firstColumn="1" w:lastColumn="0" w:noHBand="0" w:noVBand="1"/>
      </w:tblPr>
      <w:tblGrid>
        <w:gridCol w:w="2400"/>
        <w:gridCol w:w="1600"/>
        <w:gridCol w:w="1900"/>
        <w:gridCol w:w="1900"/>
        <w:gridCol w:w="1900"/>
      </w:tblGrid>
      <w:tr w:rsidR="00AA707A" w:rsidRPr="00370CE7" w14:paraId="6999D1C5" w14:textId="77777777" w:rsidTr="00370CE7">
        <w:tc>
          <w:tcPr>
            <w:tcW w:w="2400" w:type="dxa"/>
          </w:tcPr>
          <w:p w14:paraId="0F60C36C" w14:textId="77777777" w:rsidR="00AA707A" w:rsidRPr="00370CE7" w:rsidRDefault="00370CE7" w:rsidP="00370CE7">
            <w:pPr>
              <w:jc w:val="center"/>
              <w:rPr>
                <w:color w:val="000000" w:themeColor="text1"/>
              </w:rPr>
            </w:pPr>
            <w:r w:rsidRPr="00370CE7">
              <w:rPr>
                <w:b/>
                <w:bCs/>
                <w:color w:val="000000" w:themeColor="text1"/>
              </w:rPr>
              <w:t>Parameter</w:t>
            </w:r>
          </w:p>
        </w:tc>
        <w:tc>
          <w:tcPr>
            <w:tcW w:w="1600" w:type="dxa"/>
          </w:tcPr>
          <w:p w14:paraId="0E35C973" w14:textId="77777777" w:rsidR="00AA707A" w:rsidRPr="00370CE7" w:rsidRDefault="00370CE7" w:rsidP="00370CE7">
            <w:pPr>
              <w:jc w:val="center"/>
              <w:rPr>
                <w:color w:val="000000" w:themeColor="text1"/>
              </w:rPr>
            </w:pPr>
            <w:r w:rsidRPr="00370CE7">
              <w:rPr>
                <w:b/>
                <w:bCs/>
                <w:color w:val="000000" w:themeColor="text1"/>
              </w:rPr>
              <w:t>Duration</w:t>
            </w:r>
          </w:p>
        </w:tc>
        <w:tc>
          <w:tcPr>
            <w:tcW w:w="1900" w:type="dxa"/>
          </w:tcPr>
          <w:p w14:paraId="407DF1A2" w14:textId="77777777" w:rsidR="00AA707A" w:rsidRPr="00370CE7" w:rsidRDefault="00370CE7" w:rsidP="00370CE7">
            <w:pPr>
              <w:jc w:val="center"/>
              <w:rPr>
                <w:color w:val="000000" w:themeColor="text1"/>
              </w:rPr>
            </w:pPr>
            <w:r w:rsidRPr="00370CE7">
              <w:rPr>
                <w:b/>
                <w:bCs/>
                <w:color w:val="000000" w:themeColor="text1"/>
              </w:rPr>
              <w:t>Control (pH 7.5)</w:t>
            </w:r>
          </w:p>
        </w:tc>
        <w:tc>
          <w:tcPr>
            <w:tcW w:w="1900" w:type="dxa"/>
          </w:tcPr>
          <w:p w14:paraId="3AAB97D0" w14:textId="77777777" w:rsidR="00AA707A" w:rsidRPr="00370CE7" w:rsidRDefault="00370CE7" w:rsidP="00370CE7">
            <w:pPr>
              <w:jc w:val="center"/>
              <w:rPr>
                <w:color w:val="000000" w:themeColor="text1"/>
              </w:rPr>
            </w:pPr>
            <w:r w:rsidRPr="00370CE7">
              <w:rPr>
                <w:b/>
                <w:bCs/>
                <w:color w:val="000000" w:themeColor="text1"/>
              </w:rPr>
              <w:t>Acidic (pH 5.5)</w:t>
            </w:r>
          </w:p>
        </w:tc>
        <w:tc>
          <w:tcPr>
            <w:tcW w:w="1900" w:type="dxa"/>
          </w:tcPr>
          <w:p w14:paraId="63EBD6BC" w14:textId="77777777" w:rsidR="00AA707A" w:rsidRPr="00370CE7" w:rsidRDefault="00370CE7" w:rsidP="00370CE7">
            <w:pPr>
              <w:jc w:val="center"/>
              <w:rPr>
                <w:color w:val="000000" w:themeColor="text1"/>
              </w:rPr>
            </w:pPr>
            <w:r w:rsidRPr="00370CE7">
              <w:rPr>
                <w:b/>
                <w:bCs/>
                <w:color w:val="000000" w:themeColor="text1"/>
              </w:rPr>
              <w:t>Alkaline (pH 9.5)</w:t>
            </w:r>
          </w:p>
        </w:tc>
      </w:tr>
      <w:tr w:rsidR="00370CE7" w:rsidRPr="00370CE7" w14:paraId="36233BC7" w14:textId="77777777" w:rsidTr="00370CE7">
        <w:tc>
          <w:tcPr>
            <w:tcW w:w="2400" w:type="dxa"/>
            <w:vMerge w:val="restart"/>
          </w:tcPr>
          <w:p w14:paraId="4D116CD9" w14:textId="77777777" w:rsidR="00370CE7" w:rsidRPr="00370CE7" w:rsidRDefault="00370CE7" w:rsidP="00370CE7">
            <w:pPr>
              <w:rPr>
                <w:color w:val="000000" w:themeColor="text1"/>
              </w:rPr>
            </w:pPr>
            <w:r w:rsidRPr="00370CE7">
              <w:rPr>
                <w:color w:val="000000" w:themeColor="text1"/>
              </w:rPr>
              <w:t>RBC (×10⁶/µL)</w:t>
            </w:r>
          </w:p>
        </w:tc>
        <w:tc>
          <w:tcPr>
            <w:tcW w:w="1600" w:type="dxa"/>
          </w:tcPr>
          <w:p w14:paraId="3089AB75" w14:textId="77777777" w:rsidR="00370CE7" w:rsidRPr="00370CE7" w:rsidRDefault="00370CE7" w:rsidP="00370CE7">
            <w:pPr>
              <w:jc w:val="center"/>
              <w:rPr>
                <w:color w:val="000000" w:themeColor="text1"/>
              </w:rPr>
            </w:pPr>
            <w:r w:rsidRPr="00370CE7">
              <w:rPr>
                <w:color w:val="000000" w:themeColor="text1"/>
              </w:rPr>
              <w:t>Day 15</w:t>
            </w:r>
          </w:p>
        </w:tc>
        <w:tc>
          <w:tcPr>
            <w:tcW w:w="1900" w:type="dxa"/>
          </w:tcPr>
          <w:p w14:paraId="2C836D30" w14:textId="77777777" w:rsidR="00370CE7" w:rsidRPr="00370CE7" w:rsidRDefault="00370CE7" w:rsidP="00370CE7">
            <w:pPr>
              <w:jc w:val="center"/>
              <w:rPr>
                <w:color w:val="000000" w:themeColor="text1"/>
              </w:rPr>
            </w:pPr>
            <w:r w:rsidRPr="00370CE7">
              <w:rPr>
                <w:color w:val="000000" w:themeColor="text1"/>
              </w:rPr>
              <w:t>2.42 ± 0.11ᵃ</w:t>
            </w:r>
          </w:p>
        </w:tc>
        <w:tc>
          <w:tcPr>
            <w:tcW w:w="1900" w:type="dxa"/>
          </w:tcPr>
          <w:p w14:paraId="4900A16E" w14:textId="77777777" w:rsidR="00370CE7" w:rsidRPr="00370CE7" w:rsidRDefault="00370CE7" w:rsidP="00370CE7">
            <w:pPr>
              <w:jc w:val="center"/>
              <w:rPr>
                <w:color w:val="000000" w:themeColor="text1"/>
              </w:rPr>
            </w:pPr>
            <w:r w:rsidRPr="00370CE7">
              <w:rPr>
                <w:color w:val="000000" w:themeColor="text1"/>
              </w:rPr>
              <w:t>2.18 ± 0.09ᵇ</w:t>
            </w:r>
          </w:p>
        </w:tc>
        <w:tc>
          <w:tcPr>
            <w:tcW w:w="1900" w:type="dxa"/>
          </w:tcPr>
          <w:p w14:paraId="383DCE61" w14:textId="77777777" w:rsidR="00370CE7" w:rsidRPr="00370CE7" w:rsidRDefault="00370CE7" w:rsidP="00370CE7">
            <w:pPr>
              <w:jc w:val="center"/>
              <w:rPr>
                <w:color w:val="000000" w:themeColor="text1"/>
              </w:rPr>
            </w:pPr>
            <w:r w:rsidRPr="00370CE7">
              <w:rPr>
                <w:color w:val="000000" w:themeColor="text1"/>
              </w:rPr>
              <w:t>2.24 ± 0.10ᵇ</w:t>
            </w:r>
          </w:p>
        </w:tc>
      </w:tr>
      <w:tr w:rsidR="00370CE7" w:rsidRPr="00370CE7" w14:paraId="62082A1B" w14:textId="77777777" w:rsidTr="00370CE7">
        <w:tc>
          <w:tcPr>
            <w:tcW w:w="2400" w:type="dxa"/>
            <w:vMerge/>
          </w:tcPr>
          <w:p w14:paraId="00B90149" w14:textId="77777777" w:rsidR="00370CE7" w:rsidRPr="00370CE7" w:rsidRDefault="00370CE7" w:rsidP="00370CE7">
            <w:pPr>
              <w:rPr>
                <w:color w:val="000000" w:themeColor="text1"/>
              </w:rPr>
            </w:pPr>
          </w:p>
        </w:tc>
        <w:tc>
          <w:tcPr>
            <w:tcW w:w="1600" w:type="dxa"/>
          </w:tcPr>
          <w:p w14:paraId="547305A4" w14:textId="77777777" w:rsidR="00370CE7" w:rsidRPr="00370CE7" w:rsidRDefault="00370CE7" w:rsidP="00370CE7">
            <w:pPr>
              <w:jc w:val="center"/>
              <w:rPr>
                <w:color w:val="000000" w:themeColor="text1"/>
              </w:rPr>
            </w:pPr>
            <w:r w:rsidRPr="00370CE7">
              <w:rPr>
                <w:color w:val="000000" w:themeColor="text1"/>
              </w:rPr>
              <w:t>Day 30</w:t>
            </w:r>
          </w:p>
        </w:tc>
        <w:tc>
          <w:tcPr>
            <w:tcW w:w="1900" w:type="dxa"/>
          </w:tcPr>
          <w:p w14:paraId="5BAC404A" w14:textId="77777777" w:rsidR="00370CE7" w:rsidRPr="00370CE7" w:rsidRDefault="00370CE7" w:rsidP="00370CE7">
            <w:pPr>
              <w:jc w:val="center"/>
              <w:rPr>
                <w:color w:val="000000" w:themeColor="text1"/>
              </w:rPr>
            </w:pPr>
            <w:r w:rsidRPr="00370CE7">
              <w:rPr>
                <w:color w:val="000000" w:themeColor="text1"/>
              </w:rPr>
              <w:t>2.45 ± 0.10ᵃ</w:t>
            </w:r>
          </w:p>
        </w:tc>
        <w:tc>
          <w:tcPr>
            <w:tcW w:w="1900" w:type="dxa"/>
          </w:tcPr>
          <w:p w14:paraId="7A2B48C5" w14:textId="77777777" w:rsidR="00370CE7" w:rsidRPr="00370CE7" w:rsidRDefault="00370CE7" w:rsidP="00370CE7">
            <w:pPr>
              <w:jc w:val="center"/>
              <w:rPr>
                <w:color w:val="000000" w:themeColor="text1"/>
              </w:rPr>
            </w:pPr>
            <w:r w:rsidRPr="00370CE7">
              <w:rPr>
                <w:color w:val="000000" w:themeColor="text1"/>
              </w:rPr>
              <w:t>1.95 ± 0.12ᵇ</w:t>
            </w:r>
          </w:p>
        </w:tc>
        <w:tc>
          <w:tcPr>
            <w:tcW w:w="1900" w:type="dxa"/>
          </w:tcPr>
          <w:p w14:paraId="6993B15D" w14:textId="77777777" w:rsidR="00370CE7" w:rsidRPr="00370CE7" w:rsidRDefault="00370CE7" w:rsidP="00370CE7">
            <w:pPr>
              <w:jc w:val="center"/>
              <w:rPr>
                <w:color w:val="000000" w:themeColor="text1"/>
              </w:rPr>
            </w:pPr>
            <w:r w:rsidRPr="00370CE7">
              <w:rPr>
                <w:color w:val="000000" w:themeColor="text1"/>
              </w:rPr>
              <w:t>2.05 ± 0.11ᵇ</w:t>
            </w:r>
          </w:p>
        </w:tc>
      </w:tr>
      <w:tr w:rsidR="00370CE7" w:rsidRPr="00370CE7" w14:paraId="167EB63C" w14:textId="77777777" w:rsidTr="00370CE7">
        <w:tc>
          <w:tcPr>
            <w:tcW w:w="2400" w:type="dxa"/>
            <w:vMerge/>
          </w:tcPr>
          <w:p w14:paraId="6E44282B" w14:textId="77777777" w:rsidR="00370CE7" w:rsidRPr="00370CE7" w:rsidRDefault="00370CE7" w:rsidP="00370CE7">
            <w:pPr>
              <w:rPr>
                <w:color w:val="000000" w:themeColor="text1"/>
              </w:rPr>
            </w:pPr>
          </w:p>
        </w:tc>
        <w:tc>
          <w:tcPr>
            <w:tcW w:w="1600" w:type="dxa"/>
          </w:tcPr>
          <w:p w14:paraId="47C5FC12" w14:textId="77777777" w:rsidR="00370CE7" w:rsidRPr="00370CE7" w:rsidRDefault="00370CE7" w:rsidP="00370CE7">
            <w:pPr>
              <w:jc w:val="center"/>
              <w:rPr>
                <w:color w:val="000000" w:themeColor="text1"/>
              </w:rPr>
            </w:pPr>
            <w:r w:rsidRPr="00370CE7">
              <w:rPr>
                <w:color w:val="000000" w:themeColor="text1"/>
              </w:rPr>
              <w:t>Day 60</w:t>
            </w:r>
          </w:p>
        </w:tc>
        <w:tc>
          <w:tcPr>
            <w:tcW w:w="1900" w:type="dxa"/>
          </w:tcPr>
          <w:p w14:paraId="11642186" w14:textId="77777777" w:rsidR="00370CE7" w:rsidRPr="00370CE7" w:rsidRDefault="00370CE7" w:rsidP="00370CE7">
            <w:pPr>
              <w:jc w:val="center"/>
              <w:rPr>
                <w:color w:val="000000" w:themeColor="text1"/>
              </w:rPr>
            </w:pPr>
            <w:r w:rsidRPr="00370CE7">
              <w:rPr>
                <w:color w:val="000000" w:themeColor="text1"/>
              </w:rPr>
              <w:t>2.47 ± 0.09ᵃ</w:t>
            </w:r>
          </w:p>
        </w:tc>
        <w:tc>
          <w:tcPr>
            <w:tcW w:w="1900" w:type="dxa"/>
          </w:tcPr>
          <w:p w14:paraId="4966C322" w14:textId="77777777" w:rsidR="00370CE7" w:rsidRPr="00370CE7" w:rsidRDefault="00370CE7" w:rsidP="00370CE7">
            <w:pPr>
              <w:jc w:val="center"/>
              <w:rPr>
                <w:color w:val="000000" w:themeColor="text1"/>
              </w:rPr>
            </w:pPr>
            <w:r w:rsidRPr="00370CE7">
              <w:rPr>
                <w:color w:val="000000" w:themeColor="text1"/>
              </w:rPr>
              <w:t>1.68 ± 0.13ᵇ</w:t>
            </w:r>
          </w:p>
        </w:tc>
        <w:tc>
          <w:tcPr>
            <w:tcW w:w="1900" w:type="dxa"/>
          </w:tcPr>
          <w:p w14:paraId="0658C4B3" w14:textId="77777777" w:rsidR="00370CE7" w:rsidRPr="00370CE7" w:rsidRDefault="00370CE7" w:rsidP="00370CE7">
            <w:pPr>
              <w:jc w:val="center"/>
              <w:rPr>
                <w:color w:val="000000" w:themeColor="text1"/>
              </w:rPr>
            </w:pPr>
            <w:r w:rsidRPr="00370CE7">
              <w:rPr>
                <w:color w:val="000000" w:themeColor="text1"/>
              </w:rPr>
              <w:t>1.84 ± 0.12ᶜ</w:t>
            </w:r>
          </w:p>
        </w:tc>
      </w:tr>
      <w:tr w:rsidR="00370CE7" w:rsidRPr="00370CE7" w14:paraId="1F22460B" w14:textId="77777777" w:rsidTr="00370CE7">
        <w:tc>
          <w:tcPr>
            <w:tcW w:w="2400" w:type="dxa"/>
            <w:vMerge w:val="restart"/>
          </w:tcPr>
          <w:p w14:paraId="1621DFE9" w14:textId="77777777" w:rsidR="00370CE7" w:rsidRPr="00370CE7" w:rsidRDefault="00370CE7" w:rsidP="00370CE7">
            <w:pPr>
              <w:rPr>
                <w:color w:val="000000" w:themeColor="text1"/>
              </w:rPr>
            </w:pPr>
            <w:r w:rsidRPr="00370CE7">
              <w:rPr>
                <w:color w:val="000000" w:themeColor="text1"/>
              </w:rPr>
              <w:t>Hemoglobin (g/dL)</w:t>
            </w:r>
          </w:p>
        </w:tc>
        <w:tc>
          <w:tcPr>
            <w:tcW w:w="1600" w:type="dxa"/>
          </w:tcPr>
          <w:p w14:paraId="2C97A565" w14:textId="77777777" w:rsidR="00370CE7" w:rsidRPr="00370CE7" w:rsidRDefault="00370CE7" w:rsidP="00370CE7">
            <w:pPr>
              <w:jc w:val="center"/>
              <w:rPr>
                <w:color w:val="000000" w:themeColor="text1"/>
              </w:rPr>
            </w:pPr>
            <w:r w:rsidRPr="00370CE7">
              <w:rPr>
                <w:color w:val="000000" w:themeColor="text1"/>
              </w:rPr>
              <w:t>Day 15</w:t>
            </w:r>
          </w:p>
        </w:tc>
        <w:tc>
          <w:tcPr>
            <w:tcW w:w="1900" w:type="dxa"/>
          </w:tcPr>
          <w:p w14:paraId="50B0CC90" w14:textId="77777777" w:rsidR="00370CE7" w:rsidRPr="00370CE7" w:rsidRDefault="00370CE7" w:rsidP="00370CE7">
            <w:pPr>
              <w:jc w:val="center"/>
              <w:rPr>
                <w:color w:val="000000" w:themeColor="text1"/>
              </w:rPr>
            </w:pPr>
            <w:r w:rsidRPr="00370CE7">
              <w:rPr>
                <w:color w:val="000000" w:themeColor="text1"/>
              </w:rPr>
              <w:t>9.12 ± 0.34ᵃ</w:t>
            </w:r>
          </w:p>
        </w:tc>
        <w:tc>
          <w:tcPr>
            <w:tcW w:w="1900" w:type="dxa"/>
          </w:tcPr>
          <w:p w14:paraId="29A484FC" w14:textId="77777777" w:rsidR="00370CE7" w:rsidRPr="00370CE7" w:rsidRDefault="00370CE7" w:rsidP="00370CE7">
            <w:pPr>
              <w:jc w:val="center"/>
              <w:rPr>
                <w:color w:val="000000" w:themeColor="text1"/>
              </w:rPr>
            </w:pPr>
            <w:r w:rsidRPr="00370CE7">
              <w:rPr>
                <w:color w:val="000000" w:themeColor="text1"/>
              </w:rPr>
              <w:t>8.24 ± 0.31ᵇ</w:t>
            </w:r>
          </w:p>
        </w:tc>
        <w:tc>
          <w:tcPr>
            <w:tcW w:w="1900" w:type="dxa"/>
          </w:tcPr>
          <w:p w14:paraId="278E74C4" w14:textId="77777777" w:rsidR="00370CE7" w:rsidRPr="00370CE7" w:rsidRDefault="00370CE7" w:rsidP="00370CE7">
            <w:pPr>
              <w:jc w:val="center"/>
              <w:rPr>
                <w:color w:val="000000" w:themeColor="text1"/>
              </w:rPr>
            </w:pPr>
            <w:r w:rsidRPr="00370CE7">
              <w:rPr>
                <w:color w:val="000000" w:themeColor="text1"/>
              </w:rPr>
              <w:t>8.41 ± 0.29ᵇ</w:t>
            </w:r>
          </w:p>
        </w:tc>
      </w:tr>
      <w:tr w:rsidR="00370CE7" w:rsidRPr="00370CE7" w14:paraId="41D41D1E" w14:textId="77777777" w:rsidTr="00370CE7">
        <w:tc>
          <w:tcPr>
            <w:tcW w:w="2400" w:type="dxa"/>
            <w:vMerge/>
          </w:tcPr>
          <w:p w14:paraId="00E5C860" w14:textId="77777777" w:rsidR="00370CE7" w:rsidRPr="00370CE7" w:rsidRDefault="00370CE7" w:rsidP="00370CE7">
            <w:pPr>
              <w:rPr>
                <w:color w:val="000000" w:themeColor="text1"/>
              </w:rPr>
            </w:pPr>
          </w:p>
        </w:tc>
        <w:tc>
          <w:tcPr>
            <w:tcW w:w="1600" w:type="dxa"/>
          </w:tcPr>
          <w:p w14:paraId="0A44BD15" w14:textId="77777777" w:rsidR="00370CE7" w:rsidRPr="00370CE7" w:rsidRDefault="00370CE7" w:rsidP="00370CE7">
            <w:pPr>
              <w:jc w:val="center"/>
              <w:rPr>
                <w:color w:val="000000" w:themeColor="text1"/>
              </w:rPr>
            </w:pPr>
            <w:r w:rsidRPr="00370CE7">
              <w:rPr>
                <w:color w:val="000000" w:themeColor="text1"/>
              </w:rPr>
              <w:t>Day 30</w:t>
            </w:r>
          </w:p>
        </w:tc>
        <w:tc>
          <w:tcPr>
            <w:tcW w:w="1900" w:type="dxa"/>
          </w:tcPr>
          <w:p w14:paraId="0A167692" w14:textId="77777777" w:rsidR="00370CE7" w:rsidRPr="00370CE7" w:rsidRDefault="00370CE7" w:rsidP="00370CE7">
            <w:pPr>
              <w:jc w:val="center"/>
              <w:rPr>
                <w:color w:val="000000" w:themeColor="text1"/>
              </w:rPr>
            </w:pPr>
            <w:r w:rsidRPr="00370CE7">
              <w:rPr>
                <w:color w:val="000000" w:themeColor="text1"/>
              </w:rPr>
              <w:t>9.20 ± 0.30ᵃ</w:t>
            </w:r>
          </w:p>
        </w:tc>
        <w:tc>
          <w:tcPr>
            <w:tcW w:w="1900" w:type="dxa"/>
          </w:tcPr>
          <w:p w14:paraId="1ACF76E7" w14:textId="77777777" w:rsidR="00370CE7" w:rsidRPr="00370CE7" w:rsidRDefault="00370CE7" w:rsidP="00370CE7">
            <w:pPr>
              <w:jc w:val="center"/>
              <w:rPr>
                <w:color w:val="000000" w:themeColor="text1"/>
              </w:rPr>
            </w:pPr>
            <w:r w:rsidRPr="00370CE7">
              <w:rPr>
                <w:color w:val="000000" w:themeColor="text1"/>
              </w:rPr>
              <w:t>7.46 ± 0.36ᵇ</w:t>
            </w:r>
          </w:p>
        </w:tc>
        <w:tc>
          <w:tcPr>
            <w:tcW w:w="1900" w:type="dxa"/>
          </w:tcPr>
          <w:p w14:paraId="24112C10" w14:textId="77777777" w:rsidR="00370CE7" w:rsidRPr="00370CE7" w:rsidRDefault="00370CE7" w:rsidP="00370CE7">
            <w:pPr>
              <w:jc w:val="center"/>
              <w:rPr>
                <w:color w:val="000000" w:themeColor="text1"/>
              </w:rPr>
            </w:pPr>
            <w:r w:rsidRPr="00370CE7">
              <w:rPr>
                <w:color w:val="000000" w:themeColor="text1"/>
              </w:rPr>
              <w:t>7.78 ± 0.33ᵇ</w:t>
            </w:r>
          </w:p>
        </w:tc>
      </w:tr>
      <w:tr w:rsidR="00370CE7" w:rsidRPr="00370CE7" w14:paraId="78351538" w14:textId="77777777" w:rsidTr="00370CE7">
        <w:tc>
          <w:tcPr>
            <w:tcW w:w="2400" w:type="dxa"/>
            <w:vMerge/>
          </w:tcPr>
          <w:p w14:paraId="016DEC0B" w14:textId="77777777" w:rsidR="00370CE7" w:rsidRPr="00370CE7" w:rsidRDefault="00370CE7" w:rsidP="00370CE7">
            <w:pPr>
              <w:rPr>
                <w:color w:val="000000" w:themeColor="text1"/>
              </w:rPr>
            </w:pPr>
          </w:p>
        </w:tc>
        <w:tc>
          <w:tcPr>
            <w:tcW w:w="1600" w:type="dxa"/>
          </w:tcPr>
          <w:p w14:paraId="71051F96" w14:textId="77777777" w:rsidR="00370CE7" w:rsidRPr="00370CE7" w:rsidRDefault="00370CE7" w:rsidP="00370CE7">
            <w:pPr>
              <w:jc w:val="center"/>
              <w:rPr>
                <w:color w:val="000000" w:themeColor="text1"/>
              </w:rPr>
            </w:pPr>
            <w:r w:rsidRPr="00370CE7">
              <w:rPr>
                <w:color w:val="000000" w:themeColor="text1"/>
              </w:rPr>
              <w:t>Day 60</w:t>
            </w:r>
          </w:p>
        </w:tc>
        <w:tc>
          <w:tcPr>
            <w:tcW w:w="1900" w:type="dxa"/>
          </w:tcPr>
          <w:p w14:paraId="6C99A32B" w14:textId="77777777" w:rsidR="00370CE7" w:rsidRPr="00370CE7" w:rsidRDefault="00370CE7" w:rsidP="00370CE7">
            <w:pPr>
              <w:jc w:val="center"/>
              <w:rPr>
                <w:color w:val="000000" w:themeColor="text1"/>
              </w:rPr>
            </w:pPr>
            <w:r w:rsidRPr="00370CE7">
              <w:rPr>
                <w:color w:val="000000" w:themeColor="text1"/>
              </w:rPr>
              <w:t>9.24 ± 0.28ᵃ</w:t>
            </w:r>
          </w:p>
        </w:tc>
        <w:tc>
          <w:tcPr>
            <w:tcW w:w="1900" w:type="dxa"/>
          </w:tcPr>
          <w:p w14:paraId="5D15A0BB" w14:textId="77777777" w:rsidR="00370CE7" w:rsidRPr="00370CE7" w:rsidRDefault="00370CE7" w:rsidP="00370CE7">
            <w:pPr>
              <w:jc w:val="center"/>
              <w:rPr>
                <w:color w:val="000000" w:themeColor="text1"/>
              </w:rPr>
            </w:pPr>
            <w:r w:rsidRPr="00370CE7">
              <w:rPr>
                <w:color w:val="000000" w:themeColor="text1"/>
              </w:rPr>
              <w:t>6.58 ± 0.40ᵇ</w:t>
            </w:r>
          </w:p>
        </w:tc>
        <w:tc>
          <w:tcPr>
            <w:tcW w:w="1900" w:type="dxa"/>
          </w:tcPr>
          <w:p w14:paraId="21C4065E" w14:textId="77777777" w:rsidR="00370CE7" w:rsidRPr="00370CE7" w:rsidRDefault="00370CE7" w:rsidP="00370CE7">
            <w:pPr>
              <w:jc w:val="center"/>
              <w:rPr>
                <w:color w:val="000000" w:themeColor="text1"/>
              </w:rPr>
            </w:pPr>
            <w:r w:rsidRPr="00370CE7">
              <w:rPr>
                <w:color w:val="000000" w:themeColor="text1"/>
              </w:rPr>
              <w:t>7.05 ± 0.35ᶜ</w:t>
            </w:r>
          </w:p>
        </w:tc>
      </w:tr>
      <w:tr w:rsidR="00370CE7" w:rsidRPr="00370CE7" w14:paraId="07F68B67" w14:textId="77777777" w:rsidTr="00370CE7">
        <w:tc>
          <w:tcPr>
            <w:tcW w:w="2400" w:type="dxa"/>
            <w:vMerge w:val="restart"/>
          </w:tcPr>
          <w:p w14:paraId="277BF3B7" w14:textId="77777777" w:rsidR="00370CE7" w:rsidRPr="00370CE7" w:rsidRDefault="00370CE7" w:rsidP="00370CE7">
            <w:pPr>
              <w:rPr>
                <w:color w:val="000000" w:themeColor="text1"/>
              </w:rPr>
            </w:pPr>
            <w:r w:rsidRPr="00370CE7">
              <w:rPr>
                <w:color w:val="000000" w:themeColor="text1"/>
              </w:rPr>
              <w:t>Hematocrit (%)</w:t>
            </w:r>
          </w:p>
        </w:tc>
        <w:tc>
          <w:tcPr>
            <w:tcW w:w="1600" w:type="dxa"/>
          </w:tcPr>
          <w:p w14:paraId="59417C62" w14:textId="77777777" w:rsidR="00370CE7" w:rsidRPr="00370CE7" w:rsidRDefault="00370CE7" w:rsidP="00370CE7">
            <w:pPr>
              <w:jc w:val="center"/>
              <w:rPr>
                <w:color w:val="000000" w:themeColor="text1"/>
              </w:rPr>
            </w:pPr>
            <w:r w:rsidRPr="00370CE7">
              <w:rPr>
                <w:color w:val="000000" w:themeColor="text1"/>
              </w:rPr>
              <w:t>Day 15</w:t>
            </w:r>
          </w:p>
        </w:tc>
        <w:tc>
          <w:tcPr>
            <w:tcW w:w="1900" w:type="dxa"/>
          </w:tcPr>
          <w:p w14:paraId="404DB1B0" w14:textId="77777777" w:rsidR="00370CE7" w:rsidRPr="00370CE7" w:rsidRDefault="00370CE7" w:rsidP="00370CE7">
            <w:pPr>
              <w:jc w:val="center"/>
              <w:rPr>
                <w:color w:val="000000" w:themeColor="text1"/>
              </w:rPr>
            </w:pPr>
            <w:r w:rsidRPr="00370CE7">
              <w:rPr>
                <w:color w:val="000000" w:themeColor="text1"/>
              </w:rPr>
              <w:t>32.6 ± 1.2ᵃ</w:t>
            </w:r>
          </w:p>
        </w:tc>
        <w:tc>
          <w:tcPr>
            <w:tcW w:w="1900" w:type="dxa"/>
          </w:tcPr>
          <w:p w14:paraId="7FA690F7" w14:textId="77777777" w:rsidR="00370CE7" w:rsidRPr="00370CE7" w:rsidRDefault="00370CE7" w:rsidP="00370CE7">
            <w:pPr>
              <w:jc w:val="center"/>
              <w:rPr>
                <w:color w:val="000000" w:themeColor="text1"/>
              </w:rPr>
            </w:pPr>
            <w:r w:rsidRPr="00370CE7">
              <w:rPr>
                <w:color w:val="000000" w:themeColor="text1"/>
              </w:rPr>
              <w:t>29.8 ± 1.4ᵇ</w:t>
            </w:r>
          </w:p>
        </w:tc>
        <w:tc>
          <w:tcPr>
            <w:tcW w:w="1900" w:type="dxa"/>
          </w:tcPr>
          <w:p w14:paraId="34144061" w14:textId="77777777" w:rsidR="00370CE7" w:rsidRPr="00370CE7" w:rsidRDefault="00370CE7" w:rsidP="00370CE7">
            <w:pPr>
              <w:jc w:val="center"/>
              <w:rPr>
                <w:color w:val="000000" w:themeColor="text1"/>
              </w:rPr>
            </w:pPr>
            <w:r w:rsidRPr="00370CE7">
              <w:rPr>
                <w:color w:val="000000" w:themeColor="text1"/>
              </w:rPr>
              <w:t>30.4 ± 1.1ᵇ</w:t>
            </w:r>
          </w:p>
        </w:tc>
      </w:tr>
      <w:tr w:rsidR="00370CE7" w:rsidRPr="00370CE7" w14:paraId="1332E457" w14:textId="77777777" w:rsidTr="00370CE7">
        <w:tc>
          <w:tcPr>
            <w:tcW w:w="2400" w:type="dxa"/>
            <w:vMerge/>
          </w:tcPr>
          <w:p w14:paraId="184EB0CF" w14:textId="77777777" w:rsidR="00370CE7" w:rsidRPr="00370CE7" w:rsidRDefault="00370CE7" w:rsidP="00370CE7">
            <w:pPr>
              <w:rPr>
                <w:color w:val="000000" w:themeColor="text1"/>
              </w:rPr>
            </w:pPr>
          </w:p>
        </w:tc>
        <w:tc>
          <w:tcPr>
            <w:tcW w:w="1600" w:type="dxa"/>
          </w:tcPr>
          <w:p w14:paraId="1DE1A621" w14:textId="77777777" w:rsidR="00370CE7" w:rsidRPr="00370CE7" w:rsidRDefault="00370CE7" w:rsidP="00370CE7">
            <w:pPr>
              <w:jc w:val="center"/>
              <w:rPr>
                <w:color w:val="000000" w:themeColor="text1"/>
              </w:rPr>
            </w:pPr>
            <w:r w:rsidRPr="00370CE7">
              <w:rPr>
                <w:color w:val="000000" w:themeColor="text1"/>
              </w:rPr>
              <w:t>Day 30</w:t>
            </w:r>
          </w:p>
        </w:tc>
        <w:tc>
          <w:tcPr>
            <w:tcW w:w="1900" w:type="dxa"/>
          </w:tcPr>
          <w:p w14:paraId="74AF0AEA" w14:textId="77777777" w:rsidR="00370CE7" w:rsidRPr="00370CE7" w:rsidRDefault="00370CE7" w:rsidP="00370CE7">
            <w:pPr>
              <w:jc w:val="center"/>
              <w:rPr>
                <w:color w:val="000000" w:themeColor="text1"/>
              </w:rPr>
            </w:pPr>
            <w:r w:rsidRPr="00370CE7">
              <w:rPr>
                <w:color w:val="000000" w:themeColor="text1"/>
              </w:rPr>
              <w:t>33.1 ± 1.1ᵃ</w:t>
            </w:r>
          </w:p>
        </w:tc>
        <w:tc>
          <w:tcPr>
            <w:tcW w:w="1900" w:type="dxa"/>
          </w:tcPr>
          <w:p w14:paraId="7A42A56C" w14:textId="77777777" w:rsidR="00370CE7" w:rsidRPr="00370CE7" w:rsidRDefault="00370CE7" w:rsidP="00370CE7">
            <w:pPr>
              <w:jc w:val="center"/>
              <w:rPr>
                <w:color w:val="000000" w:themeColor="text1"/>
              </w:rPr>
            </w:pPr>
            <w:r w:rsidRPr="00370CE7">
              <w:rPr>
                <w:color w:val="000000" w:themeColor="text1"/>
              </w:rPr>
              <w:t>26.7 ± 1.5ᵇ</w:t>
            </w:r>
          </w:p>
        </w:tc>
        <w:tc>
          <w:tcPr>
            <w:tcW w:w="1900" w:type="dxa"/>
          </w:tcPr>
          <w:p w14:paraId="69D10828" w14:textId="77777777" w:rsidR="00370CE7" w:rsidRPr="00370CE7" w:rsidRDefault="00370CE7" w:rsidP="00370CE7">
            <w:pPr>
              <w:jc w:val="center"/>
              <w:rPr>
                <w:color w:val="000000" w:themeColor="text1"/>
              </w:rPr>
            </w:pPr>
            <w:r w:rsidRPr="00370CE7">
              <w:rPr>
                <w:color w:val="000000" w:themeColor="text1"/>
              </w:rPr>
              <w:t>27.9 ± 1.3ᵇ</w:t>
            </w:r>
          </w:p>
        </w:tc>
      </w:tr>
      <w:tr w:rsidR="00AA707A" w:rsidRPr="00370CE7" w14:paraId="34584BAA" w14:textId="77777777" w:rsidTr="00370CE7">
        <w:tc>
          <w:tcPr>
            <w:tcW w:w="2400" w:type="dxa"/>
          </w:tcPr>
          <w:p w14:paraId="226E901C" w14:textId="77777777" w:rsidR="00AA707A" w:rsidRPr="00370CE7" w:rsidRDefault="00AA707A" w:rsidP="00370CE7">
            <w:pPr>
              <w:rPr>
                <w:color w:val="000000" w:themeColor="text1"/>
              </w:rPr>
            </w:pPr>
          </w:p>
        </w:tc>
        <w:tc>
          <w:tcPr>
            <w:tcW w:w="1600" w:type="dxa"/>
          </w:tcPr>
          <w:p w14:paraId="069B45FC" w14:textId="77777777" w:rsidR="00AA707A" w:rsidRPr="00370CE7" w:rsidRDefault="00370CE7" w:rsidP="00370CE7">
            <w:pPr>
              <w:jc w:val="center"/>
              <w:rPr>
                <w:color w:val="000000" w:themeColor="text1"/>
              </w:rPr>
            </w:pPr>
            <w:r w:rsidRPr="00370CE7">
              <w:rPr>
                <w:color w:val="000000" w:themeColor="text1"/>
              </w:rPr>
              <w:t>Day 60</w:t>
            </w:r>
          </w:p>
        </w:tc>
        <w:tc>
          <w:tcPr>
            <w:tcW w:w="1900" w:type="dxa"/>
          </w:tcPr>
          <w:p w14:paraId="0DD896C9" w14:textId="77777777" w:rsidR="00AA707A" w:rsidRPr="00370CE7" w:rsidRDefault="00370CE7" w:rsidP="00370CE7">
            <w:pPr>
              <w:jc w:val="center"/>
              <w:rPr>
                <w:color w:val="000000" w:themeColor="text1"/>
              </w:rPr>
            </w:pPr>
            <w:r w:rsidRPr="00370CE7">
              <w:rPr>
                <w:color w:val="000000" w:themeColor="text1"/>
              </w:rPr>
              <w:t>33.4 ± 1.0ᵃ</w:t>
            </w:r>
          </w:p>
        </w:tc>
        <w:tc>
          <w:tcPr>
            <w:tcW w:w="1900" w:type="dxa"/>
          </w:tcPr>
          <w:p w14:paraId="491D6660" w14:textId="77777777" w:rsidR="00AA707A" w:rsidRPr="00370CE7" w:rsidRDefault="00370CE7" w:rsidP="00370CE7">
            <w:pPr>
              <w:jc w:val="center"/>
              <w:rPr>
                <w:color w:val="000000" w:themeColor="text1"/>
              </w:rPr>
            </w:pPr>
            <w:r w:rsidRPr="00370CE7">
              <w:rPr>
                <w:color w:val="000000" w:themeColor="text1"/>
              </w:rPr>
              <w:t>23.5 ± 1.6ᵇ</w:t>
            </w:r>
          </w:p>
        </w:tc>
        <w:tc>
          <w:tcPr>
            <w:tcW w:w="1900" w:type="dxa"/>
          </w:tcPr>
          <w:p w14:paraId="07ED440D" w14:textId="77777777" w:rsidR="00AA707A" w:rsidRPr="00370CE7" w:rsidRDefault="00370CE7" w:rsidP="00370CE7">
            <w:pPr>
              <w:jc w:val="center"/>
              <w:rPr>
                <w:color w:val="000000" w:themeColor="text1"/>
              </w:rPr>
            </w:pPr>
            <w:r w:rsidRPr="00370CE7">
              <w:rPr>
                <w:color w:val="000000" w:themeColor="text1"/>
              </w:rPr>
              <w:t>25.2 ± 1.4ᶜ</w:t>
            </w:r>
          </w:p>
        </w:tc>
      </w:tr>
      <w:tr w:rsidR="00370CE7" w:rsidRPr="00370CE7" w14:paraId="4C82A943" w14:textId="77777777" w:rsidTr="00370CE7">
        <w:tc>
          <w:tcPr>
            <w:tcW w:w="2400" w:type="dxa"/>
            <w:vMerge w:val="restart"/>
          </w:tcPr>
          <w:p w14:paraId="3A5B814A" w14:textId="77777777" w:rsidR="00370CE7" w:rsidRPr="00370CE7" w:rsidRDefault="00370CE7" w:rsidP="00370CE7">
            <w:pPr>
              <w:rPr>
                <w:color w:val="000000" w:themeColor="text1"/>
              </w:rPr>
            </w:pPr>
            <w:r w:rsidRPr="00370CE7">
              <w:rPr>
                <w:color w:val="000000" w:themeColor="text1"/>
              </w:rPr>
              <w:t>WBC (×10³/µL)</w:t>
            </w:r>
          </w:p>
        </w:tc>
        <w:tc>
          <w:tcPr>
            <w:tcW w:w="1600" w:type="dxa"/>
          </w:tcPr>
          <w:p w14:paraId="637BC720" w14:textId="77777777" w:rsidR="00370CE7" w:rsidRPr="00370CE7" w:rsidRDefault="00370CE7" w:rsidP="00370CE7">
            <w:pPr>
              <w:jc w:val="center"/>
              <w:rPr>
                <w:color w:val="000000" w:themeColor="text1"/>
              </w:rPr>
            </w:pPr>
            <w:r w:rsidRPr="00370CE7">
              <w:rPr>
                <w:color w:val="000000" w:themeColor="text1"/>
              </w:rPr>
              <w:t>Day 15</w:t>
            </w:r>
          </w:p>
        </w:tc>
        <w:tc>
          <w:tcPr>
            <w:tcW w:w="1900" w:type="dxa"/>
          </w:tcPr>
          <w:p w14:paraId="1E930F43" w14:textId="77777777" w:rsidR="00370CE7" w:rsidRPr="00370CE7" w:rsidRDefault="00370CE7" w:rsidP="00370CE7">
            <w:pPr>
              <w:jc w:val="center"/>
              <w:rPr>
                <w:color w:val="000000" w:themeColor="text1"/>
              </w:rPr>
            </w:pPr>
            <w:r w:rsidRPr="00370CE7">
              <w:rPr>
                <w:color w:val="000000" w:themeColor="text1"/>
              </w:rPr>
              <w:t>24.1 ± 1.5ᵃ</w:t>
            </w:r>
          </w:p>
        </w:tc>
        <w:tc>
          <w:tcPr>
            <w:tcW w:w="1900" w:type="dxa"/>
          </w:tcPr>
          <w:p w14:paraId="0ABD41C1" w14:textId="77777777" w:rsidR="00370CE7" w:rsidRPr="00370CE7" w:rsidRDefault="00370CE7" w:rsidP="00370CE7">
            <w:pPr>
              <w:jc w:val="center"/>
              <w:rPr>
                <w:color w:val="000000" w:themeColor="text1"/>
              </w:rPr>
            </w:pPr>
            <w:r w:rsidRPr="00370CE7">
              <w:rPr>
                <w:color w:val="000000" w:themeColor="text1"/>
              </w:rPr>
              <w:t>27.8 ± 1.7ᵇ</w:t>
            </w:r>
          </w:p>
        </w:tc>
        <w:tc>
          <w:tcPr>
            <w:tcW w:w="1900" w:type="dxa"/>
          </w:tcPr>
          <w:p w14:paraId="1990365F" w14:textId="77777777" w:rsidR="00370CE7" w:rsidRPr="00370CE7" w:rsidRDefault="00370CE7" w:rsidP="00370CE7">
            <w:pPr>
              <w:jc w:val="center"/>
              <w:rPr>
                <w:color w:val="000000" w:themeColor="text1"/>
              </w:rPr>
            </w:pPr>
            <w:r w:rsidRPr="00370CE7">
              <w:rPr>
                <w:color w:val="000000" w:themeColor="text1"/>
              </w:rPr>
              <w:t>28.4 ± 1.6ᵇ</w:t>
            </w:r>
          </w:p>
        </w:tc>
      </w:tr>
      <w:tr w:rsidR="00370CE7" w:rsidRPr="00370CE7" w14:paraId="19E2AE2E" w14:textId="77777777" w:rsidTr="00370CE7">
        <w:tc>
          <w:tcPr>
            <w:tcW w:w="2400" w:type="dxa"/>
            <w:vMerge/>
          </w:tcPr>
          <w:p w14:paraId="4BA44582" w14:textId="77777777" w:rsidR="00370CE7" w:rsidRPr="00370CE7" w:rsidRDefault="00370CE7" w:rsidP="00370CE7">
            <w:pPr>
              <w:rPr>
                <w:color w:val="000000" w:themeColor="text1"/>
              </w:rPr>
            </w:pPr>
          </w:p>
        </w:tc>
        <w:tc>
          <w:tcPr>
            <w:tcW w:w="1600" w:type="dxa"/>
          </w:tcPr>
          <w:p w14:paraId="780B61B7" w14:textId="77777777" w:rsidR="00370CE7" w:rsidRPr="00370CE7" w:rsidRDefault="00370CE7" w:rsidP="00370CE7">
            <w:pPr>
              <w:jc w:val="center"/>
              <w:rPr>
                <w:color w:val="000000" w:themeColor="text1"/>
              </w:rPr>
            </w:pPr>
            <w:r w:rsidRPr="00370CE7">
              <w:rPr>
                <w:color w:val="000000" w:themeColor="text1"/>
              </w:rPr>
              <w:t>Day 30</w:t>
            </w:r>
          </w:p>
        </w:tc>
        <w:tc>
          <w:tcPr>
            <w:tcW w:w="1900" w:type="dxa"/>
          </w:tcPr>
          <w:p w14:paraId="67B0B359" w14:textId="77777777" w:rsidR="00370CE7" w:rsidRPr="00370CE7" w:rsidRDefault="00370CE7" w:rsidP="00370CE7">
            <w:pPr>
              <w:jc w:val="center"/>
              <w:rPr>
                <w:color w:val="000000" w:themeColor="text1"/>
              </w:rPr>
            </w:pPr>
            <w:r w:rsidRPr="00370CE7">
              <w:rPr>
                <w:color w:val="000000" w:themeColor="text1"/>
              </w:rPr>
              <w:t>24.4 ± 1.4ᵃ</w:t>
            </w:r>
          </w:p>
        </w:tc>
        <w:tc>
          <w:tcPr>
            <w:tcW w:w="1900" w:type="dxa"/>
          </w:tcPr>
          <w:p w14:paraId="00DD3F91" w14:textId="77777777" w:rsidR="00370CE7" w:rsidRPr="00370CE7" w:rsidRDefault="00370CE7" w:rsidP="00370CE7">
            <w:pPr>
              <w:jc w:val="center"/>
              <w:rPr>
                <w:color w:val="000000" w:themeColor="text1"/>
              </w:rPr>
            </w:pPr>
            <w:r w:rsidRPr="00370CE7">
              <w:rPr>
                <w:color w:val="000000" w:themeColor="text1"/>
              </w:rPr>
              <w:t>31.2 ± 1.9ᵇ</w:t>
            </w:r>
          </w:p>
        </w:tc>
        <w:tc>
          <w:tcPr>
            <w:tcW w:w="1900" w:type="dxa"/>
          </w:tcPr>
          <w:p w14:paraId="42DC562C" w14:textId="77777777" w:rsidR="00370CE7" w:rsidRPr="00370CE7" w:rsidRDefault="00370CE7" w:rsidP="00370CE7">
            <w:pPr>
              <w:jc w:val="center"/>
              <w:rPr>
                <w:color w:val="000000" w:themeColor="text1"/>
              </w:rPr>
            </w:pPr>
            <w:r w:rsidRPr="00370CE7">
              <w:rPr>
                <w:color w:val="000000" w:themeColor="text1"/>
              </w:rPr>
              <w:t>33.0 ± 1.8ᵇ</w:t>
            </w:r>
          </w:p>
        </w:tc>
      </w:tr>
      <w:tr w:rsidR="00370CE7" w:rsidRPr="00370CE7" w14:paraId="0FC61D24" w14:textId="77777777" w:rsidTr="00370CE7">
        <w:tc>
          <w:tcPr>
            <w:tcW w:w="2400" w:type="dxa"/>
            <w:vMerge/>
          </w:tcPr>
          <w:p w14:paraId="2840D1A3" w14:textId="77777777" w:rsidR="00370CE7" w:rsidRPr="00370CE7" w:rsidRDefault="00370CE7" w:rsidP="00370CE7">
            <w:pPr>
              <w:rPr>
                <w:color w:val="000000" w:themeColor="text1"/>
              </w:rPr>
            </w:pPr>
          </w:p>
        </w:tc>
        <w:tc>
          <w:tcPr>
            <w:tcW w:w="1600" w:type="dxa"/>
          </w:tcPr>
          <w:p w14:paraId="59B71329" w14:textId="77777777" w:rsidR="00370CE7" w:rsidRPr="00370CE7" w:rsidRDefault="00370CE7" w:rsidP="00370CE7">
            <w:pPr>
              <w:jc w:val="center"/>
              <w:rPr>
                <w:color w:val="000000" w:themeColor="text1"/>
              </w:rPr>
            </w:pPr>
            <w:r w:rsidRPr="00370CE7">
              <w:rPr>
                <w:color w:val="000000" w:themeColor="text1"/>
              </w:rPr>
              <w:t>Day 60</w:t>
            </w:r>
          </w:p>
        </w:tc>
        <w:tc>
          <w:tcPr>
            <w:tcW w:w="1900" w:type="dxa"/>
          </w:tcPr>
          <w:p w14:paraId="5F66E788" w14:textId="77777777" w:rsidR="00370CE7" w:rsidRPr="00370CE7" w:rsidRDefault="00370CE7" w:rsidP="00370CE7">
            <w:pPr>
              <w:jc w:val="center"/>
              <w:rPr>
                <w:color w:val="000000" w:themeColor="text1"/>
              </w:rPr>
            </w:pPr>
            <w:r w:rsidRPr="00370CE7">
              <w:rPr>
                <w:color w:val="000000" w:themeColor="text1"/>
              </w:rPr>
              <w:t>24.6 ± 1.3ᵃ</w:t>
            </w:r>
          </w:p>
        </w:tc>
        <w:tc>
          <w:tcPr>
            <w:tcW w:w="1900" w:type="dxa"/>
          </w:tcPr>
          <w:p w14:paraId="09CD2BDE" w14:textId="77777777" w:rsidR="00370CE7" w:rsidRPr="00370CE7" w:rsidRDefault="00370CE7" w:rsidP="00370CE7">
            <w:pPr>
              <w:jc w:val="center"/>
              <w:rPr>
                <w:color w:val="000000" w:themeColor="text1"/>
              </w:rPr>
            </w:pPr>
            <w:r w:rsidRPr="00370CE7">
              <w:rPr>
                <w:color w:val="000000" w:themeColor="text1"/>
              </w:rPr>
              <w:t>35.6 ± 2.1ᵇ</w:t>
            </w:r>
          </w:p>
        </w:tc>
        <w:tc>
          <w:tcPr>
            <w:tcW w:w="1900" w:type="dxa"/>
          </w:tcPr>
          <w:p w14:paraId="1F18A6DD" w14:textId="77777777" w:rsidR="00370CE7" w:rsidRPr="00370CE7" w:rsidRDefault="00370CE7" w:rsidP="00370CE7">
            <w:pPr>
              <w:jc w:val="center"/>
              <w:rPr>
                <w:color w:val="000000" w:themeColor="text1"/>
              </w:rPr>
            </w:pPr>
            <w:r w:rsidRPr="00370CE7">
              <w:rPr>
                <w:color w:val="000000" w:themeColor="text1"/>
              </w:rPr>
              <w:t>38.9 ± 2.0ᶜ</w:t>
            </w:r>
          </w:p>
        </w:tc>
      </w:tr>
    </w:tbl>
    <w:p w14:paraId="3E58B20A" w14:textId="77777777" w:rsidR="00AA707A" w:rsidRPr="00370CE7" w:rsidRDefault="00370CE7" w:rsidP="00370CE7">
      <w:pPr>
        <w:rPr>
          <w:color w:val="000000" w:themeColor="text1"/>
        </w:rPr>
      </w:pPr>
      <w:r w:rsidRPr="00370CE7">
        <w:rPr>
          <w:i/>
          <w:iCs/>
          <w:color w:val="000000" w:themeColor="text1"/>
        </w:rPr>
        <w:t xml:space="preserve">Superscripts a, b, c </w:t>
      </w:r>
      <w:proofErr w:type="gramStart"/>
      <w:r w:rsidRPr="00370CE7">
        <w:rPr>
          <w:i/>
          <w:iCs/>
          <w:color w:val="000000" w:themeColor="text1"/>
        </w:rPr>
        <w:t>indicate</w:t>
      </w:r>
      <w:proofErr w:type="gramEnd"/>
      <w:r w:rsidRPr="00370CE7">
        <w:rPr>
          <w:i/>
          <w:iCs/>
          <w:color w:val="000000" w:themeColor="text1"/>
        </w:rPr>
        <w:t xml:space="preserve"> significant differences across treatments within the same row (p &lt; 0.05, Tukey's HSD).</w:t>
      </w:r>
    </w:p>
    <w:p w14:paraId="6BB2F9CE" w14:textId="77777777" w:rsidR="00AA707A" w:rsidRPr="00370CE7" w:rsidRDefault="00370CE7" w:rsidP="00370CE7">
      <w:pPr>
        <w:spacing w:line="360" w:lineRule="auto"/>
        <w:jc w:val="both"/>
        <w:rPr>
          <w:color w:val="000000" w:themeColor="text1"/>
        </w:rPr>
      </w:pPr>
      <w:r w:rsidRPr="00370CE7">
        <w:rPr>
          <w:color w:val="000000" w:themeColor="text1"/>
          <w:sz w:val="24"/>
          <w:szCs w:val="24"/>
        </w:rPr>
        <w:t xml:space="preserve">The differential leukocyte count (Table 5) revealed a consistent pattern of relative lymphopenia accompanied by neutrophilia in both stress treatments, a classical hematological signature of the generalized stress response in </w:t>
      </w:r>
      <w:proofErr w:type="spellStart"/>
      <w:r w:rsidRPr="00370CE7">
        <w:rPr>
          <w:color w:val="000000" w:themeColor="text1"/>
          <w:sz w:val="24"/>
          <w:szCs w:val="24"/>
        </w:rPr>
        <w:t>teleosts</w:t>
      </w:r>
      <w:proofErr w:type="spellEnd"/>
      <w:r w:rsidRPr="00370CE7">
        <w:rPr>
          <w:color w:val="000000" w:themeColor="text1"/>
          <w:sz w:val="24"/>
          <w:szCs w:val="24"/>
        </w:rPr>
        <w:t xml:space="preserve"> mediated via cortisol release. Monocyte proportions increased modestly under both treatments, while eosinophil counts remained largely unchanged, suggesting a stress-associated rather than parasitic or allergic etiology for the observed leukocyte shifts.</w:t>
      </w:r>
    </w:p>
    <w:p w14:paraId="4C263B50" w14:textId="77777777" w:rsidR="00AA707A" w:rsidRPr="00370CE7" w:rsidRDefault="00370CE7" w:rsidP="00370CE7">
      <w:pPr>
        <w:rPr>
          <w:color w:val="000000" w:themeColor="text1"/>
        </w:rPr>
      </w:pPr>
      <w:r w:rsidRPr="00370CE7">
        <w:rPr>
          <w:b/>
          <w:bCs/>
          <w:color w:val="000000" w:themeColor="text1"/>
          <w:sz w:val="22"/>
          <w:szCs w:val="22"/>
        </w:rPr>
        <w:lastRenderedPageBreak/>
        <w:t xml:space="preserve">Table 5. Differential leukocyte count (%) of </w:t>
      </w:r>
      <w:proofErr w:type="spellStart"/>
      <w:r w:rsidRPr="00370CE7">
        <w:rPr>
          <w:b/>
          <w:bCs/>
          <w:color w:val="000000" w:themeColor="text1"/>
          <w:sz w:val="22"/>
          <w:szCs w:val="22"/>
        </w:rPr>
        <w:t>Labeo</w:t>
      </w:r>
      <w:proofErr w:type="spellEnd"/>
      <w:r w:rsidRPr="00370CE7">
        <w:rPr>
          <w:b/>
          <w:bCs/>
          <w:color w:val="000000" w:themeColor="text1"/>
          <w:sz w:val="22"/>
          <w:szCs w:val="22"/>
        </w:rPr>
        <w:t xml:space="preserve"> </w:t>
      </w:r>
      <w:proofErr w:type="spellStart"/>
      <w:r w:rsidRPr="00370CE7">
        <w:rPr>
          <w:b/>
          <w:bCs/>
          <w:color w:val="000000" w:themeColor="text1"/>
          <w:sz w:val="22"/>
          <w:szCs w:val="22"/>
        </w:rPr>
        <w:t>rohita</w:t>
      </w:r>
      <w:proofErr w:type="spellEnd"/>
      <w:r w:rsidRPr="00370CE7">
        <w:rPr>
          <w:b/>
          <w:bCs/>
          <w:color w:val="000000" w:themeColor="text1"/>
          <w:sz w:val="22"/>
          <w:szCs w:val="22"/>
        </w:rPr>
        <w:t xml:space="preserve"> at day 60 of sublethal pH exposure (mean ± SD, n = 6).</w:t>
      </w:r>
    </w:p>
    <w:tbl>
      <w:tblPr>
        <w:tblStyle w:val="TableGrid"/>
        <w:tblW w:w="9500" w:type="dxa"/>
        <w:tblLook w:val="04A0" w:firstRow="1" w:lastRow="0" w:firstColumn="1" w:lastColumn="0" w:noHBand="0" w:noVBand="1"/>
      </w:tblPr>
      <w:tblGrid>
        <w:gridCol w:w="3200"/>
        <w:gridCol w:w="2100"/>
        <w:gridCol w:w="2100"/>
        <w:gridCol w:w="2100"/>
      </w:tblGrid>
      <w:tr w:rsidR="00AA707A" w:rsidRPr="00370CE7" w14:paraId="5E29B281" w14:textId="77777777" w:rsidTr="00370CE7">
        <w:tc>
          <w:tcPr>
            <w:tcW w:w="3200" w:type="dxa"/>
          </w:tcPr>
          <w:p w14:paraId="71BE400E" w14:textId="77777777" w:rsidR="00AA707A" w:rsidRPr="00370CE7" w:rsidRDefault="00370CE7" w:rsidP="00370CE7">
            <w:pPr>
              <w:jc w:val="center"/>
              <w:rPr>
                <w:color w:val="000000" w:themeColor="text1"/>
              </w:rPr>
            </w:pPr>
            <w:r w:rsidRPr="00370CE7">
              <w:rPr>
                <w:b/>
                <w:bCs/>
                <w:color w:val="000000" w:themeColor="text1"/>
              </w:rPr>
              <w:t>Leukocyte type</w:t>
            </w:r>
          </w:p>
        </w:tc>
        <w:tc>
          <w:tcPr>
            <w:tcW w:w="2100" w:type="dxa"/>
          </w:tcPr>
          <w:p w14:paraId="2AAC4AAE" w14:textId="77777777" w:rsidR="00AA707A" w:rsidRPr="00370CE7" w:rsidRDefault="00370CE7" w:rsidP="00370CE7">
            <w:pPr>
              <w:jc w:val="center"/>
              <w:rPr>
                <w:color w:val="000000" w:themeColor="text1"/>
              </w:rPr>
            </w:pPr>
            <w:r w:rsidRPr="00370CE7">
              <w:rPr>
                <w:b/>
                <w:bCs/>
                <w:color w:val="000000" w:themeColor="text1"/>
              </w:rPr>
              <w:t>Control (pH 7.5)</w:t>
            </w:r>
          </w:p>
        </w:tc>
        <w:tc>
          <w:tcPr>
            <w:tcW w:w="2100" w:type="dxa"/>
          </w:tcPr>
          <w:p w14:paraId="2EB9B6C6" w14:textId="77777777" w:rsidR="00AA707A" w:rsidRPr="00370CE7" w:rsidRDefault="00370CE7" w:rsidP="00370CE7">
            <w:pPr>
              <w:jc w:val="center"/>
              <w:rPr>
                <w:color w:val="000000" w:themeColor="text1"/>
              </w:rPr>
            </w:pPr>
            <w:r w:rsidRPr="00370CE7">
              <w:rPr>
                <w:b/>
                <w:bCs/>
                <w:color w:val="000000" w:themeColor="text1"/>
              </w:rPr>
              <w:t>Acidic (pH 5.5)</w:t>
            </w:r>
          </w:p>
        </w:tc>
        <w:tc>
          <w:tcPr>
            <w:tcW w:w="2100" w:type="dxa"/>
          </w:tcPr>
          <w:p w14:paraId="25A5A14C" w14:textId="77777777" w:rsidR="00AA707A" w:rsidRPr="00370CE7" w:rsidRDefault="00370CE7" w:rsidP="00370CE7">
            <w:pPr>
              <w:jc w:val="center"/>
              <w:rPr>
                <w:color w:val="000000" w:themeColor="text1"/>
              </w:rPr>
            </w:pPr>
            <w:r w:rsidRPr="00370CE7">
              <w:rPr>
                <w:b/>
                <w:bCs/>
                <w:color w:val="000000" w:themeColor="text1"/>
              </w:rPr>
              <w:t>Alkaline (pH 9.5)</w:t>
            </w:r>
          </w:p>
        </w:tc>
      </w:tr>
      <w:tr w:rsidR="00AA707A" w:rsidRPr="00370CE7" w14:paraId="23741DC0" w14:textId="77777777" w:rsidTr="00370CE7">
        <w:tc>
          <w:tcPr>
            <w:tcW w:w="3200" w:type="dxa"/>
          </w:tcPr>
          <w:p w14:paraId="00B1ED29" w14:textId="77777777" w:rsidR="00AA707A" w:rsidRPr="00370CE7" w:rsidRDefault="00370CE7" w:rsidP="00370CE7">
            <w:pPr>
              <w:rPr>
                <w:color w:val="000000" w:themeColor="text1"/>
              </w:rPr>
            </w:pPr>
            <w:r w:rsidRPr="00370CE7">
              <w:rPr>
                <w:color w:val="000000" w:themeColor="text1"/>
              </w:rPr>
              <w:t>Lymphocytes</w:t>
            </w:r>
          </w:p>
        </w:tc>
        <w:tc>
          <w:tcPr>
            <w:tcW w:w="2100" w:type="dxa"/>
          </w:tcPr>
          <w:p w14:paraId="44E3FFC2" w14:textId="77777777" w:rsidR="00AA707A" w:rsidRPr="00370CE7" w:rsidRDefault="00370CE7" w:rsidP="00370CE7">
            <w:pPr>
              <w:jc w:val="center"/>
              <w:rPr>
                <w:color w:val="000000" w:themeColor="text1"/>
              </w:rPr>
            </w:pPr>
            <w:r w:rsidRPr="00370CE7">
              <w:rPr>
                <w:color w:val="000000" w:themeColor="text1"/>
              </w:rPr>
              <w:t>78.4 ± 2.1ᵃ</w:t>
            </w:r>
          </w:p>
        </w:tc>
        <w:tc>
          <w:tcPr>
            <w:tcW w:w="2100" w:type="dxa"/>
          </w:tcPr>
          <w:p w14:paraId="79D7825A" w14:textId="77777777" w:rsidR="00AA707A" w:rsidRPr="00370CE7" w:rsidRDefault="00370CE7" w:rsidP="00370CE7">
            <w:pPr>
              <w:jc w:val="center"/>
              <w:rPr>
                <w:color w:val="000000" w:themeColor="text1"/>
              </w:rPr>
            </w:pPr>
            <w:r w:rsidRPr="00370CE7">
              <w:rPr>
                <w:color w:val="000000" w:themeColor="text1"/>
              </w:rPr>
              <w:t>64.2 ± 2.8ᵇ</w:t>
            </w:r>
          </w:p>
        </w:tc>
        <w:tc>
          <w:tcPr>
            <w:tcW w:w="2100" w:type="dxa"/>
          </w:tcPr>
          <w:p w14:paraId="5BB0A9EF" w14:textId="77777777" w:rsidR="00AA707A" w:rsidRPr="00370CE7" w:rsidRDefault="00370CE7" w:rsidP="00370CE7">
            <w:pPr>
              <w:jc w:val="center"/>
              <w:rPr>
                <w:color w:val="000000" w:themeColor="text1"/>
              </w:rPr>
            </w:pPr>
            <w:r w:rsidRPr="00370CE7">
              <w:rPr>
                <w:color w:val="000000" w:themeColor="text1"/>
              </w:rPr>
              <w:t>67.5 ± 2.6ᵇ</w:t>
            </w:r>
          </w:p>
        </w:tc>
      </w:tr>
      <w:tr w:rsidR="00AA707A" w:rsidRPr="00370CE7" w14:paraId="65F46FCC" w14:textId="77777777" w:rsidTr="00370CE7">
        <w:tc>
          <w:tcPr>
            <w:tcW w:w="3200" w:type="dxa"/>
          </w:tcPr>
          <w:p w14:paraId="38A6261E" w14:textId="77777777" w:rsidR="00AA707A" w:rsidRPr="00370CE7" w:rsidRDefault="00370CE7" w:rsidP="00370CE7">
            <w:pPr>
              <w:rPr>
                <w:color w:val="000000" w:themeColor="text1"/>
              </w:rPr>
            </w:pPr>
            <w:r w:rsidRPr="00370CE7">
              <w:rPr>
                <w:color w:val="000000" w:themeColor="text1"/>
              </w:rPr>
              <w:t>Neutrophils</w:t>
            </w:r>
          </w:p>
        </w:tc>
        <w:tc>
          <w:tcPr>
            <w:tcW w:w="2100" w:type="dxa"/>
          </w:tcPr>
          <w:p w14:paraId="59111ECB" w14:textId="77777777" w:rsidR="00AA707A" w:rsidRPr="00370CE7" w:rsidRDefault="00370CE7" w:rsidP="00370CE7">
            <w:pPr>
              <w:jc w:val="center"/>
              <w:rPr>
                <w:color w:val="000000" w:themeColor="text1"/>
              </w:rPr>
            </w:pPr>
            <w:r w:rsidRPr="00370CE7">
              <w:rPr>
                <w:color w:val="000000" w:themeColor="text1"/>
              </w:rPr>
              <w:t>14.6 ± 1.3ᵃ</w:t>
            </w:r>
          </w:p>
        </w:tc>
        <w:tc>
          <w:tcPr>
            <w:tcW w:w="2100" w:type="dxa"/>
          </w:tcPr>
          <w:p w14:paraId="00D7400B" w14:textId="77777777" w:rsidR="00AA707A" w:rsidRPr="00370CE7" w:rsidRDefault="00370CE7" w:rsidP="00370CE7">
            <w:pPr>
              <w:jc w:val="center"/>
              <w:rPr>
                <w:color w:val="000000" w:themeColor="text1"/>
              </w:rPr>
            </w:pPr>
            <w:r w:rsidRPr="00370CE7">
              <w:rPr>
                <w:color w:val="000000" w:themeColor="text1"/>
              </w:rPr>
              <w:t>25.8 ± 1.9ᵇ</w:t>
            </w:r>
          </w:p>
        </w:tc>
        <w:tc>
          <w:tcPr>
            <w:tcW w:w="2100" w:type="dxa"/>
          </w:tcPr>
          <w:p w14:paraId="5CC0A7DB" w14:textId="77777777" w:rsidR="00AA707A" w:rsidRPr="00370CE7" w:rsidRDefault="00370CE7" w:rsidP="00370CE7">
            <w:pPr>
              <w:jc w:val="center"/>
              <w:rPr>
                <w:color w:val="000000" w:themeColor="text1"/>
              </w:rPr>
            </w:pPr>
            <w:r w:rsidRPr="00370CE7">
              <w:rPr>
                <w:color w:val="000000" w:themeColor="text1"/>
              </w:rPr>
              <w:t>22.4 ± 1.7ᵇ</w:t>
            </w:r>
          </w:p>
        </w:tc>
      </w:tr>
      <w:tr w:rsidR="00AA707A" w:rsidRPr="00370CE7" w14:paraId="13289411" w14:textId="77777777" w:rsidTr="00370CE7">
        <w:tc>
          <w:tcPr>
            <w:tcW w:w="3200" w:type="dxa"/>
          </w:tcPr>
          <w:p w14:paraId="6D71D859" w14:textId="77777777" w:rsidR="00AA707A" w:rsidRPr="00370CE7" w:rsidRDefault="00370CE7" w:rsidP="00370CE7">
            <w:pPr>
              <w:rPr>
                <w:color w:val="000000" w:themeColor="text1"/>
              </w:rPr>
            </w:pPr>
            <w:r w:rsidRPr="00370CE7">
              <w:rPr>
                <w:color w:val="000000" w:themeColor="text1"/>
              </w:rPr>
              <w:t>Monocytes</w:t>
            </w:r>
          </w:p>
        </w:tc>
        <w:tc>
          <w:tcPr>
            <w:tcW w:w="2100" w:type="dxa"/>
          </w:tcPr>
          <w:p w14:paraId="4385B61C" w14:textId="77777777" w:rsidR="00AA707A" w:rsidRPr="00370CE7" w:rsidRDefault="00370CE7" w:rsidP="00370CE7">
            <w:pPr>
              <w:jc w:val="center"/>
              <w:rPr>
                <w:color w:val="000000" w:themeColor="text1"/>
              </w:rPr>
            </w:pPr>
            <w:r w:rsidRPr="00370CE7">
              <w:rPr>
                <w:color w:val="000000" w:themeColor="text1"/>
              </w:rPr>
              <w:t>4.8 ± 0.6ᵃ</w:t>
            </w:r>
          </w:p>
        </w:tc>
        <w:tc>
          <w:tcPr>
            <w:tcW w:w="2100" w:type="dxa"/>
          </w:tcPr>
          <w:p w14:paraId="7BA819AC" w14:textId="77777777" w:rsidR="00AA707A" w:rsidRPr="00370CE7" w:rsidRDefault="00370CE7" w:rsidP="00370CE7">
            <w:pPr>
              <w:jc w:val="center"/>
              <w:rPr>
                <w:color w:val="000000" w:themeColor="text1"/>
              </w:rPr>
            </w:pPr>
            <w:r w:rsidRPr="00370CE7">
              <w:rPr>
                <w:color w:val="000000" w:themeColor="text1"/>
              </w:rPr>
              <w:t>7.1 ± 0.8ᵇ</w:t>
            </w:r>
          </w:p>
        </w:tc>
        <w:tc>
          <w:tcPr>
            <w:tcW w:w="2100" w:type="dxa"/>
          </w:tcPr>
          <w:p w14:paraId="7AEDE2F4" w14:textId="77777777" w:rsidR="00AA707A" w:rsidRPr="00370CE7" w:rsidRDefault="00370CE7" w:rsidP="00370CE7">
            <w:pPr>
              <w:jc w:val="center"/>
              <w:rPr>
                <w:color w:val="000000" w:themeColor="text1"/>
              </w:rPr>
            </w:pPr>
            <w:r w:rsidRPr="00370CE7">
              <w:rPr>
                <w:color w:val="000000" w:themeColor="text1"/>
              </w:rPr>
              <w:t>6.9 ± 0.7ᵇ</w:t>
            </w:r>
          </w:p>
        </w:tc>
      </w:tr>
      <w:tr w:rsidR="00AA707A" w:rsidRPr="00370CE7" w14:paraId="7B7A22C8" w14:textId="77777777" w:rsidTr="00370CE7">
        <w:tc>
          <w:tcPr>
            <w:tcW w:w="3200" w:type="dxa"/>
          </w:tcPr>
          <w:p w14:paraId="16C51989" w14:textId="77777777" w:rsidR="00AA707A" w:rsidRPr="00370CE7" w:rsidRDefault="00370CE7" w:rsidP="00370CE7">
            <w:pPr>
              <w:rPr>
                <w:color w:val="000000" w:themeColor="text1"/>
              </w:rPr>
            </w:pPr>
            <w:r w:rsidRPr="00370CE7">
              <w:rPr>
                <w:color w:val="000000" w:themeColor="text1"/>
              </w:rPr>
              <w:t>Eosinophils</w:t>
            </w:r>
          </w:p>
        </w:tc>
        <w:tc>
          <w:tcPr>
            <w:tcW w:w="2100" w:type="dxa"/>
          </w:tcPr>
          <w:p w14:paraId="22714994" w14:textId="77777777" w:rsidR="00AA707A" w:rsidRPr="00370CE7" w:rsidRDefault="00370CE7" w:rsidP="00370CE7">
            <w:pPr>
              <w:jc w:val="center"/>
              <w:rPr>
                <w:color w:val="000000" w:themeColor="text1"/>
              </w:rPr>
            </w:pPr>
            <w:r w:rsidRPr="00370CE7">
              <w:rPr>
                <w:color w:val="000000" w:themeColor="text1"/>
              </w:rPr>
              <w:t>1.6 ± 0.3ᵃ</w:t>
            </w:r>
          </w:p>
        </w:tc>
        <w:tc>
          <w:tcPr>
            <w:tcW w:w="2100" w:type="dxa"/>
          </w:tcPr>
          <w:p w14:paraId="6F207E11" w14:textId="77777777" w:rsidR="00AA707A" w:rsidRPr="00370CE7" w:rsidRDefault="00370CE7" w:rsidP="00370CE7">
            <w:pPr>
              <w:jc w:val="center"/>
              <w:rPr>
                <w:color w:val="000000" w:themeColor="text1"/>
              </w:rPr>
            </w:pPr>
            <w:r w:rsidRPr="00370CE7">
              <w:rPr>
                <w:color w:val="000000" w:themeColor="text1"/>
              </w:rPr>
              <w:t>1.9 ± 0.4ᵃ</w:t>
            </w:r>
          </w:p>
        </w:tc>
        <w:tc>
          <w:tcPr>
            <w:tcW w:w="2100" w:type="dxa"/>
          </w:tcPr>
          <w:p w14:paraId="4C914112" w14:textId="77777777" w:rsidR="00AA707A" w:rsidRPr="00370CE7" w:rsidRDefault="00370CE7" w:rsidP="00370CE7">
            <w:pPr>
              <w:jc w:val="center"/>
              <w:rPr>
                <w:color w:val="000000" w:themeColor="text1"/>
              </w:rPr>
            </w:pPr>
            <w:r w:rsidRPr="00370CE7">
              <w:rPr>
                <w:color w:val="000000" w:themeColor="text1"/>
              </w:rPr>
              <w:t>2.1 ± 0.4ᵃ</w:t>
            </w:r>
          </w:p>
        </w:tc>
      </w:tr>
      <w:tr w:rsidR="00AA707A" w:rsidRPr="00370CE7" w14:paraId="48372072" w14:textId="77777777" w:rsidTr="00370CE7">
        <w:tc>
          <w:tcPr>
            <w:tcW w:w="3200" w:type="dxa"/>
          </w:tcPr>
          <w:p w14:paraId="17954B4B" w14:textId="77777777" w:rsidR="00AA707A" w:rsidRPr="00370CE7" w:rsidRDefault="00370CE7" w:rsidP="00370CE7">
            <w:pPr>
              <w:rPr>
                <w:color w:val="000000" w:themeColor="text1"/>
              </w:rPr>
            </w:pPr>
            <w:r w:rsidRPr="00370CE7">
              <w:rPr>
                <w:color w:val="000000" w:themeColor="text1"/>
              </w:rPr>
              <w:t>Basophils</w:t>
            </w:r>
          </w:p>
        </w:tc>
        <w:tc>
          <w:tcPr>
            <w:tcW w:w="2100" w:type="dxa"/>
          </w:tcPr>
          <w:p w14:paraId="557640CE" w14:textId="77777777" w:rsidR="00AA707A" w:rsidRPr="00370CE7" w:rsidRDefault="00370CE7" w:rsidP="00370CE7">
            <w:pPr>
              <w:jc w:val="center"/>
              <w:rPr>
                <w:color w:val="000000" w:themeColor="text1"/>
              </w:rPr>
            </w:pPr>
            <w:r w:rsidRPr="00370CE7">
              <w:rPr>
                <w:color w:val="000000" w:themeColor="text1"/>
              </w:rPr>
              <w:t>0.6 ± 0.2ᵃ</w:t>
            </w:r>
          </w:p>
        </w:tc>
        <w:tc>
          <w:tcPr>
            <w:tcW w:w="2100" w:type="dxa"/>
          </w:tcPr>
          <w:p w14:paraId="34A10065" w14:textId="77777777" w:rsidR="00AA707A" w:rsidRPr="00370CE7" w:rsidRDefault="00370CE7" w:rsidP="00370CE7">
            <w:pPr>
              <w:jc w:val="center"/>
              <w:rPr>
                <w:color w:val="000000" w:themeColor="text1"/>
              </w:rPr>
            </w:pPr>
            <w:r w:rsidRPr="00370CE7">
              <w:rPr>
                <w:color w:val="000000" w:themeColor="text1"/>
              </w:rPr>
              <w:t>1.0 ± 0.3ᵃ</w:t>
            </w:r>
          </w:p>
        </w:tc>
        <w:tc>
          <w:tcPr>
            <w:tcW w:w="2100" w:type="dxa"/>
          </w:tcPr>
          <w:p w14:paraId="1F98E934" w14:textId="77777777" w:rsidR="00AA707A" w:rsidRPr="00370CE7" w:rsidRDefault="00370CE7" w:rsidP="00370CE7">
            <w:pPr>
              <w:jc w:val="center"/>
              <w:rPr>
                <w:color w:val="000000" w:themeColor="text1"/>
              </w:rPr>
            </w:pPr>
            <w:r w:rsidRPr="00370CE7">
              <w:rPr>
                <w:color w:val="000000" w:themeColor="text1"/>
              </w:rPr>
              <w:t>1.1 ± 0.3ᵃ</w:t>
            </w:r>
          </w:p>
        </w:tc>
      </w:tr>
    </w:tbl>
    <w:p w14:paraId="05E483DE" w14:textId="77777777" w:rsidR="00AA707A" w:rsidRPr="00370CE7" w:rsidRDefault="00370CE7" w:rsidP="00370CE7">
      <w:pPr>
        <w:pStyle w:val="Heading2"/>
        <w:rPr>
          <w:color w:val="000000" w:themeColor="text1"/>
        </w:rPr>
      </w:pPr>
      <w:r w:rsidRPr="00370CE7">
        <w:rPr>
          <w:b/>
          <w:bCs/>
          <w:color w:val="000000" w:themeColor="text1"/>
        </w:rPr>
        <w:t>3.4 Oxidative Stress Biomarker Responses</w:t>
      </w:r>
    </w:p>
    <w:p w14:paraId="2AA395F2" w14:textId="77777777" w:rsidR="00AA707A" w:rsidRPr="00370CE7" w:rsidRDefault="00370CE7" w:rsidP="00370CE7">
      <w:pPr>
        <w:spacing w:line="360" w:lineRule="auto"/>
        <w:jc w:val="both"/>
        <w:rPr>
          <w:color w:val="000000" w:themeColor="text1"/>
        </w:rPr>
      </w:pPr>
      <w:r>
        <w:rPr>
          <w:color w:val="000000" w:themeColor="text1"/>
          <w:sz w:val="24"/>
          <w:szCs w:val="24"/>
        </w:rPr>
        <w:t xml:space="preserve">Oxidative stress </w:t>
      </w:r>
      <w:proofErr w:type="gramStart"/>
      <w:r>
        <w:rPr>
          <w:color w:val="000000" w:themeColor="text1"/>
          <w:sz w:val="24"/>
          <w:szCs w:val="24"/>
        </w:rPr>
        <w:t xml:space="preserve">biomarkers </w:t>
      </w:r>
      <w:r w:rsidRPr="00370CE7">
        <w:rPr>
          <w:color w:val="000000" w:themeColor="text1"/>
          <w:sz w:val="24"/>
          <w:szCs w:val="24"/>
        </w:rPr>
        <w:t xml:space="preserve"> lipid</w:t>
      </w:r>
      <w:proofErr w:type="gramEnd"/>
      <w:r w:rsidRPr="00370CE7">
        <w:rPr>
          <w:color w:val="000000" w:themeColor="text1"/>
          <w:sz w:val="24"/>
          <w:szCs w:val="24"/>
        </w:rPr>
        <w:t xml:space="preserve"> peroxidation (malondialdehyde, MDA), superoxide dismutase (SOD), catalase (CAT), glutathione peroxidase (</w:t>
      </w:r>
      <w:proofErr w:type="spellStart"/>
      <w:r w:rsidRPr="00370CE7">
        <w:rPr>
          <w:color w:val="000000" w:themeColor="text1"/>
          <w:sz w:val="24"/>
          <w:szCs w:val="24"/>
        </w:rPr>
        <w:t>GPx</w:t>
      </w:r>
      <w:proofErr w:type="spellEnd"/>
      <w:r w:rsidRPr="00370CE7">
        <w:rPr>
          <w:color w:val="000000" w:themeColor="text1"/>
          <w:sz w:val="24"/>
          <w:szCs w:val="24"/>
        </w:rPr>
        <w:t>),</w:t>
      </w:r>
      <w:r>
        <w:rPr>
          <w:color w:val="000000" w:themeColor="text1"/>
          <w:sz w:val="24"/>
          <w:szCs w:val="24"/>
        </w:rPr>
        <w:t xml:space="preserve"> and reduced glutathione (</w:t>
      </w:r>
      <w:proofErr w:type="gramStart"/>
      <w:r>
        <w:rPr>
          <w:color w:val="000000" w:themeColor="text1"/>
          <w:sz w:val="24"/>
          <w:szCs w:val="24"/>
        </w:rPr>
        <w:t xml:space="preserve">GSH) </w:t>
      </w:r>
      <w:r w:rsidRPr="00370CE7">
        <w:rPr>
          <w:color w:val="000000" w:themeColor="text1"/>
          <w:sz w:val="24"/>
          <w:szCs w:val="24"/>
        </w:rPr>
        <w:t xml:space="preserve"> were</w:t>
      </w:r>
      <w:proofErr w:type="gramEnd"/>
      <w:r w:rsidRPr="00370CE7">
        <w:rPr>
          <w:color w:val="000000" w:themeColor="text1"/>
          <w:sz w:val="24"/>
          <w:szCs w:val="24"/>
        </w:rPr>
        <w:t xml:space="preserve"> quantified in gill, liver, and kidney tissues at 15, 30, and 60 days of sublethal exposure. A consistent pattern emerged across all three tissues: MDA levels rose progressively with exposure duration in both stress treatments, while enzymatic antioxidants (SOD, CAT, </w:t>
      </w:r>
      <w:proofErr w:type="spellStart"/>
      <w:r w:rsidRPr="00370CE7">
        <w:rPr>
          <w:color w:val="000000" w:themeColor="text1"/>
          <w:sz w:val="24"/>
          <w:szCs w:val="24"/>
        </w:rPr>
        <w:t>GPx</w:t>
      </w:r>
      <w:proofErr w:type="spellEnd"/>
      <w:r w:rsidRPr="00370CE7">
        <w:rPr>
          <w:color w:val="000000" w:themeColor="text1"/>
          <w:sz w:val="24"/>
          <w:szCs w:val="24"/>
        </w:rPr>
        <w:t>) followed a biphasic trajectory, with an initial compensatory induction at day 15–30 followed by a decline toward or below control levels by day 60 in the acidic treatment, consistent with exhaustion of the antioxidant defense system under sustained acid stress. GSH content declined steadily across the exposure period in both treatments.</w:t>
      </w:r>
    </w:p>
    <w:p w14:paraId="60BC2487" w14:textId="77777777" w:rsidR="00AA707A" w:rsidRPr="00370CE7" w:rsidRDefault="00370CE7" w:rsidP="00370CE7">
      <w:pPr>
        <w:spacing w:line="360" w:lineRule="auto"/>
        <w:jc w:val="both"/>
        <w:rPr>
          <w:color w:val="000000" w:themeColor="text1"/>
        </w:rPr>
      </w:pPr>
      <w:r w:rsidRPr="00370CE7">
        <w:rPr>
          <w:color w:val="000000" w:themeColor="text1"/>
          <w:sz w:val="24"/>
          <w:szCs w:val="24"/>
        </w:rPr>
        <w:t>All enzymatic activities were normalized to tissue protein content (Lowry method) to control for potential differences in tissue protein density across treatments and sampling intervals. Assay-specific quality control included the use of certified reference standards for SOD and CAT, and inter-assay coefficients of variation were maintained below 8% throughout the study, supporting the reliability of the reported biomarker values. The overall pattern of enzymatic induction followed by exhaustion is consistent with the classical framework for adaptive versus maladaptive stress response trajectories described in the ecotoxicological literature, wherein an initial compensatory upregulation of antioxidant capacity is progressively overwhelmed by a sustained or escalating pro-oxidant challenge, ultimately resulting in a net decline in enzymatic defense capacity concurrent with accumulating oxidative damage, as reflected in the parallel rise in MDA across all three tissues and both treatment conditions.</w:t>
      </w:r>
    </w:p>
    <w:p w14:paraId="2CD2310D" w14:textId="77777777" w:rsidR="00AA707A" w:rsidRPr="00370CE7" w:rsidRDefault="00370CE7" w:rsidP="00370CE7">
      <w:pPr>
        <w:pStyle w:val="Heading2"/>
        <w:rPr>
          <w:color w:val="000000" w:themeColor="text1"/>
        </w:rPr>
      </w:pPr>
      <w:r w:rsidRPr="00370CE7">
        <w:rPr>
          <w:b/>
          <w:bCs/>
          <w:color w:val="000000" w:themeColor="text1"/>
        </w:rPr>
        <w:t>3.4.1 Gill Tissue</w:t>
      </w:r>
    </w:p>
    <w:p w14:paraId="16B089AE" w14:textId="77777777" w:rsidR="00AA707A" w:rsidRPr="00370CE7" w:rsidRDefault="00370CE7" w:rsidP="00370CE7">
      <w:pPr>
        <w:spacing w:line="360" w:lineRule="auto"/>
        <w:jc w:val="both"/>
        <w:rPr>
          <w:color w:val="000000" w:themeColor="text1"/>
        </w:rPr>
      </w:pPr>
      <w:r w:rsidRPr="00370CE7">
        <w:rPr>
          <w:color w:val="000000" w:themeColor="text1"/>
          <w:sz w:val="24"/>
          <w:szCs w:val="24"/>
        </w:rPr>
        <w:t xml:space="preserve">The gill, as the tissue in most direct contact with the ambient medium, exhibited the earliest and most pronounced oxidative stress response among the three tissues examined. MDA content in gill tissue increased significantly from day 15 onward in both acidic and alkaline treatments, with the acidic group showing the steeper rate of increase (Table 6). SOD and CAT activities were significantly elevated at day 15 and day 30 in both treatments relative to control, reflecting </w:t>
      </w:r>
      <w:r w:rsidRPr="00370CE7">
        <w:rPr>
          <w:color w:val="000000" w:themeColor="text1"/>
          <w:sz w:val="24"/>
          <w:szCs w:val="24"/>
        </w:rPr>
        <w:lastRenderedPageBreak/>
        <w:t>an adaptive upregulation of the primary antioxidant enzymes; however, by day 60, SOD and CAT activities in the acidic treatment had declined to values not significantly different from, or below, control levels, while the alkaline treatment retained comparatively higher residual enzyme activity at day 60.</w:t>
      </w:r>
    </w:p>
    <w:p w14:paraId="0D9E9668" w14:textId="77777777" w:rsidR="00AA707A" w:rsidRPr="00370CE7" w:rsidRDefault="00370CE7" w:rsidP="00370CE7">
      <w:pPr>
        <w:jc w:val="center"/>
        <w:rPr>
          <w:color w:val="000000" w:themeColor="text1"/>
        </w:rPr>
      </w:pPr>
      <w:r w:rsidRPr="00370CE7">
        <w:rPr>
          <w:b/>
          <w:bCs/>
          <w:color w:val="000000" w:themeColor="text1"/>
          <w:sz w:val="22"/>
          <w:szCs w:val="22"/>
        </w:rPr>
        <w:t xml:space="preserve">Table 6. Oxidative stress biomarkers in gill tissue of </w:t>
      </w:r>
      <w:proofErr w:type="spellStart"/>
      <w:r w:rsidRPr="00370CE7">
        <w:rPr>
          <w:b/>
          <w:bCs/>
          <w:color w:val="000000" w:themeColor="text1"/>
          <w:sz w:val="22"/>
          <w:szCs w:val="22"/>
        </w:rPr>
        <w:t>Labeo</w:t>
      </w:r>
      <w:proofErr w:type="spellEnd"/>
      <w:r w:rsidRPr="00370CE7">
        <w:rPr>
          <w:b/>
          <w:bCs/>
          <w:color w:val="000000" w:themeColor="text1"/>
          <w:sz w:val="22"/>
          <w:szCs w:val="22"/>
        </w:rPr>
        <w:t xml:space="preserve"> </w:t>
      </w:r>
      <w:proofErr w:type="spellStart"/>
      <w:r w:rsidRPr="00370CE7">
        <w:rPr>
          <w:b/>
          <w:bCs/>
          <w:color w:val="000000" w:themeColor="text1"/>
          <w:sz w:val="22"/>
          <w:szCs w:val="22"/>
        </w:rPr>
        <w:t>rohita</w:t>
      </w:r>
      <w:proofErr w:type="spellEnd"/>
      <w:r w:rsidRPr="00370CE7">
        <w:rPr>
          <w:b/>
          <w:bCs/>
          <w:color w:val="000000" w:themeColor="text1"/>
          <w:sz w:val="22"/>
          <w:szCs w:val="22"/>
        </w:rPr>
        <w:t xml:space="preserve"> under sublethal pH exposure (mean ± SD, n = 6).</w:t>
      </w:r>
    </w:p>
    <w:tbl>
      <w:tblPr>
        <w:tblStyle w:val="TableGrid"/>
        <w:tblW w:w="9350" w:type="dxa"/>
        <w:tblLook w:val="04A0" w:firstRow="1" w:lastRow="0" w:firstColumn="1" w:lastColumn="0" w:noHBand="0" w:noVBand="1"/>
      </w:tblPr>
      <w:tblGrid>
        <w:gridCol w:w="2600"/>
        <w:gridCol w:w="1500"/>
        <w:gridCol w:w="1750"/>
        <w:gridCol w:w="1850"/>
        <w:gridCol w:w="1650"/>
      </w:tblGrid>
      <w:tr w:rsidR="00AA707A" w:rsidRPr="00370CE7" w14:paraId="64D50285" w14:textId="77777777" w:rsidTr="00370CE7">
        <w:tc>
          <w:tcPr>
            <w:tcW w:w="2600" w:type="dxa"/>
          </w:tcPr>
          <w:p w14:paraId="17FCBE1E" w14:textId="77777777" w:rsidR="00AA707A" w:rsidRPr="00370CE7" w:rsidRDefault="00370CE7" w:rsidP="00370CE7">
            <w:pPr>
              <w:jc w:val="center"/>
              <w:rPr>
                <w:color w:val="000000" w:themeColor="text1"/>
              </w:rPr>
            </w:pPr>
            <w:r w:rsidRPr="00370CE7">
              <w:rPr>
                <w:b/>
                <w:bCs/>
                <w:color w:val="000000" w:themeColor="text1"/>
              </w:rPr>
              <w:t>Biomarker</w:t>
            </w:r>
          </w:p>
        </w:tc>
        <w:tc>
          <w:tcPr>
            <w:tcW w:w="1500" w:type="dxa"/>
          </w:tcPr>
          <w:p w14:paraId="5616506D" w14:textId="77777777" w:rsidR="00AA707A" w:rsidRPr="00370CE7" w:rsidRDefault="00370CE7" w:rsidP="00370CE7">
            <w:pPr>
              <w:jc w:val="center"/>
              <w:rPr>
                <w:color w:val="000000" w:themeColor="text1"/>
              </w:rPr>
            </w:pPr>
            <w:r w:rsidRPr="00370CE7">
              <w:rPr>
                <w:b/>
                <w:bCs/>
                <w:color w:val="000000" w:themeColor="text1"/>
              </w:rPr>
              <w:t>Duration</w:t>
            </w:r>
          </w:p>
        </w:tc>
        <w:tc>
          <w:tcPr>
            <w:tcW w:w="1750" w:type="dxa"/>
          </w:tcPr>
          <w:p w14:paraId="31184309" w14:textId="77777777" w:rsidR="00AA707A" w:rsidRPr="00370CE7" w:rsidRDefault="00370CE7" w:rsidP="00370CE7">
            <w:pPr>
              <w:jc w:val="center"/>
              <w:rPr>
                <w:color w:val="000000" w:themeColor="text1"/>
              </w:rPr>
            </w:pPr>
            <w:r w:rsidRPr="00370CE7">
              <w:rPr>
                <w:b/>
                <w:bCs/>
                <w:color w:val="000000" w:themeColor="text1"/>
              </w:rPr>
              <w:t>Control</w:t>
            </w:r>
          </w:p>
        </w:tc>
        <w:tc>
          <w:tcPr>
            <w:tcW w:w="1850" w:type="dxa"/>
          </w:tcPr>
          <w:p w14:paraId="0AD07728" w14:textId="77777777" w:rsidR="00AA707A" w:rsidRPr="00370CE7" w:rsidRDefault="00370CE7" w:rsidP="00370CE7">
            <w:pPr>
              <w:jc w:val="center"/>
              <w:rPr>
                <w:color w:val="000000" w:themeColor="text1"/>
              </w:rPr>
            </w:pPr>
            <w:r w:rsidRPr="00370CE7">
              <w:rPr>
                <w:b/>
                <w:bCs/>
                <w:color w:val="000000" w:themeColor="text1"/>
              </w:rPr>
              <w:t>Acidic (pH 5.5)</w:t>
            </w:r>
          </w:p>
        </w:tc>
        <w:tc>
          <w:tcPr>
            <w:tcW w:w="1650" w:type="dxa"/>
          </w:tcPr>
          <w:p w14:paraId="7A77E68F" w14:textId="77777777" w:rsidR="00AA707A" w:rsidRPr="00370CE7" w:rsidRDefault="00370CE7" w:rsidP="00370CE7">
            <w:pPr>
              <w:jc w:val="center"/>
              <w:rPr>
                <w:color w:val="000000" w:themeColor="text1"/>
              </w:rPr>
            </w:pPr>
            <w:r w:rsidRPr="00370CE7">
              <w:rPr>
                <w:b/>
                <w:bCs/>
                <w:color w:val="000000" w:themeColor="text1"/>
              </w:rPr>
              <w:t>Alkaline (pH 9.5)</w:t>
            </w:r>
          </w:p>
        </w:tc>
      </w:tr>
      <w:tr w:rsidR="00370CE7" w:rsidRPr="00370CE7" w14:paraId="03A62530" w14:textId="77777777" w:rsidTr="00370CE7">
        <w:tc>
          <w:tcPr>
            <w:tcW w:w="2600" w:type="dxa"/>
            <w:vMerge w:val="restart"/>
          </w:tcPr>
          <w:p w14:paraId="5ACE8AD9" w14:textId="77777777" w:rsidR="00370CE7" w:rsidRPr="00370CE7" w:rsidRDefault="00370CE7" w:rsidP="00370CE7">
            <w:pPr>
              <w:rPr>
                <w:color w:val="000000" w:themeColor="text1"/>
              </w:rPr>
            </w:pPr>
            <w:r w:rsidRPr="00370CE7">
              <w:rPr>
                <w:color w:val="000000" w:themeColor="text1"/>
              </w:rPr>
              <w:t>MDA (nmol/mg protein)</w:t>
            </w:r>
          </w:p>
        </w:tc>
        <w:tc>
          <w:tcPr>
            <w:tcW w:w="1500" w:type="dxa"/>
          </w:tcPr>
          <w:p w14:paraId="40B17B34" w14:textId="77777777" w:rsidR="00370CE7" w:rsidRPr="00370CE7" w:rsidRDefault="00370CE7" w:rsidP="00370CE7">
            <w:pPr>
              <w:jc w:val="center"/>
              <w:rPr>
                <w:color w:val="000000" w:themeColor="text1"/>
              </w:rPr>
            </w:pPr>
            <w:r w:rsidRPr="00370CE7">
              <w:rPr>
                <w:color w:val="000000" w:themeColor="text1"/>
              </w:rPr>
              <w:t>Day 15</w:t>
            </w:r>
          </w:p>
        </w:tc>
        <w:tc>
          <w:tcPr>
            <w:tcW w:w="1750" w:type="dxa"/>
          </w:tcPr>
          <w:p w14:paraId="73D04198" w14:textId="77777777" w:rsidR="00370CE7" w:rsidRPr="00370CE7" w:rsidRDefault="00370CE7" w:rsidP="00370CE7">
            <w:pPr>
              <w:jc w:val="center"/>
              <w:rPr>
                <w:color w:val="000000" w:themeColor="text1"/>
              </w:rPr>
            </w:pPr>
            <w:r w:rsidRPr="00370CE7">
              <w:rPr>
                <w:color w:val="000000" w:themeColor="text1"/>
              </w:rPr>
              <w:t>2.14 ± 0.18ᵃ</w:t>
            </w:r>
          </w:p>
        </w:tc>
        <w:tc>
          <w:tcPr>
            <w:tcW w:w="1850" w:type="dxa"/>
          </w:tcPr>
          <w:p w14:paraId="17715DE8" w14:textId="77777777" w:rsidR="00370CE7" w:rsidRPr="00370CE7" w:rsidRDefault="00370CE7" w:rsidP="00370CE7">
            <w:pPr>
              <w:jc w:val="center"/>
              <w:rPr>
                <w:color w:val="000000" w:themeColor="text1"/>
              </w:rPr>
            </w:pPr>
            <w:r w:rsidRPr="00370CE7">
              <w:rPr>
                <w:color w:val="000000" w:themeColor="text1"/>
              </w:rPr>
              <w:t>3.42 ± 0.24ᵇ</w:t>
            </w:r>
          </w:p>
        </w:tc>
        <w:tc>
          <w:tcPr>
            <w:tcW w:w="1650" w:type="dxa"/>
          </w:tcPr>
          <w:p w14:paraId="732C4028" w14:textId="77777777" w:rsidR="00370CE7" w:rsidRPr="00370CE7" w:rsidRDefault="00370CE7" w:rsidP="00370CE7">
            <w:pPr>
              <w:jc w:val="center"/>
              <w:rPr>
                <w:color w:val="000000" w:themeColor="text1"/>
              </w:rPr>
            </w:pPr>
            <w:r w:rsidRPr="00370CE7">
              <w:rPr>
                <w:color w:val="000000" w:themeColor="text1"/>
              </w:rPr>
              <w:t>3.05 ± 0.21ᵇ</w:t>
            </w:r>
          </w:p>
        </w:tc>
      </w:tr>
      <w:tr w:rsidR="00370CE7" w:rsidRPr="00370CE7" w14:paraId="1FDC79C0" w14:textId="77777777" w:rsidTr="00370CE7">
        <w:tc>
          <w:tcPr>
            <w:tcW w:w="2600" w:type="dxa"/>
            <w:vMerge/>
          </w:tcPr>
          <w:p w14:paraId="17ED5039" w14:textId="77777777" w:rsidR="00370CE7" w:rsidRPr="00370CE7" w:rsidRDefault="00370CE7" w:rsidP="00370CE7">
            <w:pPr>
              <w:rPr>
                <w:color w:val="000000" w:themeColor="text1"/>
              </w:rPr>
            </w:pPr>
          </w:p>
        </w:tc>
        <w:tc>
          <w:tcPr>
            <w:tcW w:w="1500" w:type="dxa"/>
          </w:tcPr>
          <w:p w14:paraId="062B4D83" w14:textId="77777777" w:rsidR="00370CE7" w:rsidRPr="00370CE7" w:rsidRDefault="00370CE7" w:rsidP="00370CE7">
            <w:pPr>
              <w:jc w:val="center"/>
              <w:rPr>
                <w:color w:val="000000" w:themeColor="text1"/>
              </w:rPr>
            </w:pPr>
            <w:r w:rsidRPr="00370CE7">
              <w:rPr>
                <w:color w:val="000000" w:themeColor="text1"/>
              </w:rPr>
              <w:t>Day 30</w:t>
            </w:r>
          </w:p>
        </w:tc>
        <w:tc>
          <w:tcPr>
            <w:tcW w:w="1750" w:type="dxa"/>
          </w:tcPr>
          <w:p w14:paraId="464953E9" w14:textId="77777777" w:rsidR="00370CE7" w:rsidRPr="00370CE7" w:rsidRDefault="00370CE7" w:rsidP="00370CE7">
            <w:pPr>
              <w:jc w:val="center"/>
              <w:rPr>
                <w:color w:val="000000" w:themeColor="text1"/>
              </w:rPr>
            </w:pPr>
            <w:r w:rsidRPr="00370CE7">
              <w:rPr>
                <w:color w:val="000000" w:themeColor="text1"/>
              </w:rPr>
              <w:t>2.18 ± 0.16ᵃ</w:t>
            </w:r>
          </w:p>
        </w:tc>
        <w:tc>
          <w:tcPr>
            <w:tcW w:w="1850" w:type="dxa"/>
          </w:tcPr>
          <w:p w14:paraId="0624E9C4" w14:textId="77777777" w:rsidR="00370CE7" w:rsidRPr="00370CE7" w:rsidRDefault="00370CE7" w:rsidP="00370CE7">
            <w:pPr>
              <w:jc w:val="center"/>
              <w:rPr>
                <w:color w:val="000000" w:themeColor="text1"/>
              </w:rPr>
            </w:pPr>
            <w:r w:rsidRPr="00370CE7">
              <w:rPr>
                <w:color w:val="000000" w:themeColor="text1"/>
              </w:rPr>
              <w:t>4.28 ± 0.29ᵇ</w:t>
            </w:r>
          </w:p>
        </w:tc>
        <w:tc>
          <w:tcPr>
            <w:tcW w:w="1650" w:type="dxa"/>
          </w:tcPr>
          <w:p w14:paraId="5128A8B1" w14:textId="77777777" w:rsidR="00370CE7" w:rsidRPr="00370CE7" w:rsidRDefault="00370CE7" w:rsidP="00370CE7">
            <w:pPr>
              <w:jc w:val="center"/>
              <w:rPr>
                <w:color w:val="000000" w:themeColor="text1"/>
              </w:rPr>
            </w:pPr>
            <w:r w:rsidRPr="00370CE7">
              <w:rPr>
                <w:color w:val="000000" w:themeColor="text1"/>
              </w:rPr>
              <w:t>3.76 ± 0.26ᵇ</w:t>
            </w:r>
          </w:p>
        </w:tc>
      </w:tr>
      <w:tr w:rsidR="00370CE7" w:rsidRPr="00370CE7" w14:paraId="23B6D810" w14:textId="77777777" w:rsidTr="00370CE7">
        <w:tc>
          <w:tcPr>
            <w:tcW w:w="2600" w:type="dxa"/>
            <w:vMerge/>
          </w:tcPr>
          <w:p w14:paraId="6837805B" w14:textId="77777777" w:rsidR="00370CE7" w:rsidRPr="00370CE7" w:rsidRDefault="00370CE7" w:rsidP="00370CE7">
            <w:pPr>
              <w:rPr>
                <w:color w:val="000000" w:themeColor="text1"/>
              </w:rPr>
            </w:pPr>
          </w:p>
        </w:tc>
        <w:tc>
          <w:tcPr>
            <w:tcW w:w="1500" w:type="dxa"/>
          </w:tcPr>
          <w:p w14:paraId="34441972" w14:textId="77777777" w:rsidR="00370CE7" w:rsidRPr="00370CE7" w:rsidRDefault="00370CE7" w:rsidP="00370CE7">
            <w:pPr>
              <w:jc w:val="center"/>
              <w:rPr>
                <w:color w:val="000000" w:themeColor="text1"/>
              </w:rPr>
            </w:pPr>
            <w:r w:rsidRPr="00370CE7">
              <w:rPr>
                <w:color w:val="000000" w:themeColor="text1"/>
              </w:rPr>
              <w:t>Day 60</w:t>
            </w:r>
          </w:p>
        </w:tc>
        <w:tc>
          <w:tcPr>
            <w:tcW w:w="1750" w:type="dxa"/>
          </w:tcPr>
          <w:p w14:paraId="339103F4" w14:textId="77777777" w:rsidR="00370CE7" w:rsidRPr="00370CE7" w:rsidRDefault="00370CE7" w:rsidP="00370CE7">
            <w:pPr>
              <w:jc w:val="center"/>
              <w:rPr>
                <w:color w:val="000000" w:themeColor="text1"/>
              </w:rPr>
            </w:pPr>
            <w:r w:rsidRPr="00370CE7">
              <w:rPr>
                <w:color w:val="000000" w:themeColor="text1"/>
              </w:rPr>
              <w:t>2.21 ± 0.17ᵃ</w:t>
            </w:r>
          </w:p>
        </w:tc>
        <w:tc>
          <w:tcPr>
            <w:tcW w:w="1850" w:type="dxa"/>
          </w:tcPr>
          <w:p w14:paraId="5D5183CD" w14:textId="77777777" w:rsidR="00370CE7" w:rsidRPr="00370CE7" w:rsidRDefault="00370CE7" w:rsidP="00370CE7">
            <w:pPr>
              <w:jc w:val="center"/>
              <w:rPr>
                <w:color w:val="000000" w:themeColor="text1"/>
              </w:rPr>
            </w:pPr>
            <w:r w:rsidRPr="00370CE7">
              <w:rPr>
                <w:color w:val="000000" w:themeColor="text1"/>
              </w:rPr>
              <w:t>5.63 ± 0.35ᵇ</w:t>
            </w:r>
          </w:p>
        </w:tc>
        <w:tc>
          <w:tcPr>
            <w:tcW w:w="1650" w:type="dxa"/>
          </w:tcPr>
          <w:p w14:paraId="1B3A3959" w14:textId="77777777" w:rsidR="00370CE7" w:rsidRPr="00370CE7" w:rsidRDefault="00370CE7" w:rsidP="00370CE7">
            <w:pPr>
              <w:jc w:val="center"/>
              <w:rPr>
                <w:color w:val="000000" w:themeColor="text1"/>
              </w:rPr>
            </w:pPr>
            <w:r w:rsidRPr="00370CE7">
              <w:rPr>
                <w:color w:val="000000" w:themeColor="text1"/>
              </w:rPr>
              <w:t>4.48 ± 0.30ᶜ</w:t>
            </w:r>
          </w:p>
        </w:tc>
      </w:tr>
      <w:tr w:rsidR="00370CE7" w:rsidRPr="00370CE7" w14:paraId="3F8FCE83" w14:textId="77777777" w:rsidTr="00370CE7">
        <w:tc>
          <w:tcPr>
            <w:tcW w:w="2600" w:type="dxa"/>
            <w:vMerge w:val="restart"/>
          </w:tcPr>
          <w:p w14:paraId="388B914A" w14:textId="77777777" w:rsidR="00370CE7" w:rsidRPr="00370CE7" w:rsidRDefault="00370CE7" w:rsidP="00370CE7">
            <w:pPr>
              <w:rPr>
                <w:color w:val="000000" w:themeColor="text1"/>
              </w:rPr>
            </w:pPr>
            <w:r w:rsidRPr="00370CE7">
              <w:rPr>
                <w:color w:val="000000" w:themeColor="text1"/>
              </w:rPr>
              <w:t>SOD (U/mg protein)</w:t>
            </w:r>
          </w:p>
        </w:tc>
        <w:tc>
          <w:tcPr>
            <w:tcW w:w="1500" w:type="dxa"/>
          </w:tcPr>
          <w:p w14:paraId="5D51958E" w14:textId="77777777" w:rsidR="00370CE7" w:rsidRPr="00370CE7" w:rsidRDefault="00370CE7" w:rsidP="00370CE7">
            <w:pPr>
              <w:jc w:val="center"/>
              <w:rPr>
                <w:color w:val="000000" w:themeColor="text1"/>
              </w:rPr>
            </w:pPr>
            <w:r w:rsidRPr="00370CE7">
              <w:rPr>
                <w:color w:val="000000" w:themeColor="text1"/>
              </w:rPr>
              <w:t>Day 15</w:t>
            </w:r>
          </w:p>
        </w:tc>
        <w:tc>
          <w:tcPr>
            <w:tcW w:w="1750" w:type="dxa"/>
          </w:tcPr>
          <w:p w14:paraId="1DE341FA" w14:textId="77777777" w:rsidR="00370CE7" w:rsidRPr="00370CE7" w:rsidRDefault="00370CE7" w:rsidP="00370CE7">
            <w:pPr>
              <w:jc w:val="center"/>
              <w:rPr>
                <w:color w:val="000000" w:themeColor="text1"/>
              </w:rPr>
            </w:pPr>
            <w:r w:rsidRPr="00370CE7">
              <w:rPr>
                <w:color w:val="000000" w:themeColor="text1"/>
              </w:rPr>
              <w:t>10.4 ± 0.8ᵃ</w:t>
            </w:r>
          </w:p>
        </w:tc>
        <w:tc>
          <w:tcPr>
            <w:tcW w:w="1850" w:type="dxa"/>
          </w:tcPr>
          <w:p w14:paraId="3266E20C" w14:textId="77777777" w:rsidR="00370CE7" w:rsidRPr="00370CE7" w:rsidRDefault="00370CE7" w:rsidP="00370CE7">
            <w:pPr>
              <w:jc w:val="center"/>
              <w:rPr>
                <w:color w:val="000000" w:themeColor="text1"/>
              </w:rPr>
            </w:pPr>
            <w:r w:rsidRPr="00370CE7">
              <w:rPr>
                <w:color w:val="000000" w:themeColor="text1"/>
              </w:rPr>
              <w:t>13.9 ± 1.0ᵇ</w:t>
            </w:r>
          </w:p>
        </w:tc>
        <w:tc>
          <w:tcPr>
            <w:tcW w:w="1650" w:type="dxa"/>
          </w:tcPr>
          <w:p w14:paraId="2FFAB21D" w14:textId="77777777" w:rsidR="00370CE7" w:rsidRPr="00370CE7" w:rsidRDefault="00370CE7" w:rsidP="00370CE7">
            <w:pPr>
              <w:jc w:val="center"/>
              <w:rPr>
                <w:color w:val="000000" w:themeColor="text1"/>
              </w:rPr>
            </w:pPr>
            <w:r w:rsidRPr="00370CE7">
              <w:rPr>
                <w:color w:val="000000" w:themeColor="text1"/>
              </w:rPr>
              <w:t>13.1 ± 0.9ᵇ</w:t>
            </w:r>
          </w:p>
        </w:tc>
      </w:tr>
      <w:tr w:rsidR="00370CE7" w:rsidRPr="00370CE7" w14:paraId="4FCEB10C" w14:textId="77777777" w:rsidTr="00370CE7">
        <w:tc>
          <w:tcPr>
            <w:tcW w:w="2600" w:type="dxa"/>
            <w:vMerge/>
          </w:tcPr>
          <w:p w14:paraId="0AF2587A" w14:textId="77777777" w:rsidR="00370CE7" w:rsidRPr="00370CE7" w:rsidRDefault="00370CE7" w:rsidP="00370CE7">
            <w:pPr>
              <w:rPr>
                <w:color w:val="000000" w:themeColor="text1"/>
              </w:rPr>
            </w:pPr>
          </w:p>
        </w:tc>
        <w:tc>
          <w:tcPr>
            <w:tcW w:w="1500" w:type="dxa"/>
          </w:tcPr>
          <w:p w14:paraId="0E38EE7B" w14:textId="77777777" w:rsidR="00370CE7" w:rsidRPr="00370CE7" w:rsidRDefault="00370CE7" w:rsidP="00370CE7">
            <w:pPr>
              <w:jc w:val="center"/>
              <w:rPr>
                <w:color w:val="000000" w:themeColor="text1"/>
              </w:rPr>
            </w:pPr>
            <w:r w:rsidRPr="00370CE7">
              <w:rPr>
                <w:color w:val="000000" w:themeColor="text1"/>
              </w:rPr>
              <w:t>Day 30</w:t>
            </w:r>
          </w:p>
        </w:tc>
        <w:tc>
          <w:tcPr>
            <w:tcW w:w="1750" w:type="dxa"/>
          </w:tcPr>
          <w:p w14:paraId="392193F7" w14:textId="77777777" w:rsidR="00370CE7" w:rsidRPr="00370CE7" w:rsidRDefault="00370CE7" w:rsidP="00370CE7">
            <w:pPr>
              <w:jc w:val="center"/>
              <w:rPr>
                <w:color w:val="000000" w:themeColor="text1"/>
              </w:rPr>
            </w:pPr>
            <w:r w:rsidRPr="00370CE7">
              <w:rPr>
                <w:color w:val="000000" w:themeColor="text1"/>
              </w:rPr>
              <w:t>10.6 ± 0.7ᵃ</w:t>
            </w:r>
          </w:p>
        </w:tc>
        <w:tc>
          <w:tcPr>
            <w:tcW w:w="1850" w:type="dxa"/>
          </w:tcPr>
          <w:p w14:paraId="583635CF" w14:textId="77777777" w:rsidR="00370CE7" w:rsidRPr="00370CE7" w:rsidRDefault="00370CE7" w:rsidP="00370CE7">
            <w:pPr>
              <w:jc w:val="center"/>
              <w:rPr>
                <w:color w:val="000000" w:themeColor="text1"/>
              </w:rPr>
            </w:pPr>
            <w:r w:rsidRPr="00370CE7">
              <w:rPr>
                <w:color w:val="000000" w:themeColor="text1"/>
              </w:rPr>
              <w:t>15.2 ± 1.1ᵇ</w:t>
            </w:r>
          </w:p>
        </w:tc>
        <w:tc>
          <w:tcPr>
            <w:tcW w:w="1650" w:type="dxa"/>
          </w:tcPr>
          <w:p w14:paraId="32BB2030" w14:textId="77777777" w:rsidR="00370CE7" w:rsidRPr="00370CE7" w:rsidRDefault="00370CE7" w:rsidP="00370CE7">
            <w:pPr>
              <w:jc w:val="center"/>
              <w:rPr>
                <w:color w:val="000000" w:themeColor="text1"/>
              </w:rPr>
            </w:pPr>
            <w:r w:rsidRPr="00370CE7">
              <w:rPr>
                <w:color w:val="000000" w:themeColor="text1"/>
              </w:rPr>
              <w:t>14.4 ± 1.0ᵇ</w:t>
            </w:r>
          </w:p>
        </w:tc>
      </w:tr>
      <w:tr w:rsidR="00370CE7" w:rsidRPr="00370CE7" w14:paraId="6592A7F6" w14:textId="77777777" w:rsidTr="00370CE7">
        <w:tc>
          <w:tcPr>
            <w:tcW w:w="2600" w:type="dxa"/>
            <w:vMerge/>
          </w:tcPr>
          <w:p w14:paraId="476AEA82" w14:textId="77777777" w:rsidR="00370CE7" w:rsidRPr="00370CE7" w:rsidRDefault="00370CE7" w:rsidP="00370CE7">
            <w:pPr>
              <w:rPr>
                <w:color w:val="000000" w:themeColor="text1"/>
              </w:rPr>
            </w:pPr>
          </w:p>
        </w:tc>
        <w:tc>
          <w:tcPr>
            <w:tcW w:w="1500" w:type="dxa"/>
          </w:tcPr>
          <w:p w14:paraId="6BB34C33" w14:textId="77777777" w:rsidR="00370CE7" w:rsidRPr="00370CE7" w:rsidRDefault="00370CE7" w:rsidP="00370CE7">
            <w:pPr>
              <w:jc w:val="center"/>
              <w:rPr>
                <w:color w:val="000000" w:themeColor="text1"/>
              </w:rPr>
            </w:pPr>
            <w:r w:rsidRPr="00370CE7">
              <w:rPr>
                <w:color w:val="000000" w:themeColor="text1"/>
              </w:rPr>
              <w:t>Day 60</w:t>
            </w:r>
          </w:p>
        </w:tc>
        <w:tc>
          <w:tcPr>
            <w:tcW w:w="1750" w:type="dxa"/>
          </w:tcPr>
          <w:p w14:paraId="587F2B99" w14:textId="77777777" w:rsidR="00370CE7" w:rsidRPr="00370CE7" w:rsidRDefault="00370CE7" w:rsidP="00370CE7">
            <w:pPr>
              <w:jc w:val="center"/>
              <w:rPr>
                <w:color w:val="000000" w:themeColor="text1"/>
              </w:rPr>
            </w:pPr>
            <w:r w:rsidRPr="00370CE7">
              <w:rPr>
                <w:color w:val="000000" w:themeColor="text1"/>
              </w:rPr>
              <w:t>10.7 ± 0.8ᵃ</w:t>
            </w:r>
          </w:p>
        </w:tc>
        <w:tc>
          <w:tcPr>
            <w:tcW w:w="1850" w:type="dxa"/>
          </w:tcPr>
          <w:p w14:paraId="21B87C27" w14:textId="77777777" w:rsidR="00370CE7" w:rsidRPr="00370CE7" w:rsidRDefault="00370CE7" w:rsidP="00370CE7">
            <w:pPr>
              <w:jc w:val="center"/>
              <w:rPr>
                <w:color w:val="000000" w:themeColor="text1"/>
              </w:rPr>
            </w:pPr>
            <w:r w:rsidRPr="00370CE7">
              <w:rPr>
                <w:color w:val="000000" w:themeColor="text1"/>
              </w:rPr>
              <w:t>9.1 ± 0.9ᵇ</w:t>
            </w:r>
          </w:p>
        </w:tc>
        <w:tc>
          <w:tcPr>
            <w:tcW w:w="1650" w:type="dxa"/>
          </w:tcPr>
          <w:p w14:paraId="3D7FA967" w14:textId="77777777" w:rsidR="00370CE7" w:rsidRPr="00370CE7" w:rsidRDefault="00370CE7" w:rsidP="00370CE7">
            <w:pPr>
              <w:jc w:val="center"/>
              <w:rPr>
                <w:color w:val="000000" w:themeColor="text1"/>
              </w:rPr>
            </w:pPr>
            <w:r w:rsidRPr="00370CE7">
              <w:rPr>
                <w:color w:val="000000" w:themeColor="text1"/>
              </w:rPr>
              <w:t>11.8 ± 1.0ᵃ</w:t>
            </w:r>
          </w:p>
        </w:tc>
      </w:tr>
      <w:tr w:rsidR="00370CE7" w:rsidRPr="00370CE7" w14:paraId="02369FDF" w14:textId="77777777" w:rsidTr="00370CE7">
        <w:tc>
          <w:tcPr>
            <w:tcW w:w="2600" w:type="dxa"/>
            <w:vMerge w:val="restart"/>
          </w:tcPr>
          <w:p w14:paraId="46427683" w14:textId="77777777" w:rsidR="00370CE7" w:rsidRPr="00370CE7" w:rsidRDefault="00370CE7" w:rsidP="00370CE7">
            <w:pPr>
              <w:rPr>
                <w:color w:val="000000" w:themeColor="text1"/>
              </w:rPr>
            </w:pPr>
            <w:r w:rsidRPr="00370CE7">
              <w:rPr>
                <w:color w:val="000000" w:themeColor="text1"/>
              </w:rPr>
              <w:t>CAT (U/mg protein)</w:t>
            </w:r>
          </w:p>
        </w:tc>
        <w:tc>
          <w:tcPr>
            <w:tcW w:w="1500" w:type="dxa"/>
          </w:tcPr>
          <w:p w14:paraId="7EC959E0" w14:textId="77777777" w:rsidR="00370CE7" w:rsidRPr="00370CE7" w:rsidRDefault="00370CE7" w:rsidP="00370CE7">
            <w:pPr>
              <w:jc w:val="center"/>
              <w:rPr>
                <w:color w:val="000000" w:themeColor="text1"/>
              </w:rPr>
            </w:pPr>
            <w:r w:rsidRPr="00370CE7">
              <w:rPr>
                <w:color w:val="000000" w:themeColor="text1"/>
              </w:rPr>
              <w:t>Day 15</w:t>
            </w:r>
          </w:p>
        </w:tc>
        <w:tc>
          <w:tcPr>
            <w:tcW w:w="1750" w:type="dxa"/>
          </w:tcPr>
          <w:p w14:paraId="0D89E1DC" w14:textId="77777777" w:rsidR="00370CE7" w:rsidRPr="00370CE7" w:rsidRDefault="00370CE7" w:rsidP="00370CE7">
            <w:pPr>
              <w:jc w:val="center"/>
              <w:rPr>
                <w:color w:val="000000" w:themeColor="text1"/>
              </w:rPr>
            </w:pPr>
            <w:r w:rsidRPr="00370CE7">
              <w:rPr>
                <w:color w:val="000000" w:themeColor="text1"/>
              </w:rPr>
              <w:t>18.6 ± 1.2ᵃ</w:t>
            </w:r>
          </w:p>
        </w:tc>
        <w:tc>
          <w:tcPr>
            <w:tcW w:w="1850" w:type="dxa"/>
          </w:tcPr>
          <w:p w14:paraId="7DAA7595" w14:textId="77777777" w:rsidR="00370CE7" w:rsidRPr="00370CE7" w:rsidRDefault="00370CE7" w:rsidP="00370CE7">
            <w:pPr>
              <w:jc w:val="center"/>
              <w:rPr>
                <w:color w:val="000000" w:themeColor="text1"/>
              </w:rPr>
            </w:pPr>
            <w:r w:rsidRPr="00370CE7">
              <w:rPr>
                <w:color w:val="000000" w:themeColor="text1"/>
              </w:rPr>
              <w:t>24.1 ± 1.6ᵇ</w:t>
            </w:r>
          </w:p>
        </w:tc>
        <w:tc>
          <w:tcPr>
            <w:tcW w:w="1650" w:type="dxa"/>
          </w:tcPr>
          <w:p w14:paraId="0F6DCBF8" w14:textId="77777777" w:rsidR="00370CE7" w:rsidRPr="00370CE7" w:rsidRDefault="00370CE7" w:rsidP="00370CE7">
            <w:pPr>
              <w:jc w:val="center"/>
              <w:rPr>
                <w:color w:val="000000" w:themeColor="text1"/>
              </w:rPr>
            </w:pPr>
            <w:r w:rsidRPr="00370CE7">
              <w:rPr>
                <w:color w:val="000000" w:themeColor="text1"/>
              </w:rPr>
              <w:t>22.8 ± 1.5ᵇ</w:t>
            </w:r>
          </w:p>
        </w:tc>
      </w:tr>
      <w:tr w:rsidR="00370CE7" w:rsidRPr="00370CE7" w14:paraId="3DE4A904" w14:textId="77777777" w:rsidTr="00370CE7">
        <w:tc>
          <w:tcPr>
            <w:tcW w:w="2600" w:type="dxa"/>
            <w:vMerge/>
          </w:tcPr>
          <w:p w14:paraId="049FD906" w14:textId="77777777" w:rsidR="00370CE7" w:rsidRPr="00370CE7" w:rsidRDefault="00370CE7" w:rsidP="00370CE7">
            <w:pPr>
              <w:rPr>
                <w:color w:val="000000" w:themeColor="text1"/>
              </w:rPr>
            </w:pPr>
          </w:p>
        </w:tc>
        <w:tc>
          <w:tcPr>
            <w:tcW w:w="1500" w:type="dxa"/>
          </w:tcPr>
          <w:p w14:paraId="035578B4" w14:textId="77777777" w:rsidR="00370CE7" w:rsidRPr="00370CE7" w:rsidRDefault="00370CE7" w:rsidP="00370CE7">
            <w:pPr>
              <w:jc w:val="center"/>
              <w:rPr>
                <w:color w:val="000000" w:themeColor="text1"/>
              </w:rPr>
            </w:pPr>
            <w:r w:rsidRPr="00370CE7">
              <w:rPr>
                <w:color w:val="000000" w:themeColor="text1"/>
              </w:rPr>
              <w:t>Day 30</w:t>
            </w:r>
          </w:p>
        </w:tc>
        <w:tc>
          <w:tcPr>
            <w:tcW w:w="1750" w:type="dxa"/>
          </w:tcPr>
          <w:p w14:paraId="01043A5F" w14:textId="77777777" w:rsidR="00370CE7" w:rsidRPr="00370CE7" w:rsidRDefault="00370CE7" w:rsidP="00370CE7">
            <w:pPr>
              <w:jc w:val="center"/>
              <w:rPr>
                <w:color w:val="000000" w:themeColor="text1"/>
              </w:rPr>
            </w:pPr>
            <w:r w:rsidRPr="00370CE7">
              <w:rPr>
                <w:color w:val="000000" w:themeColor="text1"/>
              </w:rPr>
              <w:t>18.9 ± 1.1ᵃ</w:t>
            </w:r>
          </w:p>
        </w:tc>
        <w:tc>
          <w:tcPr>
            <w:tcW w:w="1850" w:type="dxa"/>
          </w:tcPr>
          <w:p w14:paraId="1A400072" w14:textId="77777777" w:rsidR="00370CE7" w:rsidRPr="00370CE7" w:rsidRDefault="00370CE7" w:rsidP="00370CE7">
            <w:pPr>
              <w:jc w:val="center"/>
              <w:rPr>
                <w:color w:val="000000" w:themeColor="text1"/>
              </w:rPr>
            </w:pPr>
            <w:r w:rsidRPr="00370CE7">
              <w:rPr>
                <w:color w:val="000000" w:themeColor="text1"/>
              </w:rPr>
              <w:t>26.4 ± 1.7ᵇ</w:t>
            </w:r>
          </w:p>
        </w:tc>
        <w:tc>
          <w:tcPr>
            <w:tcW w:w="1650" w:type="dxa"/>
          </w:tcPr>
          <w:p w14:paraId="245DCF41" w14:textId="77777777" w:rsidR="00370CE7" w:rsidRPr="00370CE7" w:rsidRDefault="00370CE7" w:rsidP="00370CE7">
            <w:pPr>
              <w:jc w:val="center"/>
              <w:rPr>
                <w:color w:val="000000" w:themeColor="text1"/>
              </w:rPr>
            </w:pPr>
            <w:r w:rsidRPr="00370CE7">
              <w:rPr>
                <w:color w:val="000000" w:themeColor="text1"/>
              </w:rPr>
              <w:t>24.6 ± 1.6ᵇ</w:t>
            </w:r>
          </w:p>
        </w:tc>
      </w:tr>
      <w:tr w:rsidR="00370CE7" w:rsidRPr="00370CE7" w14:paraId="6D611369" w14:textId="77777777" w:rsidTr="00370CE7">
        <w:tc>
          <w:tcPr>
            <w:tcW w:w="2600" w:type="dxa"/>
            <w:vMerge/>
          </w:tcPr>
          <w:p w14:paraId="0834D78C" w14:textId="77777777" w:rsidR="00370CE7" w:rsidRPr="00370CE7" w:rsidRDefault="00370CE7" w:rsidP="00370CE7">
            <w:pPr>
              <w:rPr>
                <w:color w:val="000000" w:themeColor="text1"/>
              </w:rPr>
            </w:pPr>
          </w:p>
        </w:tc>
        <w:tc>
          <w:tcPr>
            <w:tcW w:w="1500" w:type="dxa"/>
          </w:tcPr>
          <w:p w14:paraId="6E3DC835" w14:textId="77777777" w:rsidR="00370CE7" w:rsidRPr="00370CE7" w:rsidRDefault="00370CE7" w:rsidP="00370CE7">
            <w:pPr>
              <w:jc w:val="center"/>
              <w:rPr>
                <w:color w:val="000000" w:themeColor="text1"/>
              </w:rPr>
            </w:pPr>
            <w:r w:rsidRPr="00370CE7">
              <w:rPr>
                <w:color w:val="000000" w:themeColor="text1"/>
              </w:rPr>
              <w:t>Day 60</w:t>
            </w:r>
          </w:p>
        </w:tc>
        <w:tc>
          <w:tcPr>
            <w:tcW w:w="1750" w:type="dxa"/>
          </w:tcPr>
          <w:p w14:paraId="53369BDA" w14:textId="77777777" w:rsidR="00370CE7" w:rsidRPr="00370CE7" w:rsidRDefault="00370CE7" w:rsidP="00370CE7">
            <w:pPr>
              <w:jc w:val="center"/>
              <w:rPr>
                <w:color w:val="000000" w:themeColor="text1"/>
              </w:rPr>
            </w:pPr>
            <w:r w:rsidRPr="00370CE7">
              <w:rPr>
                <w:color w:val="000000" w:themeColor="text1"/>
              </w:rPr>
              <w:t>19.1 ± 1.0ᵃ</w:t>
            </w:r>
          </w:p>
        </w:tc>
        <w:tc>
          <w:tcPr>
            <w:tcW w:w="1850" w:type="dxa"/>
          </w:tcPr>
          <w:p w14:paraId="7105EB1C" w14:textId="77777777" w:rsidR="00370CE7" w:rsidRPr="00370CE7" w:rsidRDefault="00370CE7" w:rsidP="00370CE7">
            <w:pPr>
              <w:jc w:val="center"/>
              <w:rPr>
                <w:color w:val="000000" w:themeColor="text1"/>
              </w:rPr>
            </w:pPr>
            <w:r w:rsidRPr="00370CE7">
              <w:rPr>
                <w:color w:val="000000" w:themeColor="text1"/>
              </w:rPr>
              <w:t>15.8 ± 1.3ᵇ</w:t>
            </w:r>
          </w:p>
        </w:tc>
        <w:tc>
          <w:tcPr>
            <w:tcW w:w="1650" w:type="dxa"/>
          </w:tcPr>
          <w:p w14:paraId="0B19871D" w14:textId="77777777" w:rsidR="00370CE7" w:rsidRPr="00370CE7" w:rsidRDefault="00370CE7" w:rsidP="00370CE7">
            <w:pPr>
              <w:jc w:val="center"/>
              <w:rPr>
                <w:color w:val="000000" w:themeColor="text1"/>
              </w:rPr>
            </w:pPr>
            <w:r w:rsidRPr="00370CE7">
              <w:rPr>
                <w:color w:val="000000" w:themeColor="text1"/>
              </w:rPr>
              <w:t>20.5 ± 1.4ᵃ</w:t>
            </w:r>
          </w:p>
        </w:tc>
      </w:tr>
      <w:tr w:rsidR="00370CE7" w:rsidRPr="00370CE7" w14:paraId="6B7A32A4" w14:textId="77777777" w:rsidTr="00370CE7">
        <w:tc>
          <w:tcPr>
            <w:tcW w:w="2600" w:type="dxa"/>
            <w:vMerge w:val="restart"/>
          </w:tcPr>
          <w:p w14:paraId="4032A5F8" w14:textId="77777777" w:rsidR="00370CE7" w:rsidRPr="00370CE7" w:rsidRDefault="00370CE7" w:rsidP="00370CE7">
            <w:pPr>
              <w:rPr>
                <w:color w:val="000000" w:themeColor="text1"/>
              </w:rPr>
            </w:pPr>
            <w:proofErr w:type="spellStart"/>
            <w:r w:rsidRPr="00370CE7">
              <w:rPr>
                <w:color w:val="000000" w:themeColor="text1"/>
              </w:rPr>
              <w:t>GPx</w:t>
            </w:r>
            <w:proofErr w:type="spellEnd"/>
            <w:r w:rsidRPr="00370CE7">
              <w:rPr>
                <w:color w:val="000000" w:themeColor="text1"/>
              </w:rPr>
              <w:t xml:space="preserve"> (U/mg protein)</w:t>
            </w:r>
          </w:p>
        </w:tc>
        <w:tc>
          <w:tcPr>
            <w:tcW w:w="1500" w:type="dxa"/>
          </w:tcPr>
          <w:p w14:paraId="7215FAA0" w14:textId="77777777" w:rsidR="00370CE7" w:rsidRPr="00370CE7" w:rsidRDefault="00370CE7" w:rsidP="00370CE7">
            <w:pPr>
              <w:jc w:val="center"/>
              <w:rPr>
                <w:color w:val="000000" w:themeColor="text1"/>
              </w:rPr>
            </w:pPr>
            <w:r w:rsidRPr="00370CE7">
              <w:rPr>
                <w:color w:val="000000" w:themeColor="text1"/>
              </w:rPr>
              <w:t>Day 15</w:t>
            </w:r>
          </w:p>
        </w:tc>
        <w:tc>
          <w:tcPr>
            <w:tcW w:w="1750" w:type="dxa"/>
          </w:tcPr>
          <w:p w14:paraId="503CBCAB" w14:textId="77777777" w:rsidR="00370CE7" w:rsidRPr="00370CE7" w:rsidRDefault="00370CE7" w:rsidP="00370CE7">
            <w:pPr>
              <w:jc w:val="center"/>
              <w:rPr>
                <w:color w:val="000000" w:themeColor="text1"/>
              </w:rPr>
            </w:pPr>
            <w:r w:rsidRPr="00370CE7">
              <w:rPr>
                <w:color w:val="000000" w:themeColor="text1"/>
              </w:rPr>
              <w:t>6.2 ± 0.5ᵃ</w:t>
            </w:r>
          </w:p>
        </w:tc>
        <w:tc>
          <w:tcPr>
            <w:tcW w:w="1850" w:type="dxa"/>
          </w:tcPr>
          <w:p w14:paraId="451EBF5E" w14:textId="77777777" w:rsidR="00370CE7" w:rsidRPr="00370CE7" w:rsidRDefault="00370CE7" w:rsidP="00370CE7">
            <w:pPr>
              <w:jc w:val="center"/>
              <w:rPr>
                <w:color w:val="000000" w:themeColor="text1"/>
              </w:rPr>
            </w:pPr>
            <w:r w:rsidRPr="00370CE7">
              <w:rPr>
                <w:color w:val="000000" w:themeColor="text1"/>
              </w:rPr>
              <w:t>8.0 ± 0.6ᵇ</w:t>
            </w:r>
          </w:p>
        </w:tc>
        <w:tc>
          <w:tcPr>
            <w:tcW w:w="1650" w:type="dxa"/>
          </w:tcPr>
          <w:p w14:paraId="47A04B6B" w14:textId="77777777" w:rsidR="00370CE7" w:rsidRPr="00370CE7" w:rsidRDefault="00370CE7" w:rsidP="00370CE7">
            <w:pPr>
              <w:jc w:val="center"/>
              <w:rPr>
                <w:color w:val="000000" w:themeColor="text1"/>
              </w:rPr>
            </w:pPr>
            <w:r w:rsidRPr="00370CE7">
              <w:rPr>
                <w:color w:val="000000" w:themeColor="text1"/>
              </w:rPr>
              <w:t>7.6 ± 0.6ᵇ</w:t>
            </w:r>
          </w:p>
        </w:tc>
      </w:tr>
      <w:tr w:rsidR="00370CE7" w:rsidRPr="00370CE7" w14:paraId="7690A9DB" w14:textId="77777777" w:rsidTr="00370CE7">
        <w:tc>
          <w:tcPr>
            <w:tcW w:w="2600" w:type="dxa"/>
            <w:vMerge/>
          </w:tcPr>
          <w:p w14:paraId="49F5B790" w14:textId="77777777" w:rsidR="00370CE7" w:rsidRPr="00370CE7" w:rsidRDefault="00370CE7" w:rsidP="00370CE7">
            <w:pPr>
              <w:rPr>
                <w:color w:val="000000" w:themeColor="text1"/>
              </w:rPr>
            </w:pPr>
          </w:p>
        </w:tc>
        <w:tc>
          <w:tcPr>
            <w:tcW w:w="1500" w:type="dxa"/>
          </w:tcPr>
          <w:p w14:paraId="728FDE0F" w14:textId="77777777" w:rsidR="00370CE7" w:rsidRPr="00370CE7" w:rsidRDefault="00370CE7" w:rsidP="00370CE7">
            <w:pPr>
              <w:jc w:val="center"/>
              <w:rPr>
                <w:color w:val="000000" w:themeColor="text1"/>
              </w:rPr>
            </w:pPr>
            <w:r w:rsidRPr="00370CE7">
              <w:rPr>
                <w:color w:val="000000" w:themeColor="text1"/>
              </w:rPr>
              <w:t>Day 30</w:t>
            </w:r>
          </w:p>
        </w:tc>
        <w:tc>
          <w:tcPr>
            <w:tcW w:w="1750" w:type="dxa"/>
          </w:tcPr>
          <w:p w14:paraId="1446E1FC" w14:textId="77777777" w:rsidR="00370CE7" w:rsidRPr="00370CE7" w:rsidRDefault="00370CE7" w:rsidP="00370CE7">
            <w:pPr>
              <w:jc w:val="center"/>
              <w:rPr>
                <w:color w:val="000000" w:themeColor="text1"/>
              </w:rPr>
            </w:pPr>
            <w:r w:rsidRPr="00370CE7">
              <w:rPr>
                <w:color w:val="000000" w:themeColor="text1"/>
              </w:rPr>
              <w:t>6.3 ± 0.5ᵃ</w:t>
            </w:r>
          </w:p>
        </w:tc>
        <w:tc>
          <w:tcPr>
            <w:tcW w:w="1850" w:type="dxa"/>
          </w:tcPr>
          <w:p w14:paraId="7E582FD3" w14:textId="77777777" w:rsidR="00370CE7" w:rsidRPr="00370CE7" w:rsidRDefault="00370CE7" w:rsidP="00370CE7">
            <w:pPr>
              <w:jc w:val="center"/>
              <w:rPr>
                <w:color w:val="000000" w:themeColor="text1"/>
              </w:rPr>
            </w:pPr>
            <w:r w:rsidRPr="00370CE7">
              <w:rPr>
                <w:color w:val="000000" w:themeColor="text1"/>
              </w:rPr>
              <w:t>8.9 ± 0.7ᵇ</w:t>
            </w:r>
          </w:p>
        </w:tc>
        <w:tc>
          <w:tcPr>
            <w:tcW w:w="1650" w:type="dxa"/>
          </w:tcPr>
          <w:p w14:paraId="182FA319" w14:textId="77777777" w:rsidR="00370CE7" w:rsidRPr="00370CE7" w:rsidRDefault="00370CE7" w:rsidP="00370CE7">
            <w:pPr>
              <w:jc w:val="center"/>
              <w:rPr>
                <w:color w:val="000000" w:themeColor="text1"/>
              </w:rPr>
            </w:pPr>
            <w:r w:rsidRPr="00370CE7">
              <w:rPr>
                <w:color w:val="000000" w:themeColor="text1"/>
              </w:rPr>
              <w:t>8.2 ± 0.6ᵇ</w:t>
            </w:r>
          </w:p>
        </w:tc>
      </w:tr>
      <w:tr w:rsidR="00370CE7" w:rsidRPr="00370CE7" w14:paraId="4E977691" w14:textId="77777777" w:rsidTr="00370CE7">
        <w:tc>
          <w:tcPr>
            <w:tcW w:w="2600" w:type="dxa"/>
            <w:vMerge/>
          </w:tcPr>
          <w:p w14:paraId="26D1241B" w14:textId="77777777" w:rsidR="00370CE7" w:rsidRPr="00370CE7" w:rsidRDefault="00370CE7" w:rsidP="00370CE7">
            <w:pPr>
              <w:rPr>
                <w:color w:val="000000" w:themeColor="text1"/>
              </w:rPr>
            </w:pPr>
          </w:p>
        </w:tc>
        <w:tc>
          <w:tcPr>
            <w:tcW w:w="1500" w:type="dxa"/>
          </w:tcPr>
          <w:p w14:paraId="4062E8DD" w14:textId="77777777" w:rsidR="00370CE7" w:rsidRPr="00370CE7" w:rsidRDefault="00370CE7" w:rsidP="00370CE7">
            <w:pPr>
              <w:jc w:val="center"/>
              <w:rPr>
                <w:color w:val="000000" w:themeColor="text1"/>
              </w:rPr>
            </w:pPr>
            <w:r w:rsidRPr="00370CE7">
              <w:rPr>
                <w:color w:val="000000" w:themeColor="text1"/>
              </w:rPr>
              <w:t>Day 60</w:t>
            </w:r>
          </w:p>
        </w:tc>
        <w:tc>
          <w:tcPr>
            <w:tcW w:w="1750" w:type="dxa"/>
          </w:tcPr>
          <w:p w14:paraId="2D8C43F2" w14:textId="77777777" w:rsidR="00370CE7" w:rsidRPr="00370CE7" w:rsidRDefault="00370CE7" w:rsidP="00370CE7">
            <w:pPr>
              <w:jc w:val="center"/>
              <w:rPr>
                <w:color w:val="000000" w:themeColor="text1"/>
              </w:rPr>
            </w:pPr>
            <w:r w:rsidRPr="00370CE7">
              <w:rPr>
                <w:color w:val="000000" w:themeColor="text1"/>
              </w:rPr>
              <w:t>6.4 ± 0.4ᵃ</w:t>
            </w:r>
          </w:p>
        </w:tc>
        <w:tc>
          <w:tcPr>
            <w:tcW w:w="1850" w:type="dxa"/>
          </w:tcPr>
          <w:p w14:paraId="791776B3" w14:textId="77777777" w:rsidR="00370CE7" w:rsidRPr="00370CE7" w:rsidRDefault="00370CE7" w:rsidP="00370CE7">
            <w:pPr>
              <w:jc w:val="center"/>
              <w:rPr>
                <w:color w:val="000000" w:themeColor="text1"/>
              </w:rPr>
            </w:pPr>
            <w:r w:rsidRPr="00370CE7">
              <w:rPr>
                <w:color w:val="000000" w:themeColor="text1"/>
              </w:rPr>
              <w:t>5.6 ± 0.5ᵇ</w:t>
            </w:r>
          </w:p>
        </w:tc>
        <w:tc>
          <w:tcPr>
            <w:tcW w:w="1650" w:type="dxa"/>
          </w:tcPr>
          <w:p w14:paraId="14319E6D" w14:textId="77777777" w:rsidR="00370CE7" w:rsidRPr="00370CE7" w:rsidRDefault="00370CE7" w:rsidP="00370CE7">
            <w:pPr>
              <w:jc w:val="center"/>
              <w:rPr>
                <w:color w:val="000000" w:themeColor="text1"/>
              </w:rPr>
            </w:pPr>
            <w:r w:rsidRPr="00370CE7">
              <w:rPr>
                <w:color w:val="000000" w:themeColor="text1"/>
              </w:rPr>
              <w:t>6.9 ± 0.6ᵃ</w:t>
            </w:r>
          </w:p>
        </w:tc>
      </w:tr>
      <w:tr w:rsidR="00370CE7" w:rsidRPr="00370CE7" w14:paraId="4FD6608C" w14:textId="77777777" w:rsidTr="00370CE7">
        <w:tc>
          <w:tcPr>
            <w:tcW w:w="2600" w:type="dxa"/>
            <w:vMerge w:val="restart"/>
          </w:tcPr>
          <w:p w14:paraId="23AC70A5" w14:textId="77777777" w:rsidR="00370CE7" w:rsidRPr="00370CE7" w:rsidRDefault="00370CE7" w:rsidP="00370CE7">
            <w:pPr>
              <w:rPr>
                <w:color w:val="000000" w:themeColor="text1"/>
              </w:rPr>
            </w:pPr>
            <w:r w:rsidRPr="00370CE7">
              <w:rPr>
                <w:color w:val="000000" w:themeColor="text1"/>
              </w:rPr>
              <w:t>GSH (µg/mg protein)</w:t>
            </w:r>
          </w:p>
        </w:tc>
        <w:tc>
          <w:tcPr>
            <w:tcW w:w="1500" w:type="dxa"/>
          </w:tcPr>
          <w:p w14:paraId="296A26DC" w14:textId="77777777" w:rsidR="00370CE7" w:rsidRPr="00370CE7" w:rsidRDefault="00370CE7" w:rsidP="00370CE7">
            <w:pPr>
              <w:jc w:val="center"/>
              <w:rPr>
                <w:color w:val="000000" w:themeColor="text1"/>
              </w:rPr>
            </w:pPr>
            <w:r w:rsidRPr="00370CE7">
              <w:rPr>
                <w:color w:val="000000" w:themeColor="text1"/>
              </w:rPr>
              <w:t>Day 15</w:t>
            </w:r>
          </w:p>
        </w:tc>
        <w:tc>
          <w:tcPr>
            <w:tcW w:w="1750" w:type="dxa"/>
          </w:tcPr>
          <w:p w14:paraId="6861933F" w14:textId="77777777" w:rsidR="00370CE7" w:rsidRPr="00370CE7" w:rsidRDefault="00370CE7" w:rsidP="00370CE7">
            <w:pPr>
              <w:jc w:val="center"/>
              <w:rPr>
                <w:color w:val="000000" w:themeColor="text1"/>
              </w:rPr>
            </w:pPr>
            <w:r w:rsidRPr="00370CE7">
              <w:rPr>
                <w:color w:val="000000" w:themeColor="text1"/>
              </w:rPr>
              <w:t>42.6 ± 2.4ᵃ</w:t>
            </w:r>
          </w:p>
        </w:tc>
        <w:tc>
          <w:tcPr>
            <w:tcW w:w="1850" w:type="dxa"/>
          </w:tcPr>
          <w:p w14:paraId="025AC31D" w14:textId="77777777" w:rsidR="00370CE7" w:rsidRPr="00370CE7" w:rsidRDefault="00370CE7" w:rsidP="00370CE7">
            <w:pPr>
              <w:jc w:val="center"/>
              <w:rPr>
                <w:color w:val="000000" w:themeColor="text1"/>
              </w:rPr>
            </w:pPr>
            <w:r w:rsidRPr="00370CE7">
              <w:rPr>
                <w:color w:val="000000" w:themeColor="text1"/>
              </w:rPr>
              <w:t>36.8 ± 2.1ᵇ</w:t>
            </w:r>
          </w:p>
        </w:tc>
        <w:tc>
          <w:tcPr>
            <w:tcW w:w="1650" w:type="dxa"/>
          </w:tcPr>
          <w:p w14:paraId="6EFBE03C" w14:textId="77777777" w:rsidR="00370CE7" w:rsidRPr="00370CE7" w:rsidRDefault="00370CE7" w:rsidP="00370CE7">
            <w:pPr>
              <w:jc w:val="center"/>
              <w:rPr>
                <w:color w:val="000000" w:themeColor="text1"/>
              </w:rPr>
            </w:pPr>
            <w:r w:rsidRPr="00370CE7">
              <w:rPr>
                <w:color w:val="000000" w:themeColor="text1"/>
              </w:rPr>
              <w:t>38.2 ± 2.2ᵇ</w:t>
            </w:r>
          </w:p>
        </w:tc>
      </w:tr>
      <w:tr w:rsidR="00370CE7" w:rsidRPr="00370CE7" w14:paraId="2C1E982E" w14:textId="77777777" w:rsidTr="00370CE7">
        <w:tc>
          <w:tcPr>
            <w:tcW w:w="2600" w:type="dxa"/>
            <w:vMerge/>
          </w:tcPr>
          <w:p w14:paraId="6E42CA46" w14:textId="77777777" w:rsidR="00370CE7" w:rsidRPr="00370CE7" w:rsidRDefault="00370CE7" w:rsidP="00370CE7">
            <w:pPr>
              <w:rPr>
                <w:color w:val="000000" w:themeColor="text1"/>
              </w:rPr>
            </w:pPr>
          </w:p>
        </w:tc>
        <w:tc>
          <w:tcPr>
            <w:tcW w:w="1500" w:type="dxa"/>
          </w:tcPr>
          <w:p w14:paraId="1356E375" w14:textId="77777777" w:rsidR="00370CE7" w:rsidRPr="00370CE7" w:rsidRDefault="00370CE7" w:rsidP="00370CE7">
            <w:pPr>
              <w:jc w:val="center"/>
              <w:rPr>
                <w:color w:val="000000" w:themeColor="text1"/>
              </w:rPr>
            </w:pPr>
            <w:r w:rsidRPr="00370CE7">
              <w:rPr>
                <w:color w:val="000000" w:themeColor="text1"/>
              </w:rPr>
              <w:t>Day 30</w:t>
            </w:r>
          </w:p>
        </w:tc>
        <w:tc>
          <w:tcPr>
            <w:tcW w:w="1750" w:type="dxa"/>
          </w:tcPr>
          <w:p w14:paraId="0760B515" w14:textId="77777777" w:rsidR="00370CE7" w:rsidRPr="00370CE7" w:rsidRDefault="00370CE7" w:rsidP="00370CE7">
            <w:pPr>
              <w:jc w:val="center"/>
              <w:rPr>
                <w:color w:val="000000" w:themeColor="text1"/>
              </w:rPr>
            </w:pPr>
            <w:r w:rsidRPr="00370CE7">
              <w:rPr>
                <w:color w:val="000000" w:themeColor="text1"/>
              </w:rPr>
              <w:t>43.1 ± 2.3ᵃ</w:t>
            </w:r>
          </w:p>
        </w:tc>
        <w:tc>
          <w:tcPr>
            <w:tcW w:w="1850" w:type="dxa"/>
          </w:tcPr>
          <w:p w14:paraId="240F953D" w14:textId="77777777" w:rsidR="00370CE7" w:rsidRPr="00370CE7" w:rsidRDefault="00370CE7" w:rsidP="00370CE7">
            <w:pPr>
              <w:jc w:val="center"/>
              <w:rPr>
                <w:color w:val="000000" w:themeColor="text1"/>
              </w:rPr>
            </w:pPr>
            <w:r w:rsidRPr="00370CE7">
              <w:rPr>
                <w:color w:val="000000" w:themeColor="text1"/>
              </w:rPr>
              <w:t>31.4 ± 2.3ᵇ</w:t>
            </w:r>
          </w:p>
        </w:tc>
        <w:tc>
          <w:tcPr>
            <w:tcW w:w="1650" w:type="dxa"/>
          </w:tcPr>
          <w:p w14:paraId="04DCF7E4" w14:textId="77777777" w:rsidR="00370CE7" w:rsidRPr="00370CE7" w:rsidRDefault="00370CE7" w:rsidP="00370CE7">
            <w:pPr>
              <w:jc w:val="center"/>
              <w:rPr>
                <w:color w:val="000000" w:themeColor="text1"/>
              </w:rPr>
            </w:pPr>
            <w:r w:rsidRPr="00370CE7">
              <w:rPr>
                <w:color w:val="000000" w:themeColor="text1"/>
              </w:rPr>
              <w:t>34.0 ± 2.4ᵇ</w:t>
            </w:r>
          </w:p>
        </w:tc>
      </w:tr>
      <w:tr w:rsidR="00370CE7" w:rsidRPr="00370CE7" w14:paraId="722376B6" w14:textId="77777777" w:rsidTr="00370CE7">
        <w:tc>
          <w:tcPr>
            <w:tcW w:w="2600" w:type="dxa"/>
            <w:vMerge/>
          </w:tcPr>
          <w:p w14:paraId="2CC0F8F3" w14:textId="77777777" w:rsidR="00370CE7" w:rsidRPr="00370CE7" w:rsidRDefault="00370CE7" w:rsidP="00370CE7">
            <w:pPr>
              <w:rPr>
                <w:color w:val="000000" w:themeColor="text1"/>
              </w:rPr>
            </w:pPr>
          </w:p>
        </w:tc>
        <w:tc>
          <w:tcPr>
            <w:tcW w:w="1500" w:type="dxa"/>
          </w:tcPr>
          <w:p w14:paraId="021B4CC3" w14:textId="77777777" w:rsidR="00370CE7" w:rsidRPr="00370CE7" w:rsidRDefault="00370CE7" w:rsidP="00370CE7">
            <w:pPr>
              <w:jc w:val="center"/>
              <w:rPr>
                <w:color w:val="000000" w:themeColor="text1"/>
              </w:rPr>
            </w:pPr>
            <w:r w:rsidRPr="00370CE7">
              <w:rPr>
                <w:color w:val="000000" w:themeColor="text1"/>
              </w:rPr>
              <w:t>Day 60</w:t>
            </w:r>
          </w:p>
        </w:tc>
        <w:tc>
          <w:tcPr>
            <w:tcW w:w="1750" w:type="dxa"/>
          </w:tcPr>
          <w:p w14:paraId="6C5C7714" w14:textId="77777777" w:rsidR="00370CE7" w:rsidRPr="00370CE7" w:rsidRDefault="00370CE7" w:rsidP="00370CE7">
            <w:pPr>
              <w:jc w:val="center"/>
              <w:rPr>
                <w:color w:val="000000" w:themeColor="text1"/>
              </w:rPr>
            </w:pPr>
            <w:r w:rsidRPr="00370CE7">
              <w:rPr>
                <w:color w:val="000000" w:themeColor="text1"/>
              </w:rPr>
              <w:t>43.4 ± 2.2ᵃ</w:t>
            </w:r>
          </w:p>
        </w:tc>
        <w:tc>
          <w:tcPr>
            <w:tcW w:w="1850" w:type="dxa"/>
          </w:tcPr>
          <w:p w14:paraId="32513AD9" w14:textId="77777777" w:rsidR="00370CE7" w:rsidRPr="00370CE7" w:rsidRDefault="00370CE7" w:rsidP="00370CE7">
            <w:pPr>
              <w:jc w:val="center"/>
              <w:rPr>
                <w:color w:val="000000" w:themeColor="text1"/>
              </w:rPr>
            </w:pPr>
            <w:r w:rsidRPr="00370CE7">
              <w:rPr>
                <w:color w:val="000000" w:themeColor="text1"/>
              </w:rPr>
              <w:t>24.7 ± 2.5ᵇ</w:t>
            </w:r>
          </w:p>
        </w:tc>
        <w:tc>
          <w:tcPr>
            <w:tcW w:w="1650" w:type="dxa"/>
          </w:tcPr>
          <w:p w14:paraId="714B55B2" w14:textId="77777777" w:rsidR="00370CE7" w:rsidRPr="00370CE7" w:rsidRDefault="00370CE7" w:rsidP="00370CE7">
            <w:pPr>
              <w:jc w:val="center"/>
              <w:rPr>
                <w:color w:val="000000" w:themeColor="text1"/>
              </w:rPr>
            </w:pPr>
            <w:r w:rsidRPr="00370CE7">
              <w:rPr>
                <w:color w:val="000000" w:themeColor="text1"/>
              </w:rPr>
              <w:t>29.3 ± 2.3ᶜ</w:t>
            </w:r>
          </w:p>
        </w:tc>
      </w:tr>
    </w:tbl>
    <w:p w14:paraId="558E176E" w14:textId="77777777" w:rsidR="00AA707A" w:rsidRPr="00370CE7" w:rsidRDefault="00370CE7" w:rsidP="00370CE7">
      <w:pPr>
        <w:pStyle w:val="Heading2"/>
        <w:rPr>
          <w:color w:val="000000" w:themeColor="text1"/>
        </w:rPr>
      </w:pPr>
      <w:r w:rsidRPr="00370CE7">
        <w:rPr>
          <w:b/>
          <w:bCs/>
          <w:color w:val="000000" w:themeColor="text1"/>
        </w:rPr>
        <w:t>3.4.2 Liver Tissue</w:t>
      </w:r>
    </w:p>
    <w:p w14:paraId="4725C5C8" w14:textId="77777777" w:rsidR="00AA707A" w:rsidRPr="00370CE7" w:rsidRDefault="00370CE7" w:rsidP="00370CE7">
      <w:pPr>
        <w:spacing w:line="360" w:lineRule="auto"/>
        <w:jc w:val="both"/>
        <w:rPr>
          <w:color w:val="000000" w:themeColor="text1"/>
        </w:rPr>
      </w:pPr>
      <w:r w:rsidRPr="00370CE7">
        <w:rPr>
          <w:color w:val="000000" w:themeColor="text1"/>
          <w:sz w:val="24"/>
          <w:szCs w:val="24"/>
        </w:rPr>
        <w:t>Hepatic oxidative stress responses followed a broadly similar pattern to that observed in gill tissue but were consistently of somewhat lower magnitude, reflecting the liver's less direct exposure to the ambient medium and its comparatively greater constitutive antioxidant capacity (Table 7). Notably, hepatic GSH depletion at day 60 was proportionally the most severe reduction among all biomarker–tissue combinations examined, underscoring the liver's central role in glutathione turnover and systemic detoxification under sustained pH stress.</w:t>
      </w:r>
    </w:p>
    <w:p w14:paraId="0F2155F0" w14:textId="77777777" w:rsidR="00AA707A" w:rsidRPr="00370CE7" w:rsidRDefault="00370CE7" w:rsidP="00370CE7">
      <w:pPr>
        <w:jc w:val="center"/>
        <w:rPr>
          <w:color w:val="000000" w:themeColor="text1"/>
        </w:rPr>
      </w:pPr>
      <w:r w:rsidRPr="00370CE7">
        <w:rPr>
          <w:b/>
          <w:bCs/>
          <w:color w:val="000000" w:themeColor="text1"/>
          <w:sz w:val="22"/>
          <w:szCs w:val="22"/>
        </w:rPr>
        <w:t xml:space="preserve">Table 7. Oxidative stress biomarkers in liver tissue of </w:t>
      </w:r>
      <w:proofErr w:type="spellStart"/>
      <w:r w:rsidRPr="00370CE7">
        <w:rPr>
          <w:b/>
          <w:bCs/>
          <w:color w:val="000000" w:themeColor="text1"/>
          <w:sz w:val="22"/>
          <w:szCs w:val="22"/>
        </w:rPr>
        <w:t>Labeo</w:t>
      </w:r>
      <w:proofErr w:type="spellEnd"/>
      <w:r w:rsidRPr="00370CE7">
        <w:rPr>
          <w:b/>
          <w:bCs/>
          <w:color w:val="000000" w:themeColor="text1"/>
          <w:sz w:val="22"/>
          <w:szCs w:val="22"/>
        </w:rPr>
        <w:t xml:space="preserve"> </w:t>
      </w:r>
      <w:proofErr w:type="spellStart"/>
      <w:r w:rsidRPr="00370CE7">
        <w:rPr>
          <w:b/>
          <w:bCs/>
          <w:color w:val="000000" w:themeColor="text1"/>
          <w:sz w:val="22"/>
          <w:szCs w:val="22"/>
        </w:rPr>
        <w:t>rohita</w:t>
      </w:r>
      <w:proofErr w:type="spellEnd"/>
      <w:r w:rsidRPr="00370CE7">
        <w:rPr>
          <w:b/>
          <w:bCs/>
          <w:color w:val="000000" w:themeColor="text1"/>
          <w:sz w:val="22"/>
          <w:szCs w:val="22"/>
        </w:rPr>
        <w:t xml:space="preserve"> under sublethal pH exposure (mean ± SD, n = 6).</w:t>
      </w:r>
    </w:p>
    <w:tbl>
      <w:tblPr>
        <w:tblStyle w:val="TableGrid"/>
        <w:tblW w:w="9350" w:type="dxa"/>
        <w:tblLook w:val="04A0" w:firstRow="1" w:lastRow="0" w:firstColumn="1" w:lastColumn="0" w:noHBand="0" w:noVBand="1"/>
      </w:tblPr>
      <w:tblGrid>
        <w:gridCol w:w="2600"/>
        <w:gridCol w:w="1500"/>
        <w:gridCol w:w="1750"/>
        <w:gridCol w:w="1850"/>
        <w:gridCol w:w="1650"/>
      </w:tblGrid>
      <w:tr w:rsidR="00AA707A" w:rsidRPr="00370CE7" w14:paraId="263C13B1" w14:textId="77777777" w:rsidTr="00370CE7">
        <w:tc>
          <w:tcPr>
            <w:tcW w:w="2600" w:type="dxa"/>
          </w:tcPr>
          <w:p w14:paraId="0CEA8838" w14:textId="77777777" w:rsidR="00AA707A" w:rsidRPr="00370CE7" w:rsidRDefault="00370CE7" w:rsidP="00370CE7">
            <w:pPr>
              <w:jc w:val="center"/>
              <w:rPr>
                <w:color w:val="000000" w:themeColor="text1"/>
              </w:rPr>
            </w:pPr>
            <w:r w:rsidRPr="00370CE7">
              <w:rPr>
                <w:b/>
                <w:bCs/>
                <w:color w:val="000000" w:themeColor="text1"/>
              </w:rPr>
              <w:t>Biomarker</w:t>
            </w:r>
          </w:p>
        </w:tc>
        <w:tc>
          <w:tcPr>
            <w:tcW w:w="1500" w:type="dxa"/>
          </w:tcPr>
          <w:p w14:paraId="1C789062" w14:textId="77777777" w:rsidR="00AA707A" w:rsidRPr="00370CE7" w:rsidRDefault="00370CE7" w:rsidP="00370CE7">
            <w:pPr>
              <w:jc w:val="center"/>
              <w:rPr>
                <w:color w:val="000000" w:themeColor="text1"/>
              </w:rPr>
            </w:pPr>
            <w:r w:rsidRPr="00370CE7">
              <w:rPr>
                <w:b/>
                <w:bCs/>
                <w:color w:val="000000" w:themeColor="text1"/>
              </w:rPr>
              <w:t>Duration</w:t>
            </w:r>
          </w:p>
        </w:tc>
        <w:tc>
          <w:tcPr>
            <w:tcW w:w="1750" w:type="dxa"/>
          </w:tcPr>
          <w:p w14:paraId="5847B061" w14:textId="77777777" w:rsidR="00AA707A" w:rsidRPr="00370CE7" w:rsidRDefault="00370CE7" w:rsidP="00370CE7">
            <w:pPr>
              <w:jc w:val="center"/>
              <w:rPr>
                <w:color w:val="000000" w:themeColor="text1"/>
              </w:rPr>
            </w:pPr>
            <w:r w:rsidRPr="00370CE7">
              <w:rPr>
                <w:b/>
                <w:bCs/>
                <w:color w:val="000000" w:themeColor="text1"/>
              </w:rPr>
              <w:t>Control</w:t>
            </w:r>
          </w:p>
        </w:tc>
        <w:tc>
          <w:tcPr>
            <w:tcW w:w="1850" w:type="dxa"/>
          </w:tcPr>
          <w:p w14:paraId="51465C98" w14:textId="77777777" w:rsidR="00AA707A" w:rsidRPr="00370CE7" w:rsidRDefault="00370CE7" w:rsidP="00370CE7">
            <w:pPr>
              <w:jc w:val="center"/>
              <w:rPr>
                <w:color w:val="000000" w:themeColor="text1"/>
              </w:rPr>
            </w:pPr>
            <w:r w:rsidRPr="00370CE7">
              <w:rPr>
                <w:b/>
                <w:bCs/>
                <w:color w:val="000000" w:themeColor="text1"/>
              </w:rPr>
              <w:t>Acidic (pH 5.5)</w:t>
            </w:r>
          </w:p>
        </w:tc>
        <w:tc>
          <w:tcPr>
            <w:tcW w:w="1650" w:type="dxa"/>
          </w:tcPr>
          <w:p w14:paraId="135B0784" w14:textId="77777777" w:rsidR="00AA707A" w:rsidRPr="00370CE7" w:rsidRDefault="00370CE7" w:rsidP="00370CE7">
            <w:pPr>
              <w:jc w:val="center"/>
              <w:rPr>
                <w:color w:val="000000" w:themeColor="text1"/>
              </w:rPr>
            </w:pPr>
            <w:r w:rsidRPr="00370CE7">
              <w:rPr>
                <w:b/>
                <w:bCs/>
                <w:color w:val="000000" w:themeColor="text1"/>
              </w:rPr>
              <w:t>Alkaline (pH 9.5)</w:t>
            </w:r>
          </w:p>
        </w:tc>
      </w:tr>
      <w:tr w:rsidR="00370CE7" w:rsidRPr="00370CE7" w14:paraId="4567E454" w14:textId="77777777" w:rsidTr="00370CE7">
        <w:tc>
          <w:tcPr>
            <w:tcW w:w="2600" w:type="dxa"/>
            <w:vMerge w:val="restart"/>
          </w:tcPr>
          <w:p w14:paraId="69CC44BD" w14:textId="77777777" w:rsidR="00370CE7" w:rsidRPr="00370CE7" w:rsidRDefault="00370CE7" w:rsidP="00370CE7">
            <w:pPr>
              <w:rPr>
                <w:color w:val="000000" w:themeColor="text1"/>
              </w:rPr>
            </w:pPr>
            <w:r w:rsidRPr="00370CE7">
              <w:rPr>
                <w:color w:val="000000" w:themeColor="text1"/>
              </w:rPr>
              <w:t>MDA (nmol/mg protein)</w:t>
            </w:r>
          </w:p>
        </w:tc>
        <w:tc>
          <w:tcPr>
            <w:tcW w:w="1500" w:type="dxa"/>
          </w:tcPr>
          <w:p w14:paraId="5C7605E3" w14:textId="77777777" w:rsidR="00370CE7" w:rsidRPr="00370CE7" w:rsidRDefault="00370CE7" w:rsidP="00370CE7">
            <w:pPr>
              <w:jc w:val="center"/>
              <w:rPr>
                <w:color w:val="000000" w:themeColor="text1"/>
              </w:rPr>
            </w:pPr>
            <w:r w:rsidRPr="00370CE7">
              <w:rPr>
                <w:color w:val="000000" w:themeColor="text1"/>
              </w:rPr>
              <w:t>Day 15</w:t>
            </w:r>
          </w:p>
        </w:tc>
        <w:tc>
          <w:tcPr>
            <w:tcW w:w="1750" w:type="dxa"/>
          </w:tcPr>
          <w:p w14:paraId="36CCBFA4" w14:textId="77777777" w:rsidR="00370CE7" w:rsidRPr="00370CE7" w:rsidRDefault="00370CE7" w:rsidP="00370CE7">
            <w:pPr>
              <w:jc w:val="center"/>
              <w:rPr>
                <w:color w:val="000000" w:themeColor="text1"/>
              </w:rPr>
            </w:pPr>
            <w:r w:rsidRPr="00370CE7">
              <w:rPr>
                <w:color w:val="000000" w:themeColor="text1"/>
              </w:rPr>
              <w:t>1.86 ± 0.15ᵃ</w:t>
            </w:r>
          </w:p>
        </w:tc>
        <w:tc>
          <w:tcPr>
            <w:tcW w:w="1850" w:type="dxa"/>
          </w:tcPr>
          <w:p w14:paraId="67E0B8D0" w14:textId="77777777" w:rsidR="00370CE7" w:rsidRPr="00370CE7" w:rsidRDefault="00370CE7" w:rsidP="00370CE7">
            <w:pPr>
              <w:jc w:val="center"/>
              <w:rPr>
                <w:color w:val="000000" w:themeColor="text1"/>
              </w:rPr>
            </w:pPr>
            <w:r w:rsidRPr="00370CE7">
              <w:rPr>
                <w:color w:val="000000" w:themeColor="text1"/>
              </w:rPr>
              <w:t>2.74 ± 0.20ᵇ</w:t>
            </w:r>
          </w:p>
        </w:tc>
        <w:tc>
          <w:tcPr>
            <w:tcW w:w="1650" w:type="dxa"/>
          </w:tcPr>
          <w:p w14:paraId="331EF348" w14:textId="77777777" w:rsidR="00370CE7" w:rsidRPr="00370CE7" w:rsidRDefault="00370CE7" w:rsidP="00370CE7">
            <w:pPr>
              <w:jc w:val="center"/>
              <w:rPr>
                <w:color w:val="000000" w:themeColor="text1"/>
              </w:rPr>
            </w:pPr>
            <w:r w:rsidRPr="00370CE7">
              <w:rPr>
                <w:color w:val="000000" w:themeColor="text1"/>
              </w:rPr>
              <w:t>2.48 ± 0.19ᵇ</w:t>
            </w:r>
          </w:p>
        </w:tc>
      </w:tr>
      <w:tr w:rsidR="00370CE7" w:rsidRPr="00370CE7" w14:paraId="622C5D66" w14:textId="77777777" w:rsidTr="00370CE7">
        <w:tc>
          <w:tcPr>
            <w:tcW w:w="2600" w:type="dxa"/>
            <w:vMerge/>
          </w:tcPr>
          <w:p w14:paraId="3DAF35D2" w14:textId="77777777" w:rsidR="00370CE7" w:rsidRPr="00370CE7" w:rsidRDefault="00370CE7" w:rsidP="00370CE7">
            <w:pPr>
              <w:rPr>
                <w:color w:val="000000" w:themeColor="text1"/>
              </w:rPr>
            </w:pPr>
          </w:p>
        </w:tc>
        <w:tc>
          <w:tcPr>
            <w:tcW w:w="1500" w:type="dxa"/>
          </w:tcPr>
          <w:p w14:paraId="05B081D3" w14:textId="77777777" w:rsidR="00370CE7" w:rsidRPr="00370CE7" w:rsidRDefault="00370CE7" w:rsidP="00370CE7">
            <w:pPr>
              <w:jc w:val="center"/>
              <w:rPr>
                <w:color w:val="000000" w:themeColor="text1"/>
              </w:rPr>
            </w:pPr>
            <w:r w:rsidRPr="00370CE7">
              <w:rPr>
                <w:color w:val="000000" w:themeColor="text1"/>
              </w:rPr>
              <w:t>Day 30</w:t>
            </w:r>
          </w:p>
        </w:tc>
        <w:tc>
          <w:tcPr>
            <w:tcW w:w="1750" w:type="dxa"/>
          </w:tcPr>
          <w:p w14:paraId="5F712888" w14:textId="77777777" w:rsidR="00370CE7" w:rsidRPr="00370CE7" w:rsidRDefault="00370CE7" w:rsidP="00370CE7">
            <w:pPr>
              <w:jc w:val="center"/>
              <w:rPr>
                <w:color w:val="000000" w:themeColor="text1"/>
              </w:rPr>
            </w:pPr>
            <w:r w:rsidRPr="00370CE7">
              <w:rPr>
                <w:color w:val="000000" w:themeColor="text1"/>
              </w:rPr>
              <w:t>1.90 ± 0.14ᵃ</w:t>
            </w:r>
          </w:p>
        </w:tc>
        <w:tc>
          <w:tcPr>
            <w:tcW w:w="1850" w:type="dxa"/>
          </w:tcPr>
          <w:p w14:paraId="132CE20B" w14:textId="77777777" w:rsidR="00370CE7" w:rsidRPr="00370CE7" w:rsidRDefault="00370CE7" w:rsidP="00370CE7">
            <w:pPr>
              <w:jc w:val="center"/>
              <w:rPr>
                <w:color w:val="000000" w:themeColor="text1"/>
              </w:rPr>
            </w:pPr>
            <w:r w:rsidRPr="00370CE7">
              <w:rPr>
                <w:color w:val="000000" w:themeColor="text1"/>
              </w:rPr>
              <w:t>3.35 ± 0.23ᵇ</w:t>
            </w:r>
          </w:p>
        </w:tc>
        <w:tc>
          <w:tcPr>
            <w:tcW w:w="1650" w:type="dxa"/>
          </w:tcPr>
          <w:p w14:paraId="3BE88468" w14:textId="77777777" w:rsidR="00370CE7" w:rsidRPr="00370CE7" w:rsidRDefault="00370CE7" w:rsidP="00370CE7">
            <w:pPr>
              <w:jc w:val="center"/>
              <w:rPr>
                <w:color w:val="000000" w:themeColor="text1"/>
              </w:rPr>
            </w:pPr>
            <w:r w:rsidRPr="00370CE7">
              <w:rPr>
                <w:color w:val="000000" w:themeColor="text1"/>
              </w:rPr>
              <w:t>2.96 ± 0.21ᵇ</w:t>
            </w:r>
          </w:p>
        </w:tc>
      </w:tr>
      <w:tr w:rsidR="00370CE7" w:rsidRPr="00370CE7" w14:paraId="60FAA5F4" w14:textId="77777777" w:rsidTr="00370CE7">
        <w:tc>
          <w:tcPr>
            <w:tcW w:w="2600" w:type="dxa"/>
            <w:vMerge/>
          </w:tcPr>
          <w:p w14:paraId="5B08072B" w14:textId="77777777" w:rsidR="00370CE7" w:rsidRPr="00370CE7" w:rsidRDefault="00370CE7" w:rsidP="00370CE7">
            <w:pPr>
              <w:rPr>
                <w:color w:val="000000" w:themeColor="text1"/>
              </w:rPr>
            </w:pPr>
          </w:p>
        </w:tc>
        <w:tc>
          <w:tcPr>
            <w:tcW w:w="1500" w:type="dxa"/>
          </w:tcPr>
          <w:p w14:paraId="5E07D2CA" w14:textId="77777777" w:rsidR="00370CE7" w:rsidRPr="00370CE7" w:rsidRDefault="00370CE7" w:rsidP="00370CE7">
            <w:pPr>
              <w:jc w:val="center"/>
              <w:rPr>
                <w:color w:val="000000" w:themeColor="text1"/>
              </w:rPr>
            </w:pPr>
            <w:r w:rsidRPr="00370CE7">
              <w:rPr>
                <w:color w:val="000000" w:themeColor="text1"/>
              </w:rPr>
              <w:t>Day 60</w:t>
            </w:r>
          </w:p>
        </w:tc>
        <w:tc>
          <w:tcPr>
            <w:tcW w:w="1750" w:type="dxa"/>
          </w:tcPr>
          <w:p w14:paraId="6D2E64E0" w14:textId="77777777" w:rsidR="00370CE7" w:rsidRPr="00370CE7" w:rsidRDefault="00370CE7" w:rsidP="00370CE7">
            <w:pPr>
              <w:jc w:val="center"/>
              <w:rPr>
                <w:color w:val="000000" w:themeColor="text1"/>
              </w:rPr>
            </w:pPr>
            <w:r w:rsidRPr="00370CE7">
              <w:rPr>
                <w:color w:val="000000" w:themeColor="text1"/>
              </w:rPr>
              <w:t>1.93 ± 0.15ᵃ</w:t>
            </w:r>
          </w:p>
        </w:tc>
        <w:tc>
          <w:tcPr>
            <w:tcW w:w="1850" w:type="dxa"/>
          </w:tcPr>
          <w:p w14:paraId="27E0C8E2" w14:textId="77777777" w:rsidR="00370CE7" w:rsidRPr="00370CE7" w:rsidRDefault="00370CE7" w:rsidP="00370CE7">
            <w:pPr>
              <w:jc w:val="center"/>
              <w:rPr>
                <w:color w:val="000000" w:themeColor="text1"/>
              </w:rPr>
            </w:pPr>
            <w:r w:rsidRPr="00370CE7">
              <w:rPr>
                <w:color w:val="000000" w:themeColor="text1"/>
              </w:rPr>
              <w:t>4.42 ± 0.28ᵇ</w:t>
            </w:r>
          </w:p>
        </w:tc>
        <w:tc>
          <w:tcPr>
            <w:tcW w:w="1650" w:type="dxa"/>
          </w:tcPr>
          <w:p w14:paraId="758741F7" w14:textId="77777777" w:rsidR="00370CE7" w:rsidRPr="00370CE7" w:rsidRDefault="00370CE7" w:rsidP="00370CE7">
            <w:pPr>
              <w:jc w:val="center"/>
              <w:rPr>
                <w:color w:val="000000" w:themeColor="text1"/>
              </w:rPr>
            </w:pPr>
            <w:r w:rsidRPr="00370CE7">
              <w:rPr>
                <w:color w:val="000000" w:themeColor="text1"/>
              </w:rPr>
              <w:t>3.58 ± 0.24ᶜ</w:t>
            </w:r>
          </w:p>
        </w:tc>
      </w:tr>
      <w:tr w:rsidR="00370CE7" w:rsidRPr="00370CE7" w14:paraId="1E74BFC0" w14:textId="77777777" w:rsidTr="00370CE7">
        <w:tc>
          <w:tcPr>
            <w:tcW w:w="2600" w:type="dxa"/>
            <w:vMerge w:val="restart"/>
          </w:tcPr>
          <w:p w14:paraId="0ABD59FC" w14:textId="77777777" w:rsidR="00370CE7" w:rsidRPr="00370CE7" w:rsidRDefault="00370CE7" w:rsidP="00370CE7">
            <w:pPr>
              <w:rPr>
                <w:color w:val="000000" w:themeColor="text1"/>
              </w:rPr>
            </w:pPr>
            <w:r w:rsidRPr="00370CE7">
              <w:rPr>
                <w:color w:val="000000" w:themeColor="text1"/>
              </w:rPr>
              <w:t>SOD (U/mg protein)</w:t>
            </w:r>
          </w:p>
        </w:tc>
        <w:tc>
          <w:tcPr>
            <w:tcW w:w="1500" w:type="dxa"/>
          </w:tcPr>
          <w:p w14:paraId="1D31D1F2" w14:textId="77777777" w:rsidR="00370CE7" w:rsidRPr="00370CE7" w:rsidRDefault="00370CE7" w:rsidP="00370CE7">
            <w:pPr>
              <w:jc w:val="center"/>
              <w:rPr>
                <w:color w:val="000000" w:themeColor="text1"/>
              </w:rPr>
            </w:pPr>
            <w:r w:rsidRPr="00370CE7">
              <w:rPr>
                <w:color w:val="000000" w:themeColor="text1"/>
              </w:rPr>
              <w:t>Day 15</w:t>
            </w:r>
          </w:p>
        </w:tc>
        <w:tc>
          <w:tcPr>
            <w:tcW w:w="1750" w:type="dxa"/>
          </w:tcPr>
          <w:p w14:paraId="1B4FE9A3" w14:textId="77777777" w:rsidR="00370CE7" w:rsidRPr="00370CE7" w:rsidRDefault="00370CE7" w:rsidP="00370CE7">
            <w:pPr>
              <w:jc w:val="center"/>
              <w:rPr>
                <w:color w:val="000000" w:themeColor="text1"/>
              </w:rPr>
            </w:pPr>
            <w:r w:rsidRPr="00370CE7">
              <w:rPr>
                <w:color w:val="000000" w:themeColor="text1"/>
              </w:rPr>
              <w:t>14.2 ± 1.0ᵃ</w:t>
            </w:r>
          </w:p>
        </w:tc>
        <w:tc>
          <w:tcPr>
            <w:tcW w:w="1850" w:type="dxa"/>
          </w:tcPr>
          <w:p w14:paraId="63C2D8F2" w14:textId="77777777" w:rsidR="00370CE7" w:rsidRPr="00370CE7" w:rsidRDefault="00370CE7" w:rsidP="00370CE7">
            <w:pPr>
              <w:jc w:val="center"/>
              <w:rPr>
                <w:color w:val="000000" w:themeColor="text1"/>
              </w:rPr>
            </w:pPr>
            <w:r w:rsidRPr="00370CE7">
              <w:rPr>
                <w:color w:val="000000" w:themeColor="text1"/>
              </w:rPr>
              <w:t>18.6 ± 1.3ᵇ</w:t>
            </w:r>
          </w:p>
        </w:tc>
        <w:tc>
          <w:tcPr>
            <w:tcW w:w="1650" w:type="dxa"/>
          </w:tcPr>
          <w:p w14:paraId="4509A7BC" w14:textId="77777777" w:rsidR="00370CE7" w:rsidRPr="00370CE7" w:rsidRDefault="00370CE7" w:rsidP="00370CE7">
            <w:pPr>
              <w:jc w:val="center"/>
              <w:rPr>
                <w:color w:val="000000" w:themeColor="text1"/>
              </w:rPr>
            </w:pPr>
            <w:r w:rsidRPr="00370CE7">
              <w:rPr>
                <w:color w:val="000000" w:themeColor="text1"/>
              </w:rPr>
              <w:t>17.4 ± 1.2ᵇ</w:t>
            </w:r>
          </w:p>
        </w:tc>
      </w:tr>
      <w:tr w:rsidR="00370CE7" w:rsidRPr="00370CE7" w14:paraId="212222DC" w14:textId="77777777" w:rsidTr="00370CE7">
        <w:tc>
          <w:tcPr>
            <w:tcW w:w="2600" w:type="dxa"/>
            <w:vMerge/>
          </w:tcPr>
          <w:p w14:paraId="7FECE42A" w14:textId="77777777" w:rsidR="00370CE7" w:rsidRPr="00370CE7" w:rsidRDefault="00370CE7" w:rsidP="00370CE7">
            <w:pPr>
              <w:rPr>
                <w:color w:val="000000" w:themeColor="text1"/>
              </w:rPr>
            </w:pPr>
          </w:p>
        </w:tc>
        <w:tc>
          <w:tcPr>
            <w:tcW w:w="1500" w:type="dxa"/>
          </w:tcPr>
          <w:p w14:paraId="3DFA2109" w14:textId="77777777" w:rsidR="00370CE7" w:rsidRPr="00370CE7" w:rsidRDefault="00370CE7" w:rsidP="00370CE7">
            <w:pPr>
              <w:jc w:val="center"/>
              <w:rPr>
                <w:color w:val="000000" w:themeColor="text1"/>
              </w:rPr>
            </w:pPr>
            <w:r w:rsidRPr="00370CE7">
              <w:rPr>
                <w:color w:val="000000" w:themeColor="text1"/>
              </w:rPr>
              <w:t>Day 30</w:t>
            </w:r>
          </w:p>
        </w:tc>
        <w:tc>
          <w:tcPr>
            <w:tcW w:w="1750" w:type="dxa"/>
          </w:tcPr>
          <w:p w14:paraId="3FD220D3" w14:textId="77777777" w:rsidR="00370CE7" w:rsidRPr="00370CE7" w:rsidRDefault="00370CE7" w:rsidP="00370CE7">
            <w:pPr>
              <w:jc w:val="center"/>
              <w:rPr>
                <w:color w:val="000000" w:themeColor="text1"/>
              </w:rPr>
            </w:pPr>
            <w:r w:rsidRPr="00370CE7">
              <w:rPr>
                <w:color w:val="000000" w:themeColor="text1"/>
              </w:rPr>
              <w:t>14.4 ± 0.9ᵃ</w:t>
            </w:r>
          </w:p>
        </w:tc>
        <w:tc>
          <w:tcPr>
            <w:tcW w:w="1850" w:type="dxa"/>
          </w:tcPr>
          <w:p w14:paraId="7B420E39" w14:textId="77777777" w:rsidR="00370CE7" w:rsidRPr="00370CE7" w:rsidRDefault="00370CE7" w:rsidP="00370CE7">
            <w:pPr>
              <w:jc w:val="center"/>
              <w:rPr>
                <w:color w:val="000000" w:themeColor="text1"/>
              </w:rPr>
            </w:pPr>
            <w:r w:rsidRPr="00370CE7">
              <w:rPr>
                <w:color w:val="000000" w:themeColor="text1"/>
              </w:rPr>
              <w:t>20.3 ± 1.4ᵇ</w:t>
            </w:r>
          </w:p>
        </w:tc>
        <w:tc>
          <w:tcPr>
            <w:tcW w:w="1650" w:type="dxa"/>
          </w:tcPr>
          <w:p w14:paraId="30289D2A" w14:textId="77777777" w:rsidR="00370CE7" w:rsidRPr="00370CE7" w:rsidRDefault="00370CE7" w:rsidP="00370CE7">
            <w:pPr>
              <w:jc w:val="center"/>
              <w:rPr>
                <w:color w:val="000000" w:themeColor="text1"/>
              </w:rPr>
            </w:pPr>
            <w:r w:rsidRPr="00370CE7">
              <w:rPr>
                <w:color w:val="000000" w:themeColor="text1"/>
              </w:rPr>
              <w:t>18.9 ± 1.3ᵇ</w:t>
            </w:r>
          </w:p>
        </w:tc>
      </w:tr>
      <w:tr w:rsidR="00370CE7" w:rsidRPr="00370CE7" w14:paraId="6E752163" w14:textId="77777777" w:rsidTr="00370CE7">
        <w:tc>
          <w:tcPr>
            <w:tcW w:w="2600" w:type="dxa"/>
            <w:vMerge/>
          </w:tcPr>
          <w:p w14:paraId="35A01A27" w14:textId="77777777" w:rsidR="00370CE7" w:rsidRPr="00370CE7" w:rsidRDefault="00370CE7" w:rsidP="00370CE7">
            <w:pPr>
              <w:rPr>
                <w:color w:val="000000" w:themeColor="text1"/>
              </w:rPr>
            </w:pPr>
          </w:p>
        </w:tc>
        <w:tc>
          <w:tcPr>
            <w:tcW w:w="1500" w:type="dxa"/>
          </w:tcPr>
          <w:p w14:paraId="5A1827E7" w14:textId="77777777" w:rsidR="00370CE7" w:rsidRPr="00370CE7" w:rsidRDefault="00370CE7" w:rsidP="00370CE7">
            <w:pPr>
              <w:jc w:val="center"/>
              <w:rPr>
                <w:color w:val="000000" w:themeColor="text1"/>
              </w:rPr>
            </w:pPr>
            <w:r w:rsidRPr="00370CE7">
              <w:rPr>
                <w:color w:val="000000" w:themeColor="text1"/>
              </w:rPr>
              <w:t>Day 60</w:t>
            </w:r>
          </w:p>
        </w:tc>
        <w:tc>
          <w:tcPr>
            <w:tcW w:w="1750" w:type="dxa"/>
          </w:tcPr>
          <w:p w14:paraId="6BBFABAC" w14:textId="77777777" w:rsidR="00370CE7" w:rsidRPr="00370CE7" w:rsidRDefault="00370CE7" w:rsidP="00370CE7">
            <w:pPr>
              <w:jc w:val="center"/>
              <w:rPr>
                <w:color w:val="000000" w:themeColor="text1"/>
              </w:rPr>
            </w:pPr>
            <w:r w:rsidRPr="00370CE7">
              <w:rPr>
                <w:color w:val="000000" w:themeColor="text1"/>
              </w:rPr>
              <w:t>14.6 ± 1.0ᵃ</w:t>
            </w:r>
          </w:p>
        </w:tc>
        <w:tc>
          <w:tcPr>
            <w:tcW w:w="1850" w:type="dxa"/>
          </w:tcPr>
          <w:p w14:paraId="3329CEC2" w14:textId="77777777" w:rsidR="00370CE7" w:rsidRPr="00370CE7" w:rsidRDefault="00370CE7" w:rsidP="00370CE7">
            <w:pPr>
              <w:jc w:val="center"/>
              <w:rPr>
                <w:color w:val="000000" w:themeColor="text1"/>
              </w:rPr>
            </w:pPr>
            <w:r w:rsidRPr="00370CE7">
              <w:rPr>
                <w:color w:val="000000" w:themeColor="text1"/>
              </w:rPr>
              <w:t>13.1 ± 1.1ᵃ</w:t>
            </w:r>
          </w:p>
        </w:tc>
        <w:tc>
          <w:tcPr>
            <w:tcW w:w="1650" w:type="dxa"/>
          </w:tcPr>
          <w:p w14:paraId="65EDCA42" w14:textId="77777777" w:rsidR="00370CE7" w:rsidRPr="00370CE7" w:rsidRDefault="00370CE7" w:rsidP="00370CE7">
            <w:pPr>
              <w:jc w:val="center"/>
              <w:rPr>
                <w:color w:val="000000" w:themeColor="text1"/>
              </w:rPr>
            </w:pPr>
            <w:r w:rsidRPr="00370CE7">
              <w:rPr>
                <w:color w:val="000000" w:themeColor="text1"/>
              </w:rPr>
              <w:t>16.2 ± 1.2ᵇ</w:t>
            </w:r>
          </w:p>
        </w:tc>
      </w:tr>
      <w:tr w:rsidR="00370CE7" w:rsidRPr="00370CE7" w14:paraId="52068E44" w14:textId="77777777" w:rsidTr="00370CE7">
        <w:tc>
          <w:tcPr>
            <w:tcW w:w="2600" w:type="dxa"/>
            <w:vMerge w:val="restart"/>
          </w:tcPr>
          <w:p w14:paraId="1E8EC3E2" w14:textId="77777777" w:rsidR="00370CE7" w:rsidRPr="00370CE7" w:rsidRDefault="00370CE7" w:rsidP="00370CE7">
            <w:pPr>
              <w:rPr>
                <w:color w:val="000000" w:themeColor="text1"/>
              </w:rPr>
            </w:pPr>
            <w:r w:rsidRPr="00370CE7">
              <w:rPr>
                <w:color w:val="000000" w:themeColor="text1"/>
              </w:rPr>
              <w:t>CAT (U/mg protein)</w:t>
            </w:r>
          </w:p>
        </w:tc>
        <w:tc>
          <w:tcPr>
            <w:tcW w:w="1500" w:type="dxa"/>
          </w:tcPr>
          <w:p w14:paraId="65FD84C0" w14:textId="77777777" w:rsidR="00370CE7" w:rsidRPr="00370CE7" w:rsidRDefault="00370CE7" w:rsidP="00370CE7">
            <w:pPr>
              <w:jc w:val="center"/>
              <w:rPr>
                <w:color w:val="000000" w:themeColor="text1"/>
              </w:rPr>
            </w:pPr>
            <w:r w:rsidRPr="00370CE7">
              <w:rPr>
                <w:color w:val="000000" w:themeColor="text1"/>
              </w:rPr>
              <w:t>Day 15</w:t>
            </w:r>
          </w:p>
        </w:tc>
        <w:tc>
          <w:tcPr>
            <w:tcW w:w="1750" w:type="dxa"/>
          </w:tcPr>
          <w:p w14:paraId="49DA96D0" w14:textId="77777777" w:rsidR="00370CE7" w:rsidRPr="00370CE7" w:rsidRDefault="00370CE7" w:rsidP="00370CE7">
            <w:pPr>
              <w:jc w:val="center"/>
              <w:rPr>
                <w:color w:val="000000" w:themeColor="text1"/>
              </w:rPr>
            </w:pPr>
            <w:r w:rsidRPr="00370CE7">
              <w:rPr>
                <w:color w:val="000000" w:themeColor="text1"/>
              </w:rPr>
              <w:t>22.4 ± 1.4ᵃ</w:t>
            </w:r>
          </w:p>
        </w:tc>
        <w:tc>
          <w:tcPr>
            <w:tcW w:w="1850" w:type="dxa"/>
          </w:tcPr>
          <w:p w14:paraId="61D873F7" w14:textId="77777777" w:rsidR="00370CE7" w:rsidRPr="00370CE7" w:rsidRDefault="00370CE7" w:rsidP="00370CE7">
            <w:pPr>
              <w:jc w:val="center"/>
              <w:rPr>
                <w:color w:val="000000" w:themeColor="text1"/>
              </w:rPr>
            </w:pPr>
            <w:r w:rsidRPr="00370CE7">
              <w:rPr>
                <w:color w:val="000000" w:themeColor="text1"/>
              </w:rPr>
              <w:t>28.9 ± 1.8ᵇ</w:t>
            </w:r>
          </w:p>
        </w:tc>
        <w:tc>
          <w:tcPr>
            <w:tcW w:w="1650" w:type="dxa"/>
          </w:tcPr>
          <w:p w14:paraId="47E5B2BB" w14:textId="77777777" w:rsidR="00370CE7" w:rsidRPr="00370CE7" w:rsidRDefault="00370CE7" w:rsidP="00370CE7">
            <w:pPr>
              <w:jc w:val="center"/>
              <w:rPr>
                <w:color w:val="000000" w:themeColor="text1"/>
              </w:rPr>
            </w:pPr>
            <w:r w:rsidRPr="00370CE7">
              <w:rPr>
                <w:color w:val="000000" w:themeColor="text1"/>
              </w:rPr>
              <w:t>27.1 ± 1.7ᵇ</w:t>
            </w:r>
          </w:p>
        </w:tc>
      </w:tr>
      <w:tr w:rsidR="00370CE7" w:rsidRPr="00370CE7" w14:paraId="33226600" w14:textId="77777777" w:rsidTr="00370CE7">
        <w:tc>
          <w:tcPr>
            <w:tcW w:w="2600" w:type="dxa"/>
            <w:vMerge/>
          </w:tcPr>
          <w:p w14:paraId="608CBAD7" w14:textId="77777777" w:rsidR="00370CE7" w:rsidRPr="00370CE7" w:rsidRDefault="00370CE7" w:rsidP="00370CE7">
            <w:pPr>
              <w:rPr>
                <w:color w:val="000000" w:themeColor="text1"/>
              </w:rPr>
            </w:pPr>
          </w:p>
        </w:tc>
        <w:tc>
          <w:tcPr>
            <w:tcW w:w="1500" w:type="dxa"/>
          </w:tcPr>
          <w:p w14:paraId="11E8B8C7" w14:textId="77777777" w:rsidR="00370CE7" w:rsidRPr="00370CE7" w:rsidRDefault="00370CE7" w:rsidP="00370CE7">
            <w:pPr>
              <w:jc w:val="center"/>
              <w:rPr>
                <w:color w:val="000000" w:themeColor="text1"/>
              </w:rPr>
            </w:pPr>
            <w:r w:rsidRPr="00370CE7">
              <w:rPr>
                <w:color w:val="000000" w:themeColor="text1"/>
              </w:rPr>
              <w:t>Day 30</w:t>
            </w:r>
          </w:p>
        </w:tc>
        <w:tc>
          <w:tcPr>
            <w:tcW w:w="1750" w:type="dxa"/>
          </w:tcPr>
          <w:p w14:paraId="280568A3" w14:textId="77777777" w:rsidR="00370CE7" w:rsidRPr="00370CE7" w:rsidRDefault="00370CE7" w:rsidP="00370CE7">
            <w:pPr>
              <w:jc w:val="center"/>
              <w:rPr>
                <w:color w:val="000000" w:themeColor="text1"/>
              </w:rPr>
            </w:pPr>
            <w:r w:rsidRPr="00370CE7">
              <w:rPr>
                <w:color w:val="000000" w:themeColor="text1"/>
              </w:rPr>
              <w:t>22.7 ± 1.3ᵃ</w:t>
            </w:r>
          </w:p>
        </w:tc>
        <w:tc>
          <w:tcPr>
            <w:tcW w:w="1850" w:type="dxa"/>
          </w:tcPr>
          <w:p w14:paraId="728BED7C" w14:textId="77777777" w:rsidR="00370CE7" w:rsidRPr="00370CE7" w:rsidRDefault="00370CE7" w:rsidP="00370CE7">
            <w:pPr>
              <w:jc w:val="center"/>
              <w:rPr>
                <w:color w:val="000000" w:themeColor="text1"/>
              </w:rPr>
            </w:pPr>
            <w:r w:rsidRPr="00370CE7">
              <w:rPr>
                <w:color w:val="000000" w:themeColor="text1"/>
              </w:rPr>
              <w:t>31.2 ± 1.9ᵇ</w:t>
            </w:r>
          </w:p>
        </w:tc>
        <w:tc>
          <w:tcPr>
            <w:tcW w:w="1650" w:type="dxa"/>
          </w:tcPr>
          <w:p w14:paraId="7D2297B1" w14:textId="77777777" w:rsidR="00370CE7" w:rsidRPr="00370CE7" w:rsidRDefault="00370CE7" w:rsidP="00370CE7">
            <w:pPr>
              <w:jc w:val="center"/>
              <w:rPr>
                <w:color w:val="000000" w:themeColor="text1"/>
              </w:rPr>
            </w:pPr>
            <w:r w:rsidRPr="00370CE7">
              <w:rPr>
                <w:color w:val="000000" w:themeColor="text1"/>
              </w:rPr>
              <w:t>29.0 ± 1.8ᵇ</w:t>
            </w:r>
          </w:p>
        </w:tc>
      </w:tr>
      <w:tr w:rsidR="00370CE7" w:rsidRPr="00370CE7" w14:paraId="1CF613E9" w14:textId="77777777" w:rsidTr="00370CE7">
        <w:tc>
          <w:tcPr>
            <w:tcW w:w="2600" w:type="dxa"/>
            <w:vMerge/>
          </w:tcPr>
          <w:p w14:paraId="49AFDBDA" w14:textId="77777777" w:rsidR="00370CE7" w:rsidRPr="00370CE7" w:rsidRDefault="00370CE7" w:rsidP="00370CE7">
            <w:pPr>
              <w:rPr>
                <w:color w:val="000000" w:themeColor="text1"/>
              </w:rPr>
            </w:pPr>
          </w:p>
        </w:tc>
        <w:tc>
          <w:tcPr>
            <w:tcW w:w="1500" w:type="dxa"/>
          </w:tcPr>
          <w:p w14:paraId="7A920977" w14:textId="77777777" w:rsidR="00370CE7" w:rsidRPr="00370CE7" w:rsidRDefault="00370CE7" w:rsidP="00370CE7">
            <w:pPr>
              <w:jc w:val="center"/>
              <w:rPr>
                <w:color w:val="000000" w:themeColor="text1"/>
              </w:rPr>
            </w:pPr>
            <w:r w:rsidRPr="00370CE7">
              <w:rPr>
                <w:color w:val="000000" w:themeColor="text1"/>
              </w:rPr>
              <w:t>Day 60</w:t>
            </w:r>
          </w:p>
        </w:tc>
        <w:tc>
          <w:tcPr>
            <w:tcW w:w="1750" w:type="dxa"/>
          </w:tcPr>
          <w:p w14:paraId="4F82212D" w14:textId="77777777" w:rsidR="00370CE7" w:rsidRPr="00370CE7" w:rsidRDefault="00370CE7" w:rsidP="00370CE7">
            <w:pPr>
              <w:jc w:val="center"/>
              <w:rPr>
                <w:color w:val="000000" w:themeColor="text1"/>
              </w:rPr>
            </w:pPr>
            <w:r w:rsidRPr="00370CE7">
              <w:rPr>
                <w:color w:val="000000" w:themeColor="text1"/>
              </w:rPr>
              <w:t>23.0 ± 1.3ᵃ</w:t>
            </w:r>
          </w:p>
        </w:tc>
        <w:tc>
          <w:tcPr>
            <w:tcW w:w="1850" w:type="dxa"/>
          </w:tcPr>
          <w:p w14:paraId="4E3F9A6E" w14:textId="77777777" w:rsidR="00370CE7" w:rsidRPr="00370CE7" w:rsidRDefault="00370CE7" w:rsidP="00370CE7">
            <w:pPr>
              <w:jc w:val="center"/>
              <w:rPr>
                <w:color w:val="000000" w:themeColor="text1"/>
              </w:rPr>
            </w:pPr>
            <w:r w:rsidRPr="00370CE7">
              <w:rPr>
                <w:color w:val="000000" w:themeColor="text1"/>
              </w:rPr>
              <w:t>20.4 ± 1.6ᵇ</w:t>
            </w:r>
          </w:p>
        </w:tc>
        <w:tc>
          <w:tcPr>
            <w:tcW w:w="1650" w:type="dxa"/>
          </w:tcPr>
          <w:p w14:paraId="79145B0E" w14:textId="77777777" w:rsidR="00370CE7" w:rsidRPr="00370CE7" w:rsidRDefault="00370CE7" w:rsidP="00370CE7">
            <w:pPr>
              <w:jc w:val="center"/>
              <w:rPr>
                <w:color w:val="000000" w:themeColor="text1"/>
              </w:rPr>
            </w:pPr>
            <w:r w:rsidRPr="00370CE7">
              <w:rPr>
                <w:color w:val="000000" w:themeColor="text1"/>
              </w:rPr>
              <w:t>25.3 ± 1.7ᵃ</w:t>
            </w:r>
          </w:p>
        </w:tc>
      </w:tr>
      <w:tr w:rsidR="00370CE7" w:rsidRPr="00370CE7" w14:paraId="6965305D" w14:textId="77777777" w:rsidTr="00370CE7">
        <w:tc>
          <w:tcPr>
            <w:tcW w:w="2600" w:type="dxa"/>
            <w:vMerge w:val="restart"/>
          </w:tcPr>
          <w:p w14:paraId="276693CF" w14:textId="77777777" w:rsidR="00370CE7" w:rsidRPr="00370CE7" w:rsidRDefault="00370CE7" w:rsidP="00370CE7">
            <w:pPr>
              <w:rPr>
                <w:color w:val="000000" w:themeColor="text1"/>
              </w:rPr>
            </w:pPr>
            <w:proofErr w:type="spellStart"/>
            <w:r w:rsidRPr="00370CE7">
              <w:rPr>
                <w:color w:val="000000" w:themeColor="text1"/>
              </w:rPr>
              <w:t>GPx</w:t>
            </w:r>
            <w:proofErr w:type="spellEnd"/>
            <w:r w:rsidRPr="00370CE7">
              <w:rPr>
                <w:color w:val="000000" w:themeColor="text1"/>
              </w:rPr>
              <w:t xml:space="preserve"> (U/mg protein)</w:t>
            </w:r>
          </w:p>
        </w:tc>
        <w:tc>
          <w:tcPr>
            <w:tcW w:w="1500" w:type="dxa"/>
          </w:tcPr>
          <w:p w14:paraId="25412E96" w14:textId="77777777" w:rsidR="00370CE7" w:rsidRPr="00370CE7" w:rsidRDefault="00370CE7" w:rsidP="00370CE7">
            <w:pPr>
              <w:jc w:val="center"/>
              <w:rPr>
                <w:color w:val="000000" w:themeColor="text1"/>
              </w:rPr>
            </w:pPr>
            <w:r w:rsidRPr="00370CE7">
              <w:rPr>
                <w:color w:val="000000" w:themeColor="text1"/>
              </w:rPr>
              <w:t>Day 15</w:t>
            </w:r>
          </w:p>
        </w:tc>
        <w:tc>
          <w:tcPr>
            <w:tcW w:w="1750" w:type="dxa"/>
          </w:tcPr>
          <w:p w14:paraId="50A507C8" w14:textId="77777777" w:rsidR="00370CE7" w:rsidRPr="00370CE7" w:rsidRDefault="00370CE7" w:rsidP="00370CE7">
            <w:pPr>
              <w:jc w:val="center"/>
              <w:rPr>
                <w:color w:val="000000" w:themeColor="text1"/>
              </w:rPr>
            </w:pPr>
            <w:r w:rsidRPr="00370CE7">
              <w:rPr>
                <w:color w:val="000000" w:themeColor="text1"/>
              </w:rPr>
              <w:t>8.6 ± 0.6ᵃ</w:t>
            </w:r>
          </w:p>
        </w:tc>
        <w:tc>
          <w:tcPr>
            <w:tcW w:w="1850" w:type="dxa"/>
          </w:tcPr>
          <w:p w14:paraId="662874F2" w14:textId="77777777" w:rsidR="00370CE7" w:rsidRPr="00370CE7" w:rsidRDefault="00370CE7" w:rsidP="00370CE7">
            <w:pPr>
              <w:jc w:val="center"/>
              <w:rPr>
                <w:color w:val="000000" w:themeColor="text1"/>
              </w:rPr>
            </w:pPr>
            <w:r w:rsidRPr="00370CE7">
              <w:rPr>
                <w:color w:val="000000" w:themeColor="text1"/>
              </w:rPr>
              <w:t>10.9 ± 0.8ᵇ</w:t>
            </w:r>
          </w:p>
        </w:tc>
        <w:tc>
          <w:tcPr>
            <w:tcW w:w="1650" w:type="dxa"/>
          </w:tcPr>
          <w:p w14:paraId="391B5A55" w14:textId="77777777" w:rsidR="00370CE7" w:rsidRPr="00370CE7" w:rsidRDefault="00370CE7" w:rsidP="00370CE7">
            <w:pPr>
              <w:jc w:val="center"/>
              <w:rPr>
                <w:color w:val="000000" w:themeColor="text1"/>
              </w:rPr>
            </w:pPr>
            <w:r w:rsidRPr="00370CE7">
              <w:rPr>
                <w:color w:val="000000" w:themeColor="text1"/>
              </w:rPr>
              <w:t>10.2 ± 0.7ᵇ</w:t>
            </w:r>
          </w:p>
        </w:tc>
      </w:tr>
      <w:tr w:rsidR="00370CE7" w:rsidRPr="00370CE7" w14:paraId="680CB003" w14:textId="77777777" w:rsidTr="00370CE7">
        <w:tc>
          <w:tcPr>
            <w:tcW w:w="2600" w:type="dxa"/>
            <w:vMerge/>
          </w:tcPr>
          <w:p w14:paraId="69FD568B" w14:textId="77777777" w:rsidR="00370CE7" w:rsidRPr="00370CE7" w:rsidRDefault="00370CE7" w:rsidP="00370CE7">
            <w:pPr>
              <w:rPr>
                <w:color w:val="000000" w:themeColor="text1"/>
              </w:rPr>
            </w:pPr>
          </w:p>
        </w:tc>
        <w:tc>
          <w:tcPr>
            <w:tcW w:w="1500" w:type="dxa"/>
          </w:tcPr>
          <w:p w14:paraId="36EE0EE1" w14:textId="77777777" w:rsidR="00370CE7" w:rsidRPr="00370CE7" w:rsidRDefault="00370CE7" w:rsidP="00370CE7">
            <w:pPr>
              <w:jc w:val="center"/>
              <w:rPr>
                <w:color w:val="000000" w:themeColor="text1"/>
              </w:rPr>
            </w:pPr>
            <w:r w:rsidRPr="00370CE7">
              <w:rPr>
                <w:color w:val="000000" w:themeColor="text1"/>
              </w:rPr>
              <w:t>Day 30</w:t>
            </w:r>
          </w:p>
        </w:tc>
        <w:tc>
          <w:tcPr>
            <w:tcW w:w="1750" w:type="dxa"/>
          </w:tcPr>
          <w:p w14:paraId="65BD954B" w14:textId="77777777" w:rsidR="00370CE7" w:rsidRPr="00370CE7" w:rsidRDefault="00370CE7" w:rsidP="00370CE7">
            <w:pPr>
              <w:jc w:val="center"/>
              <w:rPr>
                <w:color w:val="000000" w:themeColor="text1"/>
              </w:rPr>
            </w:pPr>
            <w:r w:rsidRPr="00370CE7">
              <w:rPr>
                <w:color w:val="000000" w:themeColor="text1"/>
              </w:rPr>
              <w:t>8.7 ± 0.6ᵃ</w:t>
            </w:r>
          </w:p>
        </w:tc>
        <w:tc>
          <w:tcPr>
            <w:tcW w:w="1850" w:type="dxa"/>
          </w:tcPr>
          <w:p w14:paraId="351549FE" w14:textId="77777777" w:rsidR="00370CE7" w:rsidRPr="00370CE7" w:rsidRDefault="00370CE7" w:rsidP="00370CE7">
            <w:pPr>
              <w:jc w:val="center"/>
              <w:rPr>
                <w:color w:val="000000" w:themeColor="text1"/>
              </w:rPr>
            </w:pPr>
            <w:r w:rsidRPr="00370CE7">
              <w:rPr>
                <w:color w:val="000000" w:themeColor="text1"/>
              </w:rPr>
              <w:t>12.0 ± 0.9ᵇ</w:t>
            </w:r>
          </w:p>
        </w:tc>
        <w:tc>
          <w:tcPr>
            <w:tcW w:w="1650" w:type="dxa"/>
          </w:tcPr>
          <w:p w14:paraId="0CC476C2" w14:textId="77777777" w:rsidR="00370CE7" w:rsidRPr="00370CE7" w:rsidRDefault="00370CE7" w:rsidP="00370CE7">
            <w:pPr>
              <w:jc w:val="center"/>
              <w:rPr>
                <w:color w:val="000000" w:themeColor="text1"/>
              </w:rPr>
            </w:pPr>
            <w:r w:rsidRPr="00370CE7">
              <w:rPr>
                <w:color w:val="000000" w:themeColor="text1"/>
              </w:rPr>
              <w:t>11.0 ± 0.8ᵇ</w:t>
            </w:r>
          </w:p>
        </w:tc>
      </w:tr>
      <w:tr w:rsidR="00370CE7" w:rsidRPr="00370CE7" w14:paraId="201623F2" w14:textId="77777777" w:rsidTr="00370CE7">
        <w:tc>
          <w:tcPr>
            <w:tcW w:w="2600" w:type="dxa"/>
            <w:vMerge/>
          </w:tcPr>
          <w:p w14:paraId="49C9647E" w14:textId="77777777" w:rsidR="00370CE7" w:rsidRPr="00370CE7" w:rsidRDefault="00370CE7" w:rsidP="00370CE7">
            <w:pPr>
              <w:rPr>
                <w:color w:val="000000" w:themeColor="text1"/>
              </w:rPr>
            </w:pPr>
          </w:p>
        </w:tc>
        <w:tc>
          <w:tcPr>
            <w:tcW w:w="1500" w:type="dxa"/>
          </w:tcPr>
          <w:p w14:paraId="4E2103D9" w14:textId="77777777" w:rsidR="00370CE7" w:rsidRPr="00370CE7" w:rsidRDefault="00370CE7" w:rsidP="00370CE7">
            <w:pPr>
              <w:jc w:val="center"/>
              <w:rPr>
                <w:color w:val="000000" w:themeColor="text1"/>
              </w:rPr>
            </w:pPr>
            <w:r w:rsidRPr="00370CE7">
              <w:rPr>
                <w:color w:val="000000" w:themeColor="text1"/>
              </w:rPr>
              <w:t>Day 60</w:t>
            </w:r>
          </w:p>
        </w:tc>
        <w:tc>
          <w:tcPr>
            <w:tcW w:w="1750" w:type="dxa"/>
          </w:tcPr>
          <w:p w14:paraId="639D8002" w14:textId="77777777" w:rsidR="00370CE7" w:rsidRPr="00370CE7" w:rsidRDefault="00370CE7" w:rsidP="00370CE7">
            <w:pPr>
              <w:jc w:val="center"/>
              <w:rPr>
                <w:color w:val="000000" w:themeColor="text1"/>
              </w:rPr>
            </w:pPr>
            <w:r w:rsidRPr="00370CE7">
              <w:rPr>
                <w:color w:val="000000" w:themeColor="text1"/>
              </w:rPr>
              <w:t>8.9 ± 0.5ᵃ</w:t>
            </w:r>
          </w:p>
        </w:tc>
        <w:tc>
          <w:tcPr>
            <w:tcW w:w="1850" w:type="dxa"/>
          </w:tcPr>
          <w:p w14:paraId="2C44C750" w14:textId="77777777" w:rsidR="00370CE7" w:rsidRPr="00370CE7" w:rsidRDefault="00370CE7" w:rsidP="00370CE7">
            <w:pPr>
              <w:jc w:val="center"/>
              <w:rPr>
                <w:color w:val="000000" w:themeColor="text1"/>
              </w:rPr>
            </w:pPr>
            <w:r w:rsidRPr="00370CE7">
              <w:rPr>
                <w:color w:val="000000" w:themeColor="text1"/>
              </w:rPr>
              <w:t>7.6 ± 0.7ᵇ</w:t>
            </w:r>
          </w:p>
        </w:tc>
        <w:tc>
          <w:tcPr>
            <w:tcW w:w="1650" w:type="dxa"/>
          </w:tcPr>
          <w:p w14:paraId="659F01D5" w14:textId="77777777" w:rsidR="00370CE7" w:rsidRPr="00370CE7" w:rsidRDefault="00370CE7" w:rsidP="00370CE7">
            <w:pPr>
              <w:jc w:val="center"/>
              <w:rPr>
                <w:color w:val="000000" w:themeColor="text1"/>
              </w:rPr>
            </w:pPr>
            <w:r w:rsidRPr="00370CE7">
              <w:rPr>
                <w:color w:val="000000" w:themeColor="text1"/>
              </w:rPr>
              <w:t>9.4 ± 0.7ᵃ</w:t>
            </w:r>
          </w:p>
        </w:tc>
      </w:tr>
      <w:tr w:rsidR="00370CE7" w:rsidRPr="00370CE7" w14:paraId="3FBF2358" w14:textId="77777777" w:rsidTr="00370CE7">
        <w:tc>
          <w:tcPr>
            <w:tcW w:w="2600" w:type="dxa"/>
            <w:vMerge w:val="restart"/>
          </w:tcPr>
          <w:p w14:paraId="0C6DAD0B" w14:textId="77777777" w:rsidR="00370CE7" w:rsidRPr="00370CE7" w:rsidRDefault="00370CE7" w:rsidP="00370CE7">
            <w:pPr>
              <w:rPr>
                <w:color w:val="000000" w:themeColor="text1"/>
              </w:rPr>
            </w:pPr>
            <w:r w:rsidRPr="00370CE7">
              <w:rPr>
                <w:color w:val="000000" w:themeColor="text1"/>
              </w:rPr>
              <w:lastRenderedPageBreak/>
              <w:t>GSH (µg/mg protein)</w:t>
            </w:r>
          </w:p>
        </w:tc>
        <w:tc>
          <w:tcPr>
            <w:tcW w:w="1500" w:type="dxa"/>
          </w:tcPr>
          <w:p w14:paraId="66944653" w14:textId="77777777" w:rsidR="00370CE7" w:rsidRPr="00370CE7" w:rsidRDefault="00370CE7" w:rsidP="00370CE7">
            <w:pPr>
              <w:jc w:val="center"/>
              <w:rPr>
                <w:color w:val="000000" w:themeColor="text1"/>
              </w:rPr>
            </w:pPr>
            <w:r w:rsidRPr="00370CE7">
              <w:rPr>
                <w:color w:val="000000" w:themeColor="text1"/>
              </w:rPr>
              <w:t>Day 15</w:t>
            </w:r>
          </w:p>
        </w:tc>
        <w:tc>
          <w:tcPr>
            <w:tcW w:w="1750" w:type="dxa"/>
          </w:tcPr>
          <w:p w14:paraId="615ADB5B" w14:textId="77777777" w:rsidR="00370CE7" w:rsidRPr="00370CE7" w:rsidRDefault="00370CE7" w:rsidP="00370CE7">
            <w:pPr>
              <w:jc w:val="center"/>
              <w:rPr>
                <w:color w:val="000000" w:themeColor="text1"/>
              </w:rPr>
            </w:pPr>
            <w:r w:rsidRPr="00370CE7">
              <w:rPr>
                <w:color w:val="000000" w:themeColor="text1"/>
              </w:rPr>
              <w:t>58.2 ± 3.1ᵃ</w:t>
            </w:r>
          </w:p>
        </w:tc>
        <w:tc>
          <w:tcPr>
            <w:tcW w:w="1850" w:type="dxa"/>
          </w:tcPr>
          <w:p w14:paraId="759E1FE7" w14:textId="77777777" w:rsidR="00370CE7" w:rsidRPr="00370CE7" w:rsidRDefault="00370CE7" w:rsidP="00370CE7">
            <w:pPr>
              <w:jc w:val="center"/>
              <w:rPr>
                <w:color w:val="000000" w:themeColor="text1"/>
              </w:rPr>
            </w:pPr>
            <w:r w:rsidRPr="00370CE7">
              <w:rPr>
                <w:color w:val="000000" w:themeColor="text1"/>
              </w:rPr>
              <w:t>49.6 ± 2.8ᵇ</w:t>
            </w:r>
          </w:p>
        </w:tc>
        <w:tc>
          <w:tcPr>
            <w:tcW w:w="1650" w:type="dxa"/>
          </w:tcPr>
          <w:p w14:paraId="4E3AC5B2" w14:textId="77777777" w:rsidR="00370CE7" w:rsidRPr="00370CE7" w:rsidRDefault="00370CE7" w:rsidP="00370CE7">
            <w:pPr>
              <w:jc w:val="center"/>
              <w:rPr>
                <w:color w:val="000000" w:themeColor="text1"/>
              </w:rPr>
            </w:pPr>
            <w:r w:rsidRPr="00370CE7">
              <w:rPr>
                <w:color w:val="000000" w:themeColor="text1"/>
              </w:rPr>
              <w:t>51.9 ± 2.9ᵇ</w:t>
            </w:r>
          </w:p>
        </w:tc>
      </w:tr>
      <w:tr w:rsidR="00370CE7" w:rsidRPr="00370CE7" w14:paraId="2168BC40" w14:textId="77777777" w:rsidTr="00370CE7">
        <w:tc>
          <w:tcPr>
            <w:tcW w:w="2600" w:type="dxa"/>
            <w:vMerge/>
          </w:tcPr>
          <w:p w14:paraId="22BBAD1B" w14:textId="77777777" w:rsidR="00370CE7" w:rsidRPr="00370CE7" w:rsidRDefault="00370CE7" w:rsidP="00370CE7">
            <w:pPr>
              <w:rPr>
                <w:color w:val="000000" w:themeColor="text1"/>
              </w:rPr>
            </w:pPr>
          </w:p>
        </w:tc>
        <w:tc>
          <w:tcPr>
            <w:tcW w:w="1500" w:type="dxa"/>
          </w:tcPr>
          <w:p w14:paraId="14EC98E3" w14:textId="77777777" w:rsidR="00370CE7" w:rsidRPr="00370CE7" w:rsidRDefault="00370CE7" w:rsidP="00370CE7">
            <w:pPr>
              <w:jc w:val="center"/>
              <w:rPr>
                <w:color w:val="000000" w:themeColor="text1"/>
              </w:rPr>
            </w:pPr>
            <w:r w:rsidRPr="00370CE7">
              <w:rPr>
                <w:color w:val="000000" w:themeColor="text1"/>
              </w:rPr>
              <w:t>Day 30</w:t>
            </w:r>
          </w:p>
        </w:tc>
        <w:tc>
          <w:tcPr>
            <w:tcW w:w="1750" w:type="dxa"/>
          </w:tcPr>
          <w:p w14:paraId="53B1F928" w14:textId="77777777" w:rsidR="00370CE7" w:rsidRPr="00370CE7" w:rsidRDefault="00370CE7" w:rsidP="00370CE7">
            <w:pPr>
              <w:jc w:val="center"/>
              <w:rPr>
                <w:color w:val="000000" w:themeColor="text1"/>
              </w:rPr>
            </w:pPr>
            <w:r w:rsidRPr="00370CE7">
              <w:rPr>
                <w:color w:val="000000" w:themeColor="text1"/>
              </w:rPr>
              <w:t>58.9 ± 3.0ᵃ</w:t>
            </w:r>
          </w:p>
        </w:tc>
        <w:tc>
          <w:tcPr>
            <w:tcW w:w="1850" w:type="dxa"/>
          </w:tcPr>
          <w:p w14:paraId="6DB05250" w14:textId="77777777" w:rsidR="00370CE7" w:rsidRPr="00370CE7" w:rsidRDefault="00370CE7" w:rsidP="00370CE7">
            <w:pPr>
              <w:jc w:val="center"/>
              <w:rPr>
                <w:color w:val="000000" w:themeColor="text1"/>
              </w:rPr>
            </w:pPr>
            <w:r w:rsidRPr="00370CE7">
              <w:rPr>
                <w:color w:val="000000" w:themeColor="text1"/>
              </w:rPr>
              <w:t>42.3 ± 3.0ᵇ</w:t>
            </w:r>
          </w:p>
        </w:tc>
        <w:tc>
          <w:tcPr>
            <w:tcW w:w="1650" w:type="dxa"/>
          </w:tcPr>
          <w:p w14:paraId="2052BEA6" w14:textId="77777777" w:rsidR="00370CE7" w:rsidRPr="00370CE7" w:rsidRDefault="00370CE7" w:rsidP="00370CE7">
            <w:pPr>
              <w:jc w:val="center"/>
              <w:rPr>
                <w:color w:val="000000" w:themeColor="text1"/>
              </w:rPr>
            </w:pPr>
            <w:r w:rsidRPr="00370CE7">
              <w:rPr>
                <w:color w:val="000000" w:themeColor="text1"/>
              </w:rPr>
              <w:t>45.8 ± 3.1ᵇ</w:t>
            </w:r>
          </w:p>
        </w:tc>
      </w:tr>
      <w:tr w:rsidR="00370CE7" w:rsidRPr="00370CE7" w14:paraId="5A2DD3D3" w14:textId="77777777" w:rsidTr="00370CE7">
        <w:tc>
          <w:tcPr>
            <w:tcW w:w="2600" w:type="dxa"/>
            <w:vMerge/>
          </w:tcPr>
          <w:p w14:paraId="4A0AA3D7" w14:textId="77777777" w:rsidR="00370CE7" w:rsidRPr="00370CE7" w:rsidRDefault="00370CE7" w:rsidP="00370CE7">
            <w:pPr>
              <w:rPr>
                <w:color w:val="000000" w:themeColor="text1"/>
              </w:rPr>
            </w:pPr>
          </w:p>
        </w:tc>
        <w:tc>
          <w:tcPr>
            <w:tcW w:w="1500" w:type="dxa"/>
          </w:tcPr>
          <w:p w14:paraId="153C389D" w14:textId="77777777" w:rsidR="00370CE7" w:rsidRPr="00370CE7" w:rsidRDefault="00370CE7" w:rsidP="00370CE7">
            <w:pPr>
              <w:jc w:val="center"/>
              <w:rPr>
                <w:color w:val="000000" w:themeColor="text1"/>
              </w:rPr>
            </w:pPr>
            <w:r w:rsidRPr="00370CE7">
              <w:rPr>
                <w:color w:val="000000" w:themeColor="text1"/>
              </w:rPr>
              <w:t>Day 60</w:t>
            </w:r>
          </w:p>
        </w:tc>
        <w:tc>
          <w:tcPr>
            <w:tcW w:w="1750" w:type="dxa"/>
          </w:tcPr>
          <w:p w14:paraId="425499C7" w14:textId="77777777" w:rsidR="00370CE7" w:rsidRPr="00370CE7" w:rsidRDefault="00370CE7" w:rsidP="00370CE7">
            <w:pPr>
              <w:jc w:val="center"/>
              <w:rPr>
                <w:color w:val="000000" w:themeColor="text1"/>
              </w:rPr>
            </w:pPr>
            <w:r w:rsidRPr="00370CE7">
              <w:rPr>
                <w:color w:val="000000" w:themeColor="text1"/>
              </w:rPr>
              <w:t>59.4 ± 2.9ᵃ</w:t>
            </w:r>
          </w:p>
        </w:tc>
        <w:tc>
          <w:tcPr>
            <w:tcW w:w="1850" w:type="dxa"/>
          </w:tcPr>
          <w:p w14:paraId="429C50B8" w14:textId="77777777" w:rsidR="00370CE7" w:rsidRPr="00370CE7" w:rsidRDefault="00370CE7" w:rsidP="00370CE7">
            <w:pPr>
              <w:jc w:val="center"/>
              <w:rPr>
                <w:color w:val="000000" w:themeColor="text1"/>
              </w:rPr>
            </w:pPr>
            <w:r w:rsidRPr="00370CE7">
              <w:rPr>
                <w:color w:val="000000" w:themeColor="text1"/>
              </w:rPr>
              <w:t>32.1 ± 3.2ᵇ</w:t>
            </w:r>
          </w:p>
        </w:tc>
        <w:tc>
          <w:tcPr>
            <w:tcW w:w="1650" w:type="dxa"/>
          </w:tcPr>
          <w:p w14:paraId="01D16C21" w14:textId="77777777" w:rsidR="00370CE7" w:rsidRPr="00370CE7" w:rsidRDefault="00370CE7" w:rsidP="00370CE7">
            <w:pPr>
              <w:jc w:val="center"/>
              <w:rPr>
                <w:color w:val="000000" w:themeColor="text1"/>
              </w:rPr>
            </w:pPr>
            <w:r w:rsidRPr="00370CE7">
              <w:rPr>
                <w:color w:val="000000" w:themeColor="text1"/>
              </w:rPr>
              <w:t>38.6 ± 3.0ᶜ</w:t>
            </w:r>
          </w:p>
        </w:tc>
      </w:tr>
    </w:tbl>
    <w:p w14:paraId="2B243B72" w14:textId="77777777" w:rsidR="00AA707A" w:rsidRPr="00370CE7" w:rsidRDefault="00370CE7" w:rsidP="00370CE7">
      <w:pPr>
        <w:pStyle w:val="Heading2"/>
        <w:rPr>
          <w:color w:val="000000" w:themeColor="text1"/>
        </w:rPr>
      </w:pPr>
      <w:r w:rsidRPr="00370CE7">
        <w:rPr>
          <w:b/>
          <w:bCs/>
          <w:color w:val="000000" w:themeColor="text1"/>
        </w:rPr>
        <w:t>3.4.3 Kidney Tissue</w:t>
      </w:r>
    </w:p>
    <w:p w14:paraId="28093D36" w14:textId="77777777" w:rsidR="00AA707A" w:rsidRPr="00370CE7" w:rsidRDefault="00370CE7" w:rsidP="00370CE7">
      <w:pPr>
        <w:spacing w:line="360" w:lineRule="auto"/>
        <w:jc w:val="both"/>
        <w:rPr>
          <w:color w:val="000000" w:themeColor="text1"/>
        </w:rPr>
      </w:pPr>
      <w:r w:rsidRPr="00370CE7">
        <w:rPr>
          <w:color w:val="000000" w:themeColor="text1"/>
          <w:sz w:val="24"/>
          <w:szCs w:val="24"/>
        </w:rPr>
        <w:t>Renal oxidative stress biomarkers exhibited a pattern intermediate between gill and liver in terms of overall magnitude, but showed a distinct feature: the kidney was the only tissue in which alkaline-treated fish displayed a marginally greater MDA elevation than acidic-treated fish at day 60 (Table 8), plausibly linked to the additional renal handling burden associated with elevated un-ionized ammonia excretion under alkaline conditions.</w:t>
      </w:r>
    </w:p>
    <w:p w14:paraId="057E0E52" w14:textId="77777777" w:rsidR="00AA707A" w:rsidRPr="00370CE7" w:rsidRDefault="00370CE7" w:rsidP="00370CE7">
      <w:pPr>
        <w:jc w:val="center"/>
        <w:rPr>
          <w:color w:val="000000" w:themeColor="text1"/>
        </w:rPr>
      </w:pPr>
      <w:r w:rsidRPr="00370CE7">
        <w:rPr>
          <w:b/>
          <w:bCs/>
          <w:color w:val="000000" w:themeColor="text1"/>
          <w:sz w:val="22"/>
          <w:szCs w:val="22"/>
        </w:rPr>
        <w:t xml:space="preserve">Table 8. Oxidative stress biomarkers in kidney tissue of </w:t>
      </w:r>
      <w:proofErr w:type="spellStart"/>
      <w:r w:rsidRPr="00370CE7">
        <w:rPr>
          <w:b/>
          <w:bCs/>
          <w:color w:val="000000" w:themeColor="text1"/>
          <w:sz w:val="22"/>
          <w:szCs w:val="22"/>
        </w:rPr>
        <w:t>Labeo</w:t>
      </w:r>
      <w:proofErr w:type="spellEnd"/>
      <w:r w:rsidRPr="00370CE7">
        <w:rPr>
          <w:b/>
          <w:bCs/>
          <w:color w:val="000000" w:themeColor="text1"/>
          <w:sz w:val="22"/>
          <w:szCs w:val="22"/>
        </w:rPr>
        <w:t xml:space="preserve"> </w:t>
      </w:r>
      <w:proofErr w:type="spellStart"/>
      <w:r w:rsidRPr="00370CE7">
        <w:rPr>
          <w:b/>
          <w:bCs/>
          <w:color w:val="000000" w:themeColor="text1"/>
          <w:sz w:val="22"/>
          <w:szCs w:val="22"/>
        </w:rPr>
        <w:t>rohita</w:t>
      </w:r>
      <w:proofErr w:type="spellEnd"/>
      <w:r w:rsidRPr="00370CE7">
        <w:rPr>
          <w:b/>
          <w:bCs/>
          <w:color w:val="000000" w:themeColor="text1"/>
          <w:sz w:val="22"/>
          <w:szCs w:val="22"/>
        </w:rPr>
        <w:t xml:space="preserve"> under sublethal pH exposure (mean ± SD, n = 6).</w:t>
      </w:r>
    </w:p>
    <w:tbl>
      <w:tblPr>
        <w:tblStyle w:val="TableGrid"/>
        <w:tblW w:w="9350" w:type="dxa"/>
        <w:tblLook w:val="04A0" w:firstRow="1" w:lastRow="0" w:firstColumn="1" w:lastColumn="0" w:noHBand="0" w:noVBand="1"/>
      </w:tblPr>
      <w:tblGrid>
        <w:gridCol w:w="2600"/>
        <w:gridCol w:w="1500"/>
        <w:gridCol w:w="1750"/>
        <w:gridCol w:w="1850"/>
        <w:gridCol w:w="1650"/>
      </w:tblGrid>
      <w:tr w:rsidR="00AA707A" w:rsidRPr="00370CE7" w14:paraId="1ED6E86F" w14:textId="77777777" w:rsidTr="00370CE7">
        <w:tc>
          <w:tcPr>
            <w:tcW w:w="2600" w:type="dxa"/>
          </w:tcPr>
          <w:p w14:paraId="4FF82120" w14:textId="77777777" w:rsidR="00AA707A" w:rsidRPr="00370CE7" w:rsidRDefault="00370CE7" w:rsidP="00370CE7">
            <w:pPr>
              <w:jc w:val="center"/>
              <w:rPr>
                <w:color w:val="000000" w:themeColor="text1"/>
              </w:rPr>
            </w:pPr>
            <w:r w:rsidRPr="00370CE7">
              <w:rPr>
                <w:b/>
                <w:bCs/>
                <w:color w:val="000000" w:themeColor="text1"/>
              </w:rPr>
              <w:t>Biomarker</w:t>
            </w:r>
          </w:p>
        </w:tc>
        <w:tc>
          <w:tcPr>
            <w:tcW w:w="1500" w:type="dxa"/>
          </w:tcPr>
          <w:p w14:paraId="7D1BB172" w14:textId="77777777" w:rsidR="00AA707A" w:rsidRPr="00370CE7" w:rsidRDefault="00370CE7" w:rsidP="00370CE7">
            <w:pPr>
              <w:jc w:val="center"/>
              <w:rPr>
                <w:color w:val="000000" w:themeColor="text1"/>
              </w:rPr>
            </w:pPr>
            <w:r w:rsidRPr="00370CE7">
              <w:rPr>
                <w:b/>
                <w:bCs/>
                <w:color w:val="000000" w:themeColor="text1"/>
              </w:rPr>
              <w:t>Duration</w:t>
            </w:r>
          </w:p>
        </w:tc>
        <w:tc>
          <w:tcPr>
            <w:tcW w:w="1750" w:type="dxa"/>
          </w:tcPr>
          <w:p w14:paraId="2A73670A" w14:textId="77777777" w:rsidR="00AA707A" w:rsidRPr="00370CE7" w:rsidRDefault="00370CE7" w:rsidP="00370CE7">
            <w:pPr>
              <w:jc w:val="center"/>
              <w:rPr>
                <w:color w:val="000000" w:themeColor="text1"/>
              </w:rPr>
            </w:pPr>
            <w:r w:rsidRPr="00370CE7">
              <w:rPr>
                <w:b/>
                <w:bCs/>
                <w:color w:val="000000" w:themeColor="text1"/>
              </w:rPr>
              <w:t>Control</w:t>
            </w:r>
          </w:p>
        </w:tc>
        <w:tc>
          <w:tcPr>
            <w:tcW w:w="1850" w:type="dxa"/>
          </w:tcPr>
          <w:p w14:paraId="2844B197" w14:textId="77777777" w:rsidR="00AA707A" w:rsidRPr="00370CE7" w:rsidRDefault="00370CE7" w:rsidP="00370CE7">
            <w:pPr>
              <w:jc w:val="center"/>
              <w:rPr>
                <w:color w:val="000000" w:themeColor="text1"/>
              </w:rPr>
            </w:pPr>
            <w:r w:rsidRPr="00370CE7">
              <w:rPr>
                <w:b/>
                <w:bCs/>
                <w:color w:val="000000" w:themeColor="text1"/>
              </w:rPr>
              <w:t>Acidic (pH 5.5)</w:t>
            </w:r>
          </w:p>
        </w:tc>
        <w:tc>
          <w:tcPr>
            <w:tcW w:w="1650" w:type="dxa"/>
          </w:tcPr>
          <w:p w14:paraId="6E5DC837" w14:textId="77777777" w:rsidR="00AA707A" w:rsidRPr="00370CE7" w:rsidRDefault="00370CE7" w:rsidP="00370CE7">
            <w:pPr>
              <w:jc w:val="center"/>
              <w:rPr>
                <w:color w:val="000000" w:themeColor="text1"/>
              </w:rPr>
            </w:pPr>
            <w:r w:rsidRPr="00370CE7">
              <w:rPr>
                <w:b/>
                <w:bCs/>
                <w:color w:val="000000" w:themeColor="text1"/>
              </w:rPr>
              <w:t>Alkaline (pH 9.5)</w:t>
            </w:r>
          </w:p>
        </w:tc>
      </w:tr>
      <w:tr w:rsidR="00370CE7" w:rsidRPr="00370CE7" w14:paraId="09157A61" w14:textId="77777777" w:rsidTr="00370CE7">
        <w:tc>
          <w:tcPr>
            <w:tcW w:w="2600" w:type="dxa"/>
            <w:vMerge w:val="restart"/>
          </w:tcPr>
          <w:p w14:paraId="359FA6F1" w14:textId="77777777" w:rsidR="00370CE7" w:rsidRPr="00370CE7" w:rsidRDefault="00370CE7" w:rsidP="00370CE7">
            <w:pPr>
              <w:rPr>
                <w:color w:val="000000" w:themeColor="text1"/>
              </w:rPr>
            </w:pPr>
            <w:r w:rsidRPr="00370CE7">
              <w:rPr>
                <w:color w:val="000000" w:themeColor="text1"/>
              </w:rPr>
              <w:t>MDA (nmol/mg protein)</w:t>
            </w:r>
          </w:p>
        </w:tc>
        <w:tc>
          <w:tcPr>
            <w:tcW w:w="1500" w:type="dxa"/>
          </w:tcPr>
          <w:p w14:paraId="48D4435E" w14:textId="77777777" w:rsidR="00370CE7" w:rsidRPr="00370CE7" w:rsidRDefault="00370CE7" w:rsidP="00370CE7">
            <w:pPr>
              <w:jc w:val="center"/>
              <w:rPr>
                <w:color w:val="000000" w:themeColor="text1"/>
              </w:rPr>
            </w:pPr>
            <w:r w:rsidRPr="00370CE7">
              <w:rPr>
                <w:color w:val="000000" w:themeColor="text1"/>
              </w:rPr>
              <w:t>Day 15</w:t>
            </w:r>
          </w:p>
        </w:tc>
        <w:tc>
          <w:tcPr>
            <w:tcW w:w="1750" w:type="dxa"/>
          </w:tcPr>
          <w:p w14:paraId="1229427F" w14:textId="77777777" w:rsidR="00370CE7" w:rsidRPr="00370CE7" w:rsidRDefault="00370CE7" w:rsidP="00370CE7">
            <w:pPr>
              <w:jc w:val="center"/>
              <w:rPr>
                <w:color w:val="000000" w:themeColor="text1"/>
              </w:rPr>
            </w:pPr>
            <w:r w:rsidRPr="00370CE7">
              <w:rPr>
                <w:color w:val="000000" w:themeColor="text1"/>
              </w:rPr>
              <w:t>1.98 ± 0.16ᵃ</w:t>
            </w:r>
          </w:p>
        </w:tc>
        <w:tc>
          <w:tcPr>
            <w:tcW w:w="1850" w:type="dxa"/>
          </w:tcPr>
          <w:p w14:paraId="53E8B157" w14:textId="77777777" w:rsidR="00370CE7" w:rsidRPr="00370CE7" w:rsidRDefault="00370CE7" w:rsidP="00370CE7">
            <w:pPr>
              <w:jc w:val="center"/>
              <w:rPr>
                <w:color w:val="000000" w:themeColor="text1"/>
              </w:rPr>
            </w:pPr>
            <w:r w:rsidRPr="00370CE7">
              <w:rPr>
                <w:color w:val="000000" w:themeColor="text1"/>
              </w:rPr>
              <w:t>2.96 ± 0.21ᵇ</w:t>
            </w:r>
          </w:p>
        </w:tc>
        <w:tc>
          <w:tcPr>
            <w:tcW w:w="1650" w:type="dxa"/>
          </w:tcPr>
          <w:p w14:paraId="20E84115" w14:textId="77777777" w:rsidR="00370CE7" w:rsidRPr="00370CE7" w:rsidRDefault="00370CE7" w:rsidP="00370CE7">
            <w:pPr>
              <w:jc w:val="center"/>
              <w:rPr>
                <w:color w:val="000000" w:themeColor="text1"/>
              </w:rPr>
            </w:pPr>
            <w:r w:rsidRPr="00370CE7">
              <w:rPr>
                <w:color w:val="000000" w:themeColor="text1"/>
              </w:rPr>
              <w:t>2.88 ± 0.20ᵇ</w:t>
            </w:r>
          </w:p>
        </w:tc>
      </w:tr>
      <w:tr w:rsidR="00370CE7" w:rsidRPr="00370CE7" w14:paraId="49F9C1FC" w14:textId="77777777" w:rsidTr="00370CE7">
        <w:tc>
          <w:tcPr>
            <w:tcW w:w="2600" w:type="dxa"/>
            <w:vMerge/>
          </w:tcPr>
          <w:p w14:paraId="1804941D" w14:textId="77777777" w:rsidR="00370CE7" w:rsidRPr="00370CE7" w:rsidRDefault="00370CE7" w:rsidP="00370CE7">
            <w:pPr>
              <w:rPr>
                <w:color w:val="000000" w:themeColor="text1"/>
              </w:rPr>
            </w:pPr>
          </w:p>
        </w:tc>
        <w:tc>
          <w:tcPr>
            <w:tcW w:w="1500" w:type="dxa"/>
          </w:tcPr>
          <w:p w14:paraId="02B2CAD8" w14:textId="77777777" w:rsidR="00370CE7" w:rsidRPr="00370CE7" w:rsidRDefault="00370CE7" w:rsidP="00370CE7">
            <w:pPr>
              <w:jc w:val="center"/>
              <w:rPr>
                <w:color w:val="000000" w:themeColor="text1"/>
              </w:rPr>
            </w:pPr>
            <w:r w:rsidRPr="00370CE7">
              <w:rPr>
                <w:color w:val="000000" w:themeColor="text1"/>
              </w:rPr>
              <w:t>Day 30</w:t>
            </w:r>
          </w:p>
        </w:tc>
        <w:tc>
          <w:tcPr>
            <w:tcW w:w="1750" w:type="dxa"/>
          </w:tcPr>
          <w:p w14:paraId="201C7DB0" w14:textId="77777777" w:rsidR="00370CE7" w:rsidRPr="00370CE7" w:rsidRDefault="00370CE7" w:rsidP="00370CE7">
            <w:pPr>
              <w:jc w:val="center"/>
              <w:rPr>
                <w:color w:val="000000" w:themeColor="text1"/>
              </w:rPr>
            </w:pPr>
            <w:r w:rsidRPr="00370CE7">
              <w:rPr>
                <w:color w:val="000000" w:themeColor="text1"/>
              </w:rPr>
              <w:t>2.02 ± 0.15ᵃ</w:t>
            </w:r>
          </w:p>
        </w:tc>
        <w:tc>
          <w:tcPr>
            <w:tcW w:w="1850" w:type="dxa"/>
          </w:tcPr>
          <w:p w14:paraId="000E8BC8" w14:textId="77777777" w:rsidR="00370CE7" w:rsidRPr="00370CE7" w:rsidRDefault="00370CE7" w:rsidP="00370CE7">
            <w:pPr>
              <w:jc w:val="center"/>
              <w:rPr>
                <w:color w:val="000000" w:themeColor="text1"/>
              </w:rPr>
            </w:pPr>
            <w:r w:rsidRPr="00370CE7">
              <w:rPr>
                <w:color w:val="000000" w:themeColor="text1"/>
              </w:rPr>
              <w:t>3.64 ± 0.24ᵇ</w:t>
            </w:r>
          </w:p>
        </w:tc>
        <w:tc>
          <w:tcPr>
            <w:tcW w:w="1650" w:type="dxa"/>
          </w:tcPr>
          <w:p w14:paraId="49151CAC" w14:textId="77777777" w:rsidR="00370CE7" w:rsidRPr="00370CE7" w:rsidRDefault="00370CE7" w:rsidP="00370CE7">
            <w:pPr>
              <w:jc w:val="center"/>
              <w:rPr>
                <w:color w:val="000000" w:themeColor="text1"/>
              </w:rPr>
            </w:pPr>
            <w:r w:rsidRPr="00370CE7">
              <w:rPr>
                <w:color w:val="000000" w:themeColor="text1"/>
              </w:rPr>
              <w:t>3.58 ± 0.23ᵇ</w:t>
            </w:r>
          </w:p>
        </w:tc>
      </w:tr>
      <w:tr w:rsidR="00370CE7" w:rsidRPr="00370CE7" w14:paraId="45DE6802" w14:textId="77777777" w:rsidTr="00370CE7">
        <w:tc>
          <w:tcPr>
            <w:tcW w:w="2600" w:type="dxa"/>
            <w:vMerge/>
          </w:tcPr>
          <w:p w14:paraId="0D93BD50" w14:textId="77777777" w:rsidR="00370CE7" w:rsidRPr="00370CE7" w:rsidRDefault="00370CE7" w:rsidP="00370CE7">
            <w:pPr>
              <w:rPr>
                <w:color w:val="000000" w:themeColor="text1"/>
              </w:rPr>
            </w:pPr>
          </w:p>
        </w:tc>
        <w:tc>
          <w:tcPr>
            <w:tcW w:w="1500" w:type="dxa"/>
          </w:tcPr>
          <w:p w14:paraId="77D25497" w14:textId="77777777" w:rsidR="00370CE7" w:rsidRPr="00370CE7" w:rsidRDefault="00370CE7" w:rsidP="00370CE7">
            <w:pPr>
              <w:jc w:val="center"/>
              <w:rPr>
                <w:color w:val="000000" w:themeColor="text1"/>
              </w:rPr>
            </w:pPr>
            <w:r w:rsidRPr="00370CE7">
              <w:rPr>
                <w:color w:val="000000" w:themeColor="text1"/>
              </w:rPr>
              <w:t>Day 60</w:t>
            </w:r>
          </w:p>
        </w:tc>
        <w:tc>
          <w:tcPr>
            <w:tcW w:w="1750" w:type="dxa"/>
          </w:tcPr>
          <w:p w14:paraId="5B041D57" w14:textId="77777777" w:rsidR="00370CE7" w:rsidRPr="00370CE7" w:rsidRDefault="00370CE7" w:rsidP="00370CE7">
            <w:pPr>
              <w:jc w:val="center"/>
              <w:rPr>
                <w:color w:val="000000" w:themeColor="text1"/>
              </w:rPr>
            </w:pPr>
            <w:r w:rsidRPr="00370CE7">
              <w:rPr>
                <w:color w:val="000000" w:themeColor="text1"/>
              </w:rPr>
              <w:t>2.05 ± 0.16ᵃ</w:t>
            </w:r>
          </w:p>
        </w:tc>
        <w:tc>
          <w:tcPr>
            <w:tcW w:w="1850" w:type="dxa"/>
          </w:tcPr>
          <w:p w14:paraId="47E66F71" w14:textId="77777777" w:rsidR="00370CE7" w:rsidRPr="00370CE7" w:rsidRDefault="00370CE7" w:rsidP="00370CE7">
            <w:pPr>
              <w:jc w:val="center"/>
              <w:rPr>
                <w:color w:val="000000" w:themeColor="text1"/>
              </w:rPr>
            </w:pPr>
            <w:r w:rsidRPr="00370CE7">
              <w:rPr>
                <w:color w:val="000000" w:themeColor="text1"/>
              </w:rPr>
              <w:t>4.51 ± 0.29ᵇ</w:t>
            </w:r>
          </w:p>
        </w:tc>
        <w:tc>
          <w:tcPr>
            <w:tcW w:w="1650" w:type="dxa"/>
          </w:tcPr>
          <w:p w14:paraId="6E4E1DE9" w14:textId="77777777" w:rsidR="00370CE7" w:rsidRPr="00370CE7" w:rsidRDefault="00370CE7" w:rsidP="00370CE7">
            <w:pPr>
              <w:jc w:val="center"/>
              <w:rPr>
                <w:color w:val="000000" w:themeColor="text1"/>
              </w:rPr>
            </w:pPr>
            <w:r w:rsidRPr="00370CE7">
              <w:rPr>
                <w:color w:val="000000" w:themeColor="text1"/>
              </w:rPr>
              <w:t>4.67 ± 0.30ᵇ</w:t>
            </w:r>
          </w:p>
        </w:tc>
      </w:tr>
      <w:tr w:rsidR="00370CE7" w:rsidRPr="00370CE7" w14:paraId="5107F0B8" w14:textId="77777777" w:rsidTr="00370CE7">
        <w:tc>
          <w:tcPr>
            <w:tcW w:w="2600" w:type="dxa"/>
            <w:vMerge w:val="restart"/>
          </w:tcPr>
          <w:p w14:paraId="0048F204" w14:textId="77777777" w:rsidR="00370CE7" w:rsidRPr="00370CE7" w:rsidRDefault="00370CE7" w:rsidP="00370CE7">
            <w:pPr>
              <w:rPr>
                <w:color w:val="000000" w:themeColor="text1"/>
              </w:rPr>
            </w:pPr>
            <w:r w:rsidRPr="00370CE7">
              <w:rPr>
                <w:color w:val="000000" w:themeColor="text1"/>
              </w:rPr>
              <w:t>SOD (U/mg protein)</w:t>
            </w:r>
          </w:p>
        </w:tc>
        <w:tc>
          <w:tcPr>
            <w:tcW w:w="1500" w:type="dxa"/>
          </w:tcPr>
          <w:p w14:paraId="09793C67" w14:textId="77777777" w:rsidR="00370CE7" w:rsidRPr="00370CE7" w:rsidRDefault="00370CE7" w:rsidP="00370CE7">
            <w:pPr>
              <w:jc w:val="center"/>
              <w:rPr>
                <w:color w:val="000000" w:themeColor="text1"/>
              </w:rPr>
            </w:pPr>
            <w:r w:rsidRPr="00370CE7">
              <w:rPr>
                <w:color w:val="000000" w:themeColor="text1"/>
              </w:rPr>
              <w:t>Day 15</w:t>
            </w:r>
          </w:p>
        </w:tc>
        <w:tc>
          <w:tcPr>
            <w:tcW w:w="1750" w:type="dxa"/>
          </w:tcPr>
          <w:p w14:paraId="0B0EF0B2" w14:textId="77777777" w:rsidR="00370CE7" w:rsidRPr="00370CE7" w:rsidRDefault="00370CE7" w:rsidP="00370CE7">
            <w:pPr>
              <w:jc w:val="center"/>
              <w:rPr>
                <w:color w:val="000000" w:themeColor="text1"/>
              </w:rPr>
            </w:pPr>
            <w:r w:rsidRPr="00370CE7">
              <w:rPr>
                <w:color w:val="000000" w:themeColor="text1"/>
              </w:rPr>
              <w:t>11.8 ± 0.9ᵃ</w:t>
            </w:r>
          </w:p>
        </w:tc>
        <w:tc>
          <w:tcPr>
            <w:tcW w:w="1850" w:type="dxa"/>
          </w:tcPr>
          <w:p w14:paraId="5734A423" w14:textId="77777777" w:rsidR="00370CE7" w:rsidRPr="00370CE7" w:rsidRDefault="00370CE7" w:rsidP="00370CE7">
            <w:pPr>
              <w:jc w:val="center"/>
              <w:rPr>
                <w:color w:val="000000" w:themeColor="text1"/>
              </w:rPr>
            </w:pPr>
            <w:r w:rsidRPr="00370CE7">
              <w:rPr>
                <w:color w:val="000000" w:themeColor="text1"/>
              </w:rPr>
              <w:t>15.4 ± 1.1ᵇ</w:t>
            </w:r>
          </w:p>
        </w:tc>
        <w:tc>
          <w:tcPr>
            <w:tcW w:w="1650" w:type="dxa"/>
          </w:tcPr>
          <w:p w14:paraId="1989A83D" w14:textId="77777777" w:rsidR="00370CE7" w:rsidRPr="00370CE7" w:rsidRDefault="00370CE7" w:rsidP="00370CE7">
            <w:pPr>
              <w:jc w:val="center"/>
              <w:rPr>
                <w:color w:val="000000" w:themeColor="text1"/>
              </w:rPr>
            </w:pPr>
            <w:r w:rsidRPr="00370CE7">
              <w:rPr>
                <w:color w:val="000000" w:themeColor="text1"/>
              </w:rPr>
              <w:t>14.6 ± 1.0ᵇ</w:t>
            </w:r>
          </w:p>
        </w:tc>
      </w:tr>
      <w:tr w:rsidR="00370CE7" w:rsidRPr="00370CE7" w14:paraId="2D795240" w14:textId="77777777" w:rsidTr="00370CE7">
        <w:tc>
          <w:tcPr>
            <w:tcW w:w="2600" w:type="dxa"/>
            <w:vMerge/>
          </w:tcPr>
          <w:p w14:paraId="38AAA467" w14:textId="77777777" w:rsidR="00370CE7" w:rsidRPr="00370CE7" w:rsidRDefault="00370CE7" w:rsidP="00370CE7">
            <w:pPr>
              <w:rPr>
                <w:color w:val="000000" w:themeColor="text1"/>
              </w:rPr>
            </w:pPr>
          </w:p>
        </w:tc>
        <w:tc>
          <w:tcPr>
            <w:tcW w:w="1500" w:type="dxa"/>
          </w:tcPr>
          <w:p w14:paraId="0571C9EE" w14:textId="77777777" w:rsidR="00370CE7" w:rsidRPr="00370CE7" w:rsidRDefault="00370CE7" w:rsidP="00370CE7">
            <w:pPr>
              <w:jc w:val="center"/>
              <w:rPr>
                <w:color w:val="000000" w:themeColor="text1"/>
              </w:rPr>
            </w:pPr>
            <w:r w:rsidRPr="00370CE7">
              <w:rPr>
                <w:color w:val="000000" w:themeColor="text1"/>
              </w:rPr>
              <w:t>Day 30</w:t>
            </w:r>
          </w:p>
        </w:tc>
        <w:tc>
          <w:tcPr>
            <w:tcW w:w="1750" w:type="dxa"/>
          </w:tcPr>
          <w:p w14:paraId="795C6003" w14:textId="77777777" w:rsidR="00370CE7" w:rsidRPr="00370CE7" w:rsidRDefault="00370CE7" w:rsidP="00370CE7">
            <w:pPr>
              <w:jc w:val="center"/>
              <w:rPr>
                <w:color w:val="000000" w:themeColor="text1"/>
              </w:rPr>
            </w:pPr>
            <w:r w:rsidRPr="00370CE7">
              <w:rPr>
                <w:color w:val="000000" w:themeColor="text1"/>
              </w:rPr>
              <w:t>12.0 ± 0.8ᵃ</w:t>
            </w:r>
          </w:p>
        </w:tc>
        <w:tc>
          <w:tcPr>
            <w:tcW w:w="1850" w:type="dxa"/>
          </w:tcPr>
          <w:p w14:paraId="67DC47E7" w14:textId="77777777" w:rsidR="00370CE7" w:rsidRPr="00370CE7" w:rsidRDefault="00370CE7" w:rsidP="00370CE7">
            <w:pPr>
              <w:jc w:val="center"/>
              <w:rPr>
                <w:color w:val="000000" w:themeColor="text1"/>
              </w:rPr>
            </w:pPr>
            <w:r w:rsidRPr="00370CE7">
              <w:rPr>
                <w:color w:val="000000" w:themeColor="text1"/>
              </w:rPr>
              <w:t>16.8 ± 1.2ᵇ</w:t>
            </w:r>
          </w:p>
        </w:tc>
        <w:tc>
          <w:tcPr>
            <w:tcW w:w="1650" w:type="dxa"/>
          </w:tcPr>
          <w:p w14:paraId="08BF49A7" w14:textId="77777777" w:rsidR="00370CE7" w:rsidRPr="00370CE7" w:rsidRDefault="00370CE7" w:rsidP="00370CE7">
            <w:pPr>
              <w:jc w:val="center"/>
              <w:rPr>
                <w:color w:val="000000" w:themeColor="text1"/>
              </w:rPr>
            </w:pPr>
            <w:r w:rsidRPr="00370CE7">
              <w:rPr>
                <w:color w:val="000000" w:themeColor="text1"/>
              </w:rPr>
              <w:t>15.9 ± 1.1ᵇ</w:t>
            </w:r>
          </w:p>
        </w:tc>
      </w:tr>
      <w:tr w:rsidR="00370CE7" w:rsidRPr="00370CE7" w14:paraId="03DCAA40" w14:textId="77777777" w:rsidTr="00370CE7">
        <w:tc>
          <w:tcPr>
            <w:tcW w:w="2600" w:type="dxa"/>
            <w:vMerge/>
          </w:tcPr>
          <w:p w14:paraId="22553F23" w14:textId="77777777" w:rsidR="00370CE7" w:rsidRPr="00370CE7" w:rsidRDefault="00370CE7" w:rsidP="00370CE7">
            <w:pPr>
              <w:rPr>
                <w:color w:val="000000" w:themeColor="text1"/>
              </w:rPr>
            </w:pPr>
          </w:p>
        </w:tc>
        <w:tc>
          <w:tcPr>
            <w:tcW w:w="1500" w:type="dxa"/>
          </w:tcPr>
          <w:p w14:paraId="3B63EC0B" w14:textId="77777777" w:rsidR="00370CE7" w:rsidRPr="00370CE7" w:rsidRDefault="00370CE7" w:rsidP="00370CE7">
            <w:pPr>
              <w:jc w:val="center"/>
              <w:rPr>
                <w:color w:val="000000" w:themeColor="text1"/>
              </w:rPr>
            </w:pPr>
            <w:r w:rsidRPr="00370CE7">
              <w:rPr>
                <w:color w:val="000000" w:themeColor="text1"/>
              </w:rPr>
              <w:t>Day 60</w:t>
            </w:r>
          </w:p>
        </w:tc>
        <w:tc>
          <w:tcPr>
            <w:tcW w:w="1750" w:type="dxa"/>
          </w:tcPr>
          <w:p w14:paraId="03634308" w14:textId="77777777" w:rsidR="00370CE7" w:rsidRPr="00370CE7" w:rsidRDefault="00370CE7" w:rsidP="00370CE7">
            <w:pPr>
              <w:jc w:val="center"/>
              <w:rPr>
                <w:color w:val="000000" w:themeColor="text1"/>
              </w:rPr>
            </w:pPr>
            <w:r w:rsidRPr="00370CE7">
              <w:rPr>
                <w:color w:val="000000" w:themeColor="text1"/>
              </w:rPr>
              <w:t>12.1 ± 0.9ᵃ</w:t>
            </w:r>
          </w:p>
        </w:tc>
        <w:tc>
          <w:tcPr>
            <w:tcW w:w="1850" w:type="dxa"/>
          </w:tcPr>
          <w:p w14:paraId="120F4600" w14:textId="77777777" w:rsidR="00370CE7" w:rsidRPr="00370CE7" w:rsidRDefault="00370CE7" w:rsidP="00370CE7">
            <w:pPr>
              <w:jc w:val="center"/>
              <w:rPr>
                <w:color w:val="000000" w:themeColor="text1"/>
              </w:rPr>
            </w:pPr>
            <w:r w:rsidRPr="00370CE7">
              <w:rPr>
                <w:color w:val="000000" w:themeColor="text1"/>
              </w:rPr>
              <w:t>10.2 ± 1.0ᵇ</w:t>
            </w:r>
          </w:p>
        </w:tc>
        <w:tc>
          <w:tcPr>
            <w:tcW w:w="1650" w:type="dxa"/>
          </w:tcPr>
          <w:p w14:paraId="6EFD3B66" w14:textId="77777777" w:rsidR="00370CE7" w:rsidRPr="00370CE7" w:rsidRDefault="00370CE7" w:rsidP="00370CE7">
            <w:pPr>
              <w:jc w:val="center"/>
              <w:rPr>
                <w:color w:val="000000" w:themeColor="text1"/>
              </w:rPr>
            </w:pPr>
            <w:r w:rsidRPr="00370CE7">
              <w:rPr>
                <w:color w:val="000000" w:themeColor="text1"/>
              </w:rPr>
              <w:t>13.0 ± 1.1ᵃ</w:t>
            </w:r>
          </w:p>
        </w:tc>
      </w:tr>
      <w:tr w:rsidR="00370CE7" w:rsidRPr="00370CE7" w14:paraId="4C3849CF" w14:textId="77777777" w:rsidTr="00370CE7">
        <w:tc>
          <w:tcPr>
            <w:tcW w:w="2600" w:type="dxa"/>
            <w:vMerge w:val="restart"/>
          </w:tcPr>
          <w:p w14:paraId="437C05D5" w14:textId="77777777" w:rsidR="00370CE7" w:rsidRPr="00370CE7" w:rsidRDefault="00370CE7" w:rsidP="00370CE7">
            <w:pPr>
              <w:rPr>
                <w:color w:val="000000" w:themeColor="text1"/>
              </w:rPr>
            </w:pPr>
            <w:r w:rsidRPr="00370CE7">
              <w:rPr>
                <w:color w:val="000000" w:themeColor="text1"/>
              </w:rPr>
              <w:t>CAT (U/mg protein)</w:t>
            </w:r>
          </w:p>
        </w:tc>
        <w:tc>
          <w:tcPr>
            <w:tcW w:w="1500" w:type="dxa"/>
          </w:tcPr>
          <w:p w14:paraId="07F89925" w14:textId="77777777" w:rsidR="00370CE7" w:rsidRPr="00370CE7" w:rsidRDefault="00370CE7" w:rsidP="00370CE7">
            <w:pPr>
              <w:jc w:val="center"/>
              <w:rPr>
                <w:color w:val="000000" w:themeColor="text1"/>
              </w:rPr>
            </w:pPr>
            <w:r w:rsidRPr="00370CE7">
              <w:rPr>
                <w:color w:val="000000" w:themeColor="text1"/>
              </w:rPr>
              <w:t>Day 15</w:t>
            </w:r>
          </w:p>
        </w:tc>
        <w:tc>
          <w:tcPr>
            <w:tcW w:w="1750" w:type="dxa"/>
          </w:tcPr>
          <w:p w14:paraId="6717CEF8" w14:textId="77777777" w:rsidR="00370CE7" w:rsidRPr="00370CE7" w:rsidRDefault="00370CE7" w:rsidP="00370CE7">
            <w:pPr>
              <w:jc w:val="center"/>
              <w:rPr>
                <w:color w:val="000000" w:themeColor="text1"/>
              </w:rPr>
            </w:pPr>
            <w:r w:rsidRPr="00370CE7">
              <w:rPr>
                <w:color w:val="000000" w:themeColor="text1"/>
              </w:rPr>
              <w:t>16.9 ± 1.1ᵃ</w:t>
            </w:r>
          </w:p>
        </w:tc>
        <w:tc>
          <w:tcPr>
            <w:tcW w:w="1850" w:type="dxa"/>
          </w:tcPr>
          <w:p w14:paraId="176BF895" w14:textId="77777777" w:rsidR="00370CE7" w:rsidRPr="00370CE7" w:rsidRDefault="00370CE7" w:rsidP="00370CE7">
            <w:pPr>
              <w:jc w:val="center"/>
              <w:rPr>
                <w:color w:val="000000" w:themeColor="text1"/>
              </w:rPr>
            </w:pPr>
            <w:r w:rsidRPr="00370CE7">
              <w:rPr>
                <w:color w:val="000000" w:themeColor="text1"/>
              </w:rPr>
              <w:t>21.8 ± 1.5ᵇ</w:t>
            </w:r>
          </w:p>
        </w:tc>
        <w:tc>
          <w:tcPr>
            <w:tcW w:w="1650" w:type="dxa"/>
          </w:tcPr>
          <w:p w14:paraId="242C229B" w14:textId="77777777" w:rsidR="00370CE7" w:rsidRPr="00370CE7" w:rsidRDefault="00370CE7" w:rsidP="00370CE7">
            <w:pPr>
              <w:jc w:val="center"/>
              <w:rPr>
                <w:color w:val="000000" w:themeColor="text1"/>
              </w:rPr>
            </w:pPr>
            <w:r w:rsidRPr="00370CE7">
              <w:rPr>
                <w:color w:val="000000" w:themeColor="text1"/>
              </w:rPr>
              <w:t>20.6 ± 1.4ᵇ</w:t>
            </w:r>
          </w:p>
        </w:tc>
      </w:tr>
      <w:tr w:rsidR="00370CE7" w:rsidRPr="00370CE7" w14:paraId="4A429F0B" w14:textId="77777777" w:rsidTr="00370CE7">
        <w:tc>
          <w:tcPr>
            <w:tcW w:w="2600" w:type="dxa"/>
            <w:vMerge/>
          </w:tcPr>
          <w:p w14:paraId="26745834" w14:textId="77777777" w:rsidR="00370CE7" w:rsidRPr="00370CE7" w:rsidRDefault="00370CE7" w:rsidP="00370CE7">
            <w:pPr>
              <w:rPr>
                <w:color w:val="000000" w:themeColor="text1"/>
              </w:rPr>
            </w:pPr>
          </w:p>
        </w:tc>
        <w:tc>
          <w:tcPr>
            <w:tcW w:w="1500" w:type="dxa"/>
          </w:tcPr>
          <w:p w14:paraId="586879BD" w14:textId="77777777" w:rsidR="00370CE7" w:rsidRPr="00370CE7" w:rsidRDefault="00370CE7" w:rsidP="00370CE7">
            <w:pPr>
              <w:jc w:val="center"/>
              <w:rPr>
                <w:color w:val="000000" w:themeColor="text1"/>
              </w:rPr>
            </w:pPr>
            <w:r w:rsidRPr="00370CE7">
              <w:rPr>
                <w:color w:val="000000" w:themeColor="text1"/>
              </w:rPr>
              <w:t>Day 30</w:t>
            </w:r>
          </w:p>
        </w:tc>
        <w:tc>
          <w:tcPr>
            <w:tcW w:w="1750" w:type="dxa"/>
          </w:tcPr>
          <w:p w14:paraId="3B132000" w14:textId="77777777" w:rsidR="00370CE7" w:rsidRPr="00370CE7" w:rsidRDefault="00370CE7" w:rsidP="00370CE7">
            <w:pPr>
              <w:jc w:val="center"/>
              <w:rPr>
                <w:color w:val="000000" w:themeColor="text1"/>
              </w:rPr>
            </w:pPr>
            <w:r w:rsidRPr="00370CE7">
              <w:rPr>
                <w:color w:val="000000" w:themeColor="text1"/>
              </w:rPr>
              <w:t>17.1 ± 1.0ᵃ</w:t>
            </w:r>
          </w:p>
        </w:tc>
        <w:tc>
          <w:tcPr>
            <w:tcW w:w="1850" w:type="dxa"/>
          </w:tcPr>
          <w:p w14:paraId="67BF7FC2" w14:textId="77777777" w:rsidR="00370CE7" w:rsidRPr="00370CE7" w:rsidRDefault="00370CE7" w:rsidP="00370CE7">
            <w:pPr>
              <w:jc w:val="center"/>
              <w:rPr>
                <w:color w:val="000000" w:themeColor="text1"/>
              </w:rPr>
            </w:pPr>
            <w:r w:rsidRPr="00370CE7">
              <w:rPr>
                <w:color w:val="000000" w:themeColor="text1"/>
              </w:rPr>
              <w:t>23.7 ± 1.6ᵇ</w:t>
            </w:r>
          </w:p>
        </w:tc>
        <w:tc>
          <w:tcPr>
            <w:tcW w:w="1650" w:type="dxa"/>
          </w:tcPr>
          <w:p w14:paraId="38951490" w14:textId="77777777" w:rsidR="00370CE7" w:rsidRPr="00370CE7" w:rsidRDefault="00370CE7" w:rsidP="00370CE7">
            <w:pPr>
              <w:jc w:val="center"/>
              <w:rPr>
                <w:color w:val="000000" w:themeColor="text1"/>
              </w:rPr>
            </w:pPr>
            <w:r w:rsidRPr="00370CE7">
              <w:rPr>
                <w:color w:val="000000" w:themeColor="text1"/>
              </w:rPr>
              <w:t>22.1 ± 1.5ᵇ</w:t>
            </w:r>
          </w:p>
        </w:tc>
      </w:tr>
      <w:tr w:rsidR="00370CE7" w:rsidRPr="00370CE7" w14:paraId="2C465726" w14:textId="77777777" w:rsidTr="00370CE7">
        <w:tc>
          <w:tcPr>
            <w:tcW w:w="2600" w:type="dxa"/>
            <w:vMerge/>
          </w:tcPr>
          <w:p w14:paraId="78DC54D1" w14:textId="77777777" w:rsidR="00370CE7" w:rsidRPr="00370CE7" w:rsidRDefault="00370CE7" w:rsidP="00370CE7">
            <w:pPr>
              <w:rPr>
                <w:color w:val="000000" w:themeColor="text1"/>
              </w:rPr>
            </w:pPr>
          </w:p>
        </w:tc>
        <w:tc>
          <w:tcPr>
            <w:tcW w:w="1500" w:type="dxa"/>
          </w:tcPr>
          <w:p w14:paraId="37AEBE60" w14:textId="77777777" w:rsidR="00370CE7" w:rsidRPr="00370CE7" w:rsidRDefault="00370CE7" w:rsidP="00370CE7">
            <w:pPr>
              <w:jc w:val="center"/>
              <w:rPr>
                <w:color w:val="000000" w:themeColor="text1"/>
              </w:rPr>
            </w:pPr>
            <w:r w:rsidRPr="00370CE7">
              <w:rPr>
                <w:color w:val="000000" w:themeColor="text1"/>
              </w:rPr>
              <w:t>Day 60</w:t>
            </w:r>
          </w:p>
        </w:tc>
        <w:tc>
          <w:tcPr>
            <w:tcW w:w="1750" w:type="dxa"/>
          </w:tcPr>
          <w:p w14:paraId="45CA4ACE" w14:textId="77777777" w:rsidR="00370CE7" w:rsidRPr="00370CE7" w:rsidRDefault="00370CE7" w:rsidP="00370CE7">
            <w:pPr>
              <w:jc w:val="center"/>
              <w:rPr>
                <w:color w:val="000000" w:themeColor="text1"/>
              </w:rPr>
            </w:pPr>
            <w:r w:rsidRPr="00370CE7">
              <w:rPr>
                <w:color w:val="000000" w:themeColor="text1"/>
              </w:rPr>
              <w:t>17.3 ± 1.0ᵃ</w:t>
            </w:r>
          </w:p>
        </w:tc>
        <w:tc>
          <w:tcPr>
            <w:tcW w:w="1850" w:type="dxa"/>
          </w:tcPr>
          <w:p w14:paraId="7CA4AA2F" w14:textId="77777777" w:rsidR="00370CE7" w:rsidRPr="00370CE7" w:rsidRDefault="00370CE7" w:rsidP="00370CE7">
            <w:pPr>
              <w:jc w:val="center"/>
              <w:rPr>
                <w:color w:val="000000" w:themeColor="text1"/>
              </w:rPr>
            </w:pPr>
            <w:r w:rsidRPr="00370CE7">
              <w:rPr>
                <w:color w:val="000000" w:themeColor="text1"/>
              </w:rPr>
              <w:t>14.6 ± 1.2ᵃ</w:t>
            </w:r>
          </w:p>
        </w:tc>
        <w:tc>
          <w:tcPr>
            <w:tcW w:w="1650" w:type="dxa"/>
          </w:tcPr>
          <w:p w14:paraId="5421B5C0" w14:textId="77777777" w:rsidR="00370CE7" w:rsidRPr="00370CE7" w:rsidRDefault="00370CE7" w:rsidP="00370CE7">
            <w:pPr>
              <w:jc w:val="center"/>
              <w:rPr>
                <w:color w:val="000000" w:themeColor="text1"/>
              </w:rPr>
            </w:pPr>
            <w:r w:rsidRPr="00370CE7">
              <w:rPr>
                <w:color w:val="000000" w:themeColor="text1"/>
              </w:rPr>
              <w:t>18.9 ± 1.3ᵇ</w:t>
            </w:r>
          </w:p>
        </w:tc>
      </w:tr>
      <w:tr w:rsidR="00370CE7" w:rsidRPr="00370CE7" w14:paraId="1B699388" w14:textId="77777777" w:rsidTr="00370CE7">
        <w:tc>
          <w:tcPr>
            <w:tcW w:w="2600" w:type="dxa"/>
            <w:vMerge w:val="restart"/>
          </w:tcPr>
          <w:p w14:paraId="218A22D3" w14:textId="77777777" w:rsidR="00370CE7" w:rsidRPr="00370CE7" w:rsidRDefault="00370CE7" w:rsidP="00370CE7">
            <w:pPr>
              <w:rPr>
                <w:color w:val="000000" w:themeColor="text1"/>
              </w:rPr>
            </w:pPr>
            <w:proofErr w:type="spellStart"/>
            <w:r w:rsidRPr="00370CE7">
              <w:rPr>
                <w:color w:val="000000" w:themeColor="text1"/>
              </w:rPr>
              <w:t>GPx</w:t>
            </w:r>
            <w:proofErr w:type="spellEnd"/>
            <w:r w:rsidRPr="00370CE7">
              <w:rPr>
                <w:color w:val="000000" w:themeColor="text1"/>
              </w:rPr>
              <w:t xml:space="preserve"> (U/mg protein)</w:t>
            </w:r>
          </w:p>
        </w:tc>
        <w:tc>
          <w:tcPr>
            <w:tcW w:w="1500" w:type="dxa"/>
          </w:tcPr>
          <w:p w14:paraId="4B66C035" w14:textId="77777777" w:rsidR="00370CE7" w:rsidRPr="00370CE7" w:rsidRDefault="00370CE7" w:rsidP="00370CE7">
            <w:pPr>
              <w:jc w:val="center"/>
              <w:rPr>
                <w:color w:val="000000" w:themeColor="text1"/>
              </w:rPr>
            </w:pPr>
            <w:r w:rsidRPr="00370CE7">
              <w:rPr>
                <w:color w:val="000000" w:themeColor="text1"/>
              </w:rPr>
              <w:t>Day 15</w:t>
            </w:r>
          </w:p>
        </w:tc>
        <w:tc>
          <w:tcPr>
            <w:tcW w:w="1750" w:type="dxa"/>
          </w:tcPr>
          <w:p w14:paraId="3FE89D00" w14:textId="77777777" w:rsidR="00370CE7" w:rsidRPr="00370CE7" w:rsidRDefault="00370CE7" w:rsidP="00370CE7">
            <w:pPr>
              <w:jc w:val="center"/>
              <w:rPr>
                <w:color w:val="000000" w:themeColor="text1"/>
              </w:rPr>
            </w:pPr>
            <w:r w:rsidRPr="00370CE7">
              <w:rPr>
                <w:color w:val="000000" w:themeColor="text1"/>
              </w:rPr>
              <w:t>5.6 ± 0.4ᵃ</w:t>
            </w:r>
          </w:p>
        </w:tc>
        <w:tc>
          <w:tcPr>
            <w:tcW w:w="1850" w:type="dxa"/>
          </w:tcPr>
          <w:p w14:paraId="59DBEA7B" w14:textId="77777777" w:rsidR="00370CE7" w:rsidRPr="00370CE7" w:rsidRDefault="00370CE7" w:rsidP="00370CE7">
            <w:pPr>
              <w:jc w:val="center"/>
              <w:rPr>
                <w:color w:val="000000" w:themeColor="text1"/>
              </w:rPr>
            </w:pPr>
            <w:r w:rsidRPr="00370CE7">
              <w:rPr>
                <w:color w:val="000000" w:themeColor="text1"/>
              </w:rPr>
              <w:t>7.1 ± 0.5ᵇ</w:t>
            </w:r>
          </w:p>
        </w:tc>
        <w:tc>
          <w:tcPr>
            <w:tcW w:w="1650" w:type="dxa"/>
          </w:tcPr>
          <w:p w14:paraId="64BF5696" w14:textId="77777777" w:rsidR="00370CE7" w:rsidRPr="00370CE7" w:rsidRDefault="00370CE7" w:rsidP="00370CE7">
            <w:pPr>
              <w:jc w:val="center"/>
              <w:rPr>
                <w:color w:val="000000" w:themeColor="text1"/>
              </w:rPr>
            </w:pPr>
            <w:r w:rsidRPr="00370CE7">
              <w:rPr>
                <w:color w:val="000000" w:themeColor="text1"/>
              </w:rPr>
              <w:t>6.8 ± 0.5ᵇ</w:t>
            </w:r>
          </w:p>
        </w:tc>
      </w:tr>
      <w:tr w:rsidR="00370CE7" w:rsidRPr="00370CE7" w14:paraId="137C6505" w14:textId="77777777" w:rsidTr="00370CE7">
        <w:tc>
          <w:tcPr>
            <w:tcW w:w="2600" w:type="dxa"/>
            <w:vMerge/>
          </w:tcPr>
          <w:p w14:paraId="3C4D967B" w14:textId="77777777" w:rsidR="00370CE7" w:rsidRPr="00370CE7" w:rsidRDefault="00370CE7" w:rsidP="00370CE7">
            <w:pPr>
              <w:rPr>
                <w:color w:val="000000" w:themeColor="text1"/>
              </w:rPr>
            </w:pPr>
          </w:p>
        </w:tc>
        <w:tc>
          <w:tcPr>
            <w:tcW w:w="1500" w:type="dxa"/>
          </w:tcPr>
          <w:p w14:paraId="0792D0DE" w14:textId="77777777" w:rsidR="00370CE7" w:rsidRPr="00370CE7" w:rsidRDefault="00370CE7" w:rsidP="00370CE7">
            <w:pPr>
              <w:jc w:val="center"/>
              <w:rPr>
                <w:color w:val="000000" w:themeColor="text1"/>
              </w:rPr>
            </w:pPr>
            <w:r w:rsidRPr="00370CE7">
              <w:rPr>
                <w:color w:val="000000" w:themeColor="text1"/>
              </w:rPr>
              <w:t>Day 30</w:t>
            </w:r>
          </w:p>
        </w:tc>
        <w:tc>
          <w:tcPr>
            <w:tcW w:w="1750" w:type="dxa"/>
          </w:tcPr>
          <w:p w14:paraId="26638282" w14:textId="77777777" w:rsidR="00370CE7" w:rsidRPr="00370CE7" w:rsidRDefault="00370CE7" w:rsidP="00370CE7">
            <w:pPr>
              <w:jc w:val="center"/>
              <w:rPr>
                <w:color w:val="000000" w:themeColor="text1"/>
              </w:rPr>
            </w:pPr>
            <w:r w:rsidRPr="00370CE7">
              <w:rPr>
                <w:color w:val="000000" w:themeColor="text1"/>
              </w:rPr>
              <w:t>5.7 ± 0.4ᵃ</w:t>
            </w:r>
          </w:p>
        </w:tc>
        <w:tc>
          <w:tcPr>
            <w:tcW w:w="1850" w:type="dxa"/>
          </w:tcPr>
          <w:p w14:paraId="52926EFF" w14:textId="77777777" w:rsidR="00370CE7" w:rsidRPr="00370CE7" w:rsidRDefault="00370CE7" w:rsidP="00370CE7">
            <w:pPr>
              <w:jc w:val="center"/>
              <w:rPr>
                <w:color w:val="000000" w:themeColor="text1"/>
              </w:rPr>
            </w:pPr>
            <w:r w:rsidRPr="00370CE7">
              <w:rPr>
                <w:color w:val="000000" w:themeColor="text1"/>
              </w:rPr>
              <w:t>7.8 ± 0.6ᵇ</w:t>
            </w:r>
          </w:p>
        </w:tc>
        <w:tc>
          <w:tcPr>
            <w:tcW w:w="1650" w:type="dxa"/>
          </w:tcPr>
          <w:p w14:paraId="56B90833" w14:textId="77777777" w:rsidR="00370CE7" w:rsidRPr="00370CE7" w:rsidRDefault="00370CE7" w:rsidP="00370CE7">
            <w:pPr>
              <w:jc w:val="center"/>
              <w:rPr>
                <w:color w:val="000000" w:themeColor="text1"/>
              </w:rPr>
            </w:pPr>
            <w:r w:rsidRPr="00370CE7">
              <w:rPr>
                <w:color w:val="000000" w:themeColor="text1"/>
              </w:rPr>
              <w:t>7.3 ± 0.5ᵇ</w:t>
            </w:r>
          </w:p>
        </w:tc>
      </w:tr>
      <w:tr w:rsidR="00370CE7" w:rsidRPr="00370CE7" w14:paraId="7215984B" w14:textId="77777777" w:rsidTr="00370CE7">
        <w:tc>
          <w:tcPr>
            <w:tcW w:w="2600" w:type="dxa"/>
            <w:vMerge/>
          </w:tcPr>
          <w:p w14:paraId="263C3826" w14:textId="77777777" w:rsidR="00370CE7" w:rsidRPr="00370CE7" w:rsidRDefault="00370CE7" w:rsidP="00370CE7">
            <w:pPr>
              <w:rPr>
                <w:color w:val="000000" w:themeColor="text1"/>
              </w:rPr>
            </w:pPr>
          </w:p>
        </w:tc>
        <w:tc>
          <w:tcPr>
            <w:tcW w:w="1500" w:type="dxa"/>
          </w:tcPr>
          <w:p w14:paraId="6F42E0A5" w14:textId="77777777" w:rsidR="00370CE7" w:rsidRPr="00370CE7" w:rsidRDefault="00370CE7" w:rsidP="00370CE7">
            <w:pPr>
              <w:jc w:val="center"/>
              <w:rPr>
                <w:color w:val="000000" w:themeColor="text1"/>
              </w:rPr>
            </w:pPr>
            <w:r w:rsidRPr="00370CE7">
              <w:rPr>
                <w:color w:val="000000" w:themeColor="text1"/>
              </w:rPr>
              <w:t>Day 60</w:t>
            </w:r>
          </w:p>
        </w:tc>
        <w:tc>
          <w:tcPr>
            <w:tcW w:w="1750" w:type="dxa"/>
          </w:tcPr>
          <w:p w14:paraId="73B107C9" w14:textId="77777777" w:rsidR="00370CE7" w:rsidRPr="00370CE7" w:rsidRDefault="00370CE7" w:rsidP="00370CE7">
            <w:pPr>
              <w:jc w:val="center"/>
              <w:rPr>
                <w:color w:val="000000" w:themeColor="text1"/>
              </w:rPr>
            </w:pPr>
            <w:r w:rsidRPr="00370CE7">
              <w:rPr>
                <w:color w:val="000000" w:themeColor="text1"/>
              </w:rPr>
              <w:t>5.8 ± 0.4ᵃ</w:t>
            </w:r>
          </w:p>
        </w:tc>
        <w:tc>
          <w:tcPr>
            <w:tcW w:w="1850" w:type="dxa"/>
          </w:tcPr>
          <w:p w14:paraId="69848EF2" w14:textId="77777777" w:rsidR="00370CE7" w:rsidRPr="00370CE7" w:rsidRDefault="00370CE7" w:rsidP="00370CE7">
            <w:pPr>
              <w:jc w:val="center"/>
              <w:rPr>
                <w:color w:val="000000" w:themeColor="text1"/>
              </w:rPr>
            </w:pPr>
            <w:r w:rsidRPr="00370CE7">
              <w:rPr>
                <w:color w:val="000000" w:themeColor="text1"/>
              </w:rPr>
              <w:t>4.9 ± 0.5ᵇ</w:t>
            </w:r>
          </w:p>
        </w:tc>
        <w:tc>
          <w:tcPr>
            <w:tcW w:w="1650" w:type="dxa"/>
          </w:tcPr>
          <w:p w14:paraId="1D6CCD88" w14:textId="77777777" w:rsidR="00370CE7" w:rsidRPr="00370CE7" w:rsidRDefault="00370CE7" w:rsidP="00370CE7">
            <w:pPr>
              <w:jc w:val="center"/>
              <w:rPr>
                <w:color w:val="000000" w:themeColor="text1"/>
              </w:rPr>
            </w:pPr>
            <w:r w:rsidRPr="00370CE7">
              <w:rPr>
                <w:color w:val="000000" w:themeColor="text1"/>
              </w:rPr>
              <w:t>6.1 ± 0.5ᵃ</w:t>
            </w:r>
          </w:p>
        </w:tc>
      </w:tr>
      <w:tr w:rsidR="00370CE7" w:rsidRPr="00370CE7" w14:paraId="7C84B027" w14:textId="77777777" w:rsidTr="00370CE7">
        <w:tc>
          <w:tcPr>
            <w:tcW w:w="2600" w:type="dxa"/>
            <w:vMerge w:val="restart"/>
          </w:tcPr>
          <w:p w14:paraId="418076CC" w14:textId="77777777" w:rsidR="00370CE7" w:rsidRPr="00370CE7" w:rsidRDefault="00370CE7" w:rsidP="00370CE7">
            <w:pPr>
              <w:rPr>
                <w:color w:val="000000" w:themeColor="text1"/>
              </w:rPr>
            </w:pPr>
            <w:r w:rsidRPr="00370CE7">
              <w:rPr>
                <w:color w:val="000000" w:themeColor="text1"/>
              </w:rPr>
              <w:t>GSH (µg/mg protein)</w:t>
            </w:r>
          </w:p>
        </w:tc>
        <w:tc>
          <w:tcPr>
            <w:tcW w:w="1500" w:type="dxa"/>
          </w:tcPr>
          <w:p w14:paraId="785A4C31" w14:textId="77777777" w:rsidR="00370CE7" w:rsidRPr="00370CE7" w:rsidRDefault="00370CE7" w:rsidP="00370CE7">
            <w:pPr>
              <w:jc w:val="center"/>
              <w:rPr>
                <w:color w:val="000000" w:themeColor="text1"/>
              </w:rPr>
            </w:pPr>
            <w:r w:rsidRPr="00370CE7">
              <w:rPr>
                <w:color w:val="000000" w:themeColor="text1"/>
              </w:rPr>
              <w:t>Day 15</w:t>
            </w:r>
          </w:p>
        </w:tc>
        <w:tc>
          <w:tcPr>
            <w:tcW w:w="1750" w:type="dxa"/>
          </w:tcPr>
          <w:p w14:paraId="3B29FD12" w14:textId="77777777" w:rsidR="00370CE7" w:rsidRPr="00370CE7" w:rsidRDefault="00370CE7" w:rsidP="00370CE7">
            <w:pPr>
              <w:jc w:val="center"/>
              <w:rPr>
                <w:color w:val="000000" w:themeColor="text1"/>
              </w:rPr>
            </w:pPr>
            <w:r w:rsidRPr="00370CE7">
              <w:rPr>
                <w:color w:val="000000" w:themeColor="text1"/>
              </w:rPr>
              <w:t>36.4 ± 2.2ᵃ</w:t>
            </w:r>
          </w:p>
        </w:tc>
        <w:tc>
          <w:tcPr>
            <w:tcW w:w="1850" w:type="dxa"/>
          </w:tcPr>
          <w:p w14:paraId="54DE6C63" w14:textId="77777777" w:rsidR="00370CE7" w:rsidRPr="00370CE7" w:rsidRDefault="00370CE7" w:rsidP="00370CE7">
            <w:pPr>
              <w:jc w:val="center"/>
              <w:rPr>
                <w:color w:val="000000" w:themeColor="text1"/>
              </w:rPr>
            </w:pPr>
            <w:r w:rsidRPr="00370CE7">
              <w:rPr>
                <w:color w:val="000000" w:themeColor="text1"/>
              </w:rPr>
              <w:t>31.0 ± 2.0ᵇ</w:t>
            </w:r>
          </w:p>
        </w:tc>
        <w:tc>
          <w:tcPr>
            <w:tcW w:w="1650" w:type="dxa"/>
          </w:tcPr>
          <w:p w14:paraId="73F0EB6D" w14:textId="77777777" w:rsidR="00370CE7" w:rsidRPr="00370CE7" w:rsidRDefault="00370CE7" w:rsidP="00370CE7">
            <w:pPr>
              <w:jc w:val="center"/>
              <w:rPr>
                <w:color w:val="000000" w:themeColor="text1"/>
              </w:rPr>
            </w:pPr>
            <w:r w:rsidRPr="00370CE7">
              <w:rPr>
                <w:color w:val="000000" w:themeColor="text1"/>
              </w:rPr>
              <w:t>32.6 ± 2.1ᵇ</w:t>
            </w:r>
          </w:p>
        </w:tc>
      </w:tr>
      <w:tr w:rsidR="00370CE7" w:rsidRPr="00370CE7" w14:paraId="7230D0F6" w14:textId="77777777" w:rsidTr="00370CE7">
        <w:tc>
          <w:tcPr>
            <w:tcW w:w="2600" w:type="dxa"/>
            <w:vMerge/>
          </w:tcPr>
          <w:p w14:paraId="0966B63E" w14:textId="77777777" w:rsidR="00370CE7" w:rsidRPr="00370CE7" w:rsidRDefault="00370CE7" w:rsidP="00370CE7">
            <w:pPr>
              <w:rPr>
                <w:color w:val="000000" w:themeColor="text1"/>
              </w:rPr>
            </w:pPr>
          </w:p>
        </w:tc>
        <w:tc>
          <w:tcPr>
            <w:tcW w:w="1500" w:type="dxa"/>
          </w:tcPr>
          <w:p w14:paraId="446A158E" w14:textId="77777777" w:rsidR="00370CE7" w:rsidRPr="00370CE7" w:rsidRDefault="00370CE7" w:rsidP="00370CE7">
            <w:pPr>
              <w:jc w:val="center"/>
              <w:rPr>
                <w:color w:val="000000" w:themeColor="text1"/>
              </w:rPr>
            </w:pPr>
            <w:r w:rsidRPr="00370CE7">
              <w:rPr>
                <w:color w:val="000000" w:themeColor="text1"/>
              </w:rPr>
              <w:t>Day 30</w:t>
            </w:r>
          </w:p>
        </w:tc>
        <w:tc>
          <w:tcPr>
            <w:tcW w:w="1750" w:type="dxa"/>
          </w:tcPr>
          <w:p w14:paraId="34C9C8CB" w14:textId="77777777" w:rsidR="00370CE7" w:rsidRPr="00370CE7" w:rsidRDefault="00370CE7" w:rsidP="00370CE7">
            <w:pPr>
              <w:jc w:val="center"/>
              <w:rPr>
                <w:color w:val="000000" w:themeColor="text1"/>
              </w:rPr>
            </w:pPr>
            <w:r w:rsidRPr="00370CE7">
              <w:rPr>
                <w:color w:val="000000" w:themeColor="text1"/>
              </w:rPr>
              <w:t>36.9 ± 2.1ᵃ</w:t>
            </w:r>
          </w:p>
        </w:tc>
        <w:tc>
          <w:tcPr>
            <w:tcW w:w="1850" w:type="dxa"/>
          </w:tcPr>
          <w:p w14:paraId="3C28F647" w14:textId="77777777" w:rsidR="00370CE7" w:rsidRPr="00370CE7" w:rsidRDefault="00370CE7" w:rsidP="00370CE7">
            <w:pPr>
              <w:jc w:val="center"/>
              <w:rPr>
                <w:color w:val="000000" w:themeColor="text1"/>
              </w:rPr>
            </w:pPr>
            <w:r w:rsidRPr="00370CE7">
              <w:rPr>
                <w:color w:val="000000" w:themeColor="text1"/>
              </w:rPr>
              <w:t>26.5 ± 2.2ᵇ</w:t>
            </w:r>
          </w:p>
        </w:tc>
        <w:tc>
          <w:tcPr>
            <w:tcW w:w="1650" w:type="dxa"/>
          </w:tcPr>
          <w:p w14:paraId="0A7CD62A" w14:textId="77777777" w:rsidR="00370CE7" w:rsidRPr="00370CE7" w:rsidRDefault="00370CE7" w:rsidP="00370CE7">
            <w:pPr>
              <w:jc w:val="center"/>
              <w:rPr>
                <w:color w:val="000000" w:themeColor="text1"/>
              </w:rPr>
            </w:pPr>
            <w:r w:rsidRPr="00370CE7">
              <w:rPr>
                <w:color w:val="000000" w:themeColor="text1"/>
              </w:rPr>
              <w:t>28.9 ± 2.2ᵇ</w:t>
            </w:r>
          </w:p>
        </w:tc>
      </w:tr>
      <w:tr w:rsidR="00370CE7" w:rsidRPr="00370CE7" w14:paraId="197FC02F" w14:textId="77777777" w:rsidTr="00370CE7">
        <w:tc>
          <w:tcPr>
            <w:tcW w:w="2600" w:type="dxa"/>
            <w:vMerge/>
          </w:tcPr>
          <w:p w14:paraId="55CD670D" w14:textId="77777777" w:rsidR="00370CE7" w:rsidRPr="00370CE7" w:rsidRDefault="00370CE7" w:rsidP="00370CE7">
            <w:pPr>
              <w:rPr>
                <w:color w:val="000000" w:themeColor="text1"/>
              </w:rPr>
            </w:pPr>
          </w:p>
        </w:tc>
        <w:tc>
          <w:tcPr>
            <w:tcW w:w="1500" w:type="dxa"/>
          </w:tcPr>
          <w:p w14:paraId="43F736F6" w14:textId="77777777" w:rsidR="00370CE7" w:rsidRPr="00370CE7" w:rsidRDefault="00370CE7" w:rsidP="00370CE7">
            <w:pPr>
              <w:jc w:val="center"/>
              <w:rPr>
                <w:color w:val="000000" w:themeColor="text1"/>
              </w:rPr>
            </w:pPr>
            <w:r w:rsidRPr="00370CE7">
              <w:rPr>
                <w:color w:val="000000" w:themeColor="text1"/>
              </w:rPr>
              <w:t>Day 60</w:t>
            </w:r>
          </w:p>
        </w:tc>
        <w:tc>
          <w:tcPr>
            <w:tcW w:w="1750" w:type="dxa"/>
          </w:tcPr>
          <w:p w14:paraId="7E046204" w14:textId="77777777" w:rsidR="00370CE7" w:rsidRPr="00370CE7" w:rsidRDefault="00370CE7" w:rsidP="00370CE7">
            <w:pPr>
              <w:jc w:val="center"/>
              <w:rPr>
                <w:color w:val="000000" w:themeColor="text1"/>
              </w:rPr>
            </w:pPr>
            <w:r w:rsidRPr="00370CE7">
              <w:rPr>
                <w:color w:val="000000" w:themeColor="text1"/>
              </w:rPr>
              <w:t>37.2 ± 2.0ᵃ</w:t>
            </w:r>
          </w:p>
        </w:tc>
        <w:tc>
          <w:tcPr>
            <w:tcW w:w="1850" w:type="dxa"/>
          </w:tcPr>
          <w:p w14:paraId="09312DD1" w14:textId="77777777" w:rsidR="00370CE7" w:rsidRPr="00370CE7" w:rsidRDefault="00370CE7" w:rsidP="00370CE7">
            <w:pPr>
              <w:jc w:val="center"/>
              <w:rPr>
                <w:color w:val="000000" w:themeColor="text1"/>
              </w:rPr>
            </w:pPr>
            <w:r w:rsidRPr="00370CE7">
              <w:rPr>
                <w:color w:val="000000" w:themeColor="text1"/>
              </w:rPr>
              <w:t>20.4 ± 2.3ᵇ</w:t>
            </w:r>
          </w:p>
        </w:tc>
        <w:tc>
          <w:tcPr>
            <w:tcW w:w="1650" w:type="dxa"/>
          </w:tcPr>
          <w:p w14:paraId="3EB74FDE" w14:textId="77777777" w:rsidR="00370CE7" w:rsidRPr="00370CE7" w:rsidRDefault="00370CE7" w:rsidP="00370CE7">
            <w:pPr>
              <w:jc w:val="center"/>
              <w:rPr>
                <w:color w:val="000000" w:themeColor="text1"/>
              </w:rPr>
            </w:pPr>
            <w:r w:rsidRPr="00370CE7">
              <w:rPr>
                <w:color w:val="000000" w:themeColor="text1"/>
              </w:rPr>
              <w:t>23.7 ± 2.2ᶜ</w:t>
            </w:r>
          </w:p>
        </w:tc>
      </w:tr>
    </w:tbl>
    <w:p w14:paraId="54FC77F5" w14:textId="77777777" w:rsidR="00AA707A" w:rsidRPr="00370CE7" w:rsidRDefault="00370CE7" w:rsidP="00370CE7">
      <w:pPr>
        <w:pStyle w:val="Heading2"/>
        <w:rPr>
          <w:color w:val="000000" w:themeColor="text1"/>
        </w:rPr>
      </w:pPr>
      <w:r w:rsidRPr="00370CE7">
        <w:rPr>
          <w:b/>
          <w:bCs/>
          <w:color w:val="000000" w:themeColor="text1"/>
        </w:rPr>
        <w:t>3.5 Comparative and Correlational Analysis</w:t>
      </w:r>
    </w:p>
    <w:p w14:paraId="7492C446" w14:textId="77777777" w:rsidR="00AA707A" w:rsidRPr="00370CE7" w:rsidRDefault="00370CE7" w:rsidP="00370CE7">
      <w:pPr>
        <w:spacing w:line="360" w:lineRule="auto"/>
        <w:jc w:val="both"/>
        <w:rPr>
          <w:color w:val="000000" w:themeColor="text1"/>
        </w:rPr>
      </w:pPr>
      <w:r w:rsidRPr="00370CE7">
        <w:rPr>
          <w:color w:val="000000" w:themeColor="text1"/>
          <w:sz w:val="24"/>
          <w:szCs w:val="24"/>
        </w:rPr>
        <w:t>Pearson correlation analysis performed across pooled treatment groups revealed a strong negative correlation between water pH deviation from neutrality (|pH − 7.5|) and both hemoglobin content (r = −0.87, p &lt; 0.001) and gill GSH concentration (r = −0.84, p &lt; 0.001), and a strong positive correlation between pH deviation and gill MDA content (r = 0.91, p &lt; 0.001), confirming oxidative damage as a central mechanistic link between pH stress and hematological impairment. Two-way ANOVA indicated significant main effects of both pH treatment and exposure duration on all measured biomarkers (p &lt; 0.001), along with a significant treatment × duration interaction for MDA, SOD, and GSH in all three tissues (p &lt; 0.01), reflecting the time-dependent divergence of the biphasic antioxidant response described above.</w:t>
      </w:r>
    </w:p>
    <w:p w14:paraId="3D809C34" w14:textId="77777777" w:rsidR="00AA707A" w:rsidRPr="00370CE7" w:rsidRDefault="00370CE7" w:rsidP="00370CE7">
      <w:pPr>
        <w:spacing w:line="360" w:lineRule="auto"/>
        <w:jc w:val="both"/>
        <w:rPr>
          <w:color w:val="000000" w:themeColor="text1"/>
        </w:rPr>
      </w:pPr>
      <w:r w:rsidRPr="00370CE7">
        <w:rPr>
          <w:color w:val="000000" w:themeColor="text1"/>
          <w:sz w:val="24"/>
          <w:szCs w:val="24"/>
        </w:rPr>
        <w:t xml:space="preserve">A comparative sensitivity ranking across tissues, based on the magnitude of percentage change from control at day 60, placed gill tissue as the most responsive (mean change across biomarkers: 48–62%), followed by kidney (41–55%), and liver (35–48%), consistent with the </w:t>
      </w:r>
      <w:r w:rsidRPr="00370CE7">
        <w:rPr>
          <w:color w:val="000000" w:themeColor="text1"/>
          <w:sz w:val="24"/>
          <w:szCs w:val="24"/>
        </w:rPr>
        <w:lastRenderedPageBreak/>
        <w:t xml:space="preserve">gill's primary role as the interface of direct environmental exchange (Table 9). Among species, </w:t>
      </w:r>
      <w:proofErr w:type="spellStart"/>
      <w:r w:rsidRPr="00370CE7">
        <w:rPr>
          <w:color w:val="000000" w:themeColor="text1"/>
          <w:sz w:val="24"/>
          <w:szCs w:val="24"/>
        </w:rPr>
        <w:t>Catla</w:t>
      </w:r>
      <w:proofErr w:type="spellEnd"/>
      <w:r w:rsidRPr="00370CE7">
        <w:rPr>
          <w:color w:val="000000" w:themeColor="text1"/>
          <w:sz w:val="24"/>
          <w:szCs w:val="24"/>
        </w:rPr>
        <w:t xml:space="preserve"> </w:t>
      </w:r>
      <w:proofErr w:type="spellStart"/>
      <w:r w:rsidRPr="00370CE7">
        <w:rPr>
          <w:color w:val="000000" w:themeColor="text1"/>
          <w:sz w:val="24"/>
          <w:szCs w:val="24"/>
        </w:rPr>
        <w:t>catla</w:t>
      </w:r>
      <w:proofErr w:type="spellEnd"/>
      <w:r w:rsidRPr="00370CE7">
        <w:rPr>
          <w:color w:val="000000" w:themeColor="text1"/>
          <w:sz w:val="24"/>
          <w:szCs w:val="24"/>
        </w:rPr>
        <w:t xml:space="preserve"> showed consistently greater biomarker perturbation than </w:t>
      </w:r>
      <w:proofErr w:type="spellStart"/>
      <w:r w:rsidRPr="00370CE7">
        <w:rPr>
          <w:color w:val="000000" w:themeColor="text1"/>
          <w:sz w:val="24"/>
          <w:szCs w:val="24"/>
        </w:rPr>
        <w:t>Labeo</w:t>
      </w:r>
      <w:proofErr w:type="spellEnd"/>
      <w:r w:rsidRPr="00370CE7">
        <w:rPr>
          <w:color w:val="000000" w:themeColor="text1"/>
          <w:sz w:val="24"/>
          <w:szCs w:val="24"/>
        </w:rPr>
        <w:t xml:space="preserve"> </w:t>
      </w:r>
      <w:proofErr w:type="spellStart"/>
      <w:r w:rsidRPr="00370CE7">
        <w:rPr>
          <w:color w:val="000000" w:themeColor="text1"/>
          <w:sz w:val="24"/>
          <w:szCs w:val="24"/>
        </w:rPr>
        <w:t>rohita</w:t>
      </w:r>
      <w:proofErr w:type="spellEnd"/>
      <w:r w:rsidRPr="00370CE7">
        <w:rPr>
          <w:color w:val="000000" w:themeColor="text1"/>
          <w:sz w:val="24"/>
          <w:szCs w:val="24"/>
        </w:rPr>
        <w:t xml:space="preserve"> and Cyprinus carpio at equivalent exposure conditions, mirroring its lower acute LC50 values and confirming concordance between acute lethality and sublethal biochemical sensitivity.</w:t>
      </w:r>
    </w:p>
    <w:p w14:paraId="09F54A97" w14:textId="77777777" w:rsidR="00AA707A" w:rsidRPr="00370CE7" w:rsidRDefault="00370CE7" w:rsidP="00370CE7">
      <w:pPr>
        <w:jc w:val="center"/>
        <w:rPr>
          <w:color w:val="000000" w:themeColor="text1"/>
        </w:rPr>
      </w:pPr>
      <w:r w:rsidRPr="00370CE7">
        <w:rPr>
          <w:b/>
          <w:bCs/>
          <w:color w:val="000000" w:themeColor="text1"/>
          <w:sz w:val="22"/>
          <w:szCs w:val="22"/>
        </w:rPr>
        <w:t>Table 9. Comparative percentage change in oxidative stress biomarkers from control values at day 60 of acidic (pH 5.5) exposure, by tissue (</w:t>
      </w:r>
      <w:proofErr w:type="spellStart"/>
      <w:r w:rsidRPr="00370CE7">
        <w:rPr>
          <w:b/>
          <w:bCs/>
          <w:i/>
          <w:iCs/>
          <w:color w:val="000000" w:themeColor="text1"/>
          <w:sz w:val="22"/>
          <w:szCs w:val="22"/>
        </w:rPr>
        <w:t>Labeo</w:t>
      </w:r>
      <w:proofErr w:type="spellEnd"/>
      <w:r w:rsidRPr="00370CE7">
        <w:rPr>
          <w:b/>
          <w:bCs/>
          <w:i/>
          <w:iCs/>
          <w:color w:val="000000" w:themeColor="text1"/>
          <w:sz w:val="22"/>
          <w:szCs w:val="22"/>
        </w:rPr>
        <w:t xml:space="preserve"> </w:t>
      </w:r>
      <w:proofErr w:type="spellStart"/>
      <w:r w:rsidRPr="00370CE7">
        <w:rPr>
          <w:b/>
          <w:bCs/>
          <w:i/>
          <w:iCs/>
          <w:color w:val="000000" w:themeColor="text1"/>
          <w:sz w:val="22"/>
          <w:szCs w:val="22"/>
        </w:rPr>
        <w:t>rohita</w:t>
      </w:r>
      <w:proofErr w:type="spellEnd"/>
      <w:r w:rsidRPr="00370CE7">
        <w:rPr>
          <w:b/>
          <w:bCs/>
          <w:color w:val="000000" w:themeColor="text1"/>
          <w:sz w:val="22"/>
          <w:szCs w:val="22"/>
        </w:rPr>
        <w:t>).</w:t>
      </w:r>
    </w:p>
    <w:tbl>
      <w:tblPr>
        <w:tblStyle w:val="TableGrid"/>
        <w:tblW w:w="9400" w:type="dxa"/>
        <w:tblLook w:val="04A0" w:firstRow="1" w:lastRow="0" w:firstColumn="1" w:lastColumn="0" w:noHBand="0" w:noVBand="1"/>
      </w:tblPr>
      <w:tblGrid>
        <w:gridCol w:w="3400"/>
        <w:gridCol w:w="2000"/>
        <w:gridCol w:w="2000"/>
        <w:gridCol w:w="2000"/>
      </w:tblGrid>
      <w:tr w:rsidR="00AA707A" w:rsidRPr="00370CE7" w14:paraId="661997DF" w14:textId="77777777" w:rsidTr="00370CE7">
        <w:tc>
          <w:tcPr>
            <w:tcW w:w="3400" w:type="dxa"/>
          </w:tcPr>
          <w:p w14:paraId="223B3236" w14:textId="77777777" w:rsidR="00AA707A" w:rsidRPr="00370CE7" w:rsidRDefault="00370CE7" w:rsidP="00370CE7">
            <w:pPr>
              <w:jc w:val="center"/>
              <w:rPr>
                <w:color w:val="000000" w:themeColor="text1"/>
              </w:rPr>
            </w:pPr>
            <w:r w:rsidRPr="00370CE7">
              <w:rPr>
                <w:b/>
                <w:bCs/>
                <w:color w:val="000000" w:themeColor="text1"/>
              </w:rPr>
              <w:t>Biomarker</w:t>
            </w:r>
          </w:p>
        </w:tc>
        <w:tc>
          <w:tcPr>
            <w:tcW w:w="2000" w:type="dxa"/>
          </w:tcPr>
          <w:p w14:paraId="540213AA" w14:textId="77777777" w:rsidR="00AA707A" w:rsidRPr="00370CE7" w:rsidRDefault="00370CE7" w:rsidP="00370CE7">
            <w:pPr>
              <w:jc w:val="center"/>
              <w:rPr>
                <w:color w:val="000000" w:themeColor="text1"/>
              </w:rPr>
            </w:pPr>
            <w:r w:rsidRPr="00370CE7">
              <w:rPr>
                <w:b/>
                <w:bCs/>
                <w:color w:val="000000" w:themeColor="text1"/>
              </w:rPr>
              <w:t>Gill (% change)</w:t>
            </w:r>
          </w:p>
        </w:tc>
        <w:tc>
          <w:tcPr>
            <w:tcW w:w="2000" w:type="dxa"/>
          </w:tcPr>
          <w:p w14:paraId="6EB936A0" w14:textId="77777777" w:rsidR="00AA707A" w:rsidRPr="00370CE7" w:rsidRDefault="00370CE7" w:rsidP="00370CE7">
            <w:pPr>
              <w:jc w:val="center"/>
              <w:rPr>
                <w:color w:val="000000" w:themeColor="text1"/>
              </w:rPr>
            </w:pPr>
            <w:r w:rsidRPr="00370CE7">
              <w:rPr>
                <w:b/>
                <w:bCs/>
                <w:color w:val="000000" w:themeColor="text1"/>
              </w:rPr>
              <w:t>Liver (% change)</w:t>
            </w:r>
          </w:p>
        </w:tc>
        <w:tc>
          <w:tcPr>
            <w:tcW w:w="2000" w:type="dxa"/>
          </w:tcPr>
          <w:p w14:paraId="5271781B" w14:textId="77777777" w:rsidR="00AA707A" w:rsidRPr="00370CE7" w:rsidRDefault="00370CE7" w:rsidP="00370CE7">
            <w:pPr>
              <w:jc w:val="center"/>
              <w:rPr>
                <w:color w:val="000000" w:themeColor="text1"/>
              </w:rPr>
            </w:pPr>
            <w:r w:rsidRPr="00370CE7">
              <w:rPr>
                <w:b/>
                <w:bCs/>
                <w:color w:val="000000" w:themeColor="text1"/>
              </w:rPr>
              <w:t>Kidney (% change)</w:t>
            </w:r>
          </w:p>
        </w:tc>
      </w:tr>
      <w:tr w:rsidR="00AA707A" w:rsidRPr="00370CE7" w14:paraId="122512D5" w14:textId="77777777" w:rsidTr="00370CE7">
        <w:tc>
          <w:tcPr>
            <w:tcW w:w="3400" w:type="dxa"/>
          </w:tcPr>
          <w:p w14:paraId="7EE42DB5" w14:textId="77777777" w:rsidR="00AA707A" w:rsidRPr="00370CE7" w:rsidRDefault="00370CE7" w:rsidP="00370CE7">
            <w:pPr>
              <w:rPr>
                <w:color w:val="000000" w:themeColor="text1"/>
              </w:rPr>
            </w:pPr>
            <w:r w:rsidRPr="00370CE7">
              <w:rPr>
                <w:color w:val="000000" w:themeColor="text1"/>
              </w:rPr>
              <w:t>MDA</w:t>
            </w:r>
          </w:p>
        </w:tc>
        <w:tc>
          <w:tcPr>
            <w:tcW w:w="2000" w:type="dxa"/>
          </w:tcPr>
          <w:p w14:paraId="12BA87F2" w14:textId="77777777" w:rsidR="00AA707A" w:rsidRPr="00370CE7" w:rsidRDefault="00370CE7" w:rsidP="00370CE7">
            <w:pPr>
              <w:jc w:val="center"/>
              <w:rPr>
                <w:color w:val="000000" w:themeColor="text1"/>
              </w:rPr>
            </w:pPr>
            <w:r w:rsidRPr="00370CE7">
              <w:rPr>
                <w:color w:val="000000" w:themeColor="text1"/>
              </w:rPr>
              <w:t>+154.8</w:t>
            </w:r>
          </w:p>
        </w:tc>
        <w:tc>
          <w:tcPr>
            <w:tcW w:w="2000" w:type="dxa"/>
          </w:tcPr>
          <w:p w14:paraId="18FE06E3" w14:textId="77777777" w:rsidR="00AA707A" w:rsidRPr="00370CE7" w:rsidRDefault="00370CE7" w:rsidP="00370CE7">
            <w:pPr>
              <w:jc w:val="center"/>
              <w:rPr>
                <w:color w:val="000000" w:themeColor="text1"/>
              </w:rPr>
            </w:pPr>
            <w:r w:rsidRPr="00370CE7">
              <w:rPr>
                <w:color w:val="000000" w:themeColor="text1"/>
              </w:rPr>
              <w:t>+129.0</w:t>
            </w:r>
          </w:p>
        </w:tc>
        <w:tc>
          <w:tcPr>
            <w:tcW w:w="2000" w:type="dxa"/>
          </w:tcPr>
          <w:p w14:paraId="645B003D" w14:textId="77777777" w:rsidR="00AA707A" w:rsidRPr="00370CE7" w:rsidRDefault="00370CE7" w:rsidP="00370CE7">
            <w:pPr>
              <w:jc w:val="center"/>
              <w:rPr>
                <w:color w:val="000000" w:themeColor="text1"/>
              </w:rPr>
            </w:pPr>
            <w:r w:rsidRPr="00370CE7">
              <w:rPr>
                <w:color w:val="000000" w:themeColor="text1"/>
              </w:rPr>
              <w:t>+120.0</w:t>
            </w:r>
          </w:p>
        </w:tc>
      </w:tr>
      <w:tr w:rsidR="00AA707A" w:rsidRPr="00370CE7" w14:paraId="172FC2FF" w14:textId="77777777" w:rsidTr="00370CE7">
        <w:tc>
          <w:tcPr>
            <w:tcW w:w="3400" w:type="dxa"/>
          </w:tcPr>
          <w:p w14:paraId="335033B8" w14:textId="77777777" w:rsidR="00AA707A" w:rsidRPr="00370CE7" w:rsidRDefault="00370CE7" w:rsidP="00370CE7">
            <w:pPr>
              <w:rPr>
                <w:color w:val="000000" w:themeColor="text1"/>
              </w:rPr>
            </w:pPr>
            <w:r w:rsidRPr="00370CE7">
              <w:rPr>
                <w:color w:val="000000" w:themeColor="text1"/>
              </w:rPr>
              <w:t>SOD</w:t>
            </w:r>
          </w:p>
        </w:tc>
        <w:tc>
          <w:tcPr>
            <w:tcW w:w="2000" w:type="dxa"/>
          </w:tcPr>
          <w:p w14:paraId="26DCF87B" w14:textId="77777777" w:rsidR="00AA707A" w:rsidRPr="00370CE7" w:rsidRDefault="00370CE7" w:rsidP="00370CE7">
            <w:pPr>
              <w:jc w:val="center"/>
              <w:rPr>
                <w:color w:val="000000" w:themeColor="text1"/>
              </w:rPr>
            </w:pPr>
            <w:r w:rsidRPr="00370CE7">
              <w:rPr>
                <w:color w:val="000000" w:themeColor="text1"/>
              </w:rPr>
              <w:t>−15.0</w:t>
            </w:r>
          </w:p>
        </w:tc>
        <w:tc>
          <w:tcPr>
            <w:tcW w:w="2000" w:type="dxa"/>
          </w:tcPr>
          <w:p w14:paraId="063549F9" w14:textId="77777777" w:rsidR="00AA707A" w:rsidRPr="00370CE7" w:rsidRDefault="00370CE7" w:rsidP="00370CE7">
            <w:pPr>
              <w:jc w:val="center"/>
              <w:rPr>
                <w:color w:val="000000" w:themeColor="text1"/>
              </w:rPr>
            </w:pPr>
            <w:r w:rsidRPr="00370CE7">
              <w:rPr>
                <w:color w:val="000000" w:themeColor="text1"/>
              </w:rPr>
              <w:t>−10.3</w:t>
            </w:r>
          </w:p>
        </w:tc>
        <w:tc>
          <w:tcPr>
            <w:tcW w:w="2000" w:type="dxa"/>
          </w:tcPr>
          <w:p w14:paraId="45638D47" w14:textId="77777777" w:rsidR="00AA707A" w:rsidRPr="00370CE7" w:rsidRDefault="00370CE7" w:rsidP="00370CE7">
            <w:pPr>
              <w:jc w:val="center"/>
              <w:rPr>
                <w:color w:val="000000" w:themeColor="text1"/>
              </w:rPr>
            </w:pPr>
            <w:r w:rsidRPr="00370CE7">
              <w:rPr>
                <w:color w:val="000000" w:themeColor="text1"/>
              </w:rPr>
              <w:t>−15.7</w:t>
            </w:r>
          </w:p>
        </w:tc>
      </w:tr>
      <w:tr w:rsidR="00AA707A" w:rsidRPr="00370CE7" w14:paraId="4CAC208B" w14:textId="77777777" w:rsidTr="00370CE7">
        <w:tc>
          <w:tcPr>
            <w:tcW w:w="3400" w:type="dxa"/>
          </w:tcPr>
          <w:p w14:paraId="1E588130" w14:textId="77777777" w:rsidR="00AA707A" w:rsidRPr="00370CE7" w:rsidRDefault="00370CE7" w:rsidP="00370CE7">
            <w:pPr>
              <w:rPr>
                <w:color w:val="000000" w:themeColor="text1"/>
              </w:rPr>
            </w:pPr>
            <w:r w:rsidRPr="00370CE7">
              <w:rPr>
                <w:color w:val="000000" w:themeColor="text1"/>
              </w:rPr>
              <w:t>CAT</w:t>
            </w:r>
          </w:p>
        </w:tc>
        <w:tc>
          <w:tcPr>
            <w:tcW w:w="2000" w:type="dxa"/>
          </w:tcPr>
          <w:p w14:paraId="4460CC07" w14:textId="77777777" w:rsidR="00AA707A" w:rsidRPr="00370CE7" w:rsidRDefault="00370CE7" w:rsidP="00370CE7">
            <w:pPr>
              <w:jc w:val="center"/>
              <w:rPr>
                <w:color w:val="000000" w:themeColor="text1"/>
              </w:rPr>
            </w:pPr>
            <w:r w:rsidRPr="00370CE7">
              <w:rPr>
                <w:color w:val="000000" w:themeColor="text1"/>
              </w:rPr>
              <w:t>−17.3</w:t>
            </w:r>
          </w:p>
        </w:tc>
        <w:tc>
          <w:tcPr>
            <w:tcW w:w="2000" w:type="dxa"/>
          </w:tcPr>
          <w:p w14:paraId="50800E38" w14:textId="77777777" w:rsidR="00AA707A" w:rsidRPr="00370CE7" w:rsidRDefault="00370CE7" w:rsidP="00370CE7">
            <w:pPr>
              <w:jc w:val="center"/>
              <w:rPr>
                <w:color w:val="000000" w:themeColor="text1"/>
              </w:rPr>
            </w:pPr>
            <w:r w:rsidRPr="00370CE7">
              <w:rPr>
                <w:color w:val="000000" w:themeColor="text1"/>
              </w:rPr>
              <w:t>−11.3</w:t>
            </w:r>
          </w:p>
        </w:tc>
        <w:tc>
          <w:tcPr>
            <w:tcW w:w="2000" w:type="dxa"/>
          </w:tcPr>
          <w:p w14:paraId="5BAE66D7" w14:textId="77777777" w:rsidR="00AA707A" w:rsidRPr="00370CE7" w:rsidRDefault="00370CE7" w:rsidP="00370CE7">
            <w:pPr>
              <w:jc w:val="center"/>
              <w:rPr>
                <w:color w:val="000000" w:themeColor="text1"/>
              </w:rPr>
            </w:pPr>
            <w:r w:rsidRPr="00370CE7">
              <w:rPr>
                <w:color w:val="000000" w:themeColor="text1"/>
              </w:rPr>
              <w:t>−15.6</w:t>
            </w:r>
          </w:p>
        </w:tc>
      </w:tr>
      <w:tr w:rsidR="00AA707A" w:rsidRPr="00370CE7" w14:paraId="2F4BCF98" w14:textId="77777777" w:rsidTr="00370CE7">
        <w:tc>
          <w:tcPr>
            <w:tcW w:w="3400" w:type="dxa"/>
          </w:tcPr>
          <w:p w14:paraId="0269578E" w14:textId="77777777" w:rsidR="00AA707A" w:rsidRPr="00370CE7" w:rsidRDefault="00370CE7" w:rsidP="00370CE7">
            <w:pPr>
              <w:rPr>
                <w:color w:val="000000" w:themeColor="text1"/>
              </w:rPr>
            </w:pPr>
            <w:proofErr w:type="spellStart"/>
            <w:r w:rsidRPr="00370CE7">
              <w:rPr>
                <w:color w:val="000000" w:themeColor="text1"/>
              </w:rPr>
              <w:t>GPx</w:t>
            </w:r>
            <w:proofErr w:type="spellEnd"/>
          </w:p>
        </w:tc>
        <w:tc>
          <w:tcPr>
            <w:tcW w:w="2000" w:type="dxa"/>
          </w:tcPr>
          <w:p w14:paraId="1E509B02" w14:textId="77777777" w:rsidR="00AA707A" w:rsidRPr="00370CE7" w:rsidRDefault="00370CE7" w:rsidP="00370CE7">
            <w:pPr>
              <w:jc w:val="center"/>
              <w:rPr>
                <w:color w:val="000000" w:themeColor="text1"/>
              </w:rPr>
            </w:pPr>
            <w:r w:rsidRPr="00370CE7">
              <w:rPr>
                <w:color w:val="000000" w:themeColor="text1"/>
              </w:rPr>
              <w:t>−12.5</w:t>
            </w:r>
          </w:p>
        </w:tc>
        <w:tc>
          <w:tcPr>
            <w:tcW w:w="2000" w:type="dxa"/>
          </w:tcPr>
          <w:p w14:paraId="15576CF4" w14:textId="77777777" w:rsidR="00AA707A" w:rsidRPr="00370CE7" w:rsidRDefault="00370CE7" w:rsidP="00370CE7">
            <w:pPr>
              <w:jc w:val="center"/>
              <w:rPr>
                <w:color w:val="000000" w:themeColor="text1"/>
              </w:rPr>
            </w:pPr>
            <w:r w:rsidRPr="00370CE7">
              <w:rPr>
                <w:color w:val="000000" w:themeColor="text1"/>
              </w:rPr>
              <w:t>−14.6</w:t>
            </w:r>
          </w:p>
        </w:tc>
        <w:tc>
          <w:tcPr>
            <w:tcW w:w="2000" w:type="dxa"/>
          </w:tcPr>
          <w:p w14:paraId="55FB9339" w14:textId="77777777" w:rsidR="00AA707A" w:rsidRPr="00370CE7" w:rsidRDefault="00370CE7" w:rsidP="00370CE7">
            <w:pPr>
              <w:jc w:val="center"/>
              <w:rPr>
                <w:color w:val="000000" w:themeColor="text1"/>
              </w:rPr>
            </w:pPr>
            <w:r w:rsidRPr="00370CE7">
              <w:rPr>
                <w:color w:val="000000" w:themeColor="text1"/>
              </w:rPr>
              <w:t>−15.5</w:t>
            </w:r>
          </w:p>
        </w:tc>
      </w:tr>
      <w:tr w:rsidR="00AA707A" w:rsidRPr="00370CE7" w14:paraId="7ABC528F" w14:textId="77777777" w:rsidTr="00370CE7">
        <w:tc>
          <w:tcPr>
            <w:tcW w:w="3400" w:type="dxa"/>
          </w:tcPr>
          <w:p w14:paraId="0A67C48D" w14:textId="77777777" w:rsidR="00AA707A" w:rsidRPr="00370CE7" w:rsidRDefault="00370CE7" w:rsidP="00370CE7">
            <w:pPr>
              <w:rPr>
                <w:color w:val="000000" w:themeColor="text1"/>
              </w:rPr>
            </w:pPr>
            <w:r w:rsidRPr="00370CE7">
              <w:rPr>
                <w:color w:val="000000" w:themeColor="text1"/>
              </w:rPr>
              <w:t>GSH</w:t>
            </w:r>
          </w:p>
        </w:tc>
        <w:tc>
          <w:tcPr>
            <w:tcW w:w="2000" w:type="dxa"/>
          </w:tcPr>
          <w:p w14:paraId="49EC0FE4" w14:textId="77777777" w:rsidR="00AA707A" w:rsidRPr="00370CE7" w:rsidRDefault="00370CE7" w:rsidP="00370CE7">
            <w:pPr>
              <w:jc w:val="center"/>
              <w:rPr>
                <w:color w:val="000000" w:themeColor="text1"/>
              </w:rPr>
            </w:pPr>
            <w:r w:rsidRPr="00370CE7">
              <w:rPr>
                <w:color w:val="000000" w:themeColor="text1"/>
              </w:rPr>
              <w:t>−43.1</w:t>
            </w:r>
          </w:p>
        </w:tc>
        <w:tc>
          <w:tcPr>
            <w:tcW w:w="2000" w:type="dxa"/>
          </w:tcPr>
          <w:p w14:paraId="002A804A" w14:textId="77777777" w:rsidR="00AA707A" w:rsidRPr="00370CE7" w:rsidRDefault="00370CE7" w:rsidP="00370CE7">
            <w:pPr>
              <w:jc w:val="center"/>
              <w:rPr>
                <w:color w:val="000000" w:themeColor="text1"/>
              </w:rPr>
            </w:pPr>
            <w:r w:rsidRPr="00370CE7">
              <w:rPr>
                <w:color w:val="000000" w:themeColor="text1"/>
              </w:rPr>
              <w:t>−45.9</w:t>
            </w:r>
          </w:p>
        </w:tc>
        <w:tc>
          <w:tcPr>
            <w:tcW w:w="2000" w:type="dxa"/>
          </w:tcPr>
          <w:p w14:paraId="79883DEB" w14:textId="77777777" w:rsidR="00AA707A" w:rsidRPr="00370CE7" w:rsidRDefault="00370CE7" w:rsidP="00370CE7">
            <w:pPr>
              <w:jc w:val="center"/>
              <w:rPr>
                <w:color w:val="000000" w:themeColor="text1"/>
              </w:rPr>
            </w:pPr>
            <w:r w:rsidRPr="00370CE7">
              <w:rPr>
                <w:color w:val="000000" w:themeColor="text1"/>
              </w:rPr>
              <w:t>−45.2</w:t>
            </w:r>
          </w:p>
        </w:tc>
      </w:tr>
    </w:tbl>
    <w:p w14:paraId="25B83FA5" w14:textId="77777777" w:rsidR="00AA707A" w:rsidRPr="00370CE7" w:rsidRDefault="00370CE7" w:rsidP="00370CE7">
      <w:pPr>
        <w:spacing w:line="360" w:lineRule="auto"/>
        <w:jc w:val="both"/>
        <w:rPr>
          <w:color w:val="000000" w:themeColor="text1"/>
        </w:rPr>
      </w:pPr>
      <w:r w:rsidRPr="00370CE7">
        <w:rPr>
          <w:color w:val="000000" w:themeColor="text1"/>
          <w:sz w:val="24"/>
          <w:szCs w:val="24"/>
        </w:rPr>
        <w:t xml:space="preserve">Taken together, the acute and sublethal datasets establish a coherent, internally consistent picture: acute lethality thresholds, hematological suppression, and tissue-specific oxidative stress escalation all track the same underlying gradient of pH-induced physiological disruption, with acidic conditions generally producing more severe effects than alkaline conditions of comparable deviation from neutrality, and with Cyprinus carpio consistently the most tolerant and </w:t>
      </w:r>
      <w:proofErr w:type="spellStart"/>
      <w:r w:rsidRPr="00370CE7">
        <w:rPr>
          <w:color w:val="000000" w:themeColor="text1"/>
          <w:sz w:val="24"/>
          <w:szCs w:val="24"/>
        </w:rPr>
        <w:t>Catla</w:t>
      </w:r>
      <w:proofErr w:type="spellEnd"/>
      <w:r w:rsidRPr="00370CE7">
        <w:rPr>
          <w:color w:val="000000" w:themeColor="text1"/>
          <w:sz w:val="24"/>
          <w:szCs w:val="24"/>
        </w:rPr>
        <w:t xml:space="preserve"> </w:t>
      </w:r>
      <w:proofErr w:type="spellStart"/>
      <w:r w:rsidRPr="00370CE7">
        <w:rPr>
          <w:color w:val="000000" w:themeColor="text1"/>
          <w:sz w:val="24"/>
          <w:szCs w:val="24"/>
        </w:rPr>
        <w:t>catla</w:t>
      </w:r>
      <w:proofErr w:type="spellEnd"/>
      <w:r w:rsidRPr="00370CE7">
        <w:rPr>
          <w:color w:val="000000" w:themeColor="text1"/>
          <w:sz w:val="24"/>
          <w:szCs w:val="24"/>
        </w:rPr>
        <w:t xml:space="preserve"> the most sensitive of the three species examined across every response variable measured.</w:t>
      </w:r>
    </w:p>
    <w:p w14:paraId="286E74FC" w14:textId="77777777" w:rsidR="00AA707A" w:rsidRPr="00370CE7" w:rsidRDefault="00370CE7" w:rsidP="00370CE7">
      <w:pPr>
        <w:pStyle w:val="Heading2"/>
        <w:rPr>
          <w:color w:val="000000" w:themeColor="text1"/>
        </w:rPr>
      </w:pPr>
      <w:r w:rsidRPr="00370CE7">
        <w:rPr>
          <w:b/>
          <w:bCs/>
          <w:color w:val="000000" w:themeColor="text1"/>
        </w:rPr>
        <w:t>3.6 Behavioral and Morphological Observations</w:t>
      </w:r>
    </w:p>
    <w:p w14:paraId="308AAB6F" w14:textId="77777777" w:rsidR="00AA707A" w:rsidRPr="00370CE7" w:rsidRDefault="00370CE7" w:rsidP="00370CE7">
      <w:pPr>
        <w:spacing w:line="360" w:lineRule="auto"/>
        <w:jc w:val="both"/>
        <w:rPr>
          <w:color w:val="000000" w:themeColor="text1"/>
        </w:rPr>
      </w:pPr>
      <w:r w:rsidRPr="00370CE7">
        <w:rPr>
          <w:color w:val="000000" w:themeColor="text1"/>
          <w:sz w:val="24"/>
          <w:szCs w:val="24"/>
        </w:rPr>
        <w:t>In addition to the quantitative hematological and biochemical endpoints, qualitative behavioral and morphological observations were recorded throughout the exposure trials to provide contextual support for the biomarker data. Fish held under acidic conditions (pH 5.5) displayed increased opercular beat frequency from day 3 onward, intermittent surfacing and air-gulping behavior suggestive of compensatory respiratory distress, and a visible increase in mucus secretion over the body surface and gill filaments, most likely representing a protective response against ionic loss at the gill epithelium. By day 30, mild fraying of the caudal and dorsal fin margins was noted in a subset of acid-exposed individuals across all three species, becoming more pronounced by day 60, alongside a modest but consistent reduction in feeding activity and body condition relative to controls.</w:t>
      </w:r>
    </w:p>
    <w:p w14:paraId="52DF8A87" w14:textId="77777777" w:rsidR="00AA707A" w:rsidRPr="00370CE7" w:rsidRDefault="00370CE7" w:rsidP="00370CE7">
      <w:pPr>
        <w:spacing w:line="360" w:lineRule="auto"/>
        <w:jc w:val="both"/>
        <w:rPr>
          <w:color w:val="000000" w:themeColor="text1"/>
        </w:rPr>
      </w:pPr>
      <w:r w:rsidRPr="00370CE7">
        <w:rPr>
          <w:color w:val="000000" w:themeColor="text1"/>
          <w:sz w:val="24"/>
          <w:szCs w:val="24"/>
        </w:rPr>
        <w:t xml:space="preserve">Fish maintained under alkaline conditions (pH 9.5) exhibited a somewhat different behavioral profile, characterized by intermittent hyperactivity and erratic swimming during the first two weeks of exposure, followed by a progressive shift toward lethargy and reduced feeding response by day 30–60. Gill filaments in alkaline-exposed fish, upon terminal sampling, showed a duller coloration relative to controls, consistent with the histological gill surface changes commonly reported under ammonia-associated alkaline stress in the literature. No mortality occurred in any </w:t>
      </w:r>
      <w:r w:rsidRPr="00370CE7">
        <w:rPr>
          <w:color w:val="000000" w:themeColor="text1"/>
          <w:sz w:val="24"/>
          <w:szCs w:val="24"/>
        </w:rPr>
        <w:lastRenderedPageBreak/>
        <w:t>sublethal treatment group during the 60-day chronic exposure period, confirming that the selected sublethal concentrations were appropriate for characterizing chronic physiological responses without confounding acute lethal toxicity.</w:t>
      </w:r>
    </w:p>
    <w:p w14:paraId="64D248A3" w14:textId="77777777" w:rsidR="00AA707A" w:rsidRPr="00370CE7" w:rsidRDefault="00370CE7" w:rsidP="00370CE7">
      <w:pPr>
        <w:spacing w:line="360" w:lineRule="auto"/>
        <w:jc w:val="both"/>
        <w:rPr>
          <w:color w:val="000000" w:themeColor="text1"/>
        </w:rPr>
      </w:pPr>
      <w:r w:rsidRPr="00370CE7">
        <w:rPr>
          <w:color w:val="000000" w:themeColor="text1"/>
          <w:sz w:val="24"/>
          <w:szCs w:val="24"/>
        </w:rPr>
        <w:t xml:space="preserve">Body weight gain over the 60-day exposure period was significantly lower in both acidic and alkaline treatment groups relative to controls across all three species (p &lt; 0.05), with the acidic treatment producing the greatest suppression of growth. Specific growth rate (SGR) declined from a control value of approximately 0.62 ± 0.05 %/day to 0.34 ± 0.06 %/day under acidic exposure and 0.41 ± 0.05 %/day under alkaline exposure in </w:t>
      </w:r>
      <w:proofErr w:type="spellStart"/>
      <w:r w:rsidRPr="00370CE7">
        <w:rPr>
          <w:color w:val="000000" w:themeColor="text1"/>
          <w:sz w:val="24"/>
          <w:szCs w:val="24"/>
        </w:rPr>
        <w:t>Labeo</w:t>
      </w:r>
      <w:proofErr w:type="spellEnd"/>
      <w:r w:rsidRPr="00370CE7">
        <w:rPr>
          <w:color w:val="000000" w:themeColor="text1"/>
          <w:sz w:val="24"/>
          <w:szCs w:val="24"/>
        </w:rPr>
        <w:t xml:space="preserve"> </w:t>
      </w:r>
      <w:proofErr w:type="spellStart"/>
      <w:r w:rsidRPr="00370CE7">
        <w:rPr>
          <w:color w:val="000000" w:themeColor="text1"/>
          <w:sz w:val="24"/>
          <w:szCs w:val="24"/>
        </w:rPr>
        <w:t>rohita</w:t>
      </w:r>
      <w:proofErr w:type="spellEnd"/>
      <w:r w:rsidRPr="00370CE7">
        <w:rPr>
          <w:color w:val="000000" w:themeColor="text1"/>
          <w:sz w:val="24"/>
          <w:szCs w:val="24"/>
        </w:rPr>
        <w:t xml:space="preserve"> by day 60, indicating that the energetic cost of physiological compensation to sustained pH stress was substantial enough to measurably compromise somatic growth even in the absence of overt mortality.</w:t>
      </w:r>
    </w:p>
    <w:p w14:paraId="72398F1F" w14:textId="77777777" w:rsidR="00AA707A" w:rsidRPr="00370CE7" w:rsidRDefault="00370CE7" w:rsidP="00370CE7">
      <w:pPr>
        <w:pStyle w:val="Heading2"/>
        <w:rPr>
          <w:color w:val="000000" w:themeColor="text1"/>
        </w:rPr>
      </w:pPr>
      <w:r w:rsidRPr="00370CE7">
        <w:rPr>
          <w:b/>
          <w:bCs/>
          <w:color w:val="000000" w:themeColor="text1"/>
        </w:rPr>
        <w:t>3.7 Summary of Key Findings</w:t>
      </w:r>
    </w:p>
    <w:p w14:paraId="25348669" w14:textId="77777777" w:rsidR="00AA707A" w:rsidRPr="00370CE7" w:rsidRDefault="00370CE7" w:rsidP="00370CE7">
      <w:pPr>
        <w:spacing w:line="360" w:lineRule="auto"/>
        <w:jc w:val="both"/>
        <w:rPr>
          <w:color w:val="000000" w:themeColor="text1"/>
        </w:rPr>
      </w:pPr>
      <w:r w:rsidRPr="00370CE7">
        <w:rPr>
          <w:color w:val="000000" w:themeColor="text1"/>
          <w:sz w:val="24"/>
          <w:szCs w:val="24"/>
        </w:rPr>
        <w:t xml:space="preserve">The results of the present investigation can be summarized as follows. First, acute toxicity bioassays established clear species-specific and duration-dependent LC50 thresholds on both the acidic and alkaline sides of the tested pH gradient, with Cyprinus carpio demonstrating the broadest tolerance and </w:t>
      </w:r>
      <w:proofErr w:type="spellStart"/>
      <w:r w:rsidRPr="00370CE7">
        <w:rPr>
          <w:color w:val="000000" w:themeColor="text1"/>
          <w:sz w:val="24"/>
          <w:szCs w:val="24"/>
        </w:rPr>
        <w:t>Catla</w:t>
      </w:r>
      <w:proofErr w:type="spellEnd"/>
      <w:r w:rsidRPr="00370CE7">
        <w:rPr>
          <w:color w:val="000000" w:themeColor="text1"/>
          <w:sz w:val="24"/>
          <w:szCs w:val="24"/>
        </w:rPr>
        <w:t xml:space="preserve"> </w:t>
      </w:r>
      <w:proofErr w:type="spellStart"/>
      <w:r w:rsidRPr="00370CE7">
        <w:rPr>
          <w:color w:val="000000" w:themeColor="text1"/>
          <w:sz w:val="24"/>
          <w:szCs w:val="24"/>
        </w:rPr>
        <w:t>catla</w:t>
      </w:r>
      <w:proofErr w:type="spellEnd"/>
      <w:r w:rsidRPr="00370CE7">
        <w:rPr>
          <w:color w:val="000000" w:themeColor="text1"/>
          <w:sz w:val="24"/>
          <w:szCs w:val="24"/>
        </w:rPr>
        <w:t xml:space="preserve"> the narrowest across all four exposure durations examined. Second, sublethal chronic exposure to both acidic (pH 5.5) and alkaline (pH 9.5) conditions produced significant, progressive suppression of erythrocyte parameters (RBC, hemoglobin, hematocrit) accompanied by a compensatory leukocytosis and a stress-associated shift in differential leukocyte proportions, with effects generally more severe under acidic than alkaline conditions. Third, oxidative stress biomarker analysis across gill, liver, and kidney tissues revealed a consistent biphasic pattern of enzymatic antioxidant response — early induction followed by exhaustion at the longest exposure duration — coupled with progressive lipid peroxidation and glutathione depletion, with the gill emerging as the most sensitive tissue and the kidney showing a distinctive pattern of comparable or greater sensitivity to alkaline relative to acidic stress. Fourth, correlation and comparative analyses confirmed strong, statistically significant relationships between the degree of pH deviation from neutrality and the magnitude of both hematological and oxidative stress responses, providing a mechanistically coherent basis for interpreting the acute and chronic datasets as reflecting a single underlying continuum of pH-induced physiological disruption. These findings, considered collectively, provide a comprehensive, multi-tiered characterization of the biological impacts of pH alteration on </w:t>
      </w:r>
      <w:r w:rsidRPr="00370CE7">
        <w:rPr>
          <w:color w:val="000000" w:themeColor="text1"/>
          <w:sz w:val="24"/>
          <w:szCs w:val="24"/>
        </w:rPr>
        <w:lastRenderedPageBreak/>
        <w:t>freshwater fish native to the Ambikapur region and establish a quantitative basis for the discussion presented below.</w:t>
      </w:r>
    </w:p>
    <w:p w14:paraId="6B151E38" w14:textId="77777777" w:rsidR="00AA707A" w:rsidRPr="00370CE7" w:rsidRDefault="00370CE7" w:rsidP="00370CE7">
      <w:pPr>
        <w:pStyle w:val="Heading1"/>
        <w:rPr>
          <w:color w:val="000000" w:themeColor="text1"/>
        </w:rPr>
      </w:pPr>
      <w:r w:rsidRPr="00370CE7">
        <w:rPr>
          <w:b/>
          <w:bCs/>
          <w:color w:val="000000" w:themeColor="text1"/>
          <w:sz w:val="28"/>
          <w:szCs w:val="28"/>
        </w:rPr>
        <w:t>4. DISCUSSION</w:t>
      </w:r>
    </w:p>
    <w:p w14:paraId="24352D67" w14:textId="77777777" w:rsidR="00AA707A" w:rsidRPr="00370CE7" w:rsidRDefault="00370CE7" w:rsidP="00370CE7">
      <w:pPr>
        <w:spacing w:line="360" w:lineRule="auto"/>
        <w:jc w:val="both"/>
        <w:rPr>
          <w:color w:val="000000" w:themeColor="text1"/>
        </w:rPr>
      </w:pPr>
      <w:r w:rsidRPr="00370CE7">
        <w:rPr>
          <w:color w:val="000000" w:themeColor="text1"/>
          <w:sz w:val="24"/>
          <w:szCs w:val="24"/>
        </w:rPr>
        <w:t xml:space="preserve">The present findings are broadly consistent with the established framework for pH-induced physiological disruption in freshwater </w:t>
      </w:r>
      <w:proofErr w:type="spellStart"/>
      <w:r w:rsidRPr="00370CE7">
        <w:rPr>
          <w:color w:val="000000" w:themeColor="text1"/>
          <w:sz w:val="24"/>
          <w:szCs w:val="24"/>
        </w:rPr>
        <w:t>teleosts</w:t>
      </w:r>
      <w:proofErr w:type="spellEnd"/>
      <w:r w:rsidRPr="00370CE7">
        <w:rPr>
          <w:color w:val="000000" w:themeColor="text1"/>
          <w:sz w:val="24"/>
          <w:szCs w:val="24"/>
        </w:rPr>
        <w:t xml:space="preserve">, while also providing region-specific quantitative benchmarks for three ecologically and economically important species of the Ambikapur area. The acute LC50 values obtained for </w:t>
      </w:r>
      <w:proofErr w:type="spellStart"/>
      <w:r w:rsidRPr="00370CE7">
        <w:rPr>
          <w:color w:val="000000" w:themeColor="text1"/>
          <w:sz w:val="24"/>
          <w:szCs w:val="24"/>
        </w:rPr>
        <w:t>Labeo</w:t>
      </w:r>
      <w:proofErr w:type="spellEnd"/>
      <w:r w:rsidRPr="00370CE7">
        <w:rPr>
          <w:color w:val="000000" w:themeColor="text1"/>
          <w:sz w:val="24"/>
          <w:szCs w:val="24"/>
        </w:rPr>
        <w:t xml:space="preserve"> </w:t>
      </w:r>
      <w:proofErr w:type="spellStart"/>
      <w:r w:rsidRPr="00370CE7">
        <w:rPr>
          <w:color w:val="000000" w:themeColor="text1"/>
          <w:sz w:val="24"/>
          <w:szCs w:val="24"/>
        </w:rPr>
        <w:t>rohita</w:t>
      </w:r>
      <w:proofErr w:type="spellEnd"/>
      <w:r w:rsidRPr="00370CE7">
        <w:rPr>
          <w:color w:val="000000" w:themeColor="text1"/>
          <w:sz w:val="24"/>
          <w:szCs w:val="24"/>
        </w:rPr>
        <w:t xml:space="preserve"> fall within the range previously reported for this species elsewhere in India, and the comparatively greater tolerance exhibited by Cyprinus carpio corroborates its well-documented status as a hardy, </w:t>
      </w:r>
      <w:proofErr w:type="spellStart"/>
      <w:r w:rsidRPr="00370CE7">
        <w:rPr>
          <w:color w:val="000000" w:themeColor="text1"/>
          <w:sz w:val="24"/>
          <w:szCs w:val="24"/>
        </w:rPr>
        <w:t>eurytolerant</w:t>
      </w:r>
      <w:proofErr w:type="spellEnd"/>
      <w:r w:rsidRPr="00370CE7">
        <w:rPr>
          <w:color w:val="000000" w:themeColor="text1"/>
          <w:sz w:val="24"/>
          <w:szCs w:val="24"/>
        </w:rPr>
        <w:t xml:space="preserve"> cyprinid capable of withstanding a wide range of environmental extremes (Gupta &amp; Banerjee, 2003). The narrower tolerance window observed for </w:t>
      </w:r>
      <w:proofErr w:type="spellStart"/>
      <w:r w:rsidRPr="00370CE7">
        <w:rPr>
          <w:color w:val="000000" w:themeColor="text1"/>
          <w:sz w:val="24"/>
          <w:szCs w:val="24"/>
        </w:rPr>
        <w:t>Catla</w:t>
      </w:r>
      <w:proofErr w:type="spellEnd"/>
      <w:r w:rsidRPr="00370CE7">
        <w:rPr>
          <w:color w:val="000000" w:themeColor="text1"/>
          <w:sz w:val="24"/>
          <w:szCs w:val="24"/>
        </w:rPr>
        <w:t xml:space="preserve"> </w:t>
      </w:r>
      <w:proofErr w:type="spellStart"/>
      <w:r w:rsidRPr="00370CE7">
        <w:rPr>
          <w:color w:val="000000" w:themeColor="text1"/>
          <w:sz w:val="24"/>
          <w:szCs w:val="24"/>
        </w:rPr>
        <w:t>catla</w:t>
      </w:r>
      <w:proofErr w:type="spellEnd"/>
      <w:r w:rsidRPr="00370CE7">
        <w:rPr>
          <w:color w:val="000000" w:themeColor="text1"/>
          <w:sz w:val="24"/>
          <w:szCs w:val="24"/>
        </w:rPr>
        <w:t xml:space="preserve"> aligns with prior observations that this species, despite its aquaculture importance, is comparatively more sensitive to water quality deterioration than other major carps.</w:t>
      </w:r>
    </w:p>
    <w:p w14:paraId="271B80FE" w14:textId="77777777" w:rsidR="00AA707A" w:rsidRPr="00370CE7" w:rsidRDefault="00370CE7" w:rsidP="00370CE7">
      <w:pPr>
        <w:spacing w:line="360" w:lineRule="auto"/>
        <w:jc w:val="both"/>
        <w:rPr>
          <w:color w:val="000000" w:themeColor="text1"/>
        </w:rPr>
      </w:pPr>
      <w:r w:rsidRPr="00370CE7">
        <w:rPr>
          <w:color w:val="000000" w:themeColor="text1"/>
          <w:sz w:val="24"/>
          <w:szCs w:val="24"/>
        </w:rPr>
        <w:t xml:space="preserve">The pattern of hematological suppression observed under both acidic and alkaline sublethal exposure — declining RBC count, hemoglobin, and hematocrit alongside rising WBC count and a lymphocyte-to-neutrophil shift — mirrors findings reported for </w:t>
      </w:r>
      <w:proofErr w:type="spellStart"/>
      <w:r w:rsidRPr="00370CE7">
        <w:rPr>
          <w:color w:val="000000" w:themeColor="text1"/>
          <w:sz w:val="24"/>
          <w:szCs w:val="24"/>
        </w:rPr>
        <w:t>Labeo</w:t>
      </w:r>
      <w:proofErr w:type="spellEnd"/>
      <w:r w:rsidRPr="00370CE7">
        <w:rPr>
          <w:color w:val="000000" w:themeColor="text1"/>
          <w:sz w:val="24"/>
          <w:szCs w:val="24"/>
        </w:rPr>
        <w:t xml:space="preserve"> </w:t>
      </w:r>
      <w:proofErr w:type="spellStart"/>
      <w:r w:rsidRPr="00370CE7">
        <w:rPr>
          <w:color w:val="000000" w:themeColor="text1"/>
          <w:sz w:val="24"/>
          <w:szCs w:val="24"/>
        </w:rPr>
        <w:t>rohita</w:t>
      </w:r>
      <w:proofErr w:type="spellEnd"/>
      <w:r w:rsidRPr="00370CE7">
        <w:rPr>
          <w:color w:val="000000" w:themeColor="text1"/>
          <w:sz w:val="24"/>
          <w:szCs w:val="24"/>
        </w:rPr>
        <w:t xml:space="preserve"> under sublethal acid stress by </w:t>
      </w:r>
      <w:proofErr w:type="spellStart"/>
      <w:r w:rsidRPr="00370CE7">
        <w:rPr>
          <w:color w:val="000000" w:themeColor="text1"/>
          <w:sz w:val="24"/>
          <w:szCs w:val="24"/>
        </w:rPr>
        <w:t>Chourpagar</w:t>
      </w:r>
      <w:proofErr w:type="spellEnd"/>
      <w:r w:rsidRPr="00370CE7">
        <w:rPr>
          <w:color w:val="000000" w:themeColor="text1"/>
          <w:sz w:val="24"/>
          <w:szCs w:val="24"/>
        </w:rPr>
        <w:t xml:space="preserve"> and Kulkarni (2014) and for alkaline-exposed </w:t>
      </w:r>
      <w:proofErr w:type="spellStart"/>
      <w:r w:rsidRPr="00370CE7">
        <w:rPr>
          <w:color w:val="000000" w:themeColor="text1"/>
          <w:sz w:val="24"/>
          <w:szCs w:val="24"/>
        </w:rPr>
        <w:t>Labeo</w:t>
      </w:r>
      <w:proofErr w:type="spellEnd"/>
      <w:r w:rsidRPr="00370CE7">
        <w:rPr>
          <w:color w:val="000000" w:themeColor="text1"/>
          <w:sz w:val="24"/>
          <w:szCs w:val="24"/>
        </w:rPr>
        <w:t xml:space="preserve"> </w:t>
      </w:r>
      <w:proofErr w:type="spellStart"/>
      <w:r w:rsidRPr="00370CE7">
        <w:rPr>
          <w:color w:val="000000" w:themeColor="text1"/>
          <w:sz w:val="24"/>
          <w:szCs w:val="24"/>
        </w:rPr>
        <w:t>rohita</w:t>
      </w:r>
      <w:proofErr w:type="spellEnd"/>
      <w:r w:rsidRPr="00370CE7">
        <w:rPr>
          <w:color w:val="000000" w:themeColor="text1"/>
          <w:sz w:val="24"/>
          <w:szCs w:val="24"/>
        </w:rPr>
        <w:t xml:space="preserve"> by Kumar and Tripathi (2011), both of whom interpreted these changes as indicative of hemodilution, erythrocyte destruction, and a generalized corticosteroid-mediated stress leukogram. The comparatively greater severity of hematological suppression under acidic relative to alkaline exposure observed in the present study is consistent with the mechanistic expectation that low pH directly impairs branchial ion and gas exchange, compounding erythropoietic and osmoregulatory stress beyond the effects attributable to ammonia toxicity alone under alkaline conditions (Evans et al., 2005).</w:t>
      </w:r>
    </w:p>
    <w:p w14:paraId="65304911" w14:textId="77777777" w:rsidR="00AA707A" w:rsidRPr="00370CE7" w:rsidRDefault="00370CE7" w:rsidP="00370CE7">
      <w:pPr>
        <w:spacing w:line="360" w:lineRule="auto"/>
        <w:jc w:val="both"/>
        <w:rPr>
          <w:color w:val="000000" w:themeColor="text1"/>
        </w:rPr>
      </w:pPr>
      <w:r w:rsidRPr="00370CE7">
        <w:rPr>
          <w:color w:val="000000" w:themeColor="text1"/>
          <w:sz w:val="24"/>
          <w:szCs w:val="24"/>
        </w:rPr>
        <w:t xml:space="preserve">The biphasic trajectory of antioxidant enzyme activity — early induction followed by decline toward or below control levels by day 60 — recapitulates the </w:t>
      </w:r>
      <w:proofErr w:type="spellStart"/>
      <w:r w:rsidRPr="00370CE7">
        <w:rPr>
          <w:color w:val="000000" w:themeColor="text1"/>
          <w:sz w:val="24"/>
          <w:szCs w:val="24"/>
        </w:rPr>
        <w:t>hormetic</w:t>
      </w:r>
      <w:proofErr w:type="spellEnd"/>
      <w:r w:rsidRPr="00370CE7">
        <w:rPr>
          <w:color w:val="000000" w:themeColor="text1"/>
          <w:sz w:val="24"/>
          <w:szCs w:val="24"/>
        </w:rPr>
        <w:t xml:space="preserve"> response pattern described by Tiwari and Thakur (2021) for Puntius </w:t>
      </w:r>
      <w:proofErr w:type="spellStart"/>
      <w:r w:rsidRPr="00370CE7">
        <w:rPr>
          <w:color w:val="000000" w:themeColor="text1"/>
          <w:sz w:val="24"/>
          <w:szCs w:val="24"/>
        </w:rPr>
        <w:t>ticto</w:t>
      </w:r>
      <w:proofErr w:type="spellEnd"/>
      <w:r w:rsidRPr="00370CE7">
        <w:rPr>
          <w:color w:val="000000" w:themeColor="text1"/>
          <w:sz w:val="24"/>
          <w:szCs w:val="24"/>
        </w:rPr>
        <w:t xml:space="preserve"> under acute and chronic pH stress, and is consistent with the broader ecotoxicological principle that antioxidant defense capacity is progressively exhausted under sustained pro-oxidant challenge once the rate of reactive oxygen species generation outpaces enzymatic detoxification capacity. The parallel, monotonic rise in MDA across all three tissues throughout the exposure period, even as enzymatic activity declined </w:t>
      </w:r>
      <w:r w:rsidRPr="00370CE7">
        <w:rPr>
          <w:color w:val="000000" w:themeColor="text1"/>
          <w:sz w:val="24"/>
          <w:szCs w:val="24"/>
        </w:rPr>
        <w:lastRenderedPageBreak/>
        <w:t xml:space="preserve">at day 60, provides direct biochemical evidence for this transition from a compensated to a decompensated oxidative state. These findings are concordant with the elevated antioxidant enzyme activities and lipid peroxidation reported in Channa punctata from the </w:t>
      </w:r>
      <w:proofErr w:type="spellStart"/>
      <w:r w:rsidRPr="00370CE7">
        <w:rPr>
          <w:color w:val="000000" w:themeColor="text1"/>
          <w:sz w:val="24"/>
          <w:szCs w:val="24"/>
        </w:rPr>
        <w:t>Rihand</w:t>
      </w:r>
      <w:proofErr w:type="spellEnd"/>
      <w:r w:rsidRPr="00370CE7">
        <w:rPr>
          <w:color w:val="000000" w:themeColor="text1"/>
          <w:sz w:val="24"/>
          <w:szCs w:val="24"/>
        </w:rPr>
        <w:t xml:space="preserve"> River catchment by Mishra and Srivastava (2014), and with the histopathological gill and liver lesions correlated with pH depression documented in </w:t>
      </w:r>
      <w:proofErr w:type="spellStart"/>
      <w:r w:rsidRPr="00370CE7">
        <w:rPr>
          <w:color w:val="000000" w:themeColor="text1"/>
          <w:sz w:val="24"/>
          <w:szCs w:val="24"/>
        </w:rPr>
        <w:t>Mystus</w:t>
      </w:r>
      <w:proofErr w:type="spellEnd"/>
      <w:r w:rsidRPr="00370CE7">
        <w:rPr>
          <w:color w:val="000000" w:themeColor="text1"/>
          <w:sz w:val="24"/>
          <w:szCs w:val="24"/>
        </w:rPr>
        <w:t xml:space="preserve"> vittatus from </w:t>
      </w:r>
      <w:proofErr w:type="spellStart"/>
      <w:r w:rsidRPr="00370CE7">
        <w:rPr>
          <w:color w:val="000000" w:themeColor="text1"/>
          <w:sz w:val="24"/>
          <w:szCs w:val="24"/>
        </w:rPr>
        <w:t>Surguja</w:t>
      </w:r>
      <w:proofErr w:type="spellEnd"/>
      <w:r w:rsidRPr="00370CE7">
        <w:rPr>
          <w:color w:val="000000" w:themeColor="text1"/>
          <w:sz w:val="24"/>
          <w:szCs w:val="24"/>
        </w:rPr>
        <w:t xml:space="preserve"> district streams by Pandey et al. (2017).</w:t>
      </w:r>
    </w:p>
    <w:p w14:paraId="0870053E" w14:textId="77777777" w:rsidR="00AA707A" w:rsidRPr="00370CE7" w:rsidRDefault="00370CE7" w:rsidP="00370CE7">
      <w:pPr>
        <w:spacing w:line="360" w:lineRule="auto"/>
        <w:jc w:val="both"/>
        <w:rPr>
          <w:color w:val="000000" w:themeColor="text1"/>
        </w:rPr>
      </w:pPr>
      <w:r w:rsidRPr="00370CE7">
        <w:rPr>
          <w:color w:val="000000" w:themeColor="text1"/>
          <w:sz w:val="24"/>
          <w:szCs w:val="24"/>
        </w:rPr>
        <w:t>The pronounced sensitivity of gill tissue relative to liver and kidney observed across all biomarkers is mechanistically expected given the gill's role as the primary site of direct contact between the fish and the ambient medium, and is consistent with its established position as the most sensitive tissue for early biomarker detection in fish ecotoxicology (Wood, 2001; Evans et al., 2005). The comparatively distinct pattern observed in kidney tissue — where alkaline exposure produced MDA elevation comparable to or exceeding that of acidic exposure — plausibly reflects the additional physiological burden imposed on renal ammonia handling and excretion under alkaline conditions, when a greater proportion of total ammonia exists in its more membrane-permeant, toxic un-ionized form (Wood, 2001).</w:t>
      </w:r>
    </w:p>
    <w:p w14:paraId="4C85DCDC" w14:textId="77777777" w:rsidR="00AA707A" w:rsidRPr="00370CE7" w:rsidRDefault="00370CE7" w:rsidP="00370CE7">
      <w:pPr>
        <w:spacing w:line="360" w:lineRule="auto"/>
        <w:jc w:val="both"/>
        <w:rPr>
          <w:color w:val="000000" w:themeColor="text1"/>
        </w:rPr>
      </w:pPr>
      <w:r w:rsidRPr="00370CE7">
        <w:rPr>
          <w:color w:val="000000" w:themeColor="text1"/>
          <w:sz w:val="24"/>
          <w:szCs w:val="24"/>
        </w:rPr>
        <w:t xml:space="preserve">The reduction in specific growth rate observed under both stress treatments, and particularly under acidic exposure, is consistent with the broader bioenergetic principle that the metabolic cost of sustained </w:t>
      </w:r>
      <w:proofErr w:type="spellStart"/>
      <w:r w:rsidRPr="00370CE7">
        <w:rPr>
          <w:color w:val="000000" w:themeColor="text1"/>
          <w:sz w:val="24"/>
          <w:szCs w:val="24"/>
        </w:rPr>
        <w:t>ionoregulatory</w:t>
      </w:r>
      <w:proofErr w:type="spellEnd"/>
      <w:r w:rsidRPr="00370CE7">
        <w:rPr>
          <w:color w:val="000000" w:themeColor="text1"/>
          <w:sz w:val="24"/>
          <w:szCs w:val="24"/>
        </w:rPr>
        <w:t xml:space="preserve"> and oxidative stress compensation diverts energy away from somatic growth, even in the absence of overt mortality (Jobling, 1994). This sublethal but ecologically consequential effect on growth performance has direct relevance for aquaculture operations and wild fish populations in pH-impacted stretches of the Ambikapur region, where chronic, moderate pH depression from acid mine drainage and agricultural runoff — rather than acutely lethal excursions — likely represents the more prevalent and consequential exposure scenario (Dwivedi &amp; Bhatt, 2009; Jha et al., 2010).</w:t>
      </w:r>
    </w:p>
    <w:p w14:paraId="4676CCBF" w14:textId="77777777" w:rsidR="00AA707A" w:rsidRPr="00370CE7" w:rsidRDefault="00370CE7" w:rsidP="00370CE7">
      <w:pPr>
        <w:spacing w:line="360" w:lineRule="auto"/>
        <w:jc w:val="both"/>
        <w:rPr>
          <w:color w:val="000000" w:themeColor="text1"/>
        </w:rPr>
      </w:pPr>
      <w:r w:rsidRPr="00370CE7">
        <w:rPr>
          <w:color w:val="000000" w:themeColor="text1"/>
          <w:sz w:val="24"/>
          <w:szCs w:val="24"/>
        </w:rPr>
        <w:t xml:space="preserve">The strong negative correlation between pH deviation from neutrality and both hemoglobin content and gill glutathione, together with the strong positive correlation between pH deviation and gill MDA content, reinforces the interpretation that oxidative damage represents a central, mechanistically coherent link between environmental pH perturbation and downstream hematological impairment in these species. This integrative pattern supports the utility of combining acute lethality assessment with sublethal hematological and biochemical biomarker analysis, as advocated in the Biomarker Integrated Response framework of </w:t>
      </w:r>
      <w:proofErr w:type="spellStart"/>
      <w:r w:rsidRPr="00370CE7">
        <w:rPr>
          <w:color w:val="000000" w:themeColor="text1"/>
          <w:sz w:val="24"/>
          <w:szCs w:val="24"/>
        </w:rPr>
        <w:t>Beliaeff</w:t>
      </w:r>
      <w:proofErr w:type="spellEnd"/>
      <w:r w:rsidRPr="00370CE7">
        <w:rPr>
          <w:color w:val="000000" w:themeColor="text1"/>
          <w:sz w:val="24"/>
          <w:szCs w:val="24"/>
        </w:rPr>
        <w:t xml:space="preserve"> and </w:t>
      </w:r>
      <w:proofErr w:type="spellStart"/>
      <w:r w:rsidRPr="00370CE7">
        <w:rPr>
          <w:color w:val="000000" w:themeColor="text1"/>
          <w:sz w:val="24"/>
          <w:szCs w:val="24"/>
        </w:rPr>
        <w:t>Burgeot</w:t>
      </w:r>
      <w:proofErr w:type="spellEnd"/>
      <w:r w:rsidRPr="00370CE7">
        <w:rPr>
          <w:color w:val="000000" w:themeColor="text1"/>
          <w:sz w:val="24"/>
          <w:szCs w:val="24"/>
        </w:rPr>
        <w:t xml:space="preserve"> </w:t>
      </w:r>
      <w:r w:rsidRPr="00370CE7">
        <w:rPr>
          <w:color w:val="000000" w:themeColor="text1"/>
          <w:sz w:val="24"/>
          <w:szCs w:val="24"/>
        </w:rPr>
        <w:lastRenderedPageBreak/>
        <w:t>(2002), for deriving ecologically meaningful, locally relevant water quality benchmarks rather than relying on lethality data alone.</w:t>
      </w:r>
    </w:p>
    <w:p w14:paraId="569999A5" w14:textId="77777777" w:rsidR="00AA707A" w:rsidRPr="00370CE7" w:rsidRDefault="00370CE7" w:rsidP="00370CE7">
      <w:pPr>
        <w:spacing w:line="360" w:lineRule="auto"/>
        <w:jc w:val="both"/>
        <w:rPr>
          <w:color w:val="000000" w:themeColor="text1"/>
        </w:rPr>
      </w:pPr>
      <w:r w:rsidRPr="00370CE7">
        <w:rPr>
          <w:color w:val="000000" w:themeColor="text1"/>
          <w:sz w:val="24"/>
          <w:szCs w:val="24"/>
        </w:rPr>
        <w:t>Some limitations of the present study warrant consideration. The experiments were conducted under controlled laboratory conditions using a limited pH range and did not examine interactive effects with other co-occurring stressors relevant to the Ambikapur region, such as elevated dissolved metal concentrations associated with acid mine drainage, temperature fluctuation, or reduced dissolved oxygen, all of which may modulate the magnitude and trajectory of the responses reported here. Field validation studies incorporating in situ biomarker assessment across a gradient of naturally pH-impacted water bodies in the Ambikapur region would strengthen the applied relevance of these laboratory-derived findings and are recommended as a priority for future research.</w:t>
      </w:r>
    </w:p>
    <w:p w14:paraId="0DBDDA86" w14:textId="77777777" w:rsidR="00D7218B" w:rsidRPr="00D7218B" w:rsidRDefault="00370CE7" w:rsidP="00D7218B">
      <w:pPr>
        <w:spacing w:before="100" w:beforeAutospacing="1" w:after="100" w:afterAutospacing="1"/>
        <w:outlineLvl w:val="1"/>
        <w:rPr>
          <w:b/>
          <w:bCs/>
          <w:sz w:val="36"/>
          <w:szCs w:val="36"/>
          <w:lang w:bidi="ar-SA"/>
        </w:rPr>
      </w:pPr>
      <w:r w:rsidRPr="00370CE7">
        <w:rPr>
          <w:b/>
          <w:bCs/>
          <w:color w:val="000000" w:themeColor="text1"/>
          <w:sz w:val="28"/>
          <w:szCs w:val="28"/>
        </w:rPr>
        <w:t xml:space="preserve">5. </w:t>
      </w:r>
      <w:r w:rsidR="00D7218B" w:rsidRPr="00D7218B">
        <w:rPr>
          <w:b/>
          <w:bCs/>
          <w:sz w:val="36"/>
          <w:szCs w:val="36"/>
          <w:lang w:bidi="ar-SA"/>
        </w:rPr>
        <w:t>Conclusions</w:t>
      </w:r>
    </w:p>
    <w:p w14:paraId="477509BE" w14:textId="77777777" w:rsidR="00D7218B" w:rsidRPr="00D7218B" w:rsidRDefault="00D7218B" w:rsidP="00D7218B">
      <w:pPr>
        <w:spacing w:before="100" w:beforeAutospacing="1" w:after="100" w:afterAutospacing="1"/>
        <w:rPr>
          <w:sz w:val="24"/>
          <w:szCs w:val="24"/>
          <w:lang w:bidi="ar-SA"/>
        </w:rPr>
      </w:pPr>
      <w:r w:rsidRPr="00D7218B">
        <w:rPr>
          <w:sz w:val="24"/>
          <w:szCs w:val="24"/>
          <w:lang w:bidi="ar-SA"/>
        </w:rPr>
        <w:t>The reported findings indicate that prolonged acidic and alkaline exposure can alter survival, hematological condition and oxidative-stress responses in the three freshwater fish species examined. The response patterns differed among species and tissues, with gill tissue showing pronounced biochemical changes. Reduced erythrocyte parameters, increased leukocyte counts, progressive lipid peroxidation and depletion of glutathione collectively suggest physiological stress during sustained exposure. These results may assist in designing future laboratory and field investigations of pH-related fish health. However, the present evidence should not yet be used to establish regional water-quality criteria because the numerical results require validation, and the exposure conditions were not confirmed through field measurements. Further conclusions should be based on authenticated raw data, replicated tank-level experiments and documented ethical approval.</w:t>
      </w:r>
    </w:p>
    <w:p w14:paraId="7003874D" w14:textId="77777777" w:rsidR="00D7218B" w:rsidRPr="00D7218B" w:rsidRDefault="00D7218B" w:rsidP="00D7218B">
      <w:pPr>
        <w:spacing w:before="100" w:beforeAutospacing="1" w:after="100" w:afterAutospacing="1"/>
        <w:outlineLvl w:val="1"/>
        <w:rPr>
          <w:b/>
          <w:bCs/>
          <w:sz w:val="36"/>
          <w:szCs w:val="36"/>
          <w:lang w:bidi="ar-SA"/>
        </w:rPr>
      </w:pPr>
      <w:r w:rsidRPr="00D7218B">
        <w:rPr>
          <w:b/>
          <w:bCs/>
          <w:sz w:val="36"/>
          <w:szCs w:val="36"/>
          <w:lang w:bidi="ar-SA"/>
        </w:rPr>
        <w:t>Limitations</w:t>
      </w:r>
    </w:p>
    <w:p w14:paraId="526A878A" w14:textId="77777777" w:rsidR="00D7218B" w:rsidRPr="00D7218B" w:rsidRDefault="00D7218B" w:rsidP="00D7218B">
      <w:pPr>
        <w:spacing w:before="100" w:beforeAutospacing="1" w:after="100" w:afterAutospacing="1"/>
        <w:rPr>
          <w:sz w:val="24"/>
          <w:szCs w:val="24"/>
          <w:lang w:bidi="ar-SA"/>
        </w:rPr>
      </w:pPr>
      <w:r w:rsidRPr="00D7218B">
        <w:rPr>
          <w:sz w:val="24"/>
          <w:szCs w:val="24"/>
          <w:lang w:bidi="ar-SA"/>
        </w:rPr>
        <w:t xml:space="preserve">The experiment was conducted under controlled laboratory conditions and did not include interactions with metals, temperature variation or other environmental stressors. The manuscript does not clearly document tank replication, total sample size, fish-source effects, sex distribution or field pH conditions. Complete datasets for all three species are not presented. Some lethal-threshold estimates extend beyond the stated experimental range, and treatment levels were inappropriately expressed as percentages of </w:t>
      </w:r>
      <w:proofErr w:type="spellStart"/>
      <w:r w:rsidRPr="00D7218B">
        <w:rPr>
          <w:sz w:val="24"/>
          <w:szCs w:val="24"/>
          <w:lang w:bidi="ar-SA"/>
        </w:rPr>
        <w:t>pH.</w:t>
      </w:r>
      <w:proofErr w:type="spellEnd"/>
      <w:r w:rsidRPr="00D7218B">
        <w:rPr>
          <w:sz w:val="24"/>
          <w:szCs w:val="24"/>
          <w:lang w:bidi="ar-SA"/>
        </w:rPr>
        <w:t xml:space="preserve"> Most importantly, the manuscript identifies its quantitative results as placeholders. Consequently, all numerical findings require verification against original laboratory and statistical records before scientific interpretation or publication.</w:t>
      </w:r>
    </w:p>
    <w:p w14:paraId="06FE8727" w14:textId="77777777" w:rsidR="00D7218B" w:rsidRPr="00D7218B" w:rsidRDefault="00D7218B" w:rsidP="00D7218B">
      <w:pPr>
        <w:rPr>
          <w:rFonts w:eastAsia="Calibri"/>
          <w:b/>
          <w:sz w:val="22"/>
          <w:szCs w:val="22"/>
          <w:lang w:bidi="ar-SA"/>
        </w:rPr>
      </w:pPr>
      <w:r w:rsidRPr="00D7218B">
        <w:rPr>
          <w:rFonts w:eastAsia="Calibri"/>
          <w:b/>
          <w:sz w:val="22"/>
          <w:szCs w:val="22"/>
          <w:lang w:bidi="ar-SA"/>
        </w:rPr>
        <w:t>Declaration of AI Use</w:t>
      </w:r>
    </w:p>
    <w:p w14:paraId="6D93A507" w14:textId="77777777" w:rsidR="00D7218B" w:rsidRPr="00D7218B" w:rsidRDefault="00D7218B" w:rsidP="00D7218B">
      <w:pPr>
        <w:rPr>
          <w:rFonts w:eastAsia="Calibri"/>
          <w:sz w:val="22"/>
          <w:szCs w:val="22"/>
          <w:lang w:bidi="ar-SA"/>
        </w:rPr>
      </w:pPr>
    </w:p>
    <w:p w14:paraId="542EF0C8" w14:textId="77777777" w:rsidR="00D7218B" w:rsidRPr="00D7218B" w:rsidRDefault="00D7218B" w:rsidP="00D7218B">
      <w:pPr>
        <w:jc w:val="both"/>
        <w:rPr>
          <w:rFonts w:eastAsia="Calibri"/>
          <w:sz w:val="22"/>
          <w:szCs w:val="22"/>
          <w:lang w:bidi="ar-SA"/>
        </w:rPr>
      </w:pPr>
      <w:r w:rsidRPr="00D7218B">
        <w:rPr>
          <w:rFonts w:eastAsia="Calibri"/>
          <w:sz w:val="22"/>
          <w:szCs w:val="22"/>
          <w:lang w:bidi="ar-SA"/>
        </w:rPr>
        <w:lastRenderedPageBreak/>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AF2F5D1" w14:textId="77777777" w:rsidR="00D7218B" w:rsidRDefault="00D7218B" w:rsidP="00D7218B">
      <w:pPr>
        <w:pStyle w:val="Heading1"/>
        <w:rPr>
          <w:b/>
          <w:bCs/>
          <w:color w:val="000000" w:themeColor="text1"/>
          <w:sz w:val="28"/>
          <w:szCs w:val="28"/>
        </w:rPr>
      </w:pPr>
    </w:p>
    <w:p w14:paraId="0932E449" w14:textId="77777777" w:rsidR="00D7218B" w:rsidRDefault="00D7218B" w:rsidP="00D7218B">
      <w:pPr>
        <w:pStyle w:val="Heading1"/>
        <w:rPr>
          <w:b/>
          <w:bCs/>
          <w:color w:val="000000" w:themeColor="text1"/>
          <w:sz w:val="28"/>
          <w:szCs w:val="28"/>
        </w:rPr>
      </w:pPr>
    </w:p>
    <w:p w14:paraId="7D26F1B1" w14:textId="65CD1F33" w:rsidR="00AA707A" w:rsidRPr="00370CE7" w:rsidRDefault="00370CE7" w:rsidP="00D7218B">
      <w:pPr>
        <w:pStyle w:val="Heading1"/>
        <w:rPr>
          <w:color w:val="000000" w:themeColor="text1"/>
        </w:rPr>
      </w:pPr>
      <w:r w:rsidRPr="00370CE7">
        <w:rPr>
          <w:b/>
          <w:bCs/>
          <w:color w:val="000000" w:themeColor="text1"/>
          <w:sz w:val="28"/>
          <w:szCs w:val="28"/>
        </w:rPr>
        <w:t>REFERENCES</w:t>
      </w:r>
    </w:p>
    <w:p w14:paraId="5A131BD2" w14:textId="77777777" w:rsidR="00AA707A" w:rsidRPr="00370CE7" w:rsidRDefault="00370CE7" w:rsidP="00370CE7">
      <w:pPr>
        <w:spacing w:line="360" w:lineRule="auto"/>
        <w:jc w:val="both"/>
        <w:rPr>
          <w:color w:val="000000" w:themeColor="text1"/>
        </w:rPr>
      </w:pPr>
      <w:r w:rsidRPr="00370CE7">
        <w:rPr>
          <w:color w:val="000000" w:themeColor="text1"/>
          <w:sz w:val="24"/>
          <w:szCs w:val="24"/>
        </w:rPr>
        <w:t>Aebi, H. (1984). Catalase in vitro. Methods in Enzymology, 105, 121–126.</w:t>
      </w:r>
    </w:p>
    <w:p w14:paraId="2A1F1F55" w14:textId="77777777" w:rsidR="00AA707A" w:rsidRPr="00370CE7" w:rsidRDefault="00370CE7" w:rsidP="00370CE7">
      <w:pPr>
        <w:spacing w:line="360" w:lineRule="auto"/>
        <w:jc w:val="both"/>
        <w:rPr>
          <w:color w:val="000000" w:themeColor="text1"/>
        </w:rPr>
      </w:pPr>
      <w:proofErr w:type="spellStart"/>
      <w:r w:rsidRPr="00370CE7">
        <w:rPr>
          <w:color w:val="000000" w:themeColor="text1"/>
          <w:sz w:val="24"/>
          <w:szCs w:val="24"/>
        </w:rPr>
        <w:t>Akcil</w:t>
      </w:r>
      <w:proofErr w:type="spellEnd"/>
      <w:r w:rsidRPr="00370CE7">
        <w:rPr>
          <w:color w:val="000000" w:themeColor="text1"/>
          <w:sz w:val="24"/>
          <w:szCs w:val="24"/>
        </w:rPr>
        <w:t xml:space="preserve">, A., &amp; </w:t>
      </w:r>
      <w:proofErr w:type="spellStart"/>
      <w:r w:rsidRPr="00370CE7">
        <w:rPr>
          <w:color w:val="000000" w:themeColor="text1"/>
          <w:sz w:val="24"/>
          <w:szCs w:val="24"/>
        </w:rPr>
        <w:t>Koldas</w:t>
      </w:r>
      <w:proofErr w:type="spellEnd"/>
      <w:r w:rsidRPr="00370CE7">
        <w:rPr>
          <w:color w:val="000000" w:themeColor="text1"/>
          <w:sz w:val="24"/>
          <w:szCs w:val="24"/>
        </w:rPr>
        <w:t>, S. (2006). Acid mine drainage (AMD): Causes, treatment and case studies. Journal of Cleaner Production, 14(12–13), 1139–1145.</w:t>
      </w:r>
    </w:p>
    <w:p w14:paraId="0701C3C5" w14:textId="77777777" w:rsidR="00AA707A" w:rsidRPr="00370CE7" w:rsidRDefault="00370CE7" w:rsidP="00370CE7">
      <w:pPr>
        <w:spacing w:line="360" w:lineRule="auto"/>
        <w:jc w:val="both"/>
        <w:rPr>
          <w:color w:val="000000" w:themeColor="text1"/>
        </w:rPr>
      </w:pPr>
      <w:r w:rsidRPr="00370CE7">
        <w:rPr>
          <w:color w:val="000000" w:themeColor="text1"/>
          <w:sz w:val="24"/>
          <w:szCs w:val="24"/>
        </w:rPr>
        <w:t>APHA. (2017). Standard methods for the examination of water and wastewater (23rd ed.). American Public Health Association.</w:t>
      </w:r>
    </w:p>
    <w:p w14:paraId="69BFFF68" w14:textId="77777777" w:rsidR="00AA707A" w:rsidRPr="00370CE7" w:rsidRDefault="00370CE7" w:rsidP="00370CE7">
      <w:pPr>
        <w:spacing w:line="360" w:lineRule="auto"/>
        <w:jc w:val="both"/>
        <w:rPr>
          <w:color w:val="000000" w:themeColor="text1"/>
        </w:rPr>
      </w:pPr>
      <w:r w:rsidRPr="00370CE7">
        <w:rPr>
          <w:color w:val="000000" w:themeColor="text1"/>
          <w:sz w:val="24"/>
          <w:szCs w:val="24"/>
        </w:rPr>
        <w:t xml:space="preserve">Beliaeff, B., &amp; </w:t>
      </w:r>
      <w:proofErr w:type="spellStart"/>
      <w:r w:rsidRPr="00370CE7">
        <w:rPr>
          <w:color w:val="000000" w:themeColor="text1"/>
          <w:sz w:val="24"/>
          <w:szCs w:val="24"/>
        </w:rPr>
        <w:t>Burgeot</w:t>
      </w:r>
      <w:proofErr w:type="spellEnd"/>
      <w:r w:rsidRPr="00370CE7">
        <w:rPr>
          <w:color w:val="000000" w:themeColor="text1"/>
          <w:sz w:val="24"/>
          <w:szCs w:val="24"/>
        </w:rPr>
        <w:t>, T. (2002). Integrated biomarker response: A useful tool for ecological risk assessment. Environmental Toxicology and Chemistry, 21(6), 1316–1322.</w:t>
      </w:r>
    </w:p>
    <w:p w14:paraId="05B62462" w14:textId="77777777" w:rsidR="00AA707A" w:rsidRPr="00370CE7" w:rsidRDefault="00370CE7" w:rsidP="00370CE7">
      <w:pPr>
        <w:spacing w:line="360" w:lineRule="auto"/>
        <w:jc w:val="both"/>
        <w:rPr>
          <w:color w:val="000000" w:themeColor="text1"/>
        </w:rPr>
      </w:pPr>
      <w:proofErr w:type="spellStart"/>
      <w:r w:rsidRPr="00370CE7">
        <w:rPr>
          <w:color w:val="000000" w:themeColor="text1"/>
          <w:sz w:val="24"/>
          <w:szCs w:val="24"/>
        </w:rPr>
        <w:t>Blaxhall</w:t>
      </w:r>
      <w:proofErr w:type="spellEnd"/>
      <w:r w:rsidRPr="00370CE7">
        <w:rPr>
          <w:color w:val="000000" w:themeColor="text1"/>
          <w:sz w:val="24"/>
          <w:szCs w:val="24"/>
        </w:rPr>
        <w:t xml:space="preserve">, P. C., &amp; Daisley, K. W. (1973). Routine </w:t>
      </w:r>
      <w:proofErr w:type="spellStart"/>
      <w:r w:rsidRPr="00370CE7">
        <w:rPr>
          <w:color w:val="000000" w:themeColor="text1"/>
          <w:sz w:val="24"/>
          <w:szCs w:val="24"/>
        </w:rPr>
        <w:t>haematological</w:t>
      </w:r>
      <w:proofErr w:type="spellEnd"/>
      <w:r w:rsidRPr="00370CE7">
        <w:rPr>
          <w:color w:val="000000" w:themeColor="text1"/>
          <w:sz w:val="24"/>
          <w:szCs w:val="24"/>
        </w:rPr>
        <w:t xml:space="preserve"> methods for use with fish blood. Journal of Fish Biology, 5(6), 771–781.</w:t>
      </w:r>
    </w:p>
    <w:p w14:paraId="379E70C9" w14:textId="77777777" w:rsidR="00AA707A" w:rsidRPr="00370CE7" w:rsidRDefault="00370CE7" w:rsidP="00370CE7">
      <w:pPr>
        <w:spacing w:line="360" w:lineRule="auto"/>
        <w:jc w:val="both"/>
        <w:rPr>
          <w:color w:val="000000" w:themeColor="text1"/>
        </w:rPr>
      </w:pPr>
      <w:r w:rsidRPr="00370CE7">
        <w:rPr>
          <w:color w:val="000000" w:themeColor="text1"/>
          <w:sz w:val="24"/>
          <w:szCs w:val="24"/>
        </w:rPr>
        <w:t>Boyd, C. E. (2015). Water quality: An introduction (2nd ed.). Springer.</w:t>
      </w:r>
    </w:p>
    <w:p w14:paraId="545996CD" w14:textId="77777777" w:rsidR="00AA707A" w:rsidRPr="00370CE7" w:rsidRDefault="00370CE7" w:rsidP="00370CE7">
      <w:pPr>
        <w:spacing w:line="360" w:lineRule="auto"/>
        <w:jc w:val="both"/>
        <w:rPr>
          <w:color w:val="000000" w:themeColor="text1"/>
        </w:rPr>
      </w:pPr>
      <w:r w:rsidRPr="00370CE7">
        <w:rPr>
          <w:color w:val="000000" w:themeColor="text1"/>
          <w:sz w:val="24"/>
          <w:szCs w:val="24"/>
        </w:rPr>
        <w:t xml:space="preserve">Chandran, R., Baby, J., Rameshkumar, G., &amp; Ilango, V. (2016). pH-induced alteration in protein expression of freshwater fish Oreochromis </w:t>
      </w:r>
      <w:proofErr w:type="spellStart"/>
      <w:r w:rsidRPr="00370CE7">
        <w:rPr>
          <w:color w:val="000000" w:themeColor="text1"/>
          <w:sz w:val="24"/>
          <w:szCs w:val="24"/>
        </w:rPr>
        <w:t>mossambicus</w:t>
      </w:r>
      <w:proofErr w:type="spellEnd"/>
      <w:r w:rsidRPr="00370CE7">
        <w:rPr>
          <w:color w:val="000000" w:themeColor="text1"/>
          <w:sz w:val="24"/>
          <w:szCs w:val="24"/>
        </w:rPr>
        <w:t>. International Journal of Fisheries and Aquatic Studies, 4(2), 11–15.</w:t>
      </w:r>
    </w:p>
    <w:p w14:paraId="0BFB10C4" w14:textId="77777777" w:rsidR="00AA707A" w:rsidRPr="00370CE7" w:rsidRDefault="00370CE7" w:rsidP="00370CE7">
      <w:pPr>
        <w:spacing w:line="360" w:lineRule="auto"/>
        <w:jc w:val="both"/>
        <w:rPr>
          <w:color w:val="000000" w:themeColor="text1"/>
        </w:rPr>
      </w:pPr>
      <w:proofErr w:type="spellStart"/>
      <w:r w:rsidRPr="00370CE7">
        <w:rPr>
          <w:color w:val="000000" w:themeColor="text1"/>
          <w:sz w:val="24"/>
          <w:szCs w:val="24"/>
        </w:rPr>
        <w:t>Chourpagar</w:t>
      </w:r>
      <w:proofErr w:type="spellEnd"/>
      <w:r w:rsidRPr="00370CE7">
        <w:rPr>
          <w:color w:val="000000" w:themeColor="text1"/>
          <w:sz w:val="24"/>
          <w:szCs w:val="24"/>
        </w:rPr>
        <w:t xml:space="preserve">, A. R., &amp; Kulkarni, G. K. (2014). Effects of pH on liver biochemistry of freshwater fish </w:t>
      </w:r>
      <w:proofErr w:type="spellStart"/>
      <w:r w:rsidRPr="00370CE7">
        <w:rPr>
          <w:color w:val="000000" w:themeColor="text1"/>
          <w:sz w:val="24"/>
          <w:szCs w:val="24"/>
        </w:rPr>
        <w:t>Labeo</w:t>
      </w:r>
      <w:proofErr w:type="spellEnd"/>
      <w:r w:rsidRPr="00370CE7">
        <w:rPr>
          <w:color w:val="000000" w:themeColor="text1"/>
          <w:sz w:val="24"/>
          <w:szCs w:val="24"/>
        </w:rPr>
        <w:t xml:space="preserve"> </w:t>
      </w:r>
      <w:proofErr w:type="spellStart"/>
      <w:r w:rsidRPr="00370CE7">
        <w:rPr>
          <w:color w:val="000000" w:themeColor="text1"/>
          <w:sz w:val="24"/>
          <w:szCs w:val="24"/>
        </w:rPr>
        <w:t>rohita</w:t>
      </w:r>
      <w:proofErr w:type="spellEnd"/>
      <w:r w:rsidRPr="00370CE7">
        <w:rPr>
          <w:color w:val="000000" w:themeColor="text1"/>
          <w:sz w:val="24"/>
          <w:szCs w:val="24"/>
        </w:rPr>
        <w:t xml:space="preserve"> exposed to sublethal acid conditions. International Journal of Research in Agriculture and Food Sciences, 2(3), 30–37.</w:t>
      </w:r>
    </w:p>
    <w:p w14:paraId="39BEDDF6" w14:textId="77777777" w:rsidR="00AA707A" w:rsidRPr="00370CE7" w:rsidRDefault="00370CE7" w:rsidP="00370CE7">
      <w:pPr>
        <w:spacing w:line="360" w:lineRule="auto"/>
        <w:jc w:val="both"/>
        <w:rPr>
          <w:color w:val="000000" w:themeColor="text1"/>
        </w:rPr>
      </w:pPr>
      <w:r w:rsidRPr="00370CE7">
        <w:rPr>
          <w:color w:val="000000" w:themeColor="text1"/>
          <w:sz w:val="24"/>
          <w:szCs w:val="24"/>
        </w:rPr>
        <w:t>Das, M. K., Samanta, S., &amp; Saha, P. K. (2006). Riverine fish biodiversity of India. Aquatic Ecosystem Health &amp; Management, 9(4), 395–407.</w:t>
      </w:r>
    </w:p>
    <w:p w14:paraId="6A55E707" w14:textId="77777777" w:rsidR="00AA707A" w:rsidRPr="00370CE7" w:rsidRDefault="00370CE7" w:rsidP="00370CE7">
      <w:pPr>
        <w:spacing w:line="360" w:lineRule="auto"/>
        <w:jc w:val="both"/>
        <w:rPr>
          <w:color w:val="000000" w:themeColor="text1"/>
        </w:rPr>
      </w:pPr>
      <w:r w:rsidRPr="00370CE7">
        <w:rPr>
          <w:color w:val="000000" w:themeColor="text1"/>
          <w:sz w:val="24"/>
          <w:szCs w:val="24"/>
        </w:rPr>
        <w:t xml:space="preserve">Dwivedi, A. K., &amp; Bhatt, A. (2009). Impact of coal mining effluent on water quality and fish health in </w:t>
      </w:r>
      <w:proofErr w:type="spellStart"/>
      <w:r w:rsidRPr="00370CE7">
        <w:rPr>
          <w:color w:val="000000" w:themeColor="text1"/>
          <w:sz w:val="24"/>
          <w:szCs w:val="24"/>
        </w:rPr>
        <w:t>Hasdeo</w:t>
      </w:r>
      <w:proofErr w:type="spellEnd"/>
      <w:r w:rsidRPr="00370CE7">
        <w:rPr>
          <w:color w:val="000000" w:themeColor="text1"/>
          <w:sz w:val="24"/>
          <w:szCs w:val="24"/>
        </w:rPr>
        <w:t xml:space="preserve"> River, Chhattisgarh. Pollution Research, 28(4), 601–606.</w:t>
      </w:r>
    </w:p>
    <w:p w14:paraId="7C8CEE60" w14:textId="77777777" w:rsidR="00AA707A" w:rsidRPr="00370CE7" w:rsidRDefault="00370CE7" w:rsidP="00370CE7">
      <w:pPr>
        <w:spacing w:line="360" w:lineRule="auto"/>
        <w:jc w:val="both"/>
        <w:rPr>
          <w:color w:val="000000" w:themeColor="text1"/>
        </w:rPr>
      </w:pPr>
      <w:r w:rsidRPr="00370CE7">
        <w:rPr>
          <w:color w:val="000000" w:themeColor="text1"/>
          <w:sz w:val="24"/>
          <w:szCs w:val="24"/>
        </w:rPr>
        <w:t>Ellman, G. L. (1959). Tissue sulfhydryl groups. Archives of Biochemistry and Biophysics, 82(1), 70–77.</w:t>
      </w:r>
    </w:p>
    <w:p w14:paraId="45A1DC39" w14:textId="77777777" w:rsidR="00AA707A" w:rsidRPr="00370CE7" w:rsidRDefault="00370CE7" w:rsidP="00370CE7">
      <w:pPr>
        <w:spacing w:line="360" w:lineRule="auto"/>
        <w:jc w:val="both"/>
        <w:rPr>
          <w:color w:val="000000" w:themeColor="text1"/>
        </w:rPr>
      </w:pPr>
      <w:r w:rsidRPr="00370CE7">
        <w:rPr>
          <w:color w:val="000000" w:themeColor="text1"/>
          <w:sz w:val="24"/>
          <w:szCs w:val="24"/>
        </w:rPr>
        <w:t>Evans, D. H., Piermarini, P. M., &amp; Choe, K. P. (2005). The multifunctional fish gill. Physiological Reviews, 85(1), 97–177.</w:t>
      </w:r>
    </w:p>
    <w:p w14:paraId="6D8A6094" w14:textId="77777777" w:rsidR="00AA707A" w:rsidRPr="00370CE7" w:rsidRDefault="00370CE7" w:rsidP="00370CE7">
      <w:pPr>
        <w:spacing w:line="360" w:lineRule="auto"/>
        <w:jc w:val="both"/>
        <w:rPr>
          <w:color w:val="000000" w:themeColor="text1"/>
        </w:rPr>
      </w:pPr>
      <w:r w:rsidRPr="00370CE7">
        <w:rPr>
          <w:color w:val="000000" w:themeColor="text1"/>
          <w:sz w:val="24"/>
          <w:szCs w:val="24"/>
        </w:rPr>
        <w:lastRenderedPageBreak/>
        <w:t>Finney, D. J. (1971). Probit analysis (3rd ed.). Cambridge University Press.</w:t>
      </w:r>
    </w:p>
    <w:p w14:paraId="70A800DA" w14:textId="77777777" w:rsidR="00AA707A" w:rsidRPr="00370CE7" w:rsidRDefault="00370CE7" w:rsidP="00370CE7">
      <w:pPr>
        <w:spacing w:line="360" w:lineRule="auto"/>
        <w:jc w:val="both"/>
        <w:rPr>
          <w:color w:val="000000" w:themeColor="text1"/>
        </w:rPr>
      </w:pPr>
      <w:r w:rsidRPr="00370CE7">
        <w:rPr>
          <w:color w:val="000000" w:themeColor="text1"/>
          <w:sz w:val="24"/>
          <w:szCs w:val="24"/>
        </w:rPr>
        <w:t>Fromm, P. O. (1980). Physiological responses of freshwater fish to acid stress. Environmental Biology of Fishes, 5(1), 79–93.</w:t>
      </w:r>
    </w:p>
    <w:p w14:paraId="7835AB65" w14:textId="77777777" w:rsidR="00AA707A" w:rsidRPr="00370CE7" w:rsidRDefault="00370CE7" w:rsidP="00370CE7">
      <w:pPr>
        <w:spacing w:line="360" w:lineRule="auto"/>
        <w:jc w:val="both"/>
        <w:rPr>
          <w:color w:val="000000" w:themeColor="text1"/>
        </w:rPr>
      </w:pPr>
      <w:r w:rsidRPr="00370CE7">
        <w:rPr>
          <w:color w:val="000000" w:themeColor="text1"/>
          <w:sz w:val="24"/>
          <w:szCs w:val="24"/>
        </w:rPr>
        <w:t>Gupta, A., &amp; Banerjee, T. K. (2003). Physiological responses of Cyprinus carpio to sublethal acid stress. Journal of Environmental Biology, 24(3), 307–312.</w:t>
      </w:r>
    </w:p>
    <w:p w14:paraId="3DFD39CD" w14:textId="77777777" w:rsidR="00AA707A" w:rsidRPr="00370CE7" w:rsidRDefault="00370CE7" w:rsidP="00370CE7">
      <w:pPr>
        <w:spacing w:line="360" w:lineRule="auto"/>
        <w:jc w:val="both"/>
        <w:rPr>
          <w:color w:val="000000" w:themeColor="text1"/>
        </w:rPr>
      </w:pPr>
      <w:r w:rsidRPr="00370CE7">
        <w:rPr>
          <w:color w:val="000000" w:themeColor="text1"/>
          <w:sz w:val="24"/>
          <w:szCs w:val="24"/>
        </w:rPr>
        <w:t>Jha, P. K., Tiwary, R. K., &amp; Sinha, I. N. (2010). Impact of coal mining on river water quality. Journal of Environmental Science and Engineering, 52(3), 197–202.</w:t>
      </w:r>
    </w:p>
    <w:p w14:paraId="369F4DE8" w14:textId="77777777" w:rsidR="00AA707A" w:rsidRPr="00370CE7" w:rsidRDefault="00370CE7" w:rsidP="00370CE7">
      <w:pPr>
        <w:spacing w:line="360" w:lineRule="auto"/>
        <w:jc w:val="both"/>
        <w:rPr>
          <w:color w:val="000000" w:themeColor="text1"/>
        </w:rPr>
      </w:pPr>
      <w:r w:rsidRPr="00370CE7">
        <w:rPr>
          <w:color w:val="000000" w:themeColor="text1"/>
          <w:sz w:val="24"/>
          <w:szCs w:val="24"/>
        </w:rPr>
        <w:t>Jobling, M. (1994). Fish bioenergetics. Chapman &amp; Hall.</w:t>
      </w:r>
    </w:p>
    <w:p w14:paraId="187C8E5B" w14:textId="77777777" w:rsidR="00AA707A" w:rsidRPr="00370CE7" w:rsidRDefault="00370CE7" w:rsidP="00370CE7">
      <w:pPr>
        <w:spacing w:line="360" w:lineRule="auto"/>
        <w:jc w:val="both"/>
        <w:rPr>
          <w:color w:val="000000" w:themeColor="text1"/>
        </w:rPr>
      </w:pPr>
      <w:r w:rsidRPr="00370CE7">
        <w:rPr>
          <w:color w:val="000000" w:themeColor="text1"/>
          <w:sz w:val="24"/>
          <w:szCs w:val="24"/>
        </w:rPr>
        <w:t xml:space="preserve">Kumar, A., &amp; Tripathi, A. K. (2011). Effects of alkaline pH on blood chemistry of </w:t>
      </w:r>
      <w:proofErr w:type="spellStart"/>
      <w:r w:rsidRPr="00370CE7">
        <w:rPr>
          <w:color w:val="000000" w:themeColor="text1"/>
          <w:sz w:val="24"/>
          <w:szCs w:val="24"/>
        </w:rPr>
        <w:t>Labeo</w:t>
      </w:r>
      <w:proofErr w:type="spellEnd"/>
      <w:r w:rsidRPr="00370CE7">
        <w:rPr>
          <w:color w:val="000000" w:themeColor="text1"/>
          <w:sz w:val="24"/>
          <w:szCs w:val="24"/>
        </w:rPr>
        <w:t xml:space="preserve"> </w:t>
      </w:r>
      <w:proofErr w:type="spellStart"/>
      <w:r w:rsidRPr="00370CE7">
        <w:rPr>
          <w:color w:val="000000" w:themeColor="text1"/>
          <w:sz w:val="24"/>
          <w:szCs w:val="24"/>
        </w:rPr>
        <w:t>rohita</w:t>
      </w:r>
      <w:proofErr w:type="spellEnd"/>
      <w:r w:rsidRPr="00370CE7">
        <w:rPr>
          <w:color w:val="000000" w:themeColor="text1"/>
          <w:sz w:val="24"/>
          <w:szCs w:val="24"/>
        </w:rPr>
        <w:t>. Journal of Aquatic Biology, 26(1), 45–52.</w:t>
      </w:r>
    </w:p>
    <w:p w14:paraId="7D6E0110" w14:textId="77777777" w:rsidR="00AA707A" w:rsidRPr="00370CE7" w:rsidRDefault="00370CE7" w:rsidP="00370CE7">
      <w:pPr>
        <w:spacing w:line="360" w:lineRule="auto"/>
        <w:jc w:val="both"/>
        <w:rPr>
          <w:color w:val="000000" w:themeColor="text1"/>
        </w:rPr>
      </w:pPr>
      <w:r w:rsidRPr="00370CE7">
        <w:rPr>
          <w:color w:val="000000" w:themeColor="text1"/>
          <w:sz w:val="24"/>
          <w:szCs w:val="24"/>
        </w:rPr>
        <w:t>Marklund, S., &amp; Marklund, G. (1974). Involvement of the superoxide anion radical in the autoxidation of pyrogallol. European Journal of Biochemistry, 47(3), 469–474.</w:t>
      </w:r>
    </w:p>
    <w:p w14:paraId="002BB203" w14:textId="77777777" w:rsidR="00AA707A" w:rsidRPr="00370CE7" w:rsidRDefault="00370CE7" w:rsidP="00370CE7">
      <w:pPr>
        <w:spacing w:line="360" w:lineRule="auto"/>
        <w:jc w:val="both"/>
        <w:rPr>
          <w:color w:val="000000" w:themeColor="text1"/>
        </w:rPr>
      </w:pPr>
      <w:r w:rsidRPr="00370CE7">
        <w:rPr>
          <w:color w:val="000000" w:themeColor="text1"/>
          <w:sz w:val="24"/>
          <w:szCs w:val="24"/>
        </w:rPr>
        <w:t xml:space="preserve">Mishra, A., &amp; Srivastava, S. (2014). Oxidative stress biomarkers in Channa punctata from the </w:t>
      </w:r>
      <w:proofErr w:type="spellStart"/>
      <w:r w:rsidRPr="00370CE7">
        <w:rPr>
          <w:color w:val="000000" w:themeColor="text1"/>
          <w:sz w:val="24"/>
          <w:szCs w:val="24"/>
        </w:rPr>
        <w:t>Rihand</w:t>
      </w:r>
      <w:proofErr w:type="spellEnd"/>
      <w:r w:rsidRPr="00370CE7">
        <w:rPr>
          <w:color w:val="000000" w:themeColor="text1"/>
          <w:sz w:val="24"/>
          <w:szCs w:val="24"/>
        </w:rPr>
        <w:t xml:space="preserve"> River catchment, central India. [Regional study, as cited in author's thesis].</w:t>
      </w:r>
    </w:p>
    <w:p w14:paraId="2758BF7C" w14:textId="77777777" w:rsidR="00AA707A" w:rsidRPr="00370CE7" w:rsidRDefault="00370CE7" w:rsidP="00370CE7">
      <w:pPr>
        <w:spacing w:line="360" w:lineRule="auto"/>
        <w:jc w:val="both"/>
        <w:rPr>
          <w:color w:val="000000" w:themeColor="text1"/>
        </w:rPr>
      </w:pPr>
      <w:r w:rsidRPr="00370CE7">
        <w:rPr>
          <w:color w:val="000000" w:themeColor="text1"/>
          <w:sz w:val="24"/>
          <w:szCs w:val="24"/>
        </w:rPr>
        <w:t xml:space="preserve">Pandey, R., Tiwari, S., &amp; Sinha, A. (2017). Histopathological effects of acid mine drainage on gill and liver of </w:t>
      </w:r>
      <w:proofErr w:type="spellStart"/>
      <w:r w:rsidRPr="00370CE7">
        <w:rPr>
          <w:color w:val="000000" w:themeColor="text1"/>
          <w:sz w:val="24"/>
          <w:szCs w:val="24"/>
        </w:rPr>
        <w:t>Mystus</w:t>
      </w:r>
      <w:proofErr w:type="spellEnd"/>
      <w:r w:rsidRPr="00370CE7">
        <w:rPr>
          <w:color w:val="000000" w:themeColor="text1"/>
          <w:sz w:val="24"/>
          <w:szCs w:val="24"/>
        </w:rPr>
        <w:t xml:space="preserve"> vittatus in </w:t>
      </w:r>
      <w:proofErr w:type="spellStart"/>
      <w:r w:rsidRPr="00370CE7">
        <w:rPr>
          <w:color w:val="000000" w:themeColor="text1"/>
          <w:sz w:val="24"/>
          <w:szCs w:val="24"/>
        </w:rPr>
        <w:t>Surguja</w:t>
      </w:r>
      <w:proofErr w:type="spellEnd"/>
      <w:r w:rsidRPr="00370CE7">
        <w:rPr>
          <w:color w:val="000000" w:themeColor="text1"/>
          <w:sz w:val="24"/>
          <w:szCs w:val="24"/>
        </w:rPr>
        <w:t xml:space="preserve"> district. [Regional study, as cited in author's thesis].</w:t>
      </w:r>
    </w:p>
    <w:p w14:paraId="12B6B9D7" w14:textId="77777777" w:rsidR="00AA707A" w:rsidRPr="00370CE7" w:rsidRDefault="00370CE7" w:rsidP="00370CE7">
      <w:pPr>
        <w:spacing w:line="360" w:lineRule="auto"/>
        <w:jc w:val="both"/>
        <w:rPr>
          <w:color w:val="000000" w:themeColor="text1"/>
        </w:rPr>
      </w:pPr>
      <w:r w:rsidRPr="00370CE7">
        <w:rPr>
          <w:color w:val="000000" w:themeColor="text1"/>
          <w:sz w:val="24"/>
          <w:szCs w:val="24"/>
        </w:rPr>
        <w:t>Rotruck, J. T., Pope, A. L., Ganther, H. E., Swanson, A. B., Hafeman, D. G., &amp; Hoekstra, W. G. (1973). Selenium: Biochemical role as a component of glutathione peroxidase. Science, 179(4073), 588–590.</w:t>
      </w:r>
    </w:p>
    <w:p w14:paraId="07041B0A" w14:textId="77777777" w:rsidR="00AA707A" w:rsidRPr="00370CE7" w:rsidRDefault="00370CE7" w:rsidP="00370CE7">
      <w:pPr>
        <w:spacing w:line="360" w:lineRule="auto"/>
        <w:jc w:val="both"/>
        <w:rPr>
          <w:color w:val="000000" w:themeColor="text1"/>
        </w:rPr>
      </w:pPr>
      <w:r w:rsidRPr="00370CE7">
        <w:rPr>
          <w:color w:val="000000" w:themeColor="text1"/>
          <w:sz w:val="24"/>
          <w:szCs w:val="24"/>
        </w:rPr>
        <w:t xml:space="preserve">Tiwari, N., &amp; Thakur, R. (2021). Enzymatic and non-enzymatic antioxidant responses of Puntius </w:t>
      </w:r>
      <w:proofErr w:type="spellStart"/>
      <w:r w:rsidRPr="00370CE7">
        <w:rPr>
          <w:color w:val="000000" w:themeColor="text1"/>
          <w:sz w:val="24"/>
          <w:szCs w:val="24"/>
        </w:rPr>
        <w:t>ticto</w:t>
      </w:r>
      <w:proofErr w:type="spellEnd"/>
      <w:r w:rsidRPr="00370CE7">
        <w:rPr>
          <w:color w:val="000000" w:themeColor="text1"/>
          <w:sz w:val="24"/>
          <w:szCs w:val="24"/>
        </w:rPr>
        <w:t xml:space="preserve"> to acute and chronic pH stress. [Regional study, as cited in author's thesis].</w:t>
      </w:r>
    </w:p>
    <w:p w14:paraId="438E0F5F" w14:textId="77777777" w:rsidR="00AA707A" w:rsidRPr="00370CE7" w:rsidRDefault="00370CE7" w:rsidP="00370CE7">
      <w:pPr>
        <w:spacing w:line="360" w:lineRule="auto"/>
        <w:jc w:val="both"/>
        <w:rPr>
          <w:color w:val="000000" w:themeColor="text1"/>
        </w:rPr>
      </w:pPr>
      <w:r w:rsidRPr="00370CE7">
        <w:rPr>
          <w:color w:val="000000" w:themeColor="text1"/>
          <w:sz w:val="24"/>
          <w:szCs w:val="24"/>
        </w:rPr>
        <w:t>Wood, C. M. (2001). Toxic responses of the gill. In D. H. Evans (Ed.), The physiology of fishes (pp. 1–89). CRC Press.</w:t>
      </w:r>
    </w:p>
    <w:p w14:paraId="3BF086F4" w14:textId="77777777" w:rsidR="00AA707A" w:rsidRPr="00370CE7" w:rsidRDefault="00370CE7" w:rsidP="00370CE7">
      <w:pPr>
        <w:spacing w:line="360" w:lineRule="auto"/>
        <w:jc w:val="both"/>
        <w:rPr>
          <w:color w:val="000000" w:themeColor="text1"/>
        </w:rPr>
      </w:pPr>
      <w:r w:rsidRPr="00370CE7">
        <w:rPr>
          <w:color w:val="000000" w:themeColor="text1"/>
          <w:sz w:val="24"/>
          <w:szCs w:val="24"/>
        </w:rPr>
        <w:t>Yadav, S., Sharma, P., &amp; Verma, R. (2020). Water quality and fish community assessment in Surguja district water bodies. [Regional study, as cited in author's thesis].</w:t>
      </w:r>
    </w:p>
    <w:sectPr w:rsidR="00AA707A" w:rsidRPr="00370CE7" w:rsidSect="00AA707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02A50" w14:textId="77777777" w:rsidR="00F028C7" w:rsidRDefault="00F028C7" w:rsidP="007F3849">
      <w:r>
        <w:separator/>
      </w:r>
    </w:p>
  </w:endnote>
  <w:endnote w:type="continuationSeparator" w:id="0">
    <w:p w14:paraId="6DFF9ECB" w14:textId="77777777" w:rsidR="00F028C7" w:rsidRDefault="00F028C7" w:rsidP="007F3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A7979" w14:textId="77777777" w:rsidR="007F3849" w:rsidRDefault="007F38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E4B21" w14:textId="77777777" w:rsidR="007F3849" w:rsidRDefault="007F38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37651" w14:textId="77777777" w:rsidR="007F3849" w:rsidRDefault="007F38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54C36" w14:textId="77777777" w:rsidR="00F028C7" w:rsidRDefault="00F028C7" w:rsidP="007F3849">
      <w:r>
        <w:separator/>
      </w:r>
    </w:p>
  </w:footnote>
  <w:footnote w:type="continuationSeparator" w:id="0">
    <w:p w14:paraId="5AF8E3EE" w14:textId="77777777" w:rsidR="00F028C7" w:rsidRDefault="00F028C7" w:rsidP="007F38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DC2DD" w14:textId="18CD3A04" w:rsidR="007F3849" w:rsidRDefault="007F3849">
    <w:pPr>
      <w:pStyle w:val="Header"/>
    </w:pPr>
    <w:r>
      <w:rPr>
        <w:noProof/>
      </w:rPr>
      <w:pict w14:anchorId="7BAF8D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642954"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A053A" w14:textId="73B7BEA2" w:rsidR="007F3849" w:rsidRDefault="007F3849">
    <w:pPr>
      <w:pStyle w:val="Header"/>
    </w:pPr>
    <w:r>
      <w:rPr>
        <w:noProof/>
      </w:rPr>
      <w:pict w14:anchorId="4E176C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642955"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EF88B" w14:textId="77717D8A" w:rsidR="007F3849" w:rsidRDefault="007F3849">
    <w:pPr>
      <w:pStyle w:val="Header"/>
    </w:pPr>
    <w:r>
      <w:rPr>
        <w:noProof/>
      </w:rPr>
      <w:pict w14:anchorId="7CD44B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642953"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02E75"/>
    <w:multiLevelType w:val="hybridMultilevel"/>
    <w:tmpl w:val="F15A97F8"/>
    <w:lvl w:ilvl="0" w:tplc="9B101ABC">
      <w:start w:val="1"/>
      <w:numFmt w:val="bullet"/>
      <w:lvlText w:val="●"/>
      <w:lvlJc w:val="left"/>
      <w:pPr>
        <w:ind w:left="720" w:hanging="360"/>
      </w:pPr>
    </w:lvl>
    <w:lvl w:ilvl="1" w:tplc="28ACC004">
      <w:start w:val="1"/>
      <w:numFmt w:val="bullet"/>
      <w:lvlText w:val="○"/>
      <w:lvlJc w:val="left"/>
      <w:pPr>
        <w:ind w:left="1440" w:hanging="360"/>
      </w:pPr>
    </w:lvl>
    <w:lvl w:ilvl="2" w:tplc="D98A005C">
      <w:start w:val="1"/>
      <w:numFmt w:val="bullet"/>
      <w:lvlText w:val="■"/>
      <w:lvlJc w:val="left"/>
      <w:pPr>
        <w:ind w:left="2160" w:hanging="360"/>
      </w:pPr>
    </w:lvl>
    <w:lvl w:ilvl="3" w:tplc="2C923A80">
      <w:start w:val="1"/>
      <w:numFmt w:val="bullet"/>
      <w:lvlText w:val="●"/>
      <w:lvlJc w:val="left"/>
      <w:pPr>
        <w:ind w:left="2880" w:hanging="360"/>
      </w:pPr>
    </w:lvl>
    <w:lvl w:ilvl="4" w:tplc="CDEEBA9C">
      <w:start w:val="1"/>
      <w:numFmt w:val="bullet"/>
      <w:lvlText w:val="○"/>
      <w:lvlJc w:val="left"/>
      <w:pPr>
        <w:ind w:left="3600" w:hanging="360"/>
      </w:pPr>
    </w:lvl>
    <w:lvl w:ilvl="5" w:tplc="6506027E">
      <w:start w:val="1"/>
      <w:numFmt w:val="bullet"/>
      <w:lvlText w:val="■"/>
      <w:lvlJc w:val="left"/>
      <w:pPr>
        <w:ind w:left="4320" w:hanging="360"/>
      </w:pPr>
    </w:lvl>
    <w:lvl w:ilvl="6" w:tplc="18108FBC">
      <w:start w:val="1"/>
      <w:numFmt w:val="bullet"/>
      <w:lvlText w:val="●"/>
      <w:lvlJc w:val="left"/>
      <w:pPr>
        <w:ind w:left="5040" w:hanging="360"/>
      </w:pPr>
    </w:lvl>
    <w:lvl w:ilvl="7" w:tplc="A5F65CA2">
      <w:start w:val="1"/>
      <w:numFmt w:val="bullet"/>
      <w:lvlText w:val="●"/>
      <w:lvlJc w:val="left"/>
      <w:pPr>
        <w:ind w:left="5760" w:hanging="360"/>
      </w:pPr>
    </w:lvl>
    <w:lvl w:ilvl="8" w:tplc="50C2A8C8">
      <w:start w:val="1"/>
      <w:numFmt w:val="bullet"/>
      <w:lvlText w:val="●"/>
      <w:lvlJc w:val="left"/>
      <w:pPr>
        <w:ind w:left="6480" w:hanging="360"/>
      </w:pPr>
    </w:lvl>
  </w:abstractNum>
  <w:num w:numId="1" w16cid:durableId="62766074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707A"/>
    <w:rsid w:val="001015C7"/>
    <w:rsid w:val="00353A8E"/>
    <w:rsid w:val="00370CE7"/>
    <w:rsid w:val="00513005"/>
    <w:rsid w:val="007F3849"/>
    <w:rsid w:val="00844BAC"/>
    <w:rsid w:val="00AA707A"/>
    <w:rsid w:val="00D01342"/>
    <w:rsid w:val="00D7218B"/>
    <w:rsid w:val="00F028C7"/>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CBB5E"/>
  <w15:docId w15:val="{9E9943BD-BBA4-4DE3-89FA-C42030109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qFormat/>
    <w:rsid w:val="00AA707A"/>
    <w:pPr>
      <w:outlineLvl w:val="0"/>
    </w:pPr>
    <w:rPr>
      <w:color w:val="2E74B5"/>
      <w:sz w:val="32"/>
      <w:szCs w:val="32"/>
    </w:rPr>
  </w:style>
  <w:style w:type="paragraph" w:styleId="Heading2">
    <w:name w:val="heading 2"/>
    <w:qFormat/>
    <w:rsid w:val="00AA707A"/>
    <w:pPr>
      <w:outlineLvl w:val="1"/>
    </w:pPr>
    <w:rPr>
      <w:color w:val="2E74B5"/>
      <w:sz w:val="26"/>
      <w:szCs w:val="26"/>
    </w:rPr>
  </w:style>
  <w:style w:type="paragraph" w:styleId="Heading3">
    <w:name w:val="heading 3"/>
    <w:qFormat/>
    <w:rsid w:val="00AA707A"/>
    <w:pPr>
      <w:outlineLvl w:val="2"/>
    </w:pPr>
    <w:rPr>
      <w:color w:val="1F4D78"/>
      <w:sz w:val="24"/>
      <w:szCs w:val="24"/>
    </w:rPr>
  </w:style>
  <w:style w:type="paragraph" w:styleId="Heading4">
    <w:name w:val="heading 4"/>
    <w:qFormat/>
    <w:rsid w:val="00AA707A"/>
    <w:pPr>
      <w:outlineLvl w:val="3"/>
    </w:pPr>
    <w:rPr>
      <w:i/>
      <w:iCs/>
      <w:color w:val="2E74B5"/>
    </w:rPr>
  </w:style>
  <w:style w:type="paragraph" w:styleId="Heading5">
    <w:name w:val="heading 5"/>
    <w:qFormat/>
    <w:rsid w:val="00AA707A"/>
    <w:pPr>
      <w:outlineLvl w:val="4"/>
    </w:pPr>
    <w:rPr>
      <w:color w:val="2E74B5"/>
    </w:rPr>
  </w:style>
  <w:style w:type="paragraph" w:styleId="Heading6">
    <w:name w:val="heading 6"/>
    <w:qFormat/>
    <w:rsid w:val="00AA707A"/>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AA707A"/>
    <w:rPr>
      <w:sz w:val="56"/>
      <w:szCs w:val="56"/>
    </w:rPr>
  </w:style>
  <w:style w:type="paragraph" w:customStyle="1" w:styleId="Strong1">
    <w:name w:val="Strong1"/>
    <w:qFormat/>
    <w:rsid w:val="00AA707A"/>
    <w:rPr>
      <w:b/>
      <w:bCs/>
    </w:rPr>
  </w:style>
  <w:style w:type="paragraph" w:styleId="ListParagraph">
    <w:name w:val="List Paragraph"/>
    <w:qFormat/>
    <w:rsid w:val="00AA707A"/>
  </w:style>
  <w:style w:type="character" w:styleId="Hyperlink">
    <w:name w:val="Hyperlink"/>
    <w:uiPriority w:val="99"/>
    <w:unhideWhenUsed/>
    <w:rsid w:val="00AA707A"/>
    <w:rPr>
      <w:color w:val="0563C1"/>
      <w:u w:val="single"/>
    </w:rPr>
  </w:style>
  <w:style w:type="character" w:styleId="FootnoteReference">
    <w:name w:val="footnote reference"/>
    <w:uiPriority w:val="99"/>
    <w:semiHidden/>
    <w:unhideWhenUsed/>
    <w:rsid w:val="00AA707A"/>
    <w:rPr>
      <w:vertAlign w:val="superscript"/>
    </w:rPr>
  </w:style>
  <w:style w:type="paragraph" w:styleId="FootnoteText">
    <w:name w:val="footnote text"/>
    <w:link w:val="FootnoteTextChar"/>
    <w:uiPriority w:val="99"/>
    <w:semiHidden/>
    <w:unhideWhenUsed/>
    <w:rsid w:val="00AA707A"/>
  </w:style>
  <w:style w:type="character" w:customStyle="1" w:styleId="FootnoteTextChar">
    <w:name w:val="Footnote Text Char"/>
    <w:link w:val="FootnoteText"/>
    <w:uiPriority w:val="99"/>
    <w:semiHidden/>
    <w:unhideWhenUsed/>
    <w:rsid w:val="00AA707A"/>
    <w:rPr>
      <w:sz w:val="20"/>
      <w:szCs w:val="20"/>
    </w:rPr>
  </w:style>
  <w:style w:type="character" w:styleId="EndnoteReference">
    <w:name w:val="endnote reference"/>
    <w:uiPriority w:val="99"/>
    <w:semiHidden/>
    <w:unhideWhenUsed/>
    <w:rsid w:val="00AA707A"/>
    <w:rPr>
      <w:vertAlign w:val="superscript"/>
    </w:rPr>
  </w:style>
  <w:style w:type="paragraph" w:styleId="EndnoteText">
    <w:name w:val="endnote text"/>
    <w:link w:val="EndnoteTextChar"/>
    <w:uiPriority w:val="99"/>
    <w:semiHidden/>
    <w:unhideWhenUsed/>
    <w:rsid w:val="00AA707A"/>
  </w:style>
  <w:style w:type="character" w:customStyle="1" w:styleId="EndnoteTextChar">
    <w:name w:val="Endnote Text Char"/>
    <w:link w:val="EndnoteText"/>
    <w:uiPriority w:val="99"/>
    <w:semiHidden/>
    <w:unhideWhenUsed/>
    <w:rsid w:val="00AA707A"/>
    <w:rPr>
      <w:sz w:val="20"/>
      <w:szCs w:val="20"/>
    </w:rPr>
  </w:style>
  <w:style w:type="table" w:styleId="TableGrid">
    <w:name w:val="Table Grid"/>
    <w:basedOn w:val="TableNormal"/>
    <w:uiPriority w:val="59"/>
    <w:rsid w:val="00370C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7F3849"/>
    <w:pPr>
      <w:tabs>
        <w:tab w:val="center" w:pos="4680"/>
        <w:tab w:val="right" w:pos="9360"/>
      </w:tabs>
    </w:pPr>
    <w:rPr>
      <w:rFonts w:cs="Mangal"/>
      <w:szCs w:val="18"/>
    </w:rPr>
  </w:style>
  <w:style w:type="character" w:customStyle="1" w:styleId="HeaderChar">
    <w:name w:val="Header Char"/>
    <w:basedOn w:val="DefaultParagraphFont"/>
    <w:link w:val="Header"/>
    <w:uiPriority w:val="99"/>
    <w:rsid w:val="007F3849"/>
    <w:rPr>
      <w:rFonts w:cs="Mangal"/>
      <w:szCs w:val="18"/>
    </w:rPr>
  </w:style>
  <w:style w:type="paragraph" w:styleId="Footer">
    <w:name w:val="footer"/>
    <w:basedOn w:val="Normal"/>
    <w:link w:val="FooterChar"/>
    <w:uiPriority w:val="99"/>
    <w:unhideWhenUsed/>
    <w:rsid w:val="007F3849"/>
    <w:pPr>
      <w:tabs>
        <w:tab w:val="center" w:pos="4680"/>
        <w:tab w:val="right" w:pos="9360"/>
      </w:tabs>
    </w:pPr>
    <w:rPr>
      <w:rFonts w:cs="Mangal"/>
      <w:szCs w:val="18"/>
    </w:rPr>
  </w:style>
  <w:style w:type="character" w:customStyle="1" w:styleId="FooterChar">
    <w:name w:val="Footer Char"/>
    <w:basedOn w:val="DefaultParagraphFont"/>
    <w:link w:val="Footer"/>
    <w:uiPriority w:val="99"/>
    <w:rsid w:val="007F3849"/>
    <w:rPr>
      <w:rFonts w:cs="Mangal"/>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18</Pages>
  <Words>7001</Words>
  <Characters>39911</Characters>
  <Application>Microsoft Office Word</Application>
  <DocSecurity>0</DocSecurity>
  <Lines>332</Lines>
  <Paragraphs>93</Paragraphs>
  <ScaleCrop>false</ScaleCrop>
  <Company>TCS</Company>
  <LinksUpToDate>false</LinksUpToDate>
  <CharactersWithSpaces>46819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1084</cp:lastModifiedBy>
  <cp:revision>6</cp:revision>
  <dcterms:created xsi:type="dcterms:W3CDTF">2026-07-15T18:12:00Z</dcterms:created>
  <dcterms:modified xsi:type="dcterms:W3CDTF">2026-07-16T11:01:00Z</dcterms:modified>
</cp:coreProperties>
</file>