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58E4D3" w14:textId="77777777" w:rsidR="00E456DC" w:rsidRPr="00F04E13" w:rsidRDefault="00E456DC">
      <w:pPr>
        <w:spacing w:after="760"/>
        <w:rPr>
          <w:lang w:val="en-GB"/>
        </w:rPr>
      </w:pPr>
    </w:p>
    <w:p w14:paraId="6D4F16EA" w14:textId="77777777" w:rsidR="00E456DC" w:rsidRPr="00784E8E" w:rsidRDefault="00000000">
      <w:pPr>
        <w:pStyle w:val="Title"/>
        <w:spacing w:after="240"/>
        <w:rPr>
          <w:lang w:val="en-GB"/>
        </w:rPr>
      </w:pPr>
      <w:r w:rsidRPr="00784E8E">
        <w:rPr>
          <w:rFonts w:ascii="Times New Roman" w:eastAsia="Times New Roman" w:hAnsi="Times New Roman"/>
          <w:lang w:val="en-GB"/>
        </w:rPr>
        <w:t>From Smart Hospitals to Cognitive Hospitals: A Systematic Literature Review</w:t>
      </w:r>
    </w:p>
    <w:p w14:paraId="75A83A9C" w14:textId="2CE44F2A" w:rsidR="00E456DC" w:rsidRPr="00784E8E" w:rsidRDefault="001008F5" w:rsidP="00F249E9">
      <w:pPr>
        <w:spacing w:after="200"/>
        <w:jc w:val="left"/>
        <w:rPr>
          <w:lang w:val="en-GB"/>
        </w:rPr>
      </w:pPr>
      <w:r w:rsidRPr="00784E8E">
        <w:rPr>
          <w:rFonts w:eastAsia="Times New Roman"/>
          <w:lang w:val="en-GB"/>
        </w:rPr>
        <w:br w:type="page"/>
      </w:r>
      <w:r w:rsidRPr="00784E8E">
        <w:rPr>
          <w:rFonts w:eastAsia="Times New Roman"/>
          <w:lang w:val="en-GB"/>
        </w:rPr>
        <w:lastRenderedPageBreak/>
        <w:t>Abstract</w:t>
      </w:r>
    </w:p>
    <w:p w14:paraId="51DD5640" w14:textId="77777777" w:rsidR="00E456DC" w:rsidRPr="00784E8E" w:rsidRDefault="00000000">
      <w:pPr>
        <w:spacing w:after="80"/>
        <w:rPr>
          <w:lang w:val="en-GB"/>
        </w:rPr>
      </w:pPr>
      <w:r w:rsidRPr="00784E8E">
        <w:rPr>
          <w:rFonts w:eastAsia="Times New Roman"/>
          <w:b/>
          <w:color w:val="17365D"/>
          <w:sz w:val="20"/>
          <w:lang w:val="en-GB"/>
        </w:rPr>
        <w:t xml:space="preserve">Background: </w:t>
      </w:r>
      <w:r w:rsidRPr="00784E8E">
        <w:rPr>
          <w:rFonts w:eastAsia="Times New Roman"/>
          <w:sz w:val="20"/>
          <w:lang w:val="en-GB"/>
        </w:rPr>
        <w:t>Hospitals are increasingly described as smart when connected information systems, sensors, analytics and automation are integrated into care and operations. The proposed cognitive hospital extends this idea towards organisation-wide sensing, learning, anticipation and adaptation. The evidence supporting this transition has not been systematically reconciled across conceptual, implementation and outcome studies.</w:t>
      </w:r>
    </w:p>
    <w:p w14:paraId="3342BE86" w14:textId="77777777" w:rsidR="00E456DC" w:rsidRPr="00784E8E" w:rsidRDefault="00000000">
      <w:pPr>
        <w:spacing w:after="80"/>
        <w:rPr>
          <w:lang w:val="en-GB"/>
        </w:rPr>
      </w:pPr>
      <w:r w:rsidRPr="00784E8E">
        <w:rPr>
          <w:rFonts w:eastAsia="Times New Roman"/>
          <w:b/>
          <w:color w:val="17365D"/>
          <w:sz w:val="20"/>
          <w:lang w:val="en-GB"/>
        </w:rPr>
        <w:t xml:space="preserve">Objective: </w:t>
      </w:r>
      <w:r w:rsidRPr="00784E8E">
        <w:rPr>
          <w:rFonts w:eastAsia="Times New Roman"/>
          <w:sz w:val="20"/>
          <w:lang w:val="en-GB"/>
        </w:rPr>
        <w:t>To examine how smart and cognitive hospitals were defined, implemented and evaluated, and to assess the evidence for patient care, safety, experience, workforce, operational performance, governance and organisational learning.</w:t>
      </w:r>
    </w:p>
    <w:p w14:paraId="2293FC63" w14:textId="041215D1" w:rsidR="00E456DC" w:rsidRPr="00784E8E" w:rsidRDefault="00000000">
      <w:pPr>
        <w:spacing w:after="80"/>
        <w:rPr>
          <w:lang w:val="en-GB"/>
        </w:rPr>
      </w:pPr>
      <w:r w:rsidRPr="00784E8E">
        <w:rPr>
          <w:rFonts w:eastAsia="Times New Roman"/>
          <w:b/>
          <w:color w:val="17365D"/>
          <w:sz w:val="20"/>
          <w:lang w:val="en-GB"/>
        </w:rPr>
        <w:t xml:space="preserve">Methods: </w:t>
      </w:r>
      <w:r w:rsidRPr="00784E8E">
        <w:rPr>
          <w:rFonts w:eastAsia="Times New Roman"/>
          <w:sz w:val="20"/>
          <w:lang w:val="en-GB"/>
        </w:rPr>
        <w:t>An openly accessible, web-indexed evidence search was conducted on 19 August 2026 for peer-reviewed reports published from 1 January 2016 to 30 June 2026. Public web searches targeted PubMed- and PubMed Central-indexed pages, publisher and repository pages, implementation reports and citation-led exact-title retrieval. One review</w:t>
      </w:r>
      <w:r w:rsidR="001008F5" w:rsidRPr="00784E8E">
        <w:rPr>
          <w:rFonts w:eastAsia="Times New Roman"/>
          <w:sz w:val="20"/>
          <w:lang w:val="en-GB"/>
        </w:rPr>
        <w:t>er</w:t>
      </w:r>
      <w:r w:rsidRPr="00784E8E">
        <w:rPr>
          <w:rFonts w:eastAsia="Times New Roman"/>
          <w:sz w:val="20"/>
          <w:lang w:val="en-GB"/>
        </w:rPr>
        <w:t xml:space="preserve"> performed deduplication, screening, extraction and design-appropriate methodological appraisal. Findings were grouped and synthesised without statistical meta-analysis, with a structured confidence assessment.</w:t>
      </w:r>
    </w:p>
    <w:p w14:paraId="22463669" w14:textId="77777777" w:rsidR="00E456DC" w:rsidRPr="00784E8E" w:rsidRDefault="00000000">
      <w:pPr>
        <w:spacing w:after="80"/>
        <w:rPr>
          <w:lang w:val="en-GB"/>
        </w:rPr>
      </w:pPr>
      <w:r w:rsidRPr="00784E8E">
        <w:rPr>
          <w:rFonts w:eastAsia="Times New Roman"/>
          <w:b/>
          <w:color w:val="17365D"/>
          <w:sz w:val="20"/>
          <w:lang w:val="en-GB"/>
        </w:rPr>
        <w:t xml:space="preserve">Results: </w:t>
      </w:r>
      <w:r w:rsidRPr="00784E8E">
        <w:rPr>
          <w:rFonts w:eastAsia="Times New Roman"/>
          <w:sz w:val="20"/>
          <w:lang w:val="en-GB"/>
        </w:rPr>
        <w:t>Fifty-five records were captured; 10 duplicates were removed, 45 records were screened, 21 reports were assessed in full text and 17 studies were included. Nine studies primarily developed definitions, maturity concepts, forecasts or implementation frameworks, and eight evaluated technical or organisational implementations. The literature converged on interoperability, real-time data, workflow integration, human-centred design, governance and learning capacity as core attributes. Several single-site studies reported shorter workflows, high satisfaction or improved service indicators, but most lacked concurrent comparators, clear denominators or uncertainty estimates. Patient-safety and clinical outcomes were sparse. No included study demonstrated a validated, end-to-end cognitive hospital that continuously learned and adapted across clinical, operational and governance domains.</w:t>
      </w:r>
    </w:p>
    <w:p w14:paraId="7AA228D1" w14:textId="77777777" w:rsidR="00E456DC" w:rsidRPr="00784E8E" w:rsidRDefault="00000000">
      <w:pPr>
        <w:spacing w:after="80"/>
        <w:rPr>
          <w:lang w:val="en-GB"/>
        </w:rPr>
      </w:pPr>
      <w:r w:rsidRPr="00784E8E">
        <w:rPr>
          <w:rFonts w:eastAsia="Times New Roman"/>
          <w:b/>
          <w:color w:val="17365D"/>
          <w:sz w:val="20"/>
          <w:lang w:val="en-GB"/>
        </w:rPr>
        <w:t xml:space="preserve">Conclusions: </w:t>
      </w:r>
      <w:r w:rsidRPr="00784E8E">
        <w:rPr>
          <w:rFonts w:eastAsia="Times New Roman"/>
          <w:sz w:val="20"/>
          <w:lang w:val="en-GB"/>
        </w:rPr>
        <w:t>Smart hospitals are best understood as socio-technical organisations rather than collections of digital devices. Available evidence supports a progression from digitised and connected systems to integrated, predictive services, but evidence for full cognitive capability and improved clinical outcomes remains limited. Multicentre prospective evaluations with common outcomes, safety surveillance, workforce measures and lifecycle governance are required.</w:t>
      </w:r>
    </w:p>
    <w:p w14:paraId="3A04CF7D" w14:textId="77777777" w:rsidR="00E456DC" w:rsidRPr="00784E8E" w:rsidRDefault="00000000">
      <w:pPr>
        <w:rPr>
          <w:lang w:val="en-GB"/>
        </w:rPr>
      </w:pPr>
      <w:r w:rsidRPr="00784E8E">
        <w:rPr>
          <w:rFonts w:eastAsia="Times New Roman"/>
          <w:b/>
          <w:color w:val="17365D"/>
          <w:sz w:val="20"/>
          <w:lang w:val="en-GB"/>
        </w:rPr>
        <w:t xml:space="preserve">Keywords: </w:t>
      </w:r>
      <w:r w:rsidRPr="00784E8E">
        <w:rPr>
          <w:rFonts w:eastAsia="Times New Roman"/>
          <w:sz w:val="20"/>
          <w:lang w:val="en-GB"/>
        </w:rPr>
        <w:t>smart hospital; cognitive hospital; artificial intelligence; Internet of Things; interoperability; learning health system; hospital management; systematic review</w:t>
      </w:r>
    </w:p>
    <w:p w14:paraId="6598C819" w14:textId="77777777" w:rsidR="00E456DC" w:rsidRPr="00784E8E" w:rsidRDefault="00000000">
      <w:pPr>
        <w:pStyle w:val="Heading1"/>
        <w:rPr>
          <w:lang w:val="en-GB"/>
        </w:rPr>
      </w:pPr>
      <w:r w:rsidRPr="00784E8E">
        <w:rPr>
          <w:rFonts w:ascii="Times New Roman" w:eastAsia="Times New Roman" w:hAnsi="Times New Roman"/>
          <w:lang w:val="en-GB"/>
        </w:rPr>
        <w:t>1. Introduction</w:t>
      </w:r>
    </w:p>
    <w:p w14:paraId="3141512F" w14:textId="77777777" w:rsidR="00E456DC" w:rsidRPr="00784E8E" w:rsidRDefault="00000000">
      <w:pPr>
        <w:rPr>
          <w:lang w:val="en-GB"/>
        </w:rPr>
      </w:pPr>
      <w:r w:rsidRPr="00784E8E">
        <w:rPr>
          <w:rFonts w:eastAsia="Times New Roman"/>
          <w:lang w:val="en-GB"/>
        </w:rPr>
        <w:t xml:space="preserve">Hospitals have adopted electronic records, wireless networks, connected devices, automation and artificial intelligence at markedly different rates. These developments have generated a vocabulary that includes digital hospital, connected hospital, intelligent hospital, smart hospital, Healthcare 4.0 and, more recently, cognitive hospital. The terms are often used as if they were interchangeable, although they describe different levels of organisational integration and decision capability. A hospital can be highly digitised yet remain fragmented: information may be stored electronically but fail to move between departments, devices may produce data without being embedded in work processes, and algorithms may be developed without reliable access to live clinical data. Reviews of real-world smart-hospital services and definitional literature therefore distinguish digitisation from the coordinated creation of measurable value through information and communication technology (Kwon et al., 2022; Rajaei et al., 2024; </w:t>
      </w:r>
      <w:proofErr w:type="spellStart"/>
      <w:r w:rsidRPr="00784E8E">
        <w:rPr>
          <w:rFonts w:eastAsia="Times New Roman"/>
          <w:lang w:val="en-GB"/>
        </w:rPr>
        <w:t>Rabiei</w:t>
      </w:r>
      <w:proofErr w:type="spellEnd"/>
      <w:r w:rsidRPr="00784E8E">
        <w:rPr>
          <w:rFonts w:eastAsia="Times New Roman"/>
          <w:lang w:val="en-GB"/>
        </w:rPr>
        <w:t xml:space="preserve"> et al., 2025).</w:t>
      </w:r>
    </w:p>
    <w:p w14:paraId="31D43358" w14:textId="77777777" w:rsidR="00E456DC" w:rsidRPr="00784E8E" w:rsidRDefault="00000000">
      <w:pPr>
        <w:rPr>
          <w:lang w:val="en-GB"/>
        </w:rPr>
      </w:pPr>
      <w:r w:rsidRPr="00784E8E">
        <w:rPr>
          <w:rFonts w:eastAsia="Times New Roman"/>
          <w:lang w:val="en-GB"/>
        </w:rPr>
        <w:t>The smart-hospital concept generally adds connection, interoperability and responsive service design to the digital foundation. Across published definitions, recurring components include high-speed communications, Internet of Things sensors, location tracking, mobile applications, robotics, extended reality, telehealth, artificial intelligence and integrated analytics. These technologies are not ends in themselves. Their claimed purpose is to improve patient safety, quality, cost-effectiveness, patient-centredness and the use of constrained resources (Kwon et al., 2022). The broader Healthcare 4.0 literature similarly argues that successful transformation requires digital integration, human-centred automation, leadership, workforce capability, supportive culture, implementation strategy and ethical governance (Sony et al., 2023). This socio-technical framing is important because early implementation experience shows that a technically plausible service can fail when signal interference, hygiene requirements, workflow redesign, recurrent costs or staff support are neglected (Park et al., 2018).</w:t>
      </w:r>
    </w:p>
    <w:p w14:paraId="34C28472" w14:textId="77777777" w:rsidR="00E456DC" w:rsidRPr="00784E8E" w:rsidRDefault="00000000">
      <w:pPr>
        <w:rPr>
          <w:lang w:val="en-GB"/>
        </w:rPr>
      </w:pPr>
      <w:r w:rsidRPr="00784E8E">
        <w:rPr>
          <w:rFonts w:eastAsia="Times New Roman"/>
          <w:lang w:val="en-GB"/>
        </w:rPr>
        <w:lastRenderedPageBreak/>
        <w:t>The cognitive-hospital proposition seeks to move beyond connection and optimisation. Rovira-Simón et al. (2022) described a hospital as a complex entity analogous to a nervous system: distributed sensors and staff detect internal and external conditions, an integrating 'brain' forms situational awareness, and coordinated services act on that information. In this account, cognition entails more than automated classification. It includes learning from experience, anticipating future states, adapting structures and resources, solving problems and monitoring the consequences of action. A cognitive hospital would therefore require reliable data flows, context-aware analytics, feedback loops, institutional memory and explicit human governance. The concept is attractive because modern hospitals face volatile demand, workforce shortages, multimorbidity, complex logistics and an expanding obligation to coordinate care across physical and virtual boundaries. Yet the same complexity creates risks of automation bias, opaque accountability, cyber vulnerability, inequity, workforce burden and locally optimised systems that degrade performance elsewhere.</w:t>
      </w:r>
    </w:p>
    <w:p w14:paraId="255FDC36" w14:textId="77777777" w:rsidR="00E456DC" w:rsidRPr="00784E8E" w:rsidRDefault="00000000">
      <w:pPr>
        <w:rPr>
          <w:lang w:val="en-GB"/>
        </w:rPr>
      </w:pPr>
      <w:r w:rsidRPr="00784E8E">
        <w:rPr>
          <w:rFonts w:eastAsia="Times New Roman"/>
          <w:lang w:val="en-GB"/>
        </w:rPr>
        <w:t xml:space="preserve">Existing reviews illuminate parts of the pathway but do not fully resolve whether hospitals are progressing from smart to cognitive operation. Rahimi et al. (2024) found that real-time integration of artificial intelligence with electronic medical-record workflows was uncommon and that most underlying implementation reports were methodologically weak. </w:t>
      </w:r>
      <w:proofErr w:type="spellStart"/>
      <w:r w:rsidRPr="00784E8E">
        <w:rPr>
          <w:rFonts w:eastAsia="Times New Roman"/>
          <w:lang w:val="en-GB"/>
        </w:rPr>
        <w:t>Rabiei</w:t>
      </w:r>
      <w:proofErr w:type="spellEnd"/>
      <w:r w:rsidRPr="00784E8E">
        <w:rPr>
          <w:rFonts w:eastAsia="Times New Roman"/>
          <w:lang w:val="en-GB"/>
        </w:rPr>
        <w:t xml:space="preserve"> et al. (2025) mapped the distinction between digital and smart hospitals and identified recurring barriers, while Jovy-Klein et al. (2024) forecast that artificial intelligence, sustainability, ecosystems and human-centredness would jointly shape the next two decades. Qualitative and stakeholder work has also shown that societal, regulatory and ethical factors must be addressed throughout development, implementation and monitoring rather than after deployment (de Graaf et al., 2025). These contributions suggest a maturing field, but they combine conceptual argument, expert forecast, technical modelling, service improvement and observational evaluation. Their outcome measures and units of analysis are too heterogeneous for straightforward comparison.</w:t>
      </w:r>
    </w:p>
    <w:p w14:paraId="698FD271" w14:textId="77777777" w:rsidR="00E456DC" w:rsidRPr="00784E8E" w:rsidRDefault="00000000">
      <w:pPr>
        <w:rPr>
          <w:lang w:val="en-GB"/>
        </w:rPr>
      </w:pPr>
      <w:r w:rsidRPr="00784E8E">
        <w:rPr>
          <w:rFonts w:eastAsia="Times New Roman"/>
          <w:lang w:val="en-GB"/>
        </w:rPr>
        <w:t>A systematic review that preserves those distinctions is clinically and organisationally relevant. Hospital leaders need to know which features are definitional, which have been implemented, what outcomes have been measured and how credible reported improvements are. Clinicians and patients need evidence that connected and adaptive systems improve care without shifting hidden work, reducing human oversight or amplifying disadvantage. Information specialists and engineers need operational criteria that separate a hospital-wide capability from a collection of isolated pilots. The present review therefore synthesised conceptual, mixed-methods, technical and empirical evidence without statistical meta-analysis.</w:t>
      </w:r>
    </w:p>
    <w:p w14:paraId="4D891630" w14:textId="77777777" w:rsidR="00E456DC" w:rsidRPr="00784E8E" w:rsidRDefault="00000000">
      <w:pPr>
        <w:rPr>
          <w:lang w:val="en-GB"/>
        </w:rPr>
      </w:pPr>
      <w:r w:rsidRPr="00784E8E">
        <w:rPr>
          <w:rFonts w:eastAsia="Times New Roman"/>
          <w:lang w:val="en-GB"/>
        </w:rPr>
        <w:t>The primary review question was: across hospital organisations and hospital-based stakeholders, how have smart and cognitive hospital models been conceptualised, implemented and evaluated from 2016 to 30 June 2026, and what evidence exists regarding patient care, safety, experience, workforce, operational performance and organisational learning? Secondary questions examined the infrastructure and maturity attributes that distinguish digitised, connected, smart, predictive and cognitive hospitals; the barriers and enablers of implementation; and the governance conditions required for safe, equitable and sustainable use.</w:t>
      </w:r>
    </w:p>
    <w:p w14:paraId="1F2500D0" w14:textId="77777777" w:rsidR="00E456DC" w:rsidRPr="00784E8E" w:rsidRDefault="00000000">
      <w:pPr>
        <w:pStyle w:val="Heading1"/>
        <w:rPr>
          <w:lang w:val="en-GB"/>
        </w:rPr>
      </w:pPr>
      <w:r w:rsidRPr="00784E8E">
        <w:rPr>
          <w:rFonts w:ascii="Times New Roman" w:eastAsia="Times New Roman" w:hAnsi="Times New Roman"/>
          <w:lang w:val="en-GB"/>
        </w:rPr>
        <w:t>2. Methods</w:t>
      </w:r>
    </w:p>
    <w:p w14:paraId="699CE914" w14:textId="77777777" w:rsidR="00E456DC" w:rsidRPr="00784E8E" w:rsidRDefault="00000000">
      <w:pPr>
        <w:pStyle w:val="Heading2"/>
        <w:rPr>
          <w:lang w:val="en-GB"/>
        </w:rPr>
      </w:pPr>
      <w:r w:rsidRPr="00784E8E">
        <w:rPr>
          <w:rFonts w:ascii="Times New Roman" w:eastAsia="Times New Roman" w:hAnsi="Times New Roman"/>
          <w:lang w:val="en-GB"/>
        </w:rPr>
        <w:t>2.1 Review design, reporting framework and protocol status</w:t>
      </w:r>
    </w:p>
    <w:p w14:paraId="43A682FA" w14:textId="77777777" w:rsidR="00E456DC" w:rsidRPr="00784E8E" w:rsidRDefault="00000000">
      <w:pPr>
        <w:rPr>
          <w:lang w:val="en-GB"/>
        </w:rPr>
      </w:pPr>
      <w:r w:rsidRPr="00784E8E">
        <w:rPr>
          <w:rFonts w:eastAsia="Times New Roman"/>
          <w:lang w:val="en-GB"/>
        </w:rPr>
        <w:t xml:space="preserve">This mixed-methods systematic review used a convergent integrated approach because the question encompassed definitions, implementation determinants, technical performance, organisational processes and quantitative or qualitative outcomes. Reporting was structured around PRISMA 2020, PRISMA for Abstracts and PRISMA-S (Beller et al., 2013; Page et al., 2021; </w:t>
      </w:r>
      <w:proofErr w:type="spellStart"/>
      <w:r w:rsidRPr="00784E8E">
        <w:rPr>
          <w:rFonts w:eastAsia="Times New Roman"/>
          <w:lang w:val="en-GB"/>
        </w:rPr>
        <w:t>Rethlefsen</w:t>
      </w:r>
      <w:proofErr w:type="spellEnd"/>
      <w:r w:rsidRPr="00784E8E">
        <w:rPr>
          <w:rFonts w:eastAsia="Times New Roman"/>
          <w:lang w:val="en-GB"/>
        </w:rPr>
        <w:t xml:space="preserve"> et al., 2021). </w:t>
      </w:r>
      <w:proofErr w:type="spellStart"/>
      <w:r w:rsidRPr="00784E8E">
        <w:rPr>
          <w:rFonts w:eastAsia="Times New Roman"/>
          <w:lang w:val="en-GB"/>
        </w:rPr>
        <w:t>SWiM</w:t>
      </w:r>
      <w:proofErr w:type="spellEnd"/>
      <w:r w:rsidRPr="00784E8E">
        <w:rPr>
          <w:rFonts w:eastAsia="Times New Roman"/>
          <w:lang w:val="en-GB"/>
        </w:rPr>
        <w:t xml:space="preserve"> principles guided transparent grouping and reporting of quantitative findings that could not be meta-analysed (Campbell et al., 2020). Design-appropriate appraisal drew on the JBI Manual for Evidence Synthesis and its current critical-appraisal principles (</w:t>
      </w:r>
      <w:proofErr w:type="spellStart"/>
      <w:r w:rsidRPr="00784E8E">
        <w:rPr>
          <w:rFonts w:eastAsia="Times New Roman"/>
          <w:lang w:val="en-GB"/>
        </w:rPr>
        <w:t>Aromataris</w:t>
      </w:r>
      <w:proofErr w:type="spellEnd"/>
      <w:r w:rsidRPr="00784E8E">
        <w:rPr>
          <w:rFonts w:eastAsia="Times New Roman"/>
          <w:lang w:val="en-GB"/>
        </w:rPr>
        <w:t xml:space="preserve"> et al., 2024).</w:t>
      </w:r>
    </w:p>
    <w:p w14:paraId="65FB7B12" w14:textId="77777777" w:rsidR="00E456DC" w:rsidRPr="00784E8E" w:rsidRDefault="00000000">
      <w:pPr>
        <w:rPr>
          <w:lang w:val="en-GB"/>
        </w:rPr>
      </w:pPr>
      <w:r w:rsidRPr="00784E8E">
        <w:rPr>
          <w:rFonts w:eastAsia="Times New Roman"/>
          <w:lang w:val="en-GB"/>
        </w:rPr>
        <w:t>The review was not registered and no prospective public protocol was available. Eligibility criteria, outcome priorities, selection rules and synthesis groupings were specified before screening the captured record set. No substantive deviation from those rules was made after study inclusion.</w:t>
      </w:r>
    </w:p>
    <w:p w14:paraId="7BAD61F6" w14:textId="77777777" w:rsidR="00E456DC" w:rsidRPr="00784E8E" w:rsidRDefault="00000000">
      <w:pPr>
        <w:pStyle w:val="Heading2"/>
        <w:rPr>
          <w:lang w:val="en-GB"/>
        </w:rPr>
      </w:pPr>
      <w:r w:rsidRPr="00784E8E">
        <w:rPr>
          <w:rFonts w:ascii="Times New Roman" w:eastAsia="Times New Roman" w:hAnsi="Times New Roman"/>
          <w:lang w:val="en-GB"/>
        </w:rPr>
        <w:lastRenderedPageBreak/>
        <w:t>2.2 Review question, framework and outcome priorities</w:t>
      </w:r>
    </w:p>
    <w:p w14:paraId="4594274F" w14:textId="77777777" w:rsidR="00E456DC" w:rsidRPr="00784E8E" w:rsidRDefault="00000000">
      <w:pPr>
        <w:rPr>
          <w:lang w:val="en-GB"/>
        </w:rPr>
      </w:pPr>
      <w:r w:rsidRPr="00784E8E">
        <w:rPr>
          <w:rFonts w:eastAsia="Times New Roman"/>
          <w:lang w:val="en-GB"/>
        </w:rPr>
        <w:t>The review question was operationalised using a Population-Interest-Context framework. The population comprised hospital organisations and hospital-based patients, clinicians, managers, technical staff and governance stakeholders. The interest was an organisationally integrated smart or cognitive hospital model, maturity framework, implementation programme or multi-component digital infrastructure that connected data, devices and workflows. The context was acute, tertiary, specialist or multi-hospital care, including hospital consortia when hospital operations remained central. Comparator conditions included pre-implementation practice, concurrent conventional workflows, alternative architectures or no comparator, depending on design.</w:t>
      </w:r>
    </w:p>
    <w:p w14:paraId="5FB4CECC" w14:textId="77777777" w:rsidR="00E456DC" w:rsidRPr="00784E8E" w:rsidRDefault="00000000">
      <w:pPr>
        <w:rPr>
          <w:lang w:val="en-GB"/>
        </w:rPr>
      </w:pPr>
      <w:r w:rsidRPr="00784E8E">
        <w:rPr>
          <w:rFonts w:eastAsia="Times New Roman"/>
          <w:lang w:val="en-GB"/>
        </w:rPr>
        <w:t>Primary outcomes were prioritised in four domains: patient safety and clinical quality; operational efficiency and resource use; patient and staff experience, workload and accessibility; and evidence of learning, prediction, anticipation or adaptive organisational behaviour. Secondary outcomes were interoperability and architecture, implementation determinants, governance and accountability, privacy and cyber security, ethical and equity considerations, sustainability and workforce capability. No minimum follow-up was imposed because the review included conceptual studies, simulations and early implementation evaluations. When multiple time points were available, the latest complete post-implementation assessment within the eligible report was prioritised, while baseline and intermediate values were retained when necessary to interpret change.</w:t>
      </w:r>
    </w:p>
    <w:p w14:paraId="366E64CA" w14:textId="77777777" w:rsidR="00E456DC" w:rsidRPr="00784E8E" w:rsidRDefault="00000000">
      <w:pPr>
        <w:pStyle w:val="Heading2"/>
        <w:rPr>
          <w:lang w:val="en-GB"/>
        </w:rPr>
      </w:pPr>
      <w:r w:rsidRPr="00784E8E">
        <w:rPr>
          <w:rFonts w:ascii="Times New Roman" w:eastAsia="Times New Roman" w:hAnsi="Times New Roman"/>
          <w:lang w:val="en-GB"/>
        </w:rPr>
        <w:t>2.3 Eligibility criteria</w:t>
      </w:r>
    </w:p>
    <w:p w14:paraId="441D7CD0" w14:textId="77777777" w:rsidR="00E456DC" w:rsidRPr="00784E8E" w:rsidRDefault="00000000">
      <w:pPr>
        <w:pStyle w:val="AnalyticalLead"/>
        <w:rPr>
          <w:lang w:val="en-GB"/>
        </w:rPr>
      </w:pPr>
      <w:r w:rsidRPr="00784E8E">
        <w:rPr>
          <w:rFonts w:eastAsia="Times New Roman"/>
          <w:lang w:val="en-GB"/>
        </w:rPr>
        <w:t>The eligibility rules deliberately required organisational relevance while retaining the methodological breadth needed to examine an emerging hospital model. This prevented narrow algorithm-development papers from dominating the synthesis, but allowed credible conceptual and implementation evidence to be mapped alongside outcome evaluations.</w:t>
      </w:r>
    </w:p>
    <w:p w14:paraId="3A4A12D3" w14:textId="77777777" w:rsidR="00E456DC" w:rsidRPr="00784E8E" w:rsidRDefault="00000000">
      <w:pPr>
        <w:pStyle w:val="TableTitle"/>
        <w:rPr>
          <w:lang w:val="en-GB"/>
        </w:rPr>
      </w:pPr>
      <w:r w:rsidRPr="00784E8E">
        <w:rPr>
          <w:rFonts w:eastAsia="Times New Roman"/>
          <w:lang w:val="en-GB"/>
        </w:rPr>
        <w:t>Table 1. Operational eligibility criteria</w:t>
      </w:r>
    </w:p>
    <w:tbl>
      <w:tblPr>
        <w:tblStyle w:val="TableGrid"/>
        <w:tblW w:w="0" w:type="auto"/>
        <w:jc w:val="center"/>
        <w:tblLayout w:type="fixed"/>
        <w:tblLook w:val="04A0" w:firstRow="1" w:lastRow="0" w:firstColumn="1" w:lastColumn="0" w:noHBand="0" w:noVBand="1"/>
      </w:tblPr>
      <w:tblGrid>
        <w:gridCol w:w="1757"/>
        <w:gridCol w:w="2891"/>
        <w:gridCol w:w="2948"/>
        <w:gridCol w:w="1871"/>
      </w:tblGrid>
      <w:tr w:rsidR="00E456DC" w:rsidRPr="00784E8E" w14:paraId="13518C75" w14:textId="77777777">
        <w:trPr>
          <w:tblHeader/>
          <w:jc w:val="center"/>
        </w:trPr>
        <w:tc>
          <w:tcPr>
            <w:tcW w:w="175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6C10BA2" w14:textId="77777777" w:rsidR="00E456DC" w:rsidRPr="00784E8E" w:rsidRDefault="00000000">
            <w:pPr>
              <w:spacing w:after="0"/>
              <w:jc w:val="center"/>
              <w:rPr>
                <w:lang w:val="en-GB"/>
              </w:rPr>
            </w:pPr>
            <w:r w:rsidRPr="00784E8E">
              <w:rPr>
                <w:rFonts w:eastAsia="Times New Roman"/>
                <w:b/>
                <w:color w:val="FFFFFF"/>
                <w:sz w:val="16"/>
                <w:lang w:val="en-GB"/>
              </w:rPr>
              <w:t>Domain</w:t>
            </w:r>
          </w:p>
        </w:tc>
        <w:tc>
          <w:tcPr>
            <w:tcW w:w="289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6E81DAA" w14:textId="77777777" w:rsidR="00E456DC" w:rsidRPr="00784E8E" w:rsidRDefault="00000000">
            <w:pPr>
              <w:spacing w:after="0"/>
              <w:jc w:val="center"/>
              <w:rPr>
                <w:lang w:val="en-GB"/>
              </w:rPr>
            </w:pPr>
            <w:r w:rsidRPr="00784E8E">
              <w:rPr>
                <w:rFonts w:eastAsia="Times New Roman"/>
                <w:b/>
                <w:color w:val="FFFFFF"/>
                <w:sz w:val="16"/>
                <w:lang w:val="en-GB"/>
              </w:rPr>
              <w:t>Inclusion criteria</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1C6FE77" w14:textId="77777777" w:rsidR="00E456DC" w:rsidRPr="00784E8E" w:rsidRDefault="00000000">
            <w:pPr>
              <w:spacing w:after="0"/>
              <w:jc w:val="center"/>
              <w:rPr>
                <w:lang w:val="en-GB"/>
              </w:rPr>
            </w:pPr>
            <w:r w:rsidRPr="00784E8E">
              <w:rPr>
                <w:rFonts w:eastAsia="Times New Roman"/>
                <w:b/>
                <w:color w:val="FFFFFF"/>
                <w:sz w:val="16"/>
                <w:lang w:val="en-GB"/>
              </w:rPr>
              <w:t>Exclusion criteria</w:t>
            </w:r>
          </w:p>
        </w:tc>
        <w:tc>
          <w:tcPr>
            <w:tcW w:w="187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A1CF0E1" w14:textId="77777777" w:rsidR="00E456DC" w:rsidRPr="00784E8E" w:rsidRDefault="00000000">
            <w:pPr>
              <w:spacing w:after="0"/>
              <w:jc w:val="center"/>
              <w:rPr>
                <w:lang w:val="en-GB"/>
              </w:rPr>
            </w:pPr>
            <w:r w:rsidRPr="00784E8E">
              <w:rPr>
                <w:rFonts w:eastAsia="Times New Roman"/>
                <w:b/>
                <w:color w:val="FFFFFF"/>
                <w:sz w:val="16"/>
                <w:lang w:val="en-GB"/>
              </w:rPr>
              <w:t>Rationale</w:t>
            </w:r>
          </w:p>
        </w:tc>
      </w:tr>
      <w:tr w:rsidR="00E456DC" w:rsidRPr="00784E8E" w14:paraId="6D958E80"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A861821" w14:textId="77777777" w:rsidR="00E456DC" w:rsidRPr="00784E8E" w:rsidRDefault="00000000">
            <w:pPr>
              <w:spacing w:after="0" w:line="245" w:lineRule="auto"/>
              <w:jc w:val="left"/>
              <w:rPr>
                <w:lang w:val="en-GB"/>
              </w:rPr>
            </w:pPr>
            <w:r w:rsidRPr="00784E8E">
              <w:rPr>
                <w:rFonts w:eastAsia="Times New Roman"/>
                <w:b/>
                <w:color w:val="000000"/>
                <w:sz w:val="16"/>
                <w:lang w:val="en-GB"/>
              </w:rPr>
              <w:t>Population and setting</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5588999" w14:textId="77777777" w:rsidR="00E456DC" w:rsidRPr="00784E8E" w:rsidRDefault="00000000">
            <w:pPr>
              <w:spacing w:after="0" w:line="245" w:lineRule="auto"/>
              <w:jc w:val="left"/>
              <w:rPr>
                <w:lang w:val="en-GB"/>
              </w:rPr>
            </w:pPr>
            <w:r w:rsidRPr="00784E8E">
              <w:rPr>
                <w:rFonts w:eastAsia="Times New Roman"/>
                <w:color w:val="000000"/>
                <w:sz w:val="16"/>
                <w:lang w:val="en-GB"/>
              </w:rPr>
              <w:t>Hospital organisations, acute/tertiary/specialist hospitals and hospital consortia; hospital-based patients, staff, managers and technical/governance stakeholders.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0A383BA" w14:textId="77777777" w:rsidR="00E456DC" w:rsidRPr="00784E8E" w:rsidRDefault="00000000">
            <w:pPr>
              <w:spacing w:after="0" w:line="245" w:lineRule="auto"/>
              <w:jc w:val="left"/>
              <w:rPr>
                <w:lang w:val="en-GB"/>
              </w:rPr>
            </w:pPr>
            <w:r w:rsidRPr="00784E8E">
              <w:rPr>
                <w:rFonts w:eastAsia="Times New Roman"/>
                <w:color w:val="000000"/>
                <w:sz w:val="16"/>
                <w:lang w:val="en-GB"/>
              </w:rPr>
              <w:t>Primary/community-only digital care, virtual wards outside hospital operations, or patient cognitive-disorder studies without hospital-cognition relevance.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C016BE8" w14:textId="77777777" w:rsidR="00E456DC" w:rsidRPr="00784E8E" w:rsidRDefault="00000000">
            <w:pPr>
              <w:spacing w:after="0" w:line="245" w:lineRule="auto"/>
              <w:jc w:val="left"/>
              <w:rPr>
                <w:lang w:val="en-GB"/>
              </w:rPr>
            </w:pPr>
            <w:r w:rsidRPr="00784E8E">
              <w:rPr>
                <w:rFonts w:eastAsia="Times New Roman"/>
                <w:color w:val="000000"/>
                <w:sz w:val="16"/>
                <w:lang w:val="en-GB"/>
              </w:rPr>
              <w:t>The unit of interest was hospital organisational capability.</w:t>
            </w:r>
          </w:p>
        </w:tc>
      </w:tr>
      <w:tr w:rsidR="00E456DC" w:rsidRPr="00784E8E" w14:paraId="25FAD168"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D88C1EF" w14:textId="77777777" w:rsidR="00E456DC" w:rsidRPr="00784E8E" w:rsidRDefault="00000000">
            <w:pPr>
              <w:spacing w:after="0" w:line="245" w:lineRule="auto"/>
              <w:jc w:val="left"/>
              <w:rPr>
                <w:lang w:val="en-GB"/>
              </w:rPr>
            </w:pPr>
            <w:r w:rsidRPr="00784E8E">
              <w:rPr>
                <w:rFonts w:eastAsia="Times New Roman"/>
                <w:b/>
                <w:color w:val="000000"/>
                <w:sz w:val="16"/>
                <w:lang w:val="en-GB"/>
              </w:rPr>
              <w:t>Interest/exposure</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284A400" w14:textId="77777777" w:rsidR="00E456DC" w:rsidRPr="00784E8E" w:rsidRDefault="00000000">
            <w:pPr>
              <w:spacing w:after="0" w:line="245" w:lineRule="auto"/>
              <w:jc w:val="left"/>
              <w:rPr>
                <w:lang w:val="en-GB"/>
              </w:rPr>
            </w:pPr>
            <w:r w:rsidRPr="00784E8E">
              <w:rPr>
                <w:rFonts w:eastAsia="Times New Roman"/>
                <w:color w:val="000000"/>
                <w:sz w:val="16"/>
                <w:lang w:val="en-GB"/>
              </w:rPr>
              <w:t>Integrated smart or cognitive hospital models, maturity frameworks, multi-component infrastructure or substantial organisational implementation linking data, devices and workflows.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59453FD" w14:textId="77777777" w:rsidR="00E456DC" w:rsidRPr="00784E8E" w:rsidRDefault="00000000">
            <w:pPr>
              <w:spacing w:after="0" w:line="245" w:lineRule="auto"/>
              <w:jc w:val="left"/>
              <w:rPr>
                <w:lang w:val="en-GB"/>
              </w:rPr>
            </w:pPr>
            <w:r w:rsidRPr="00784E8E">
              <w:rPr>
                <w:rFonts w:eastAsia="Times New Roman"/>
                <w:color w:val="000000"/>
                <w:sz w:val="16"/>
                <w:lang w:val="en-GB"/>
              </w:rPr>
              <w:t>Single algorithm, device, robot or sensor prototype without organisational implementation, workflow or outcome relevance.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666EF65" w14:textId="77777777" w:rsidR="00E456DC" w:rsidRPr="00784E8E" w:rsidRDefault="00000000">
            <w:pPr>
              <w:spacing w:after="0" w:line="245" w:lineRule="auto"/>
              <w:jc w:val="left"/>
              <w:rPr>
                <w:lang w:val="en-GB"/>
              </w:rPr>
            </w:pPr>
            <w:r w:rsidRPr="00784E8E">
              <w:rPr>
                <w:rFonts w:eastAsia="Times New Roman"/>
                <w:color w:val="000000"/>
                <w:sz w:val="16"/>
                <w:lang w:val="en-GB"/>
              </w:rPr>
              <w:t>Avoids equating isolated technology with a smart hospital.</w:t>
            </w:r>
          </w:p>
        </w:tc>
      </w:tr>
      <w:tr w:rsidR="00E456DC" w:rsidRPr="00784E8E" w14:paraId="5F627E92"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24042D9" w14:textId="77777777" w:rsidR="00E456DC" w:rsidRPr="00784E8E" w:rsidRDefault="00000000">
            <w:pPr>
              <w:spacing w:after="0" w:line="245" w:lineRule="auto"/>
              <w:jc w:val="left"/>
              <w:rPr>
                <w:lang w:val="en-GB"/>
              </w:rPr>
            </w:pPr>
            <w:r w:rsidRPr="00784E8E">
              <w:rPr>
                <w:rFonts w:eastAsia="Times New Roman"/>
                <w:b/>
                <w:color w:val="000000"/>
                <w:sz w:val="16"/>
                <w:lang w:val="en-GB"/>
              </w:rPr>
              <w:t>Comparators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6513DED" w14:textId="77777777" w:rsidR="00E456DC" w:rsidRPr="00784E8E" w:rsidRDefault="00000000">
            <w:pPr>
              <w:spacing w:after="0" w:line="245" w:lineRule="auto"/>
              <w:jc w:val="left"/>
              <w:rPr>
                <w:lang w:val="en-GB"/>
              </w:rPr>
            </w:pPr>
            <w:r w:rsidRPr="00784E8E">
              <w:rPr>
                <w:rFonts w:eastAsia="Times New Roman"/>
                <w:color w:val="000000"/>
                <w:sz w:val="16"/>
                <w:lang w:val="en-GB"/>
              </w:rPr>
              <w:t>Conventional practice, pre-implementation periods, alternative architectures or no comparator for descriptive/conceptual designs.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5C15E53" w14:textId="77777777" w:rsidR="00E456DC" w:rsidRPr="00784E8E" w:rsidRDefault="00000000">
            <w:pPr>
              <w:spacing w:after="0" w:line="245" w:lineRule="auto"/>
              <w:jc w:val="left"/>
              <w:rPr>
                <w:lang w:val="en-GB"/>
              </w:rPr>
            </w:pPr>
            <w:r w:rsidRPr="00784E8E">
              <w:rPr>
                <w:rFonts w:eastAsia="Times New Roman"/>
                <w:color w:val="000000"/>
                <w:sz w:val="16"/>
                <w:lang w:val="en-GB"/>
              </w:rPr>
              <w:t>Not applicable as an exclusion solely because a comparator was absent.</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64C7CF5" w14:textId="77777777" w:rsidR="00E456DC" w:rsidRPr="00784E8E" w:rsidRDefault="00000000">
            <w:pPr>
              <w:spacing w:after="0" w:line="245" w:lineRule="auto"/>
              <w:jc w:val="left"/>
              <w:rPr>
                <w:lang w:val="en-GB"/>
              </w:rPr>
            </w:pPr>
            <w:r w:rsidRPr="00784E8E">
              <w:rPr>
                <w:rFonts w:eastAsia="Times New Roman"/>
                <w:color w:val="000000"/>
                <w:sz w:val="16"/>
                <w:lang w:val="en-GB"/>
              </w:rPr>
              <w:t>The emerging evidence includes descriptive and conceptual work.</w:t>
            </w:r>
          </w:p>
        </w:tc>
      </w:tr>
      <w:tr w:rsidR="00E456DC" w:rsidRPr="00784E8E" w14:paraId="484432D9"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09E9063" w14:textId="77777777" w:rsidR="00E456DC" w:rsidRPr="00784E8E" w:rsidRDefault="00000000">
            <w:pPr>
              <w:spacing w:after="0" w:line="245" w:lineRule="auto"/>
              <w:jc w:val="left"/>
              <w:rPr>
                <w:lang w:val="en-GB"/>
              </w:rPr>
            </w:pPr>
            <w:r w:rsidRPr="00784E8E">
              <w:rPr>
                <w:rFonts w:eastAsia="Times New Roman"/>
                <w:b/>
                <w:color w:val="000000"/>
                <w:sz w:val="16"/>
                <w:lang w:val="en-GB"/>
              </w:rPr>
              <w:t>Outcomes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E160EA4" w14:textId="77777777" w:rsidR="00E456DC" w:rsidRPr="00784E8E" w:rsidRDefault="00000000">
            <w:pPr>
              <w:spacing w:after="0" w:line="245" w:lineRule="auto"/>
              <w:jc w:val="left"/>
              <w:rPr>
                <w:lang w:val="en-GB"/>
              </w:rPr>
            </w:pPr>
            <w:r w:rsidRPr="00784E8E">
              <w:rPr>
                <w:rFonts w:eastAsia="Times New Roman"/>
                <w:color w:val="000000"/>
                <w:sz w:val="16"/>
                <w:lang w:val="en-GB"/>
              </w:rPr>
              <w:t>Definitions/maturity; safety/clinical quality; operations/resource use; experience/access; workforce; learning/adaptation; interoperability; governance, privacy, security, equity and sustainability.</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F3C79E6" w14:textId="77777777" w:rsidR="00E456DC" w:rsidRPr="00784E8E" w:rsidRDefault="00000000">
            <w:pPr>
              <w:spacing w:after="0" w:line="245" w:lineRule="auto"/>
              <w:jc w:val="left"/>
              <w:rPr>
                <w:lang w:val="en-GB"/>
              </w:rPr>
            </w:pPr>
            <w:r w:rsidRPr="00784E8E">
              <w:rPr>
                <w:rFonts w:eastAsia="Times New Roman"/>
                <w:color w:val="000000"/>
                <w:sz w:val="16"/>
                <w:lang w:val="en-GB"/>
              </w:rPr>
              <w:t>No outcome-based exclusion at title/abstract stage when organisational relevance was plausible.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E1D61F7" w14:textId="77777777" w:rsidR="00E456DC" w:rsidRPr="00784E8E" w:rsidRDefault="00000000">
            <w:pPr>
              <w:spacing w:after="0" w:line="245" w:lineRule="auto"/>
              <w:jc w:val="left"/>
              <w:rPr>
                <w:lang w:val="en-GB"/>
              </w:rPr>
            </w:pPr>
            <w:r w:rsidRPr="00784E8E">
              <w:rPr>
                <w:rFonts w:eastAsia="Times New Roman"/>
                <w:color w:val="000000"/>
                <w:sz w:val="16"/>
                <w:lang w:val="en-GB"/>
              </w:rPr>
              <w:t>Reduces loss of studies in which outcomes appear only in full text.</w:t>
            </w:r>
          </w:p>
        </w:tc>
      </w:tr>
      <w:tr w:rsidR="00E456DC" w:rsidRPr="00784E8E" w14:paraId="6DC21F01"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B5F7AE2" w14:textId="77777777" w:rsidR="00E456DC" w:rsidRPr="00784E8E" w:rsidRDefault="00000000">
            <w:pPr>
              <w:spacing w:after="0" w:line="245" w:lineRule="auto"/>
              <w:jc w:val="left"/>
              <w:rPr>
                <w:lang w:val="en-GB"/>
              </w:rPr>
            </w:pPr>
            <w:r w:rsidRPr="00784E8E">
              <w:rPr>
                <w:rFonts w:eastAsia="Times New Roman"/>
                <w:b/>
                <w:color w:val="000000"/>
                <w:sz w:val="16"/>
                <w:lang w:val="en-GB"/>
              </w:rPr>
              <w:t>Eligible designs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8FA17F4" w14:textId="77777777" w:rsidR="00E456DC" w:rsidRPr="00784E8E" w:rsidRDefault="00000000">
            <w:pPr>
              <w:spacing w:after="0" w:line="245" w:lineRule="auto"/>
              <w:jc w:val="left"/>
              <w:rPr>
                <w:lang w:val="en-GB"/>
              </w:rPr>
            </w:pPr>
            <w:r w:rsidRPr="00784E8E">
              <w:rPr>
                <w:rFonts w:eastAsia="Times New Roman"/>
                <w:color w:val="000000"/>
                <w:sz w:val="16"/>
                <w:lang w:val="en-GB"/>
              </w:rPr>
              <w:t>Peer-reviewed evidence syntheses, qualitative/mixed-methods studies, Delphi/consensus work, technical modelling with organisational relevance, feasibility studies and implementation evaluations.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D75BC30" w14:textId="77777777" w:rsidR="00E456DC" w:rsidRPr="00784E8E" w:rsidRDefault="00000000">
            <w:pPr>
              <w:spacing w:after="0" w:line="245" w:lineRule="auto"/>
              <w:jc w:val="left"/>
              <w:rPr>
                <w:lang w:val="en-GB"/>
              </w:rPr>
            </w:pPr>
            <w:r w:rsidRPr="00784E8E">
              <w:rPr>
                <w:rFonts w:eastAsia="Times New Roman"/>
                <w:color w:val="000000"/>
                <w:sz w:val="16"/>
                <w:lang w:val="en-GB"/>
              </w:rPr>
              <w:t>Editorials, opinion pieces without a developed analytical argument, commercial pages, theses, preprints and non-peer-reviewed reports.</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8C16165" w14:textId="77777777" w:rsidR="00E456DC" w:rsidRPr="00784E8E" w:rsidRDefault="00000000">
            <w:pPr>
              <w:spacing w:after="0" w:line="245" w:lineRule="auto"/>
              <w:jc w:val="left"/>
              <w:rPr>
                <w:lang w:val="en-GB"/>
              </w:rPr>
            </w:pPr>
            <w:r w:rsidRPr="00784E8E">
              <w:rPr>
                <w:rFonts w:eastAsia="Times New Roman"/>
                <w:color w:val="000000"/>
                <w:sz w:val="16"/>
                <w:lang w:val="en-GB"/>
              </w:rPr>
              <w:t>Permits convergent synthesis while retaining publication-status control.</w:t>
            </w:r>
          </w:p>
        </w:tc>
      </w:tr>
      <w:tr w:rsidR="00E456DC" w:rsidRPr="00784E8E" w14:paraId="217852D9"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B2C55DC" w14:textId="77777777" w:rsidR="00E456DC" w:rsidRPr="00784E8E" w:rsidRDefault="00000000">
            <w:pPr>
              <w:spacing w:after="0" w:line="245" w:lineRule="auto"/>
              <w:jc w:val="left"/>
              <w:rPr>
                <w:lang w:val="en-GB"/>
              </w:rPr>
            </w:pPr>
            <w:r w:rsidRPr="00784E8E">
              <w:rPr>
                <w:rFonts w:eastAsia="Times New Roman"/>
                <w:b/>
                <w:color w:val="000000"/>
                <w:sz w:val="16"/>
                <w:lang w:val="en-GB"/>
              </w:rPr>
              <w:t>Publication period/language</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EE6B35B" w14:textId="77777777" w:rsidR="00E456DC" w:rsidRPr="00784E8E" w:rsidRDefault="00000000">
            <w:pPr>
              <w:spacing w:after="0" w:line="245" w:lineRule="auto"/>
              <w:jc w:val="left"/>
              <w:rPr>
                <w:lang w:val="en-GB"/>
              </w:rPr>
            </w:pPr>
            <w:r w:rsidRPr="00784E8E">
              <w:rPr>
                <w:rFonts w:eastAsia="Times New Roman"/>
                <w:color w:val="000000"/>
                <w:sz w:val="16"/>
                <w:lang w:val="en-GB"/>
              </w:rPr>
              <w:t>English full reports published 1 January 2016 to 30 June 2026.</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37BB379" w14:textId="77777777" w:rsidR="00E456DC" w:rsidRPr="00784E8E" w:rsidRDefault="00000000">
            <w:pPr>
              <w:spacing w:after="0" w:line="245" w:lineRule="auto"/>
              <w:jc w:val="left"/>
              <w:rPr>
                <w:lang w:val="en-GB"/>
              </w:rPr>
            </w:pPr>
            <w:r w:rsidRPr="00784E8E">
              <w:rPr>
                <w:rFonts w:eastAsia="Times New Roman"/>
                <w:color w:val="000000"/>
                <w:sz w:val="16"/>
                <w:lang w:val="en-GB"/>
              </w:rPr>
              <w:t>Outside the date range; non-English full reports.</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BA12E41" w14:textId="77777777" w:rsidR="00E456DC" w:rsidRPr="00784E8E" w:rsidRDefault="00000000">
            <w:pPr>
              <w:spacing w:after="0" w:line="245" w:lineRule="auto"/>
              <w:jc w:val="left"/>
              <w:rPr>
                <w:lang w:val="en-GB"/>
              </w:rPr>
            </w:pPr>
            <w:r w:rsidRPr="00784E8E">
              <w:rPr>
                <w:rFonts w:eastAsia="Times New Roman"/>
                <w:color w:val="000000"/>
                <w:sz w:val="16"/>
                <w:lang w:val="en-GB"/>
              </w:rPr>
              <w:t>Matches the prespecified contemporary transformation period.</w:t>
            </w:r>
          </w:p>
        </w:tc>
      </w:tr>
      <w:tr w:rsidR="00E456DC" w:rsidRPr="00784E8E" w14:paraId="2EDB61E6"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00F2394" w14:textId="77777777" w:rsidR="00E456DC" w:rsidRPr="00784E8E" w:rsidRDefault="00000000">
            <w:pPr>
              <w:spacing w:after="0" w:line="245" w:lineRule="auto"/>
              <w:jc w:val="left"/>
              <w:rPr>
                <w:lang w:val="en-GB"/>
              </w:rPr>
            </w:pPr>
            <w:r w:rsidRPr="00784E8E">
              <w:rPr>
                <w:rFonts w:eastAsia="Times New Roman"/>
                <w:b/>
                <w:color w:val="000000"/>
                <w:sz w:val="16"/>
                <w:lang w:val="en-GB"/>
              </w:rPr>
              <w:t>Follow-up/sample size</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FD4A8F2" w14:textId="77777777" w:rsidR="00E456DC" w:rsidRPr="00784E8E" w:rsidRDefault="00000000">
            <w:pPr>
              <w:spacing w:after="0" w:line="245" w:lineRule="auto"/>
              <w:jc w:val="left"/>
              <w:rPr>
                <w:lang w:val="en-GB"/>
              </w:rPr>
            </w:pPr>
            <w:r w:rsidRPr="00784E8E">
              <w:rPr>
                <w:rFonts w:eastAsia="Times New Roman"/>
                <w:color w:val="000000"/>
                <w:sz w:val="16"/>
                <w:lang w:val="en-GB"/>
              </w:rPr>
              <w:t>No minimum follow-up or sample size.</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C62575C" w14:textId="77777777" w:rsidR="00E456DC" w:rsidRPr="00784E8E" w:rsidRDefault="00000000">
            <w:pPr>
              <w:spacing w:after="0" w:line="245" w:lineRule="auto"/>
              <w:jc w:val="left"/>
              <w:rPr>
                <w:lang w:val="en-GB"/>
              </w:rPr>
            </w:pPr>
            <w:r w:rsidRPr="00784E8E">
              <w:rPr>
                <w:rFonts w:eastAsia="Times New Roman"/>
                <w:color w:val="000000"/>
                <w:sz w:val="16"/>
                <w:lang w:val="en-GB"/>
              </w:rPr>
              <w:t>None on sample size alone.</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3BE1940" w14:textId="77777777" w:rsidR="00E456DC" w:rsidRPr="00784E8E" w:rsidRDefault="00000000">
            <w:pPr>
              <w:spacing w:after="0" w:line="245" w:lineRule="auto"/>
              <w:jc w:val="left"/>
              <w:rPr>
                <w:lang w:val="en-GB"/>
              </w:rPr>
            </w:pPr>
            <w:r w:rsidRPr="00784E8E">
              <w:rPr>
                <w:rFonts w:eastAsia="Times New Roman"/>
                <w:color w:val="000000"/>
                <w:sz w:val="16"/>
                <w:lang w:val="en-GB"/>
              </w:rPr>
              <w:t>Conceptual and early implementation designs made a universal threshold inappropriate.</w:t>
            </w:r>
          </w:p>
        </w:tc>
      </w:tr>
      <w:tr w:rsidR="00E456DC" w:rsidRPr="00784E8E" w14:paraId="56C1C07C"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147907E" w14:textId="77777777" w:rsidR="00E456DC" w:rsidRPr="00784E8E" w:rsidRDefault="00000000">
            <w:pPr>
              <w:spacing w:after="0" w:line="245" w:lineRule="auto"/>
              <w:jc w:val="left"/>
              <w:rPr>
                <w:lang w:val="en-GB"/>
              </w:rPr>
            </w:pPr>
            <w:r w:rsidRPr="00784E8E">
              <w:rPr>
                <w:rFonts w:eastAsia="Times New Roman"/>
                <w:b/>
                <w:color w:val="000000"/>
                <w:sz w:val="16"/>
                <w:lang w:val="en-GB"/>
              </w:rPr>
              <w:t>Multiple reports</w:t>
            </w:r>
          </w:p>
        </w:tc>
        <w:tc>
          <w:tcPr>
            <w:tcW w:w="28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17F06BF" w14:textId="77777777" w:rsidR="00E456DC" w:rsidRPr="00784E8E" w:rsidRDefault="00000000">
            <w:pPr>
              <w:spacing w:after="0" w:line="245" w:lineRule="auto"/>
              <w:jc w:val="left"/>
              <w:rPr>
                <w:lang w:val="en-GB"/>
              </w:rPr>
            </w:pPr>
            <w:r w:rsidRPr="00784E8E">
              <w:rPr>
                <w:rFonts w:eastAsia="Times New Roman"/>
                <w:color w:val="000000"/>
                <w:sz w:val="16"/>
                <w:lang w:val="en-GB"/>
              </w:rPr>
              <w:t>Companion reports linked to one study and not double counted.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132801E" w14:textId="77777777" w:rsidR="00E456DC" w:rsidRPr="00784E8E" w:rsidRDefault="00000000">
            <w:pPr>
              <w:spacing w:after="0" w:line="245" w:lineRule="auto"/>
              <w:jc w:val="left"/>
              <w:rPr>
                <w:lang w:val="en-GB"/>
              </w:rPr>
            </w:pPr>
            <w:r w:rsidRPr="00784E8E">
              <w:rPr>
                <w:rFonts w:eastAsia="Times New Roman"/>
                <w:color w:val="000000"/>
                <w:sz w:val="16"/>
                <w:lang w:val="en-GB"/>
              </w:rPr>
              <w:t>Duplicate publication or repeated discovery record.</w:t>
            </w:r>
          </w:p>
        </w:tc>
        <w:tc>
          <w:tcPr>
            <w:tcW w:w="187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969B141" w14:textId="77777777" w:rsidR="00E456DC" w:rsidRPr="00784E8E" w:rsidRDefault="00000000">
            <w:pPr>
              <w:spacing w:after="0" w:line="245" w:lineRule="auto"/>
              <w:jc w:val="left"/>
              <w:rPr>
                <w:lang w:val="en-GB"/>
              </w:rPr>
            </w:pPr>
            <w:r w:rsidRPr="00784E8E">
              <w:rPr>
                <w:rFonts w:eastAsia="Times New Roman"/>
                <w:color w:val="000000"/>
                <w:sz w:val="16"/>
                <w:lang w:val="en-GB"/>
              </w:rPr>
              <w:t xml:space="preserve">Preserves the distinction between records, reports </w:t>
            </w:r>
            <w:r w:rsidRPr="00784E8E">
              <w:rPr>
                <w:rFonts w:eastAsia="Times New Roman"/>
                <w:color w:val="000000"/>
                <w:sz w:val="16"/>
                <w:lang w:val="en-GB"/>
              </w:rPr>
              <w:lastRenderedPageBreak/>
              <w:t>and studies.</w:t>
            </w:r>
          </w:p>
        </w:tc>
      </w:tr>
    </w:tbl>
    <w:p w14:paraId="620245E3" w14:textId="77777777" w:rsidR="00E456DC" w:rsidRPr="00784E8E" w:rsidRDefault="00000000">
      <w:pPr>
        <w:pStyle w:val="SmallNote"/>
        <w:rPr>
          <w:lang w:val="en-GB"/>
        </w:rPr>
      </w:pPr>
      <w:r w:rsidRPr="00784E8E">
        <w:rPr>
          <w:rFonts w:eastAsia="Times New Roman"/>
          <w:b/>
          <w:lang w:val="en-GB"/>
        </w:rPr>
        <w:lastRenderedPageBreak/>
        <w:t xml:space="preserve">Note. </w:t>
      </w:r>
      <w:r w:rsidRPr="00784E8E">
        <w:rPr>
          <w:rFonts w:eastAsia="Times New Roman"/>
          <w:lang w:val="en-GB"/>
        </w:rPr>
        <w:t>Full-text eligibility was assessed at report level; duplicate reports were linked to a single underlying study.</w:t>
      </w:r>
    </w:p>
    <w:p w14:paraId="0C400470" w14:textId="77777777" w:rsidR="00E456DC" w:rsidRPr="00784E8E" w:rsidRDefault="00000000">
      <w:pPr>
        <w:pStyle w:val="Heading2"/>
        <w:rPr>
          <w:lang w:val="en-GB"/>
        </w:rPr>
      </w:pPr>
      <w:r w:rsidRPr="00784E8E">
        <w:rPr>
          <w:rFonts w:ascii="Times New Roman" w:eastAsia="Times New Roman" w:hAnsi="Times New Roman"/>
          <w:lang w:val="en-GB"/>
        </w:rPr>
        <w:t>2.4 Information sources and search strategy</w:t>
      </w:r>
    </w:p>
    <w:p w14:paraId="0EF6F08B" w14:textId="77777777" w:rsidR="00E456DC" w:rsidRPr="00784E8E" w:rsidRDefault="00000000">
      <w:pPr>
        <w:rPr>
          <w:lang w:val="en-GB"/>
        </w:rPr>
      </w:pPr>
      <w:r w:rsidRPr="00784E8E">
        <w:rPr>
          <w:rFonts w:eastAsia="Times New Roman"/>
          <w:lang w:val="en-GB"/>
        </w:rPr>
        <w:t>An openly accessible, web-indexed evidence search was executed on 19 August 2026. Search blocks targeted public pages indexed to PubMed and PubMed Central, openly accessible publisher and institutional repository pages, and hospital-wide implementation reports. Citation-led exact-title searching was used to retrieve seven reports identified during screening and citation checking. Search-engine result estimates were not used as record counts; only individual records captured in the evidence ledger were counted. Exact source-specific queries, execution dates, limits, records and retrieval notes are reproduced in the supplementary material.</w:t>
      </w:r>
    </w:p>
    <w:p w14:paraId="3276AC49" w14:textId="77777777" w:rsidR="00E456DC" w:rsidRPr="00784E8E" w:rsidRDefault="00000000">
      <w:pPr>
        <w:rPr>
          <w:lang w:val="en-GB"/>
        </w:rPr>
      </w:pPr>
      <w:r w:rsidRPr="00784E8E">
        <w:rPr>
          <w:rFonts w:eastAsia="Times New Roman"/>
          <w:lang w:val="en-GB"/>
        </w:rPr>
        <w:t>The publication-date eligibility limit was 1 January 2016 to 30 June 2026. English-language, peer-reviewed full reports were eligible. Subscription database exports and direct searches of Embase, Scopus, Web of Science, CINAHL and direct IEEE Xplore database interfaces were not available and were not performed. Public publisher records and accessible full text were used for study-level extraction; search snippets served only to discover candidate records. DOI and publisher pages, PubMed or PubMed Central records where indexed, and official methodological sources were used to reconcile bibliographic metadata.</w:t>
      </w:r>
    </w:p>
    <w:p w14:paraId="0DBC314F" w14:textId="77777777" w:rsidR="00E456DC" w:rsidRPr="00784E8E" w:rsidRDefault="00E456DC">
      <w:pPr>
        <w:rPr>
          <w:lang w:val="en-GB"/>
        </w:rPr>
        <w:sectPr w:rsidR="00E456DC" w:rsidRPr="00784E8E">
          <w:headerReference w:type="even" r:id="rId8"/>
          <w:headerReference w:type="default" r:id="rId9"/>
          <w:footerReference w:type="even" r:id="rId10"/>
          <w:footerReference w:type="default" r:id="rId11"/>
          <w:headerReference w:type="first" r:id="rId12"/>
          <w:footerReference w:type="first" r:id="rId13"/>
          <w:pgSz w:w="11906" w:h="16838"/>
          <w:pgMar w:top="1134" w:right="1191" w:bottom="1020" w:left="1191" w:header="454" w:footer="454" w:gutter="0"/>
          <w:cols w:space="720"/>
          <w:docGrid w:linePitch="360"/>
        </w:sectPr>
      </w:pPr>
    </w:p>
    <w:p w14:paraId="07BC4D70" w14:textId="77777777" w:rsidR="00E456DC" w:rsidRPr="00784E8E" w:rsidRDefault="00000000">
      <w:pPr>
        <w:pStyle w:val="AnalyticalLead"/>
        <w:rPr>
          <w:lang w:val="en-GB"/>
        </w:rPr>
      </w:pPr>
      <w:r w:rsidRPr="00784E8E">
        <w:rPr>
          <w:rFonts w:eastAsia="Times New Roman"/>
          <w:lang w:val="en-GB"/>
        </w:rPr>
        <w:lastRenderedPageBreak/>
        <w:t>The source plan prioritised transparent, reproducible capture of records that could be verified from public pages. Table 2 shows the exact query blocks and record yields that feed the evidence ledger and PRISMA accounting; the supplementary material preserves the complete source-specific record.</w:t>
      </w:r>
    </w:p>
    <w:p w14:paraId="5DF37BD5" w14:textId="77777777" w:rsidR="00E456DC" w:rsidRPr="00784E8E" w:rsidRDefault="00000000">
      <w:pPr>
        <w:pStyle w:val="TableTitle"/>
        <w:rPr>
          <w:lang w:val="en-GB"/>
        </w:rPr>
      </w:pPr>
      <w:r w:rsidRPr="00784E8E">
        <w:rPr>
          <w:rFonts w:eastAsia="Times New Roman"/>
          <w:lang w:val="en-GB"/>
        </w:rPr>
        <w:t>Table 2. Openly accessible information sources, exact query blocks and captured records</w:t>
      </w:r>
    </w:p>
    <w:tbl>
      <w:tblPr>
        <w:tblStyle w:val="TableGrid"/>
        <w:tblW w:w="0" w:type="auto"/>
        <w:jc w:val="center"/>
        <w:tblLayout w:type="fixed"/>
        <w:tblLook w:val="04A0" w:firstRow="1" w:lastRow="0" w:firstColumn="1" w:lastColumn="0" w:noHBand="0" w:noVBand="1"/>
      </w:tblPr>
      <w:tblGrid>
        <w:gridCol w:w="567"/>
        <w:gridCol w:w="2268"/>
        <w:gridCol w:w="9468"/>
        <w:gridCol w:w="1474"/>
        <w:gridCol w:w="850"/>
      </w:tblGrid>
      <w:tr w:rsidR="00E456DC" w:rsidRPr="00784E8E" w14:paraId="48D46718" w14:textId="77777777">
        <w:trPr>
          <w:tblHeader/>
          <w:jc w:val="center"/>
        </w:trPr>
        <w:tc>
          <w:tcPr>
            <w:tcW w:w="56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0E2726B" w14:textId="77777777" w:rsidR="00E456DC" w:rsidRPr="00784E8E" w:rsidRDefault="00000000">
            <w:pPr>
              <w:spacing w:after="0"/>
              <w:jc w:val="center"/>
              <w:rPr>
                <w:lang w:val="en-GB"/>
              </w:rPr>
            </w:pPr>
            <w:r w:rsidRPr="00784E8E">
              <w:rPr>
                <w:rFonts w:eastAsia="Times New Roman"/>
                <w:b/>
                <w:color w:val="FFFFFF"/>
                <w:sz w:val="15"/>
                <w:lang w:val="en-GB"/>
              </w:rPr>
              <w:t>ID</w:t>
            </w:r>
          </w:p>
        </w:tc>
        <w:tc>
          <w:tcPr>
            <w:tcW w:w="226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A4C5D1E" w14:textId="77777777" w:rsidR="00E456DC" w:rsidRPr="00784E8E" w:rsidRDefault="00000000">
            <w:pPr>
              <w:spacing w:after="0"/>
              <w:jc w:val="center"/>
              <w:rPr>
                <w:lang w:val="en-GB"/>
              </w:rPr>
            </w:pPr>
            <w:r w:rsidRPr="00784E8E">
              <w:rPr>
                <w:rFonts w:eastAsia="Times New Roman"/>
                <w:b/>
                <w:color w:val="FFFFFF"/>
                <w:sz w:val="15"/>
                <w:lang w:val="en-GB"/>
              </w:rPr>
              <w:t>Source/platform</w:t>
            </w:r>
          </w:p>
        </w:tc>
        <w:tc>
          <w:tcPr>
            <w:tcW w:w="946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E9D3778" w14:textId="77777777" w:rsidR="00E456DC" w:rsidRPr="00784E8E" w:rsidRDefault="00000000">
            <w:pPr>
              <w:spacing w:after="0"/>
              <w:jc w:val="center"/>
              <w:rPr>
                <w:lang w:val="en-GB"/>
              </w:rPr>
            </w:pPr>
            <w:r w:rsidRPr="00784E8E">
              <w:rPr>
                <w:rFonts w:eastAsia="Times New Roman"/>
                <w:b/>
                <w:color w:val="FFFFFF"/>
                <w:sz w:val="15"/>
                <w:lang w:val="en-GB"/>
              </w:rPr>
              <w:t>Exact query</w:t>
            </w:r>
          </w:p>
        </w:tc>
        <w:tc>
          <w:tcPr>
            <w:tcW w:w="147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065BBD4" w14:textId="77777777" w:rsidR="00E456DC" w:rsidRPr="00784E8E" w:rsidRDefault="00000000">
            <w:pPr>
              <w:spacing w:after="0"/>
              <w:jc w:val="center"/>
              <w:rPr>
                <w:lang w:val="en-GB"/>
              </w:rPr>
            </w:pPr>
            <w:r w:rsidRPr="00784E8E">
              <w:rPr>
                <w:rFonts w:eastAsia="Times New Roman"/>
                <w:b/>
                <w:color w:val="FFFFFF"/>
                <w:sz w:val="15"/>
                <w:lang w:val="en-GB"/>
              </w:rPr>
              <w:t>Search date</w:t>
            </w:r>
          </w:p>
        </w:tc>
        <w:tc>
          <w:tcPr>
            <w:tcW w:w="850"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9E38790" w14:textId="77777777" w:rsidR="00E456DC" w:rsidRPr="00784E8E" w:rsidRDefault="00000000">
            <w:pPr>
              <w:spacing w:after="0"/>
              <w:jc w:val="center"/>
              <w:rPr>
                <w:lang w:val="en-GB"/>
              </w:rPr>
            </w:pPr>
            <w:r w:rsidRPr="00784E8E">
              <w:rPr>
                <w:rFonts w:eastAsia="Times New Roman"/>
                <w:b/>
                <w:color w:val="FFFFFF"/>
                <w:sz w:val="15"/>
                <w:lang w:val="en-GB"/>
              </w:rPr>
              <w:t>Records</w:t>
            </w:r>
          </w:p>
        </w:tc>
      </w:tr>
      <w:tr w:rsidR="00E456DC" w:rsidRPr="00784E8E" w14:paraId="11BCA7D5"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783DE03" w14:textId="77777777" w:rsidR="00E456DC" w:rsidRPr="00784E8E" w:rsidRDefault="00000000">
            <w:pPr>
              <w:spacing w:after="0" w:line="245" w:lineRule="auto"/>
              <w:jc w:val="center"/>
              <w:rPr>
                <w:lang w:val="en-GB"/>
              </w:rPr>
            </w:pPr>
            <w:r w:rsidRPr="00784E8E">
              <w:rPr>
                <w:rFonts w:eastAsia="Times New Roman"/>
                <w:b/>
                <w:color w:val="000000"/>
                <w:sz w:val="15"/>
                <w:lang w:val="en-GB"/>
              </w:rPr>
              <w:t>A</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8E8C7D9" w14:textId="77777777" w:rsidR="00E456DC" w:rsidRPr="00784E8E" w:rsidRDefault="00000000">
            <w:pPr>
              <w:spacing w:after="0" w:line="245" w:lineRule="auto"/>
              <w:jc w:val="left"/>
              <w:rPr>
                <w:lang w:val="en-GB"/>
              </w:rPr>
            </w:pPr>
            <w:r w:rsidRPr="00784E8E">
              <w:rPr>
                <w:rFonts w:eastAsia="Times New Roman"/>
                <w:color w:val="000000"/>
                <w:sz w:val="15"/>
                <w:lang w:val="en-GB"/>
              </w:rPr>
              <w:t>Public web search of web-indexed PubMed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547907F" w14:textId="77777777" w:rsidR="00E456DC" w:rsidRPr="00784E8E" w:rsidRDefault="00000000">
            <w:pPr>
              <w:spacing w:after="0" w:line="245" w:lineRule="auto"/>
              <w:jc w:val="left"/>
              <w:rPr>
                <w:lang w:val="en-GB"/>
              </w:rPr>
            </w:pPr>
            <w:r w:rsidRPr="00784E8E">
              <w:rPr>
                <w:rFonts w:eastAsia="Times New Roman"/>
                <w:color w:val="000000"/>
                <w:sz w:val="15"/>
                <w:lang w:val="en-GB"/>
              </w:rPr>
              <w:t xml:space="preserve">1)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("smart hospital" OR "smart hospitals")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 xml:space="preserve">2026; 2)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("cognitive hospital" OR "cognitive hospitals")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 xml:space="preserve">2026; 3)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("intelligent hospital" OR "hospital 4.0" OR "hospital 5.0")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 xml:space="preserve">2026; 4) </w:t>
            </w:r>
            <w:proofErr w:type="gramStart"/>
            <w:r w:rsidRPr="00784E8E">
              <w:rPr>
                <w:rFonts w:eastAsia="Times New Roman"/>
                <w:color w:val="000000"/>
                <w:sz w:val="15"/>
                <w:lang w:val="en-GB"/>
              </w:rPr>
              <w:t>site:pubmed.ncbi.nlm.nih.gov</w:t>
            </w:r>
            <w:proofErr w:type="gramEnd"/>
            <w:r w:rsidRPr="00784E8E">
              <w:rPr>
                <w:rFonts w:eastAsia="Times New Roman"/>
                <w:color w:val="000000"/>
                <w:sz w:val="15"/>
                <w:lang w:val="en-GB"/>
              </w:rPr>
              <w:t xml:space="preserve"> ("smart ward" OR "smart inpatient room") hospital implementation evaluation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57F289C" w14:textId="77777777" w:rsidR="00E456DC" w:rsidRPr="00784E8E" w:rsidRDefault="00000000">
            <w:pPr>
              <w:spacing w:after="0" w:line="245" w:lineRule="auto"/>
              <w:jc w:val="center"/>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A45C5A8" w14:textId="77777777" w:rsidR="00E456DC" w:rsidRPr="00784E8E" w:rsidRDefault="00000000">
            <w:pPr>
              <w:spacing w:after="0" w:line="245" w:lineRule="auto"/>
              <w:jc w:val="center"/>
              <w:rPr>
                <w:lang w:val="en-GB"/>
              </w:rPr>
            </w:pPr>
            <w:r w:rsidRPr="00784E8E">
              <w:rPr>
                <w:rFonts w:eastAsia="Times New Roman"/>
                <w:color w:val="000000"/>
                <w:sz w:val="15"/>
                <w:lang w:val="en-GB"/>
              </w:rPr>
              <w:t>12</w:t>
            </w:r>
          </w:p>
        </w:tc>
      </w:tr>
      <w:tr w:rsidR="00E456DC" w:rsidRPr="00784E8E" w14:paraId="25C1EDED"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0D7F5C24" w14:textId="77777777" w:rsidR="00E456DC" w:rsidRPr="00784E8E" w:rsidRDefault="00000000">
            <w:pPr>
              <w:spacing w:after="0" w:line="245" w:lineRule="auto"/>
              <w:jc w:val="center"/>
              <w:rPr>
                <w:lang w:val="en-GB"/>
              </w:rPr>
            </w:pPr>
            <w:r w:rsidRPr="00784E8E">
              <w:rPr>
                <w:rFonts w:eastAsia="Times New Roman"/>
                <w:b/>
                <w:color w:val="000000"/>
                <w:sz w:val="15"/>
                <w:lang w:val="en-GB"/>
              </w:rPr>
              <w:t>B</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9FE88AC" w14:textId="77777777" w:rsidR="00E456DC" w:rsidRPr="00784E8E" w:rsidRDefault="00000000">
            <w:pPr>
              <w:spacing w:after="0" w:line="245" w:lineRule="auto"/>
              <w:jc w:val="left"/>
              <w:rPr>
                <w:lang w:val="en-GB"/>
              </w:rPr>
            </w:pPr>
            <w:r w:rsidRPr="00784E8E">
              <w:rPr>
                <w:rFonts w:eastAsia="Times New Roman"/>
                <w:color w:val="000000"/>
                <w:sz w:val="15"/>
                <w:lang w:val="en-GB"/>
              </w:rPr>
              <w:t>Public web search of web-indexed PubMed Central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4CE2625" w14:textId="77777777" w:rsidR="00E456DC" w:rsidRPr="00784E8E" w:rsidRDefault="00000000">
            <w:pPr>
              <w:spacing w:after="0" w:line="245" w:lineRule="auto"/>
              <w:jc w:val="left"/>
              <w:rPr>
                <w:lang w:val="en-GB"/>
              </w:rPr>
            </w:pPr>
            <w:proofErr w:type="gramStart"/>
            <w:r w:rsidRPr="00784E8E">
              <w:rPr>
                <w:rFonts w:eastAsia="Times New Roman"/>
                <w:color w:val="000000"/>
                <w:sz w:val="15"/>
                <w:lang w:val="en-GB"/>
              </w:rPr>
              <w:t>site:pmc.ncbi.nlm.nih.gov</w:t>
            </w:r>
            <w:proofErr w:type="gramEnd"/>
            <w:r w:rsidRPr="00784E8E">
              <w:rPr>
                <w:rFonts w:eastAsia="Times New Roman"/>
                <w:color w:val="000000"/>
                <w:sz w:val="15"/>
                <w:lang w:val="en-GB"/>
              </w:rPr>
              <w:t xml:space="preserve">/articles/ ("smart hospital" OR "cognitive hospital" OR "intelligent hospital" OR "hospital 4.0" OR "hospital 5.0") implementation evaluation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39A365A" w14:textId="77777777" w:rsidR="00E456DC" w:rsidRPr="00784E8E" w:rsidRDefault="00000000">
            <w:pPr>
              <w:spacing w:after="0" w:line="245" w:lineRule="auto"/>
              <w:jc w:val="center"/>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E23FD86" w14:textId="77777777" w:rsidR="00E456DC" w:rsidRPr="00784E8E" w:rsidRDefault="00000000">
            <w:pPr>
              <w:spacing w:after="0" w:line="245" w:lineRule="auto"/>
              <w:jc w:val="center"/>
              <w:rPr>
                <w:lang w:val="en-GB"/>
              </w:rPr>
            </w:pPr>
            <w:r w:rsidRPr="00784E8E">
              <w:rPr>
                <w:rFonts w:eastAsia="Times New Roman"/>
                <w:color w:val="000000"/>
                <w:sz w:val="15"/>
                <w:lang w:val="en-GB"/>
              </w:rPr>
              <w:t>13</w:t>
            </w:r>
          </w:p>
        </w:tc>
      </w:tr>
      <w:tr w:rsidR="00E456DC" w:rsidRPr="00784E8E" w14:paraId="1032926B"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BD15453" w14:textId="77777777" w:rsidR="00E456DC" w:rsidRPr="00784E8E" w:rsidRDefault="00000000">
            <w:pPr>
              <w:spacing w:after="0" w:line="245" w:lineRule="auto"/>
              <w:jc w:val="center"/>
              <w:rPr>
                <w:lang w:val="en-GB"/>
              </w:rPr>
            </w:pPr>
            <w:r w:rsidRPr="00784E8E">
              <w:rPr>
                <w:rFonts w:eastAsia="Times New Roman"/>
                <w:b/>
                <w:color w:val="000000"/>
                <w:sz w:val="15"/>
                <w:lang w:val="en-GB"/>
              </w:rPr>
              <w:t>C</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89CA29C" w14:textId="77777777" w:rsidR="00E456DC" w:rsidRPr="00784E8E" w:rsidRDefault="00000000">
            <w:pPr>
              <w:spacing w:after="0" w:line="245" w:lineRule="auto"/>
              <w:jc w:val="left"/>
              <w:rPr>
                <w:lang w:val="en-GB"/>
              </w:rPr>
            </w:pPr>
            <w:r w:rsidRPr="00784E8E">
              <w:rPr>
                <w:rFonts w:eastAsia="Times New Roman"/>
                <w:color w:val="000000"/>
                <w:sz w:val="15"/>
                <w:lang w:val="en-GB"/>
              </w:rPr>
              <w:t>Public web search of open publisher and institutional repository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C1705D3" w14:textId="77777777" w:rsidR="00E456DC" w:rsidRPr="00784E8E" w:rsidRDefault="00000000">
            <w:pPr>
              <w:spacing w:after="0" w:line="245" w:lineRule="auto"/>
              <w:jc w:val="left"/>
              <w:rPr>
                <w:lang w:val="en-GB"/>
              </w:rPr>
            </w:pPr>
            <w:r w:rsidRPr="00784E8E">
              <w:rPr>
                <w:rFonts w:eastAsia="Times New Roman"/>
                <w:color w:val="000000"/>
                <w:sz w:val="15"/>
                <w:lang w:val="en-GB"/>
              </w:rPr>
              <w:t xml:space="preserve">("smart hospital" OR "cognitive hospital" OR "hospital 4.0" OR "hospital 5.0") definition framework implementation systematic review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A47509C" w14:textId="77777777" w:rsidR="00E456DC" w:rsidRPr="00784E8E" w:rsidRDefault="00000000">
            <w:pPr>
              <w:spacing w:after="0" w:line="245" w:lineRule="auto"/>
              <w:jc w:val="center"/>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CEC4C28" w14:textId="77777777" w:rsidR="00E456DC" w:rsidRPr="00784E8E" w:rsidRDefault="00000000">
            <w:pPr>
              <w:spacing w:after="0" w:line="245" w:lineRule="auto"/>
              <w:jc w:val="center"/>
              <w:rPr>
                <w:lang w:val="en-GB"/>
              </w:rPr>
            </w:pPr>
            <w:r w:rsidRPr="00784E8E">
              <w:rPr>
                <w:rFonts w:eastAsia="Times New Roman"/>
                <w:color w:val="000000"/>
                <w:sz w:val="15"/>
                <w:lang w:val="en-GB"/>
              </w:rPr>
              <w:t>12</w:t>
            </w:r>
          </w:p>
        </w:tc>
      </w:tr>
      <w:tr w:rsidR="00E456DC" w:rsidRPr="00784E8E" w14:paraId="3AC233DE"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7F27DE52" w14:textId="77777777" w:rsidR="00E456DC" w:rsidRPr="00784E8E" w:rsidRDefault="00000000">
            <w:pPr>
              <w:spacing w:after="0" w:line="245" w:lineRule="auto"/>
              <w:jc w:val="center"/>
              <w:rPr>
                <w:lang w:val="en-GB"/>
              </w:rPr>
            </w:pPr>
            <w:r w:rsidRPr="00784E8E">
              <w:rPr>
                <w:rFonts w:eastAsia="Times New Roman"/>
                <w:b/>
                <w:color w:val="000000"/>
                <w:sz w:val="15"/>
                <w:lang w:val="en-GB"/>
              </w:rPr>
              <w:t>D</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3788EC9F" w14:textId="77777777" w:rsidR="00E456DC" w:rsidRPr="00784E8E" w:rsidRDefault="00000000">
            <w:pPr>
              <w:spacing w:after="0" w:line="245" w:lineRule="auto"/>
              <w:jc w:val="left"/>
              <w:rPr>
                <w:lang w:val="en-GB"/>
              </w:rPr>
            </w:pPr>
            <w:r w:rsidRPr="00784E8E">
              <w:rPr>
                <w:rFonts w:eastAsia="Times New Roman"/>
                <w:color w:val="000000"/>
                <w:sz w:val="15"/>
                <w:lang w:val="en-GB"/>
              </w:rPr>
              <w:t>Public web search focused on real-world implementation and outcomes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AEA5AEB" w14:textId="77777777" w:rsidR="00E456DC" w:rsidRPr="00784E8E" w:rsidRDefault="00000000">
            <w:pPr>
              <w:spacing w:after="0" w:line="245" w:lineRule="auto"/>
              <w:jc w:val="left"/>
              <w:rPr>
                <w:lang w:val="en-GB"/>
              </w:rPr>
            </w:pPr>
            <w:r w:rsidRPr="00784E8E">
              <w:rPr>
                <w:rFonts w:eastAsia="Times New Roman"/>
                <w:color w:val="000000"/>
                <w:sz w:val="15"/>
                <w:lang w:val="en-GB"/>
              </w:rPr>
              <w:t xml:space="preserve">("smart hospital" OR "cognitive hospital") hospital-wide implementation patient safety workflow operational efficiency case study </w:t>
            </w:r>
            <w:proofErr w:type="gramStart"/>
            <w:r w:rsidRPr="00784E8E">
              <w:rPr>
                <w:rFonts w:eastAsia="Times New Roman"/>
                <w:color w:val="000000"/>
                <w:sz w:val="15"/>
                <w:lang w:val="en-GB"/>
              </w:rPr>
              <w:t>2016..</w:t>
            </w:r>
            <w:proofErr w:type="gramEnd"/>
            <w:r w:rsidRPr="00784E8E">
              <w:rPr>
                <w:rFonts w:eastAsia="Times New Roman"/>
                <w:color w:val="000000"/>
                <w:sz w:val="15"/>
                <w:lang w:val="en-GB"/>
              </w:rPr>
              <w:t>2026</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2BAEA3F7" w14:textId="77777777" w:rsidR="00E456DC" w:rsidRPr="00784E8E" w:rsidRDefault="00000000">
            <w:pPr>
              <w:spacing w:after="0" w:line="245" w:lineRule="auto"/>
              <w:jc w:val="center"/>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5D51637" w14:textId="77777777" w:rsidR="00E456DC" w:rsidRPr="00784E8E" w:rsidRDefault="00000000">
            <w:pPr>
              <w:spacing w:after="0" w:line="245" w:lineRule="auto"/>
              <w:jc w:val="center"/>
              <w:rPr>
                <w:lang w:val="en-GB"/>
              </w:rPr>
            </w:pPr>
            <w:r w:rsidRPr="00784E8E">
              <w:rPr>
                <w:rFonts w:eastAsia="Times New Roman"/>
                <w:color w:val="000000"/>
                <w:sz w:val="15"/>
                <w:lang w:val="en-GB"/>
              </w:rPr>
              <w:t>11</w:t>
            </w:r>
          </w:p>
        </w:tc>
      </w:tr>
      <w:tr w:rsidR="00E456DC" w:rsidRPr="00784E8E" w14:paraId="141CC7B2" w14:textId="77777777">
        <w:trPr>
          <w:jc w:val="center"/>
        </w:trPr>
        <w:tc>
          <w:tcPr>
            <w:tcW w:w="56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474C971A" w14:textId="77777777" w:rsidR="00E456DC" w:rsidRPr="00784E8E" w:rsidRDefault="00000000">
            <w:pPr>
              <w:spacing w:after="0" w:line="245" w:lineRule="auto"/>
              <w:jc w:val="center"/>
              <w:rPr>
                <w:lang w:val="en-GB"/>
              </w:rPr>
            </w:pPr>
            <w:r w:rsidRPr="00784E8E">
              <w:rPr>
                <w:rFonts w:eastAsia="Times New Roman"/>
                <w:b/>
                <w:color w:val="000000"/>
                <w:sz w:val="15"/>
                <w:lang w:val="en-GB"/>
              </w:rPr>
              <w:t>E</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04D96E9" w14:textId="77777777" w:rsidR="00E456DC" w:rsidRPr="00784E8E" w:rsidRDefault="00000000">
            <w:pPr>
              <w:spacing w:after="0" w:line="245" w:lineRule="auto"/>
              <w:jc w:val="left"/>
              <w:rPr>
                <w:lang w:val="en-GB"/>
              </w:rPr>
            </w:pPr>
            <w:r w:rsidRPr="00784E8E">
              <w:rPr>
                <w:rFonts w:eastAsia="Times New Roman"/>
                <w:color w:val="000000"/>
                <w:sz w:val="15"/>
                <w:lang w:val="en-GB"/>
              </w:rPr>
              <w:t>Citation-led exact-title searching on public web pages</w:t>
            </w:r>
          </w:p>
        </w:tc>
        <w:tc>
          <w:tcPr>
            <w:tcW w:w="94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1BA35A03" w14:textId="77777777" w:rsidR="00E456DC" w:rsidRPr="00784E8E" w:rsidRDefault="00000000">
            <w:pPr>
              <w:spacing w:after="0" w:line="245" w:lineRule="auto"/>
              <w:jc w:val="left"/>
              <w:rPr>
                <w:lang w:val="en-GB"/>
              </w:rPr>
            </w:pPr>
            <w:r w:rsidRPr="00784E8E">
              <w:rPr>
                <w:rFonts w:eastAsia="Times New Roman"/>
                <w:color w:val="000000"/>
                <w:sz w:val="15"/>
                <w:lang w:val="en-GB"/>
              </w:rPr>
              <w:t>Exact titles of seven potentially eligible reports identified during screening and citation checking: Kwon et al. (2022); Rajaei et al. (2024); Park et al. (2018); de Graaf et al. (2025); Malekzadeh et al. (2025); Sony et al. (2023); Hassmann et al. (2025).</w:t>
            </w:r>
          </w:p>
        </w:tc>
        <w:tc>
          <w:tcPr>
            <w:tcW w:w="147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64C0F81C" w14:textId="77777777" w:rsidR="00E456DC" w:rsidRPr="00784E8E" w:rsidRDefault="00000000">
            <w:pPr>
              <w:spacing w:after="0" w:line="245" w:lineRule="auto"/>
              <w:jc w:val="center"/>
              <w:rPr>
                <w:lang w:val="en-GB"/>
              </w:rPr>
            </w:pPr>
            <w:r w:rsidRPr="00784E8E">
              <w:rPr>
                <w:rFonts w:eastAsia="Times New Roman"/>
                <w:color w:val="000000"/>
                <w:sz w:val="15"/>
                <w:lang w:val="en-GB"/>
              </w:rPr>
              <w:t>2026-08-19</w:t>
            </w:r>
          </w:p>
        </w:tc>
        <w:tc>
          <w:tcPr>
            <w:tcW w:w="850"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vAlign w:val="center"/>
          </w:tcPr>
          <w:p w14:paraId="59FB2DE6" w14:textId="77777777" w:rsidR="00E456DC" w:rsidRPr="00784E8E" w:rsidRDefault="00000000">
            <w:pPr>
              <w:spacing w:after="0" w:line="245" w:lineRule="auto"/>
              <w:jc w:val="center"/>
              <w:rPr>
                <w:lang w:val="en-GB"/>
              </w:rPr>
            </w:pPr>
            <w:r w:rsidRPr="00784E8E">
              <w:rPr>
                <w:rFonts w:eastAsia="Times New Roman"/>
                <w:color w:val="000000"/>
                <w:sz w:val="15"/>
                <w:lang w:val="en-GB"/>
              </w:rPr>
              <w:t>7</w:t>
            </w:r>
          </w:p>
        </w:tc>
      </w:tr>
    </w:tbl>
    <w:p w14:paraId="2F25A3CC" w14:textId="77777777" w:rsidR="00E456DC" w:rsidRPr="00784E8E" w:rsidRDefault="00000000">
      <w:pPr>
        <w:pStyle w:val="SmallNote"/>
        <w:rPr>
          <w:lang w:val="en-GB"/>
        </w:rPr>
      </w:pPr>
      <w:r w:rsidRPr="00784E8E">
        <w:rPr>
          <w:rFonts w:eastAsia="Times New Roman"/>
          <w:b/>
          <w:lang w:val="en-GB"/>
        </w:rPr>
        <w:t xml:space="preserve">Note. </w:t>
      </w:r>
      <w:r w:rsidRPr="00784E8E">
        <w:rPr>
          <w:rFonts w:eastAsia="Times New Roman"/>
          <w:lang w:val="en-GB"/>
        </w:rPr>
        <w:t xml:space="preserve">Counts are </w:t>
      </w:r>
      <w:proofErr w:type="spellStart"/>
      <w:r w:rsidRPr="00784E8E">
        <w:rPr>
          <w:rFonts w:eastAsia="Times New Roman"/>
          <w:lang w:val="en-GB"/>
        </w:rPr>
        <w:t>ledgered</w:t>
      </w:r>
      <w:proofErr w:type="spellEnd"/>
      <w:r w:rsidRPr="00784E8E">
        <w:rPr>
          <w:rFonts w:eastAsia="Times New Roman"/>
          <w:lang w:val="en-GB"/>
        </w:rPr>
        <w:t xml:space="preserve"> records retained from each executed query block, not unstable search-engine estimates. Complete record-level capture is supplied in the evidence ledger.</w:t>
      </w:r>
    </w:p>
    <w:p w14:paraId="5209A26C" w14:textId="77777777" w:rsidR="00E456DC" w:rsidRPr="00784E8E" w:rsidRDefault="00E456DC">
      <w:pPr>
        <w:rPr>
          <w:lang w:val="en-GB"/>
        </w:rPr>
        <w:sectPr w:rsidR="00E456DC" w:rsidRPr="00784E8E">
          <w:pgSz w:w="16838" w:h="11906" w:orient="landscape"/>
          <w:pgMar w:top="850" w:right="794" w:bottom="850" w:left="794" w:header="397" w:footer="397" w:gutter="0"/>
          <w:cols w:space="720"/>
          <w:docGrid w:linePitch="360"/>
        </w:sectPr>
      </w:pPr>
    </w:p>
    <w:p w14:paraId="56A8F6DA" w14:textId="77777777" w:rsidR="00E456DC" w:rsidRPr="00784E8E" w:rsidRDefault="00000000">
      <w:pPr>
        <w:pStyle w:val="Heading2"/>
        <w:rPr>
          <w:lang w:val="en-GB"/>
        </w:rPr>
      </w:pPr>
      <w:r w:rsidRPr="00784E8E">
        <w:rPr>
          <w:rFonts w:ascii="Times New Roman" w:eastAsia="Times New Roman" w:hAnsi="Times New Roman"/>
          <w:lang w:val="en-GB"/>
        </w:rPr>
        <w:lastRenderedPageBreak/>
        <w:t>2.5 Record management and study selection</w:t>
      </w:r>
    </w:p>
    <w:p w14:paraId="2B12FF6F" w14:textId="4DD2671D" w:rsidR="00E456DC" w:rsidRPr="00784E8E" w:rsidRDefault="00000000">
      <w:pPr>
        <w:rPr>
          <w:lang w:val="en-GB"/>
        </w:rPr>
      </w:pPr>
      <w:r w:rsidRPr="00784E8E">
        <w:rPr>
          <w:rFonts w:eastAsia="Times New Roman"/>
          <w:lang w:val="en-GB"/>
        </w:rPr>
        <w:t>All 55 captured records were entered into an evidence ledger. Deduplication used DOI, PMID or PMCID when present, followed by comparison of title, authors, year and publisher record. Ten duplicate records were removed before screening, and the duplicate group was retained in the ledger. One review</w:t>
      </w:r>
      <w:r w:rsidR="001008F5" w:rsidRPr="00784E8E">
        <w:rPr>
          <w:rFonts w:eastAsia="Times New Roman"/>
          <w:lang w:val="en-GB"/>
        </w:rPr>
        <w:t xml:space="preserve">er </w:t>
      </w:r>
      <w:r w:rsidRPr="00784E8E">
        <w:rPr>
          <w:rFonts w:eastAsia="Times New Roman"/>
          <w:lang w:val="en-GB"/>
        </w:rPr>
        <w:t>screened titles and abstracts, retrieved accessible full text, applied a single primary exclusion reason at full text, extracted data and completed methodological appraisal. No second independent reviewer performed screening, extraction or appraisal.</w:t>
      </w:r>
    </w:p>
    <w:p w14:paraId="12DE10EE" w14:textId="77777777" w:rsidR="00E456DC" w:rsidRPr="00784E8E" w:rsidRDefault="00000000">
      <w:pPr>
        <w:rPr>
          <w:lang w:val="en-GB"/>
        </w:rPr>
      </w:pPr>
      <w:r w:rsidRPr="00784E8E">
        <w:rPr>
          <w:rFonts w:eastAsia="Times New Roman"/>
          <w:lang w:val="en-GB"/>
        </w:rPr>
        <w:t>Reports were linked to unique study identifiers so that multiple discovery routes did not create duplicate studies. At title and abstract screening, an outcome was not required if hospital organisational relevance remained plausible. Full-text exclusions followed a hierarchy: ineligible publication status; ineligible hospital context; technology-only architecture or prototype without organisational or clinical implementation relevance; and insufficient eligible evidence. Records, reports and studies were counted separately and reconciled arithmetically before the PRISMA diagram was generated.</w:t>
      </w:r>
    </w:p>
    <w:p w14:paraId="6C3C3880" w14:textId="77777777" w:rsidR="00E456DC" w:rsidRPr="00784E8E" w:rsidRDefault="00000000">
      <w:pPr>
        <w:pStyle w:val="Heading2"/>
        <w:rPr>
          <w:lang w:val="en-GB"/>
        </w:rPr>
      </w:pPr>
      <w:r w:rsidRPr="00784E8E">
        <w:rPr>
          <w:rFonts w:ascii="Times New Roman" w:eastAsia="Times New Roman" w:hAnsi="Times New Roman"/>
          <w:lang w:val="en-GB"/>
        </w:rPr>
        <w:t>2.6 Data extraction and evidence mapping</w:t>
      </w:r>
    </w:p>
    <w:p w14:paraId="5D506F9F" w14:textId="77777777" w:rsidR="00E456DC" w:rsidRPr="00784E8E" w:rsidRDefault="00000000">
      <w:pPr>
        <w:rPr>
          <w:lang w:val="en-GB"/>
        </w:rPr>
      </w:pPr>
      <w:r w:rsidRPr="00784E8E">
        <w:rPr>
          <w:rFonts w:eastAsia="Times New Roman"/>
          <w:lang w:val="en-GB"/>
        </w:rPr>
        <w:t>A structured extraction form captured record, report and study identifiers; country and setting; design; sample or organisational unit; smart or cognitive components; implementation period; outcomes and measurement methods; reported quantitative and qualitative findings; funding and competing interests when available; limitations; and a source locator. For evidence syntheses, the report itself was the unit of inclusion. Its underlying primary studies were not added to the PRISMA study count and were not combined with included primary reports as if independent. Missing study-level information was recorded as 'Not reported'. No effect estimate was calculated from graphs, no unreported denominator was inferred and no precision measure was generated when the source did not provide one.</w:t>
      </w:r>
    </w:p>
    <w:p w14:paraId="71D720F8" w14:textId="77777777" w:rsidR="00E456DC" w:rsidRPr="00784E8E" w:rsidRDefault="00000000">
      <w:pPr>
        <w:rPr>
          <w:lang w:val="en-GB"/>
        </w:rPr>
      </w:pPr>
      <w:r w:rsidRPr="00784E8E">
        <w:rPr>
          <w:rFonts w:eastAsia="Times New Roman"/>
          <w:lang w:val="en-GB"/>
        </w:rPr>
        <w:t>The conceptual distinction between a technology and a hospital capability was maintained during extraction. A single sensor, algorithm or robot was treated as relevant only when its deployment was linked to a hospital-wide or substantial organisational workflow, governance system or multi-component smart environment. Cognitive capability was coded only when a report addressed at least one of learning, prediction, anticipation, adaptation, context awareness or closed-loop feedback beyond basic automation.</w:t>
      </w:r>
    </w:p>
    <w:p w14:paraId="6518ADBF" w14:textId="77777777" w:rsidR="00E456DC" w:rsidRPr="00784E8E" w:rsidRDefault="00000000">
      <w:pPr>
        <w:pStyle w:val="Heading2"/>
        <w:rPr>
          <w:lang w:val="en-GB"/>
        </w:rPr>
      </w:pPr>
      <w:r w:rsidRPr="00784E8E">
        <w:rPr>
          <w:rFonts w:ascii="Times New Roman" w:eastAsia="Times New Roman" w:hAnsi="Times New Roman"/>
          <w:lang w:val="en-GB"/>
        </w:rPr>
        <w:t>2.7 Methodological appraisal</w:t>
      </w:r>
    </w:p>
    <w:p w14:paraId="7ECE68B3" w14:textId="77777777" w:rsidR="00E456DC" w:rsidRPr="00784E8E" w:rsidRDefault="00000000">
      <w:pPr>
        <w:rPr>
          <w:lang w:val="en-GB"/>
        </w:rPr>
      </w:pPr>
      <w:r w:rsidRPr="00784E8E">
        <w:rPr>
          <w:rFonts w:eastAsia="Times New Roman"/>
          <w:lang w:val="en-GB"/>
        </w:rPr>
        <w:t>Methodological appraisal was matched to study design rather than converted into a numerical quality score. Systematic and scoping reviews were assessed against JBI research-synthesis principles; qualitative studies against JBI qualitative principles; cross-sectional and uncontrolled before-after studies against relevant JBI domains; conceptual papers against JBI text and opinion principles; feasibility case series against case-series domains; and the technical modelling study against prespecified credibility domains covering data provenance, calibration, sensitivity analysis, external validation, reproducibility and relevance to organisational outcomes. Mixed-methods studies were assessed for the quality of their components and the coherence of integration.</w:t>
      </w:r>
    </w:p>
    <w:p w14:paraId="4F93A5F2" w14:textId="77777777" w:rsidR="00E456DC" w:rsidRPr="00784E8E" w:rsidRDefault="00000000">
      <w:pPr>
        <w:rPr>
          <w:lang w:val="en-GB"/>
        </w:rPr>
      </w:pPr>
      <w:r w:rsidRPr="00784E8E">
        <w:rPr>
          <w:rFonts w:eastAsia="Times New Roman"/>
          <w:lang w:val="en-GB"/>
        </w:rPr>
        <w:t>For cross-design comparison, the review reported six common domains: clarity of setting and intervention; selection or source identification; outcome measurement and completeness; comparator, confounding or causal identification; analysis and integration; and applicability/reporting. Overall categories were 'some concerns', 'some concerns to major limitations' or 'major limitations'. These labels describe constraints on interpretation rather than a numerical hierarchy.</w:t>
      </w:r>
    </w:p>
    <w:p w14:paraId="6E5205C2" w14:textId="77777777" w:rsidR="00E456DC" w:rsidRPr="00784E8E" w:rsidRDefault="00000000">
      <w:pPr>
        <w:pStyle w:val="Heading2"/>
        <w:rPr>
          <w:lang w:val="en-GB"/>
        </w:rPr>
      </w:pPr>
      <w:r w:rsidRPr="00784E8E">
        <w:rPr>
          <w:rFonts w:ascii="Times New Roman" w:eastAsia="Times New Roman" w:hAnsi="Times New Roman"/>
          <w:lang w:val="en-GB"/>
        </w:rPr>
        <w:t>2.8 Synthesis without statistical meta-analysis</w:t>
      </w:r>
    </w:p>
    <w:p w14:paraId="5BB3E34E" w14:textId="77777777" w:rsidR="00E456DC" w:rsidRPr="00784E8E" w:rsidRDefault="00000000">
      <w:pPr>
        <w:rPr>
          <w:lang w:val="en-GB"/>
        </w:rPr>
      </w:pPr>
      <w:r w:rsidRPr="00784E8E">
        <w:rPr>
          <w:rFonts w:eastAsia="Times New Roman"/>
          <w:lang w:val="en-GB"/>
        </w:rPr>
        <w:t xml:space="preserve">Statistical meta-analysis was neither planned nor undertaken. The corpus combined conceptual articles, evidence syntheses, Delphi forecasting, qualitative inquiry, cross-sectional survey modelling, technical simulation, feasibility work, and uncontrolled service evaluations. Populations ranged from 15 rehabilitation inpatients to hospital networks and international literature corpora; outcomes included taxonomy, perceived quality, response time, staff time, satisfaction, safety events and organisational capabilities. Definitions, denominators, instruments, time points and </w:t>
      </w:r>
      <w:proofErr w:type="spellStart"/>
      <w:r w:rsidRPr="00784E8E">
        <w:rPr>
          <w:rFonts w:eastAsia="Times New Roman"/>
          <w:lang w:val="en-GB"/>
        </w:rPr>
        <w:t>estimands</w:t>
      </w:r>
      <w:proofErr w:type="spellEnd"/>
      <w:r w:rsidRPr="00784E8E">
        <w:rPr>
          <w:rFonts w:eastAsia="Times New Roman"/>
          <w:lang w:val="en-GB"/>
        </w:rPr>
        <w:t xml:space="preserve"> were incompatible. Pooling would therefore have produced a clinically uninterpretable summary.</w:t>
      </w:r>
    </w:p>
    <w:p w14:paraId="1F23FCAE" w14:textId="77777777" w:rsidR="00E456DC" w:rsidRPr="00784E8E" w:rsidRDefault="00000000">
      <w:pPr>
        <w:rPr>
          <w:lang w:val="en-GB"/>
        </w:rPr>
      </w:pPr>
      <w:r w:rsidRPr="00784E8E">
        <w:rPr>
          <w:rFonts w:eastAsia="Times New Roman"/>
          <w:lang w:val="en-GB"/>
        </w:rPr>
        <w:lastRenderedPageBreak/>
        <w:t>A structured synthesis without meta-analysis grouped evidence first into knowledge-building studies and empirical or technical implementation studies. Within those groups, findings were organised by: definition and maturity; infrastructure and interoperability; operational efficiency; patient experience and access; safety and clinical quality; workforce and workflow; implementation determinants and governance; and learning or adaptive capability. Reported magnitudes and uncertainty were retained when available. Studies were not counted by statistical significance, and no direction vote was used. Study size, directness, methodological limitations and consistency influenced the narrative weight assigned to each finding.</w:t>
      </w:r>
    </w:p>
    <w:p w14:paraId="42A174C7" w14:textId="77777777" w:rsidR="00E456DC" w:rsidRPr="00784E8E" w:rsidRDefault="00000000">
      <w:pPr>
        <w:rPr>
          <w:lang w:val="en-GB"/>
        </w:rPr>
      </w:pPr>
      <w:r w:rsidRPr="00784E8E">
        <w:rPr>
          <w:rFonts w:eastAsia="Times New Roman"/>
          <w:lang w:val="en-GB"/>
        </w:rPr>
        <w:t>A review-derived maturity continuum was constructed by comparing recurring attributes across studies. The continuum was not treated as a validated instrument. It ranged from digitised systems through connected and integrated smart services to predictive/context-aware operation and cognitive, learning capability. A structured confidence assessment, rather than formal GRADE, was used because the evidence did not represent a coherent set of intervention effects. For each domain, confidence considered methodological limitations, consistency, directness, precision or information sufficiency, and susceptibility to selective reporting.</w:t>
      </w:r>
    </w:p>
    <w:p w14:paraId="4709E0C4" w14:textId="77777777" w:rsidR="00E456DC" w:rsidRPr="00784E8E" w:rsidRDefault="00000000">
      <w:pPr>
        <w:pStyle w:val="Heading2"/>
        <w:rPr>
          <w:lang w:val="en-GB"/>
        </w:rPr>
      </w:pPr>
      <w:r w:rsidRPr="00784E8E">
        <w:rPr>
          <w:rFonts w:ascii="Times New Roman" w:eastAsia="Times New Roman" w:hAnsi="Times New Roman"/>
          <w:lang w:val="en-GB"/>
        </w:rPr>
        <w:t>2.9 Assessment of confidence and missing evidence</w:t>
      </w:r>
    </w:p>
    <w:p w14:paraId="61009D50" w14:textId="77777777" w:rsidR="00E456DC" w:rsidRPr="00784E8E" w:rsidRDefault="00000000">
      <w:pPr>
        <w:rPr>
          <w:lang w:val="en-GB"/>
        </w:rPr>
      </w:pPr>
      <w:r w:rsidRPr="00784E8E">
        <w:rPr>
          <w:rFonts w:eastAsia="Times New Roman"/>
          <w:lang w:val="en-GB"/>
        </w:rPr>
        <w:t>Missing evidence was considered qualitatively. Formal funnel plots or statistical tests for publication bias were not appropriate because effect estimates were sparse and incomparable. Particular attention was paid to under-reporting of implementation failures, inconsistent denominators, absence of safety-event surveillance, differences between technical feasibility and clinical benefit, and the likelihood that favourable single-site case reports are more visible than unsuccessful deployments. Exact-title DOI-, publisher- and PubMed-targeted checks were used to look for corrections, expressions of concern and retractions. No matching notice was located for an included report as of the search date; this finding is documented as a search result rather than an assurance that no later notice can occur.</w:t>
      </w:r>
    </w:p>
    <w:p w14:paraId="6F9FE54B" w14:textId="77777777" w:rsidR="00E456DC" w:rsidRPr="00784E8E" w:rsidRDefault="00000000">
      <w:pPr>
        <w:pStyle w:val="Heading1"/>
        <w:rPr>
          <w:lang w:val="en-GB"/>
        </w:rPr>
      </w:pPr>
      <w:r w:rsidRPr="00784E8E">
        <w:rPr>
          <w:rFonts w:ascii="Times New Roman" w:eastAsia="Times New Roman" w:hAnsi="Times New Roman"/>
          <w:lang w:val="en-GB"/>
        </w:rPr>
        <w:t>3. Results</w:t>
      </w:r>
    </w:p>
    <w:p w14:paraId="642C6947" w14:textId="77777777" w:rsidR="00E456DC" w:rsidRPr="00784E8E" w:rsidRDefault="00000000">
      <w:pPr>
        <w:pStyle w:val="Heading2"/>
        <w:rPr>
          <w:lang w:val="en-GB"/>
        </w:rPr>
      </w:pPr>
      <w:r w:rsidRPr="00784E8E">
        <w:rPr>
          <w:rFonts w:ascii="Times New Roman" w:eastAsia="Times New Roman" w:hAnsi="Times New Roman"/>
          <w:lang w:val="en-GB"/>
        </w:rPr>
        <w:t>3.1 Study selection</w:t>
      </w:r>
    </w:p>
    <w:p w14:paraId="16CFAC86" w14:textId="77777777" w:rsidR="00E456DC" w:rsidRPr="00784E8E" w:rsidRDefault="00000000">
      <w:pPr>
        <w:rPr>
          <w:lang w:val="en-GB"/>
        </w:rPr>
      </w:pPr>
      <w:r w:rsidRPr="00784E8E">
        <w:rPr>
          <w:rFonts w:eastAsia="Times New Roman"/>
          <w:lang w:val="en-GB"/>
        </w:rPr>
        <w:t>The searches captured 55 records: 48 through four public web-source search blocks and seven through citation-led exact-title searching. Ten duplicates were removed, leaving 45 records for title and abstract screening. Twenty-four records were excluded at that stage. All 21 reports sought for full-text assessment were retrieved. Four full-text reports were excluded: one technical ward-design report without organisational or clinical outcomes, one room-level architecture report, one health-system narrative not specific to hospital implementation and one non-peer-reviewed preprint. Seventeen reports representing 17 unique studies were included.</w:t>
      </w:r>
    </w:p>
    <w:p w14:paraId="381A6174" w14:textId="77777777" w:rsidR="00E456DC" w:rsidRPr="00784E8E" w:rsidRDefault="00000000">
      <w:pPr>
        <w:rPr>
          <w:lang w:val="en-GB"/>
        </w:rPr>
      </w:pPr>
      <w:r w:rsidRPr="00784E8E">
        <w:rPr>
          <w:rFonts w:eastAsia="Times New Roman"/>
          <w:lang w:val="en-GB"/>
        </w:rPr>
        <w:t>The flow is internally reconciled: 55 identified records minus 10 duplicates equals 45 screened records; 45 screened minus 24 excluded equals 21 reports sought and retrieved; and 21 assessed reports minus four full-text exclusions equals 17 included reports and studies.</w:t>
      </w:r>
    </w:p>
    <w:p w14:paraId="671971A2" w14:textId="77777777" w:rsidR="00E456DC" w:rsidRPr="00784E8E" w:rsidRDefault="00000000">
      <w:pPr>
        <w:pStyle w:val="AnalyticalLead"/>
        <w:rPr>
          <w:lang w:val="en-GB"/>
        </w:rPr>
      </w:pPr>
      <w:r w:rsidRPr="00784E8E">
        <w:rPr>
          <w:rFonts w:eastAsia="Times New Roman"/>
          <w:lang w:val="en-GB"/>
        </w:rPr>
        <w:lastRenderedPageBreak/>
        <w:t>Figure 1 presents the complete selection pathway. Its central implication is not simply the final count, but the separation of discovery records from verified reports and unique studies, including the explicit removal of repeated search results and the four full-text exclusions.</w:t>
      </w:r>
    </w:p>
    <w:p w14:paraId="56295387" w14:textId="21885C08" w:rsidR="00E456DC" w:rsidRPr="00784E8E" w:rsidRDefault="00136212">
      <w:pPr>
        <w:keepNext/>
        <w:jc w:val="center"/>
        <w:rPr>
          <w:lang w:val="en-GB"/>
        </w:rPr>
      </w:pPr>
      <w:r w:rsidRPr="00784E8E">
        <w:rPr>
          <w:noProof/>
          <w:lang w:val="en-GB"/>
        </w:rPr>
        <w:drawing>
          <wp:inline distT="0" distB="0" distL="0" distR="0" wp14:anchorId="073F7228" wp14:editId="7112F4AA">
            <wp:extent cx="5635625" cy="8048625"/>
            <wp:effectExtent l="0" t="0" r="3175" b="9525"/>
            <wp:docPr id="194535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535171" name="Picture 194535171"/>
                    <pic:cNvPicPr/>
                  </pic:nvPicPr>
                  <pic:blipFill rotWithShape="1">
                    <a:blip r:embed="rId14"/>
                    <a:srcRect b="4942"/>
                    <a:stretch>
                      <a:fillRect/>
                    </a:stretch>
                  </pic:blipFill>
                  <pic:spPr bwMode="auto">
                    <a:xfrm>
                      <a:off x="0" y="0"/>
                      <a:ext cx="5643029" cy="8059199"/>
                    </a:xfrm>
                    <a:prstGeom prst="rect">
                      <a:avLst/>
                    </a:prstGeom>
                    <a:ln>
                      <a:noFill/>
                    </a:ln>
                    <a:extLst>
                      <a:ext uri="{53640926-AAD7-44D8-BBD7-CCE9431645EC}">
                        <a14:shadowObscured xmlns:a14="http://schemas.microsoft.com/office/drawing/2010/main"/>
                      </a:ext>
                    </a:extLst>
                  </pic:spPr>
                </pic:pic>
              </a:graphicData>
            </a:graphic>
          </wp:inline>
        </w:drawing>
      </w:r>
    </w:p>
    <w:p w14:paraId="0A764FAB" w14:textId="77777777" w:rsidR="00E456DC" w:rsidRPr="00784E8E" w:rsidRDefault="00000000">
      <w:pPr>
        <w:pStyle w:val="FigureCaption"/>
        <w:rPr>
          <w:lang w:val="en-GB"/>
        </w:rPr>
      </w:pPr>
      <w:r w:rsidRPr="00784E8E">
        <w:rPr>
          <w:rFonts w:eastAsia="Times New Roman"/>
          <w:lang w:val="en-GB"/>
        </w:rPr>
        <w:t>Figure 1. PRISMA 2020 flow diagram for the identification, screening and inclusion of reports.</w:t>
      </w:r>
    </w:p>
    <w:p w14:paraId="77DAFCA1" w14:textId="77777777" w:rsidR="00E456DC" w:rsidRPr="00784E8E" w:rsidRDefault="00000000">
      <w:pPr>
        <w:pStyle w:val="Heading2"/>
        <w:rPr>
          <w:lang w:val="en-GB"/>
        </w:rPr>
      </w:pPr>
      <w:r w:rsidRPr="00784E8E">
        <w:rPr>
          <w:rFonts w:ascii="Times New Roman" w:eastAsia="Times New Roman" w:hAnsi="Times New Roman"/>
          <w:lang w:val="en-GB"/>
        </w:rPr>
        <w:lastRenderedPageBreak/>
        <w:t>3.2 Included-study characteristics</w:t>
      </w:r>
    </w:p>
    <w:p w14:paraId="271A9E75" w14:textId="77777777" w:rsidR="00E456DC" w:rsidRPr="00784E8E" w:rsidRDefault="00000000">
      <w:pPr>
        <w:rPr>
          <w:lang w:val="en-GB"/>
        </w:rPr>
      </w:pPr>
      <w:r w:rsidRPr="00784E8E">
        <w:rPr>
          <w:rFonts w:eastAsia="Times New Roman"/>
          <w:lang w:val="en-GB"/>
        </w:rPr>
        <w:t xml:space="preserve">The 17 included reports were published from 2018 to June 2026. Nine primarily built knowledge through definition, review, qualitative framework development, stakeholder analysis or forecasting (Kwon et al., 2022; Rovira-Simón et al., 2022; Sony et al., 2023; Jovy-Klein et al., 2024; Rahimi et al., 2024; Rajaei et al., 2024; de Graaf et al., 2025; Malekzadeh et al., 2025; </w:t>
      </w:r>
      <w:proofErr w:type="spellStart"/>
      <w:r w:rsidRPr="00784E8E">
        <w:rPr>
          <w:rFonts w:eastAsia="Times New Roman"/>
          <w:lang w:val="en-GB"/>
        </w:rPr>
        <w:t>Rabiei</w:t>
      </w:r>
      <w:proofErr w:type="spellEnd"/>
      <w:r w:rsidRPr="00784E8E">
        <w:rPr>
          <w:rFonts w:eastAsia="Times New Roman"/>
          <w:lang w:val="en-GB"/>
        </w:rPr>
        <w:t xml:space="preserve"> et al., 2025). Eight examined empirical or technical implementation: a Korean connected-hospital pilot, a stochastic architecture model, an Indian professional survey, a German workflow evaluation, a Korean rehabilitation feasibility system and three Chinese organisational case studies (Hassmann et al., 2025; Park et al., 2018; Peng et al., 2026; Quan &amp; Pan, 2026; Rajashekhar et al., 2025; Rodrigues et al., 2021; Jiang et al., 2026; Lee et al., 2026).</w:t>
      </w:r>
    </w:p>
    <w:p w14:paraId="433DAC9F" w14:textId="77777777" w:rsidR="00E456DC" w:rsidRPr="00784E8E" w:rsidRDefault="00000000">
      <w:pPr>
        <w:rPr>
          <w:lang w:val="en-GB"/>
        </w:rPr>
      </w:pPr>
      <w:r w:rsidRPr="00784E8E">
        <w:rPr>
          <w:rFonts w:eastAsia="Times New Roman"/>
          <w:lang w:val="en-GB"/>
        </w:rPr>
        <w:t>The units of analysis were fundamentally different. Conceptual studies drew on literature, experts or stakeholder groups; empirical studies ranged from 15 rehabilitation inpatients and 408 professionals to 15,543 transport requests and multi-hospital workforce surveys. Several reports did not provide complete patient or indicator denominators. Consequently, a combined participant total would be misleading. Tables 3A and 3B therefore retain the design-specific unit, intervention components, observed findings and primary limitation for every study.</w:t>
      </w:r>
    </w:p>
    <w:p w14:paraId="3014197E" w14:textId="77777777" w:rsidR="00E456DC" w:rsidRPr="00784E8E" w:rsidRDefault="00E456DC">
      <w:pPr>
        <w:rPr>
          <w:lang w:val="en-GB"/>
        </w:rPr>
        <w:sectPr w:rsidR="00E456DC" w:rsidRPr="00784E8E">
          <w:pgSz w:w="11906" w:h="16838"/>
          <w:pgMar w:top="1134" w:right="1191" w:bottom="1020" w:left="1191" w:header="454" w:footer="454" w:gutter="0"/>
          <w:cols w:space="720"/>
          <w:docGrid w:linePitch="360"/>
        </w:sectPr>
      </w:pPr>
    </w:p>
    <w:p w14:paraId="0E22C66D" w14:textId="77777777" w:rsidR="00E456DC" w:rsidRPr="00784E8E" w:rsidRDefault="00000000">
      <w:pPr>
        <w:pStyle w:val="AnalyticalLead"/>
        <w:rPr>
          <w:lang w:val="en-GB"/>
        </w:rPr>
      </w:pPr>
      <w:r w:rsidRPr="00784E8E">
        <w:rPr>
          <w:rFonts w:eastAsia="Times New Roman"/>
          <w:lang w:val="en-GB"/>
        </w:rPr>
        <w:lastRenderedPageBreak/>
        <w:t>The knowledge-building studies converge on a socio-technical interpretation of hospital intelligence, but they differ in method and evidential status. Table 3A shows that definitions and frameworks are supported mainly by reviews, expert consensus, qualitative inquiry and forecasting rather than validation against common hospital outcomes.</w:t>
      </w:r>
    </w:p>
    <w:p w14:paraId="6722FA4B" w14:textId="77777777" w:rsidR="00E456DC" w:rsidRPr="00784E8E" w:rsidRDefault="00000000">
      <w:pPr>
        <w:pStyle w:val="TableTitle"/>
        <w:rPr>
          <w:lang w:val="en-GB"/>
        </w:rPr>
      </w:pPr>
      <w:r w:rsidRPr="00784E8E">
        <w:rPr>
          <w:rFonts w:eastAsia="Times New Roman"/>
          <w:lang w:val="en-GB"/>
        </w:rPr>
        <w:t>Table 3A. Characteristics of knowledge-building studies</w:t>
      </w:r>
    </w:p>
    <w:tbl>
      <w:tblPr>
        <w:tblStyle w:val="TableGrid"/>
        <w:tblW w:w="0" w:type="auto"/>
        <w:jc w:val="center"/>
        <w:tblLayout w:type="fixed"/>
        <w:tblLook w:val="04A0" w:firstRow="1" w:lastRow="0" w:firstColumn="1" w:lastColumn="0" w:noHBand="0" w:noVBand="1"/>
      </w:tblPr>
      <w:tblGrid>
        <w:gridCol w:w="1247"/>
        <w:gridCol w:w="2154"/>
        <w:gridCol w:w="2608"/>
        <w:gridCol w:w="2835"/>
        <w:gridCol w:w="3402"/>
        <w:gridCol w:w="2381"/>
      </w:tblGrid>
      <w:tr w:rsidR="00E456DC" w:rsidRPr="00784E8E" w14:paraId="4A2F5AA8" w14:textId="77777777">
        <w:trPr>
          <w:tblHeader/>
          <w:jc w:val="center"/>
        </w:trPr>
        <w:tc>
          <w:tcPr>
            <w:tcW w:w="124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3E90003" w14:textId="77777777" w:rsidR="00E456DC" w:rsidRPr="00784E8E" w:rsidRDefault="00000000">
            <w:pPr>
              <w:spacing w:after="0"/>
              <w:jc w:val="center"/>
              <w:rPr>
                <w:lang w:val="en-GB"/>
              </w:rPr>
            </w:pPr>
            <w:r w:rsidRPr="00784E8E">
              <w:rPr>
                <w:rFonts w:eastAsia="Times New Roman"/>
                <w:b/>
                <w:color w:val="FFFFFF"/>
                <w:sz w:val="15"/>
                <w:lang w:val="en-GB"/>
              </w:rPr>
              <w:t>Study</w:t>
            </w:r>
          </w:p>
        </w:tc>
        <w:tc>
          <w:tcPr>
            <w:tcW w:w="215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CB25B17" w14:textId="77777777" w:rsidR="00E456DC" w:rsidRPr="00784E8E" w:rsidRDefault="00000000">
            <w:pPr>
              <w:spacing w:after="0"/>
              <w:jc w:val="center"/>
              <w:rPr>
                <w:lang w:val="en-GB"/>
              </w:rPr>
            </w:pPr>
            <w:r w:rsidRPr="00784E8E">
              <w:rPr>
                <w:rFonts w:eastAsia="Times New Roman"/>
                <w:b/>
                <w:color w:val="FFFFFF"/>
                <w:sz w:val="15"/>
                <w:lang w:val="en-GB"/>
              </w:rPr>
              <w:t>Country and design</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15D5FB1" w14:textId="77777777" w:rsidR="00E456DC" w:rsidRPr="00784E8E" w:rsidRDefault="00000000">
            <w:pPr>
              <w:spacing w:after="0"/>
              <w:jc w:val="center"/>
              <w:rPr>
                <w:lang w:val="en-GB"/>
              </w:rPr>
            </w:pPr>
            <w:r w:rsidRPr="00784E8E">
              <w:rPr>
                <w:rFonts w:eastAsia="Times New Roman"/>
                <w:b/>
                <w:color w:val="FFFFFF"/>
                <w:sz w:val="15"/>
                <w:lang w:val="en-GB"/>
              </w:rPr>
              <w:t>Unit/sample</w:t>
            </w:r>
          </w:p>
        </w:tc>
        <w:tc>
          <w:tcPr>
            <w:tcW w:w="283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62CD714" w14:textId="77777777" w:rsidR="00E456DC" w:rsidRPr="00784E8E" w:rsidRDefault="00000000">
            <w:pPr>
              <w:spacing w:after="0"/>
              <w:jc w:val="center"/>
              <w:rPr>
                <w:lang w:val="en-GB"/>
              </w:rPr>
            </w:pPr>
            <w:r w:rsidRPr="00784E8E">
              <w:rPr>
                <w:rFonts w:eastAsia="Times New Roman"/>
                <w:b/>
                <w:color w:val="FFFFFF"/>
                <w:sz w:val="15"/>
                <w:lang w:val="en-GB"/>
              </w:rPr>
              <w:t>Contribution</w:t>
            </w:r>
          </w:p>
        </w:tc>
        <w:tc>
          <w:tcPr>
            <w:tcW w:w="340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143E292" w14:textId="77777777" w:rsidR="00E456DC" w:rsidRPr="00784E8E" w:rsidRDefault="00000000">
            <w:pPr>
              <w:spacing w:after="0"/>
              <w:jc w:val="center"/>
              <w:rPr>
                <w:lang w:val="en-GB"/>
              </w:rPr>
            </w:pPr>
            <w:r w:rsidRPr="00784E8E">
              <w:rPr>
                <w:rFonts w:eastAsia="Times New Roman"/>
                <w:b/>
                <w:color w:val="FFFFFF"/>
                <w:sz w:val="15"/>
                <w:lang w:val="en-GB"/>
              </w:rPr>
              <w:t>Principal findings</w:t>
            </w:r>
          </w:p>
        </w:tc>
        <w:tc>
          <w:tcPr>
            <w:tcW w:w="238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457DFBE" w14:textId="77777777" w:rsidR="00E456DC" w:rsidRPr="00784E8E" w:rsidRDefault="00000000">
            <w:pPr>
              <w:spacing w:after="0"/>
              <w:jc w:val="center"/>
              <w:rPr>
                <w:lang w:val="en-GB"/>
              </w:rPr>
            </w:pPr>
            <w:r w:rsidRPr="00784E8E">
              <w:rPr>
                <w:rFonts w:eastAsia="Times New Roman"/>
                <w:b/>
                <w:color w:val="FFFFFF"/>
                <w:sz w:val="15"/>
                <w:lang w:val="en-GB"/>
              </w:rPr>
              <w:t>Main limitation</w:t>
            </w:r>
          </w:p>
        </w:tc>
      </w:tr>
      <w:tr w:rsidR="00E456DC" w:rsidRPr="00784E8E" w14:paraId="22BCA69E"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B5C8AF" w14:textId="77777777" w:rsidR="00E456DC" w:rsidRPr="00784E8E" w:rsidRDefault="00000000">
            <w:pPr>
              <w:spacing w:after="0" w:line="245" w:lineRule="auto"/>
              <w:jc w:val="left"/>
              <w:rPr>
                <w:lang w:val="en-GB"/>
              </w:rPr>
            </w:pPr>
            <w:r w:rsidRPr="00784E8E">
              <w:rPr>
                <w:rFonts w:eastAsia="Times New Roman"/>
                <w:b/>
                <w:color w:val="000000"/>
                <w:sz w:val="14"/>
                <w:lang w:val="en-GB"/>
              </w:rPr>
              <w:t>Kwon et al. (2022)</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9E09965" w14:textId="77777777" w:rsidR="00E456DC" w:rsidRPr="00784E8E" w:rsidRDefault="00000000">
            <w:pPr>
              <w:spacing w:after="0" w:line="245" w:lineRule="auto"/>
              <w:jc w:val="left"/>
              <w:rPr>
                <w:lang w:val="en-GB"/>
              </w:rPr>
            </w:pPr>
            <w:r w:rsidRPr="00784E8E">
              <w:rPr>
                <w:rFonts w:eastAsia="Times New Roman"/>
                <w:color w:val="000000"/>
                <w:sz w:val="14"/>
                <w:lang w:val="en-GB"/>
              </w:rPr>
              <w:t>Republic of Korea</w:t>
            </w:r>
            <w:r w:rsidRPr="00784E8E">
              <w:rPr>
                <w:rFonts w:eastAsia="Times New Roman"/>
                <w:color w:val="000000"/>
                <w:sz w:val="14"/>
                <w:lang w:val="en-GB"/>
              </w:rPr>
              <w:br/>
              <w:t>Narrative literature review with expert focus-group consensus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8699DE5" w14:textId="77777777" w:rsidR="00E456DC" w:rsidRPr="00784E8E" w:rsidRDefault="00000000">
            <w:pPr>
              <w:spacing w:after="0" w:line="245" w:lineRule="auto"/>
              <w:jc w:val="left"/>
              <w:rPr>
                <w:lang w:val="en-GB"/>
              </w:rPr>
            </w:pPr>
            <w:r w:rsidRPr="00784E8E">
              <w:rPr>
                <w:rFonts w:eastAsia="Times New Roman"/>
                <w:color w:val="000000"/>
                <w:sz w:val="14"/>
                <w:lang w:val="en-GB"/>
              </w:rPr>
              <w:t>Published literature and experts in hospital information systems and medical informatics; number of experts not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6DB2ABD" w14:textId="77777777" w:rsidR="00E456DC" w:rsidRPr="00784E8E" w:rsidRDefault="00000000">
            <w:pPr>
              <w:spacing w:after="0" w:line="245" w:lineRule="auto"/>
              <w:jc w:val="left"/>
              <w:rPr>
                <w:lang w:val="en-GB"/>
              </w:rPr>
            </w:pPr>
            <w:r w:rsidRPr="00784E8E">
              <w:rPr>
                <w:rFonts w:eastAsia="Times New Roman"/>
                <w:color w:val="000000"/>
                <w:sz w:val="14"/>
                <w:lang w:val="en-GB"/>
              </w:rPr>
              <w:t>Eight service groups: location tracking, high-speed networks, Internet of Things, mobile health, artificial intelligence, robotics, extended reality and telehealth.</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103789D" w14:textId="77777777" w:rsidR="00E456DC" w:rsidRPr="00784E8E" w:rsidRDefault="00000000">
            <w:pPr>
              <w:spacing w:after="0" w:line="245" w:lineRule="auto"/>
              <w:jc w:val="left"/>
              <w:rPr>
                <w:lang w:val="en-GB"/>
              </w:rPr>
            </w:pPr>
            <w:r w:rsidRPr="00784E8E">
              <w:rPr>
                <w:rFonts w:eastAsia="Times New Roman"/>
                <w:color w:val="000000"/>
                <w:sz w:val="14"/>
                <w:lang w:val="en-GB"/>
              </w:rPr>
              <w:t>A smart hospital was defined as an institution using information and communication technology to create measurable value and insight for safety, care quality, cost-effectiveness and patient-centredness.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D3704B6" w14:textId="77777777" w:rsidR="00E456DC" w:rsidRPr="00784E8E" w:rsidRDefault="00000000">
            <w:pPr>
              <w:spacing w:after="0" w:line="245" w:lineRule="auto"/>
              <w:jc w:val="left"/>
              <w:rPr>
                <w:lang w:val="en-GB"/>
              </w:rPr>
            </w:pPr>
            <w:r w:rsidRPr="00784E8E">
              <w:rPr>
                <w:rFonts w:eastAsia="Times New Roman"/>
                <w:color w:val="000000"/>
                <w:sz w:val="14"/>
                <w:lang w:val="en-GB"/>
              </w:rPr>
              <w:t>Search and expert-sampling methods are incompletely reported; examples are not a comparative effectiveness synthesis.</w:t>
            </w:r>
          </w:p>
        </w:tc>
      </w:tr>
      <w:tr w:rsidR="00E456DC" w:rsidRPr="00784E8E" w14:paraId="1ED01D5C"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A50AF79" w14:textId="77777777" w:rsidR="00E456DC" w:rsidRPr="00784E8E" w:rsidRDefault="00000000">
            <w:pPr>
              <w:spacing w:after="0" w:line="245" w:lineRule="auto"/>
              <w:jc w:val="left"/>
              <w:rPr>
                <w:lang w:val="en-GB"/>
              </w:rPr>
            </w:pPr>
            <w:r w:rsidRPr="00784E8E">
              <w:rPr>
                <w:rFonts w:eastAsia="Times New Roman"/>
                <w:b/>
                <w:color w:val="000000"/>
                <w:sz w:val="14"/>
                <w:lang w:val="en-GB"/>
              </w:rPr>
              <w:t>Rovira-Simón et al. (2022)</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4689803" w14:textId="77777777" w:rsidR="00E456DC" w:rsidRPr="00784E8E" w:rsidRDefault="00000000">
            <w:pPr>
              <w:spacing w:after="0" w:line="245" w:lineRule="auto"/>
              <w:jc w:val="left"/>
              <w:rPr>
                <w:lang w:val="en-GB"/>
              </w:rPr>
            </w:pPr>
            <w:r w:rsidRPr="00784E8E">
              <w:rPr>
                <w:rFonts w:eastAsia="Times New Roman"/>
                <w:color w:val="000000"/>
                <w:sz w:val="14"/>
                <w:lang w:val="en-GB"/>
              </w:rPr>
              <w:t>Spain and United Kingdom</w:t>
            </w:r>
            <w:r w:rsidRPr="00784E8E">
              <w:rPr>
                <w:rFonts w:eastAsia="Times New Roman"/>
                <w:color w:val="000000"/>
                <w:sz w:val="14"/>
                <w:lang w:val="en-GB"/>
              </w:rPr>
              <w:br/>
              <w:t>Conceptual survey and expert narrative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9C89DF" w14:textId="77777777" w:rsidR="00E456DC" w:rsidRPr="00784E8E" w:rsidRDefault="00000000">
            <w:pPr>
              <w:spacing w:after="0" w:line="245" w:lineRule="auto"/>
              <w:jc w:val="left"/>
              <w:rPr>
                <w:lang w:val="en-GB"/>
              </w:rPr>
            </w:pPr>
            <w:r w:rsidRPr="00784E8E">
              <w:rPr>
                <w:rFonts w:eastAsia="Times New Roman"/>
                <w:color w:val="000000"/>
                <w:sz w:val="14"/>
                <w:lang w:val="en-GB"/>
              </w:rPr>
              <w:t>Literature on advanced hospital concepts and multi-institutional expert interpretation; no empirical sample.</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F622799" w14:textId="77777777" w:rsidR="00E456DC" w:rsidRPr="00784E8E" w:rsidRDefault="00000000">
            <w:pPr>
              <w:spacing w:after="0" w:line="245" w:lineRule="auto"/>
              <w:jc w:val="left"/>
              <w:rPr>
                <w:lang w:val="en-GB"/>
              </w:rPr>
            </w:pPr>
            <w:r w:rsidRPr="00784E8E">
              <w:rPr>
                <w:rFonts w:eastAsia="Times New Roman"/>
                <w:color w:val="000000"/>
                <w:sz w:val="14"/>
                <w:lang w:val="en-GB"/>
              </w:rPr>
              <w:t>Hospital-wide sensor and actuator networks, integrated data, artificial intelligence, organisational coordination, learning, anticipation, adaptation and self-awareness.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395EE87" w14:textId="77777777" w:rsidR="00E456DC" w:rsidRPr="00784E8E" w:rsidRDefault="00000000">
            <w:pPr>
              <w:spacing w:after="0" w:line="245" w:lineRule="auto"/>
              <w:jc w:val="left"/>
              <w:rPr>
                <w:lang w:val="en-GB"/>
              </w:rPr>
            </w:pPr>
            <w:r w:rsidRPr="00784E8E">
              <w:rPr>
                <w:rFonts w:eastAsia="Times New Roman"/>
                <w:color w:val="000000"/>
                <w:sz w:val="14"/>
                <w:lang w:val="en-GB"/>
              </w:rPr>
              <w:t>The cognitive hospital was framed as a complex, nervous-system-like entity that senses internal and external conditions, integrates information, learns, anticipates, solves problems and adapts organisational structures.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EC71A2" w14:textId="77777777" w:rsidR="00E456DC" w:rsidRPr="00784E8E" w:rsidRDefault="00000000">
            <w:pPr>
              <w:spacing w:after="0" w:line="245" w:lineRule="auto"/>
              <w:jc w:val="left"/>
              <w:rPr>
                <w:lang w:val="en-GB"/>
              </w:rPr>
            </w:pPr>
            <w:r w:rsidRPr="00784E8E">
              <w:rPr>
                <w:rFonts w:eastAsia="Times New Roman"/>
                <w:color w:val="000000"/>
                <w:sz w:val="14"/>
                <w:lang w:val="en-GB"/>
              </w:rPr>
              <w:t>Conceptual proposition without operational criteria, validation study or outcome evaluation.</w:t>
            </w:r>
          </w:p>
        </w:tc>
      </w:tr>
      <w:tr w:rsidR="00E456DC" w:rsidRPr="00784E8E" w14:paraId="65444AB0"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030D2B" w14:textId="77777777" w:rsidR="00E456DC" w:rsidRPr="00784E8E" w:rsidRDefault="00000000">
            <w:pPr>
              <w:spacing w:after="0" w:line="245" w:lineRule="auto"/>
              <w:jc w:val="left"/>
              <w:rPr>
                <w:lang w:val="en-GB"/>
              </w:rPr>
            </w:pPr>
            <w:r w:rsidRPr="00784E8E">
              <w:rPr>
                <w:rFonts w:eastAsia="Times New Roman"/>
                <w:b/>
                <w:color w:val="000000"/>
                <w:sz w:val="14"/>
                <w:lang w:val="en-GB"/>
              </w:rPr>
              <w:t>Sony et al. (2023)</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D1CEDAE" w14:textId="77777777" w:rsidR="00E456DC" w:rsidRPr="00784E8E" w:rsidRDefault="00000000">
            <w:pPr>
              <w:spacing w:after="0" w:line="245" w:lineRule="auto"/>
              <w:jc w:val="left"/>
              <w:rPr>
                <w:lang w:val="en-GB"/>
              </w:rPr>
            </w:pPr>
            <w:r w:rsidRPr="00784E8E">
              <w:rPr>
                <w:rFonts w:eastAsia="Times New Roman"/>
                <w:color w:val="000000"/>
                <w:sz w:val="14"/>
                <w:lang w:val="en-GB"/>
              </w:rPr>
              <w:t>International evidence synthesis</w:t>
            </w:r>
            <w:r w:rsidRPr="00784E8E">
              <w:rPr>
                <w:rFonts w:eastAsia="Times New Roman"/>
                <w:color w:val="000000"/>
                <w:sz w:val="14"/>
                <w:lang w:val="en-GB"/>
              </w:rPr>
              <w:br/>
              <w:t>Systematic literature review with bibliometric and thematic analysis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9D71BDB" w14:textId="77777777" w:rsidR="00E456DC" w:rsidRPr="00784E8E" w:rsidRDefault="00000000">
            <w:pPr>
              <w:spacing w:after="0" w:line="245" w:lineRule="auto"/>
              <w:jc w:val="left"/>
              <w:rPr>
                <w:lang w:val="en-GB"/>
              </w:rPr>
            </w:pPr>
            <w:r w:rsidRPr="00784E8E">
              <w:rPr>
                <w:rFonts w:eastAsia="Times New Roman"/>
                <w:color w:val="000000"/>
                <w:sz w:val="14"/>
                <w:lang w:val="en-GB"/>
              </w:rPr>
              <w:t>Healthcare 4.0 literature; number of included reports and all selection details were not used as primary outcome evidence in this review.</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C546CC4" w14:textId="77777777" w:rsidR="00E456DC" w:rsidRPr="00784E8E" w:rsidRDefault="00000000">
            <w:pPr>
              <w:spacing w:after="0" w:line="245" w:lineRule="auto"/>
              <w:jc w:val="left"/>
              <w:rPr>
                <w:lang w:val="en-GB"/>
              </w:rPr>
            </w:pPr>
            <w:r w:rsidRPr="00784E8E">
              <w:rPr>
                <w:rFonts w:eastAsia="Times New Roman"/>
                <w:color w:val="000000"/>
                <w:sz w:val="14"/>
                <w:lang w:val="en-GB"/>
              </w:rPr>
              <w:t>Digital integration, human-centred automation, patient experience, big-data analytics, smart supply chains, strategy, culture, leadership, workforce skills, and regulatory/ethical conditions.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DDD4444" w14:textId="77777777" w:rsidR="00E456DC" w:rsidRPr="00784E8E" w:rsidRDefault="00000000">
            <w:pPr>
              <w:spacing w:after="0" w:line="245" w:lineRule="auto"/>
              <w:jc w:val="left"/>
              <w:rPr>
                <w:lang w:val="en-GB"/>
              </w:rPr>
            </w:pPr>
            <w:r w:rsidRPr="00784E8E">
              <w:rPr>
                <w:rFonts w:eastAsia="Times New Roman"/>
                <w:color w:val="000000"/>
                <w:sz w:val="14"/>
                <w:lang w:val="en-GB"/>
              </w:rPr>
              <w:t>Ten interdependent socio-technical conditions were identified, emphasising that technology deployment without strategy, culture, governance, skills and patient-centred design is unlikely to produce sustained transformation.</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C90ACDC" w14:textId="77777777" w:rsidR="00E456DC" w:rsidRPr="00784E8E" w:rsidRDefault="00000000">
            <w:pPr>
              <w:spacing w:after="0" w:line="245" w:lineRule="auto"/>
              <w:jc w:val="left"/>
              <w:rPr>
                <w:lang w:val="en-GB"/>
              </w:rPr>
            </w:pPr>
            <w:r w:rsidRPr="00784E8E">
              <w:rPr>
                <w:rFonts w:eastAsia="Times New Roman"/>
                <w:color w:val="000000"/>
                <w:sz w:val="14"/>
                <w:lang w:val="en-GB"/>
              </w:rPr>
              <w:t>Broad healthcare scope, variable primary evidence and limited direct testing of the proposed factors in whole hospitals.</w:t>
            </w:r>
          </w:p>
        </w:tc>
      </w:tr>
      <w:tr w:rsidR="00E456DC" w:rsidRPr="00784E8E" w14:paraId="56D359C2"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7F228D1" w14:textId="77777777" w:rsidR="00E456DC" w:rsidRPr="00784E8E" w:rsidRDefault="00000000">
            <w:pPr>
              <w:spacing w:after="0" w:line="245" w:lineRule="auto"/>
              <w:jc w:val="left"/>
              <w:rPr>
                <w:lang w:val="en-GB"/>
              </w:rPr>
            </w:pPr>
            <w:r w:rsidRPr="00784E8E">
              <w:rPr>
                <w:rFonts w:eastAsia="Times New Roman"/>
                <w:b/>
                <w:color w:val="000000"/>
                <w:sz w:val="14"/>
                <w:lang w:val="en-GB"/>
              </w:rPr>
              <w:t>Rajaei et al. (2024)</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149C76" w14:textId="77777777" w:rsidR="00E456DC" w:rsidRPr="00784E8E" w:rsidRDefault="00000000">
            <w:pPr>
              <w:spacing w:after="0" w:line="245" w:lineRule="auto"/>
              <w:jc w:val="left"/>
              <w:rPr>
                <w:lang w:val="en-GB"/>
              </w:rPr>
            </w:pPr>
            <w:r w:rsidRPr="00784E8E">
              <w:rPr>
                <w:rFonts w:eastAsia="Times New Roman"/>
                <w:color w:val="000000"/>
                <w:sz w:val="14"/>
                <w:lang w:val="en-GB"/>
              </w:rPr>
              <w:t>Iran (international academic and industry sources)</w:t>
            </w:r>
            <w:r w:rsidRPr="00784E8E">
              <w:rPr>
                <w:rFonts w:eastAsia="Times New Roman"/>
                <w:color w:val="000000"/>
                <w:sz w:val="14"/>
                <w:lang w:val="en-GB"/>
              </w:rPr>
              <w:br/>
              <w:t>Structured review of academic and practical sources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1C34018" w14:textId="77777777" w:rsidR="00E456DC" w:rsidRPr="00784E8E" w:rsidRDefault="00000000">
            <w:pPr>
              <w:spacing w:after="0" w:line="245" w:lineRule="auto"/>
              <w:jc w:val="left"/>
              <w:rPr>
                <w:lang w:val="en-GB"/>
              </w:rPr>
            </w:pPr>
            <w:r w:rsidRPr="00784E8E">
              <w:rPr>
                <w:rFonts w:eastAsia="Times New Roman"/>
                <w:color w:val="000000"/>
                <w:sz w:val="14"/>
                <w:lang w:val="en-GB"/>
              </w:rPr>
              <w:t>Seventeen included sources; 83 extracted characteristics grouped into technologies, services and goals.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7EC1D9" w14:textId="77777777" w:rsidR="00E456DC" w:rsidRPr="00784E8E" w:rsidRDefault="00000000">
            <w:pPr>
              <w:spacing w:after="0" w:line="245" w:lineRule="auto"/>
              <w:jc w:val="left"/>
              <w:rPr>
                <w:lang w:val="en-GB"/>
              </w:rPr>
            </w:pPr>
            <w:r w:rsidRPr="00784E8E">
              <w:rPr>
                <w:rFonts w:eastAsia="Times New Roman"/>
                <w:color w:val="000000"/>
                <w:sz w:val="14"/>
                <w:lang w:val="en-GB"/>
              </w:rPr>
              <w:t>Academic and industry definitions, infrastructure, services and organisational aims.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DF4F3E" w14:textId="77777777" w:rsidR="00E456DC" w:rsidRPr="00784E8E" w:rsidRDefault="00000000">
            <w:pPr>
              <w:spacing w:after="0" w:line="245" w:lineRule="auto"/>
              <w:jc w:val="left"/>
              <w:rPr>
                <w:lang w:val="en-GB"/>
              </w:rPr>
            </w:pPr>
            <w:r w:rsidRPr="00784E8E">
              <w:rPr>
                <w:rFonts w:eastAsia="Times New Roman"/>
                <w:color w:val="000000"/>
                <w:sz w:val="14"/>
                <w:lang w:val="en-GB"/>
              </w:rPr>
              <w:t>The study distinguished true smart transformation from simple digitisation and showed that definitions converge around integrated technologies, service redesign and measurable organisational goals.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EFB3DA" w14:textId="77777777" w:rsidR="00E456DC" w:rsidRPr="00784E8E" w:rsidRDefault="00000000">
            <w:pPr>
              <w:spacing w:after="0" w:line="245" w:lineRule="auto"/>
              <w:jc w:val="left"/>
              <w:rPr>
                <w:lang w:val="en-GB"/>
              </w:rPr>
            </w:pPr>
            <w:r w:rsidRPr="00784E8E">
              <w:rPr>
                <w:rFonts w:eastAsia="Times New Roman"/>
                <w:color w:val="000000"/>
                <w:sz w:val="14"/>
                <w:lang w:val="en-GB"/>
              </w:rPr>
              <w:t>Small, mixed source base; frequency of characteristics does not establish importance or effectiveness.</w:t>
            </w:r>
          </w:p>
        </w:tc>
      </w:tr>
      <w:tr w:rsidR="00E456DC" w:rsidRPr="00784E8E" w14:paraId="7B1318E8"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273DB9" w14:textId="77777777" w:rsidR="00E456DC" w:rsidRPr="00784E8E" w:rsidRDefault="00000000">
            <w:pPr>
              <w:spacing w:after="0" w:line="245" w:lineRule="auto"/>
              <w:jc w:val="left"/>
              <w:rPr>
                <w:lang w:val="en-GB"/>
              </w:rPr>
            </w:pPr>
            <w:r w:rsidRPr="00784E8E">
              <w:rPr>
                <w:rFonts w:eastAsia="Times New Roman"/>
                <w:b/>
                <w:color w:val="000000"/>
                <w:sz w:val="14"/>
                <w:lang w:val="en-GB"/>
              </w:rPr>
              <w:t>Jovy-Klein et al. (2024)</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D77984E" w14:textId="77777777" w:rsidR="00E456DC" w:rsidRPr="00784E8E" w:rsidRDefault="00000000">
            <w:pPr>
              <w:spacing w:after="0" w:line="245" w:lineRule="auto"/>
              <w:jc w:val="left"/>
              <w:rPr>
                <w:lang w:val="en-GB"/>
              </w:rPr>
            </w:pPr>
            <w:r w:rsidRPr="00784E8E">
              <w:rPr>
                <w:rFonts w:eastAsia="Times New Roman"/>
                <w:color w:val="000000"/>
                <w:sz w:val="14"/>
                <w:lang w:val="en-GB"/>
              </w:rPr>
              <w:t>Germany</w:t>
            </w:r>
            <w:r w:rsidRPr="00784E8E">
              <w:rPr>
                <w:rFonts w:eastAsia="Times New Roman"/>
                <w:color w:val="000000"/>
                <w:sz w:val="14"/>
                <w:lang w:val="en-GB"/>
              </w:rPr>
              <w:br/>
              <w:t>Iterative mixed-methods workshops and real-time Delphi study</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01AC7B9" w14:textId="77777777" w:rsidR="00E456DC" w:rsidRPr="00784E8E" w:rsidRDefault="00000000">
            <w:pPr>
              <w:spacing w:after="0" w:line="245" w:lineRule="auto"/>
              <w:jc w:val="left"/>
              <w:rPr>
                <w:lang w:val="en-GB"/>
              </w:rPr>
            </w:pPr>
            <w:r w:rsidRPr="00784E8E">
              <w:rPr>
                <w:rFonts w:eastAsia="Times New Roman"/>
                <w:color w:val="000000"/>
                <w:sz w:val="14"/>
                <w:lang w:val="en-GB"/>
              </w:rPr>
              <w:t>Thirty-nine experts in healthcare, artificial intelligence and management; 23 future projections, with consensus reported for 11.</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E6CC074" w14:textId="77777777" w:rsidR="00E456DC" w:rsidRPr="00784E8E" w:rsidRDefault="00000000">
            <w:pPr>
              <w:spacing w:after="0" w:line="245" w:lineRule="auto"/>
              <w:jc w:val="left"/>
              <w:rPr>
                <w:lang w:val="en-GB"/>
              </w:rPr>
            </w:pPr>
            <w:r w:rsidRPr="00784E8E">
              <w:rPr>
                <w:rFonts w:eastAsia="Times New Roman"/>
                <w:color w:val="000000"/>
                <w:sz w:val="14"/>
                <w:lang w:val="en-GB"/>
              </w:rPr>
              <w:t>Artificial intelligence, sustainability, healthcare ecosystems and human-centredness; forecasts to 2042.</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D1FD71E" w14:textId="77777777" w:rsidR="00E456DC" w:rsidRPr="00784E8E" w:rsidRDefault="00000000">
            <w:pPr>
              <w:spacing w:after="0" w:line="245" w:lineRule="auto"/>
              <w:jc w:val="left"/>
              <w:rPr>
                <w:lang w:val="en-GB"/>
              </w:rPr>
            </w:pPr>
            <w:r w:rsidRPr="00784E8E">
              <w:rPr>
                <w:rFonts w:eastAsia="Times New Roman"/>
                <w:color w:val="000000"/>
                <w:sz w:val="14"/>
                <w:lang w:val="en-GB"/>
              </w:rPr>
              <w:t>Experts anticipated progressive smart-hospital development rather than abrupt replacement, with AI-enabled individualisation, more home-based care and major changes to professional roles. Human-centredness and sustainability were treated as constitutive dimensions, not add-ons.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98C6BDE" w14:textId="77777777" w:rsidR="00E456DC" w:rsidRPr="00784E8E" w:rsidRDefault="00000000">
            <w:pPr>
              <w:spacing w:after="0" w:line="245" w:lineRule="auto"/>
              <w:jc w:val="left"/>
              <w:rPr>
                <w:lang w:val="en-GB"/>
              </w:rPr>
            </w:pPr>
            <w:r w:rsidRPr="00784E8E">
              <w:rPr>
                <w:rFonts w:eastAsia="Times New Roman"/>
                <w:color w:val="000000"/>
                <w:sz w:val="14"/>
                <w:lang w:val="en-GB"/>
              </w:rPr>
              <w:t>Expert forecast, not observed effectiveness; national and participant composition may shape consensus.</w:t>
            </w:r>
          </w:p>
        </w:tc>
      </w:tr>
      <w:tr w:rsidR="00E456DC" w:rsidRPr="00784E8E" w14:paraId="62A1C584"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6AF86C0" w14:textId="77777777" w:rsidR="00E456DC" w:rsidRPr="00784E8E" w:rsidRDefault="00000000">
            <w:pPr>
              <w:spacing w:after="0" w:line="245" w:lineRule="auto"/>
              <w:jc w:val="left"/>
              <w:rPr>
                <w:lang w:val="en-GB"/>
              </w:rPr>
            </w:pPr>
            <w:r w:rsidRPr="00784E8E">
              <w:rPr>
                <w:rFonts w:eastAsia="Times New Roman"/>
                <w:b/>
                <w:color w:val="000000"/>
                <w:sz w:val="14"/>
                <w:lang w:val="en-GB"/>
              </w:rPr>
              <w:t>Rahimi et al. (2024)</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6D14101" w14:textId="77777777" w:rsidR="00E456DC" w:rsidRPr="00784E8E" w:rsidRDefault="00000000">
            <w:pPr>
              <w:spacing w:after="0" w:line="245" w:lineRule="auto"/>
              <w:jc w:val="left"/>
              <w:rPr>
                <w:lang w:val="en-GB"/>
              </w:rPr>
            </w:pPr>
            <w:r w:rsidRPr="00784E8E">
              <w:rPr>
                <w:rFonts w:eastAsia="Times New Roman"/>
                <w:color w:val="000000"/>
                <w:sz w:val="14"/>
                <w:lang w:val="en-GB"/>
              </w:rPr>
              <w:t>Australia (international evidence synthesis)</w:t>
            </w:r>
            <w:r w:rsidRPr="00784E8E">
              <w:rPr>
                <w:rFonts w:eastAsia="Times New Roman"/>
                <w:color w:val="000000"/>
                <w:sz w:val="14"/>
                <w:lang w:val="en-GB"/>
              </w:rPr>
              <w:br/>
              <w:t>Systematic review with three-horizon implementation mapping</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4B78142" w14:textId="77777777" w:rsidR="00E456DC" w:rsidRPr="00784E8E" w:rsidRDefault="00000000">
            <w:pPr>
              <w:spacing w:after="0" w:line="245" w:lineRule="auto"/>
              <w:jc w:val="left"/>
              <w:rPr>
                <w:lang w:val="en-GB"/>
              </w:rPr>
            </w:pPr>
            <w:r w:rsidRPr="00784E8E">
              <w:rPr>
                <w:rFonts w:eastAsia="Times New Roman"/>
                <w:color w:val="000000"/>
                <w:sz w:val="14"/>
                <w:lang w:val="en-GB"/>
              </w:rPr>
              <w:t>1,247 records screened; 26 reports included, comprising 17 hospital implementations and 9 guidance reports.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EE675CD" w14:textId="77777777" w:rsidR="00E456DC" w:rsidRPr="00784E8E" w:rsidRDefault="00000000">
            <w:pPr>
              <w:spacing w:after="0" w:line="245" w:lineRule="auto"/>
              <w:jc w:val="left"/>
              <w:rPr>
                <w:lang w:val="en-GB"/>
              </w:rPr>
            </w:pPr>
            <w:r w:rsidRPr="00784E8E">
              <w:rPr>
                <w:rFonts w:eastAsia="Times New Roman"/>
                <w:color w:val="000000"/>
                <w:sz w:val="14"/>
                <w:lang w:val="en-GB"/>
              </w:rPr>
              <w:t>Artificial intelligence integrated with live electronic medical-record data and clinical workflows.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A42157C" w14:textId="77777777" w:rsidR="00E456DC" w:rsidRPr="00784E8E" w:rsidRDefault="00000000">
            <w:pPr>
              <w:spacing w:after="0" w:line="245" w:lineRule="auto"/>
              <w:jc w:val="left"/>
              <w:rPr>
                <w:lang w:val="en-GB"/>
              </w:rPr>
            </w:pPr>
            <w:r w:rsidRPr="00784E8E">
              <w:rPr>
                <w:rFonts w:eastAsia="Times New Roman"/>
                <w:color w:val="000000"/>
                <w:sz w:val="14"/>
                <w:lang w:val="en-GB"/>
              </w:rPr>
              <w:t>Twenty-eight enablers and 18 barriers were mapped across three horizons. Real-time electronic-record integration was uncommon, and 21 of 26 included reports were assessed by the authors as poor quality.</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43F11FB" w14:textId="77777777" w:rsidR="00E456DC" w:rsidRPr="00784E8E" w:rsidRDefault="00000000">
            <w:pPr>
              <w:spacing w:after="0" w:line="245" w:lineRule="auto"/>
              <w:jc w:val="left"/>
              <w:rPr>
                <w:lang w:val="en-GB"/>
              </w:rPr>
            </w:pPr>
            <w:r w:rsidRPr="00784E8E">
              <w:rPr>
                <w:rFonts w:eastAsia="Times New Roman"/>
                <w:color w:val="000000"/>
                <w:sz w:val="14"/>
                <w:lang w:val="en-GB"/>
              </w:rPr>
              <w:t>The review search ended in January 2022; underlying studies were heterogeneous and mostly weak, and some predated this review’s eligible publication window.</w:t>
            </w:r>
          </w:p>
        </w:tc>
      </w:tr>
      <w:tr w:rsidR="00E456DC" w:rsidRPr="00784E8E" w14:paraId="5C2F6C86"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323320A" w14:textId="77777777" w:rsidR="00E456DC" w:rsidRPr="00784E8E" w:rsidRDefault="00000000">
            <w:pPr>
              <w:spacing w:after="0" w:line="245" w:lineRule="auto"/>
              <w:jc w:val="left"/>
              <w:rPr>
                <w:lang w:val="en-GB"/>
              </w:rPr>
            </w:pPr>
            <w:r w:rsidRPr="00784E8E">
              <w:rPr>
                <w:rFonts w:eastAsia="Times New Roman"/>
                <w:b/>
                <w:color w:val="000000"/>
                <w:sz w:val="14"/>
                <w:lang w:val="en-GB"/>
              </w:rPr>
              <w:t>de Graaf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843A8B7" w14:textId="77777777" w:rsidR="00E456DC" w:rsidRPr="00784E8E" w:rsidRDefault="00000000">
            <w:pPr>
              <w:spacing w:after="0" w:line="245" w:lineRule="auto"/>
              <w:jc w:val="left"/>
              <w:rPr>
                <w:lang w:val="en-GB"/>
              </w:rPr>
            </w:pPr>
            <w:r w:rsidRPr="00784E8E">
              <w:rPr>
                <w:rFonts w:eastAsia="Times New Roman"/>
                <w:color w:val="000000"/>
                <w:sz w:val="14"/>
                <w:lang w:val="en-GB"/>
              </w:rPr>
              <w:t>Netherlands and Germany</w:t>
            </w:r>
            <w:r w:rsidRPr="00784E8E">
              <w:rPr>
                <w:rFonts w:eastAsia="Times New Roman"/>
                <w:color w:val="000000"/>
                <w:sz w:val="14"/>
                <w:lang w:val="en-GB"/>
              </w:rPr>
              <w:br/>
              <w:t>Survey followed by qualitative focus-group interviews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6AC2A5B" w14:textId="77777777" w:rsidR="00E456DC" w:rsidRPr="00784E8E" w:rsidRDefault="00000000">
            <w:pPr>
              <w:spacing w:after="0" w:line="245" w:lineRule="auto"/>
              <w:jc w:val="left"/>
              <w:rPr>
                <w:lang w:val="en-GB"/>
              </w:rPr>
            </w:pPr>
            <w:r w:rsidRPr="00784E8E">
              <w:rPr>
                <w:rFonts w:eastAsia="Times New Roman"/>
                <w:color w:val="000000"/>
                <w:sz w:val="14"/>
                <w:lang w:val="en-GB"/>
              </w:rPr>
              <w:t>Five of seven work-package leaders responded to a survey; four focus groups included 11 stakeholders in an EU AI-enabled care-manufacturing project.</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5E1AF89" w14:textId="77777777" w:rsidR="00E456DC" w:rsidRPr="00784E8E" w:rsidRDefault="00000000">
            <w:pPr>
              <w:spacing w:after="0" w:line="245" w:lineRule="auto"/>
              <w:jc w:val="left"/>
              <w:rPr>
                <w:lang w:val="en-GB"/>
              </w:rPr>
            </w:pPr>
            <w:r w:rsidRPr="00784E8E">
              <w:rPr>
                <w:rFonts w:eastAsia="Times New Roman"/>
                <w:color w:val="000000"/>
                <w:sz w:val="14"/>
                <w:lang w:val="en-GB"/>
              </w:rPr>
              <w:t>Ethics, regulation, stakeholder engagement, acceptance, skills, accountability and implementation phases at micro-, meso- and macro-levels.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E1809BD" w14:textId="77777777" w:rsidR="00E456DC" w:rsidRPr="00784E8E" w:rsidRDefault="00000000">
            <w:pPr>
              <w:spacing w:after="0" w:line="245" w:lineRule="auto"/>
              <w:jc w:val="left"/>
              <w:rPr>
                <w:lang w:val="en-GB"/>
              </w:rPr>
            </w:pPr>
            <w:r w:rsidRPr="00784E8E">
              <w:rPr>
                <w:rFonts w:eastAsia="Times New Roman"/>
                <w:color w:val="000000"/>
                <w:sz w:val="14"/>
                <w:lang w:val="en-GB"/>
              </w:rPr>
              <w:t>Nine of ten prespecified factors were considered relevant. The resulting guide located actions across development, implementation, monitoring and evaluation, and stressed cross-stakeholder interdependence.</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3A71E1" w14:textId="77777777" w:rsidR="00E456DC" w:rsidRPr="00784E8E" w:rsidRDefault="00000000">
            <w:pPr>
              <w:spacing w:after="0" w:line="245" w:lineRule="auto"/>
              <w:jc w:val="left"/>
              <w:rPr>
                <w:lang w:val="en-GB"/>
              </w:rPr>
            </w:pPr>
            <w:r w:rsidRPr="00784E8E">
              <w:rPr>
                <w:rFonts w:eastAsia="Times New Roman"/>
                <w:color w:val="000000"/>
                <w:sz w:val="14"/>
                <w:lang w:val="en-GB"/>
              </w:rPr>
              <w:t>Small project-linked sample, potential shared interests and limited generalisability; no patient or hospital outcome evaluation.</w:t>
            </w:r>
          </w:p>
        </w:tc>
      </w:tr>
      <w:tr w:rsidR="00E456DC" w:rsidRPr="00784E8E" w14:paraId="3CE0A2EA"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2633BD4" w14:textId="77777777" w:rsidR="00E456DC" w:rsidRPr="00784E8E" w:rsidRDefault="00000000">
            <w:pPr>
              <w:spacing w:after="0" w:line="245" w:lineRule="auto"/>
              <w:jc w:val="left"/>
              <w:rPr>
                <w:lang w:val="en-GB"/>
              </w:rPr>
            </w:pPr>
            <w:r w:rsidRPr="00784E8E">
              <w:rPr>
                <w:rFonts w:eastAsia="Times New Roman"/>
                <w:b/>
                <w:color w:val="000000"/>
                <w:sz w:val="14"/>
                <w:lang w:val="en-GB"/>
              </w:rPr>
              <w:t>Malekzadeh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3FB041D" w14:textId="77777777" w:rsidR="00E456DC" w:rsidRPr="00784E8E" w:rsidRDefault="00000000">
            <w:pPr>
              <w:spacing w:after="0" w:line="245" w:lineRule="auto"/>
              <w:jc w:val="left"/>
              <w:rPr>
                <w:lang w:val="en-GB"/>
              </w:rPr>
            </w:pPr>
            <w:r w:rsidRPr="00784E8E">
              <w:rPr>
                <w:rFonts w:eastAsia="Times New Roman"/>
                <w:color w:val="000000"/>
                <w:sz w:val="14"/>
                <w:lang w:val="en-GB"/>
              </w:rPr>
              <w:t>Iran</w:t>
            </w:r>
            <w:r w:rsidRPr="00784E8E">
              <w:rPr>
                <w:rFonts w:eastAsia="Times New Roman"/>
                <w:color w:val="000000"/>
                <w:sz w:val="14"/>
                <w:lang w:val="en-GB"/>
              </w:rPr>
              <w:br/>
              <w:t>Qualitative content analysis with expert validation panel</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FD9AD0B" w14:textId="77777777" w:rsidR="00E456DC" w:rsidRPr="00784E8E" w:rsidRDefault="00000000">
            <w:pPr>
              <w:spacing w:after="0" w:line="245" w:lineRule="auto"/>
              <w:jc w:val="left"/>
              <w:rPr>
                <w:lang w:val="en-GB"/>
              </w:rPr>
            </w:pPr>
            <w:r w:rsidRPr="00784E8E">
              <w:rPr>
                <w:rFonts w:eastAsia="Times New Roman"/>
                <w:color w:val="000000"/>
                <w:sz w:val="14"/>
                <w:lang w:val="en-GB"/>
              </w:rPr>
              <w:t>Twenty-two managers, policymakers and experts interviewed; a 12-person expert panel contributed to validation.</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CD0570A" w14:textId="77777777" w:rsidR="00E456DC" w:rsidRPr="00784E8E" w:rsidRDefault="00000000">
            <w:pPr>
              <w:spacing w:after="0" w:line="245" w:lineRule="auto"/>
              <w:jc w:val="left"/>
              <w:rPr>
                <w:lang w:val="en-GB"/>
              </w:rPr>
            </w:pPr>
            <w:r w:rsidRPr="00784E8E">
              <w:rPr>
                <w:rFonts w:eastAsia="Times New Roman"/>
                <w:color w:val="000000"/>
                <w:sz w:val="14"/>
                <w:lang w:val="en-GB"/>
              </w:rPr>
              <w:t>Management and leadership; care and treatment; health communication and information; medical equipment; structures and facilities.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FA7DE85" w14:textId="77777777" w:rsidR="00E456DC" w:rsidRPr="00784E8E" w:rsidRDefault="00000000">
            <w:pPr>
              <w:spacing w:after="0" w:line="245" w:lineRule="auto"/>
              <w:jc w:val="left"/>
              <w:rPr>
                <w:lang w:val="en-GB"/>
              </w:rPr>
            </w:pPr>
            <w:r w:rsidRPr="00784E8E">
              <w:rPr>
                <w:rFonts w:eastAsia="Times New Roman"/>
                <w:color w:val="000000"/>
                <w:sz w:val="14"/>
                <w:lang w:val="en-GB"/>
              </w:rPr>
              <w:t>Five themes, 21 subthemes and 94 items were developed, showing that governance, care processes, information, equipment and physical infrastructure must be integrated.</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6105D86" w14:textId="77777777" w:rsidR="00E456DC" w:rsidRPr="00784E8E" w:rsidRDefault="00000000">
            <w:pPr>
              <w:spacing w:after="0" w:line="245" w:lineRule="auto"/>
              <w:jc w:val="left"/>
              <w:rPr>
                <w:lang w:val="en-GB"/>
              </w:rPr>
            </w:pPr>
            <w:r w:rsidRPr="00784E8E">
              <w:rPr>
                <w:rFonts w:eastAsia="Times New Roman"/>
                <w:color w:val="000000"/>
                <w:sz w:val="14"/>
                <w:lang w:val="en-GB"/>
              </w:rPr>
              <w:t>Context-specific purposive sample; participant perspectives do not establish outcome effectiveness.</w:t>
            </w:r>
          </w:p>
        </w:tc>
      </w:tr>
      <w:tr w:rsidR="00E456DC" w:rsidRPr="00784E8E" w14:paraId="1EAA849D"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D6BE8E" w14:textId="77777777" w:rsidR="00E456DC" w:rsidRPr="00784E8E" w:rsidRDefault="00000000">
            <w:pPr>
              <w:spacing w:after="0" w:line="245" w:lineRule="auto"/>
              <w:jc w:val="left"/>
              <w:rPr>
                <w:lang w:val="en-GB"/>
              </w:rPr>
            </w:pPr>
            <w:proofErr w:type="spellStart"/>
            <w:r w:rsidRPr="00784E8E">
              <w:rPr>
                <w:rFonts w:eastAsia="Times New Roman"/>
                <w:b/>
                <w:color w:val="000000"/>
                <w:sz w:val="14"/>
                <w:lang w:val="en-GB"/>
              </w:rPr>
              <w:t>Rabiei</w:t>
            </w:r>
            <w:proofErr w:type="spellEnd"/>
            <w:r w:rsidRPr="00784E8E">
              <w:rPr>
                <w:rFonts w:eastAsia="Times New Roman"/>
                <w:b/>
                <w:color w:val="000000"/>
                <w:sz w:val="14"/>
                <w:lang w:val="en-GB"/>
              </w:rPr>
              <w:t xml:space="preserve">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59155F" w14:textId="77777777" w:rsidR="00E456DC" w:rsidRPr="00784E8E" w:rsidRDefault="00000000">
            <w:pPr>
              <w:spacing w:after="0" w:line="245" w:lineRule="auto"/>
              <w:jc w:val="left"/>
              <w:rPr>
                <w:lang w:val="en-GB"/>
              </w:rPr>
            </w:pPr>
            <w:r w:rsidRPr="00784E8E">
              <w:rPr>
                <w:rFonts w:eastAsia="Times New Roman"/>
                <w:color w:val="000000"/>
                <w:sz w:val="14"/>
                <w:lang w:val="en-GB"/>
              </w:rPr>
              <w:t>International evidence synthesis</w:t>
            </w:r>
            <w:r w:rsidRPr="00784E8E">
              <w:rPr>
                <w:rFonts w:eastAsia="Times New Roman"/>
                <w:color w:val="000000"/>
                <w:sz w:val="14"/>
                <w:lang w:val="en-GB"/>
              </w:rPr>
              <w:br/>
              <w:t>Scoping review with qualitative synthesis and trend analysis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959171" w14:textId="77777777" w:rsidR="00E456DC" w:rsidRPr="00784E8E" w:rsidRDefault="00000000">
            <w:pPr>
              <w:spacing w:after="0" w:line="245" w:lineRule="auto"/>
              <w:jc w:val="left"/>
              <w:rPr>
                <w:lang w:val="en-GB"/>
              </w:rPr>
            </w:pPr>
            <w:r w:rsidRPr="00784E8E">
              <w:rPr>
                <w:rFonts w:eastAsia="Times New Roman"/>
                <w:color w:val="000000"/>
                <w:sz w:val="14"/>
                <w:lang w:val="en-GB"/>
              </w:rPr>
              <w:t>Sixty-four articles; final search completed 11 September 2025.</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9F94ACE" w14:textId="77777777" w:rsidR="00E456DC" w:rsidRPr="00784E8E" w:rsidRDefault="00000000">
            <w:pPr>
              <w:spacing w:after="0" w:line="245" w:lineRule="auto"/>
              <w:jc w:val="left"/>
              <w:rPr>
                <w:lang w:val="en-GB"/>
              </w:rPr>
            </w:pPr>
            <w:r w:rsidRPr="00784E8E">
              <w:rPr>
                <w:rFonts w:eastAsia="Times New Roman"/>
                <w:color w:val="000000"/>
                <w:sz w:val="14"/>
                <w:lang w:val="en-GB"/>
              </w:rPr>
              <w:t>Digital maturity, interoperability, electronic records, mobile and wireless networks, analytics, tracking, sensors, Internet of Things, blockchain and artificial intelligence.</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B7A7DC" w14:textId="77777777" w:rsidR="00E456DC" w:rsidRPr="00784E8E" w:rsidRDefault="00000000">
            <w:pPr>
              <w:spacing w:after="0" w:line="245" w:lineRule="auto"/>
              <w:jc w:val="left"/>
              <w:rPr>
                <w:lang w:val="en-GB"/>
              </w:rPr>
            </w:pPr>
            <w:r w:rsidRPr="00784E8E">
              <w:rPr>
                <w:rFonts w:eastAsia="Times New Roman"/>
                <w:color w:val="000000"/>
                <w:sz w:val="14"/>
                <w:lang w:val="en-GB"/>
              </w:rPr>
              <w:t>Digital hospitals were characterised by digitisation and interoperable records, whereas smart hospitals added integrated sensing, analytics and responsive services. Six broad challenge clusters included governance, interoperability, security, workforce, finance and organisational readiness.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FAF99C2" w14:textId="77777777" w:rsidR="00E456DC" w:rsidRPr="00784E8E" w:rsidRDefault="00000000">
            <w:pPr>
              <w:spacing w:after="0" w:line="245" w:lineRule="auto"/>
              <w:jc w:val="left"/>
              <w:rPr>
                <w:lang w:val="en-GB"/>
              </w:rPr>
            </w:pPr>
            <w:r w:rsidRPr="00784E8E">
              <w:rPr>
                <w:rFonts w:eastAsia="Times New Roman"/>
                <w:color w:val="000000"/>
                <w:sz w:val="14"/>
                <w:lang w:val="en-GB"/>
              </w:rPr>
              <w:t>Scoping rather than effect review; included evidence was heterogeneous and not used to infer pooled outcomes.</w:t>
            </w:r>
          </w:p>
        </w:tc>
      </w:tr>
    </w:tbl>
    <w:p w14:paraId="0EAE4C69" w14:textId="77777777" w:rsidR="00E456DC" w:rsidRPr="00784E8E" w:rsidRDefault="00000000">
      <w:pPr>
        <w:pStyle w:val="SmallNote"/>
        <w:rPr>
          <w:lang w:val="en-GB"/>
        </w:rPr>
      </w:pPr>
      <w:r w:rsidRPr="00784E8E">
        <w:rPr>
          <w:rFonts w:eastAsia="Times New Roman"/>
          <w:b/>
          <w:lang w:val="en-GB"/>
        </w:rPr>
        <w:t xml:space="preserve">Note. </w:t>
      </w:r>
      <w:r w:rsidRPr="00784E8E">
        <w:rPr>
          <w:rFonts w:eastAsia="Times New Roman"/>
          <w:lang w:val="en-GB"/>
        </w:rPr>
        <w:t>Knowledge-building studies primarily informed definitions, maturity, implementation determinants and governance rather than causal hospital outcomes.</w:t>
      </w:r>
    </w:p>
    <w:p w14:paraId="4FB615A9" w14:textId="77777777" w:rsidR="00E456DC" w:rsidRPr="00784E8E" w:rsidRDefault="00000000">
      <w:pPr>
        <w:pStyle w:val="AnalyticalLead"/>
        <w:rPr>
          <w:lang w:val="en-GB"/>
        </w:rPr>
      </w:pPr>
      <w:r w:rsidRPr="00784E8E">
        <w:rPr>
          <w:rFonts w:eastAsia="Times New Roman"/>
          <w:lang w:val="en-GB"/>
        </w:rPr>
        <w:lastRenderedPageBreak/>
        <w:t>The empirical and technical studies provide the clearest view of what has actually been implemented, while also exposing the field's causal limitations. Table 3B shows a pattern of local operational gains accompanied by technical failure, burden shifting, unclear denominators or uncontrolled comparison.</w:t>
      </w:r>
    </w:p>
    <w:p w14:paraId="1769D31B" w14:textId="77777777" w:rsidR="00E456DC" w:rsidRPr="00784E8E" w:rsidRDefault="00000000">
      <w:pPr>
        <w:pStyle w:val="TableTitle"/>
        <w:rPr>
          <w:lang w:val="en-GB"/>
        </w:rPr>
      </w:pPr>
      <w:r w:rsidRPr="00784E8E">
        <w:rPr>
          <w:rFonts w:eastAsia="Times New Roman"/>
          <w:lang w:val="en-GB"/>
        </w:rPr>
        <w:t>Table 3B. Characteristics of technical and empirical implementation studies</w:t>
      </w:r>
    </w:p>
    <w:tbl>
      <w:tblPr>
        <w:tblStyle w:val="TableGrid"/>
        <w:tblW w:w="0" w:type="auto"/>
        <w:jc w:val="center"/>
        <w:tblLayout w:type="fixed"/>
        <w:tblLook w:val="04A0" w:firstRow="1" w:lastRow="0" w:firstColumn="1" w:lastColumn="0" w:noHBand="0" w:noVBand="1"/>
      </w:tblPr>
      <w:tblGrid>
        <w:gridCol w:w="1247"/>
        <w:gridCol w:w="2154"/>
        <w:gridCol w:w="2608"/>
        <w:gridCol w:w="2835"/>
        <w:gridCol w:w="3402"/>
        <w:gridCol w:w="2381"/>
      </w:tblGrid>
      <w:tr w:rsidR="00E456DC" w:rsidRPr="00784E8E" w14:paraId="353D8455" w14:textId="77777777">
        <w:trPr>
          <w:tblHeader/>
          <w:jc w:val="center"/>
        </w:trPr>
        <w:tc>
          <w:tcPr>
            <w:tcW w:w="124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1D47D10" w14:textId="77777777" w:rsidR="00E456DC" w:rsidRPr="00784E8E" w:rsidRDefault="00000000">
            <w:pPr>
              <w:spacing w:after="0"/>
              <w:jc w:val="center"/>
              <w:rPr>
                <w:lang w:val="en-GB"/>
              </w:rPr>
            </w:pPr>
            <w:r w:rsidRPr="00784E8E">
              <w:rPr>
                <w:rFonts w:eastAsia="Times New Roman"/>
                <w:b/>
                <w:color w:val="FFFFFF"/>
                <w:sz w:val="15"/>
                <w:lang w:val="en-GB"/>
              </w:rPr>
              <w:t>Study</w:t>
            </w:r>
          </w:p>
        </w:tc>
        <w:tc>
          <w:tcPr>
            <w:tcW w:w="215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FCEA8E0" w14:textId="77777777" w:rsidR="00E456DC" w:rsidRPr="00784E8E" w:rsidRDefault="00000000">
            <w:pPr>
              <w:spacing w:after="0"/>
              <w:jc w:val="center"/>
              <w:rPr>
                <w:lang w:val="en-GB"/>
              </w:rPr>
            </w:pPr>
            <w:r w:rsidRPr="00784E8E">
              <w:rPr>
                <w:rFonts w:eastAsia="Times New Roman"/>
                <w:b/>
                <w:color w:val="FFFFFF"/>
                <w:sz w:val="15"/>
                <w:lang w:val="en-GB"/>
              </w:rPr>
              <w:t>Country and design</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6317FF4" w14:textId="77777777" w:rsidR="00E456DC" w:rsidRPr="00784E8E" w:rsidRDefault="00000000">
            <w:pPr>
              <w:spacing w:after="0"/>
              <w:jc w:val="center"/>
              <w:rPr>
                <w:lang w:val="en-GB"/>
              </w:rPr>
            </w:pPr>
            <w:r w:rsidRPr="00784E8E">
              <w:rPr>
                <w:rFonts w:eastAsia="Times New Roman"/>
                <w:b/>
                <w:color w:val="FFFFFF"/>
                <w:sz w:val="15"/>
                <w:lang w:val="en-GB"/>
              </w:rPr>
              <w:t>Unit/sample</w:t>
            </w:r>
          </w:p>
        </w:tc>
        <w:tc>
          <w:tcPr>
            <w:tcW w:w="283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40680AC" w14:textId="77777777" w:rsidR="00E456DC" w:rsidRPr="00784E8E" w:rsidRDefault="00000000">
            <w:pPr>
              <w:spacing w:after="0"/>
              <w:jc w:val="center"/>
              <w:rPr>
                <w:lang w:val="en-GB"/>
              </w:rPr>
            </w:pPr>
            <w:r w:rsidRPr="00784E8E">
              <w:rPr>
                <w:rFonts w:eastAsia="Times New Roman"/>
                <w:b/>
                <w:color w:val="FFFFFF"/>
                <w:sz w:val="15"/>
                <w:lang w:val="en-GB"/>
              </w:rPr>
              <w:t>Components</w:t>
            </w:r>
          </w:p>
        </w:tc>
        <w:tc>
          <w:tcPr>
            <w:tcW w:w="340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882EF79" w14:textId="77777777" w:rsidR="00E456DC" w:rsidRPr="00784E8E" w:rsidRDefault="00000000">
            <w:pPr>
              <w:spacing w:after="0"/>
              <w:jc w:val="center"/>
              <w:rPr>
                <w:lang w:val="en-GB"/>
              </w:rPr>
            </w:pPr>
            <w:r w:rsidRPr="00784E8E">
              <w:rPr>
                <w:rFonts w:eastAsia="Times New Roman"/>
                <w:b/>
                <w:color w:val="FFFFFF"/>
                <w:sz w:val="15"/>
                <w:lang w:val="en-GB"/>
              </w:rPr>
              <w:t>Principal findings</w:t>
            </w:r>
          </w:p>
        </w:tc>
        <w:tc>
          <w:tcPr>
            <w:tcW w:w="238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2229B626" w14:textId="77777777" w:rsidR="00E456DC" w:rsidRPr="00784E8E" w:rsidRDefault="00000000">
            <w:pPr>
              <w:spacing w:after="0"/>
              <w:jc w:val="center"/>
              <w:rPr>
                <w:lang w:val="en-GB"/>
              </w:rPr>
            </w:pPr>
            <w:r w:rsidRPr="00784E8E">
              <w:rPr>
                <w:rFonts w:eastAsia="Times New Roman"/>
                <w:b/>
                <w:color w:val="FFFFFF"/>
                <w:sz w:val="15"/>
                <w:lang w:val="en-GB"/>
              </w:rPr>
              <w:t>Main limitation</w:t>
            </w:r>
          </w:p>
        </w:tc>
      </w:tr>
      <w:tr w:rsidR="00E456DC" w:rsidRPr="00784E8E" w14:paraId="00F34B1C"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40A7105" w14:textId="77777777" w:rsidR="00E456DC" w:rsidRPr="00784E8E" w:rsidRDefault="00000000">
            <w:pPr>
              <w:spacing w:after="0" w:line="245" w:lineRule="auto"/>
              <w:jc w:val="left"/>
              <w:rPr>
                <w:lang w:val="en-GB"/>
              </w:rPr>
            </w:pPr>
            <w:r w:rsidRPr="00784E8E">
              <w:rPr>
                <w:rFonts w:eastAsia="Times New Roman"/>
                <w:b/>
                <w:color w:val="000000"/>
                <w:sz w:val="14"/>
                <w:lang w:val="en-GB"/>
              </w:rPr>
              <w:t>Park et al. (2018)</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F9E92DF" w14:textId="77777777" w:rsidR="00E456DC" w:rsidRPr="00784E8E" w:rsidRDefault="00000000">
            <w:pPr>
              <w:spacing w:after="0" w:line="245" w:lineRule="auto"/>
              <w:jc w:val="left"/>
              <w:rPr>
                <w:lang w:val="en-GB"/>
              </w:rPr>
            </w:pPr>
            <w:r w:rsidRPr="00784E8E">
              <w:rPr>
                <w:rFonts w:eastAsia="Times New Roman"/>
                <w:color w:val="000000"/>
                <w:sz w:val="14"/>
                <w:lang w:val="en-GB"/>
              </w:rPr>
              <w:t>Republic of Korea</w:t>
            </w:r>
            <w:r w:rsidRPr="00784E8E">
              <w:rPr>
                <w:rFonts w:eastAsia="Times New Roman"/>
                <w:color w:val="000000"/>
                <w:sz w:val="14"/>
                <w:lang w:val="en-GB"/>
              </w:rPr>
              <w:br/>
              <w:t>Single-site implementation case report</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756ED9" w14:textId="77777777" w:rsidR="00E456DC" w:rsidRPr="00784E8E" w:rsidRDefault="00000000">
            <w:pPr>
              <w:spacing w:after="0" w:line="245" w:lineRule="auto"/>
              <w:jc w:val="left"/>
              <w:rPr>
                <w:lang w:val="en-GB"/>
              </w:rPr>
            </w:pPr>
            <w:r w:rsidRPr="00784E8E">
              <w:rPr>
                <w:rFonts w:eastAsia="Times New Roman"/>
                <w:color w:val="000000"/>
                <w:sz w:val="14"/>
                <w:lang w:val="en-GB"/>
              </w:rPr>
              <w:t>Tertiary hospital in Seoul; NFC tags and Bluetooth low-energy beacons for patient-facing, safety and staff-workflow services. Participant denominator not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12A3BCD" w14:textId="77777777" w:rsidR="00E456DC" w:rsidRPr="00784E8E" w:rsidRDefault="00000000">
            <w:pPr>
              <w:spacing w:after="0" w:line="245" w:lineRule="auto"/>
              <w:jc w:val="left"/>
              <w:rPr>
                <w:lang w:val="en-GB"/>
              </w:rPr>
            </w:pPr>
            <w:r w:rsidRPr="00784E8E">
              <w:rPr>
                <w:rFonts w:eastAsia="Times New Roman"/>
                <w:color w:val="000000"/>
                <w:sz w:val="14"/>
                <w:lang w:val="en-GB"/>
              </w:rPr>
              <w:t>Near-field communication, Bluetooth beacons, smartphone applications, indoor navigation, high-risk inpatient monitoring and web-based management.</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C44C718" w14:textId="77777777" w:rsidR="00E456DC" w:rsidRPr="00784E8E" w:rsidRDefault="00000000">
            <w:pPr>
              <w:spacing w:after="0" w:line="245" w:lineRule="auto"/>
              <w:jc w:val="left"/>
              <w:rPr>
                <w:lang w:val="en-GB"/>
              </w:rPr>
            </w:pPr>
            <w:r w:rsidRPr="00784E8E">
              <w:rPr>
                <w:rFonts w:eastAsia="Times New Roman"/>
                <w:color w:val="000000"/>
                <w:sz w:val="14"/>
                <w:lang w:val="en-GB"/>
              </w:rPr>
              <w:t>Navigation and patient-monitoring services were paused because beacon interference impaired reliability; hygiene-related replacement of wearable beacons increased recurrent cost. Sustainability depended on technical feasibility, economic feasibility and organisational commitment.</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96B03A" w14:textId="77777777" w:rsidR="00E456DC" w:rsidRPr="00784E8E" w:rsidRDefault="00000000">
            <w:pPr>
              <w:spacing w:after="0" w:line="245" w:lineRule="auto"/>
              <w:jc w:val="left"/>
              <w:rPr>
                <w:lang w:val="en-GB"/>
              </w:rPr>
            </w:pPr>
            <w:r w:rsidRPr="00784E8E">
              <w:rPr>
                <w:rFonts w:eastAsia="Times New Roman"/>
                <w:color w:val="000000"/>
                <w:sz w:val="14"/>
                <w:lang w:val="en-GB"/>
              </w:rPr>
              <w:t>No comparator, sample denominator or quantified patient outcome; experience report from one site.</w:t>
            </w:r>
          </w:p>
        </w:tc>
      </w:tr>
      <w:tr w:rsidR="00E456DC" w:rsidRPr="00784E8E" w14:paraId="7D112FC4"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9520D4" w14:textId="77777777" w:rsidR="00E456DC" w:rsidRPr="00784E8E" w:rsidRDefault="00000000">
            <w:pPr>
              <w:spacing w:after="0" w:line="245" w:lineRule="auto"/>
              <w:jc w:val="left"/>
              <w:rPr>
                <w:lang w:val="en-GB"/>
              </w:rPr>
            </w:pPr>
            <w:r w:rsidRPr="00784E8E">
              <w:rPr>
                <w:rFonts w:eastAsia="Times New Roman"/>
                <w:b/>
                <w:color w:val="000000"/>
                <w:sz w:val="14"/>
                <w:lang w:val="en-GB"/>
              </w:rPr>
              <w:t>Rodrigues et al. (2021)</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4192C93" w14:textId="77777777" w:rsidR="00E456DC" w:rsidRPr="00784E8E" w:rsidRDefault="00000000">
            <w:pPr>
              <w:spacing w:after="0" w:line="245" w:lineRule="auto"/>
              <w:jc w:val="left"/>
              <w:rPr>
                <w:lang w:val="en-GB"/>
              </w:rPr>
            </w:pPr>
            <w:r w:rsidRPr="00784E8E">
              <w:rPr>
                <w:rFonts w:eastAsia="Times New Roman"/>
                <w:color w:val="000000"/>
                <w:sz w:val="14"/>
                <w:lang w:val="en-GB"/>
              </w:rPr>
              <w:t>Brazil (technical modelling study)</w:t>
            </w:r>
            <w:r w:rsidRPr="00784E8E">
              <w:rPr>
                <w:rFonts w:eastAsia="Times New Roman"/>
                <w:color w:val="000000"/>
                <w:sz w:val="14"/>
                <w:lang w:val="en-GB"/>
              </w:rPr>
              <w:br/>
              <w:t>Analytical modelling study using stochastic Petri nets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4CFD44A" w14:textId="77777777" w:rsidR="00E456DC" w:rsidRPr="00784E8E" w:rsidRDefault="00000000">
            <w:pPr>
              <w:spacing w:after="0" w:line="245" w:lineRule="auto"/>
              <w:jc w:val="left"/>
              <w:rPr>
                <w:lang w:val="en-GB"/>
              </w:rPr>
            </w:pPr>
            <w:r w:rsidRPr="00784E8E">
              <w:rPr>
                <w:rFonts w:eastAsia="Times New Roman"/>
                <w:color w:val="000000"/>
                <w:sz w:val="14"/>
                <w:lang w:val="en-GB"/>
              </w:rPr>
              <w:t>Two parameterised models of an Internet of Things-based smart-hospital architecture; no real hospital or patient sample.</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40FE49E" w14:textId="77777777" w:rsidR="00E456DC" w:rsidRPr="00784E8E" w:rsidRDefault="00000000">
            <w:pPr>
              <w:spacing w:after="0" w:line="245" w:lineRule="auto"/>
              <w:jc w:val="left"/>
              <w:rPr>
                <w:lang w:val="en-GB"/>
              </w:rPr>
            </w:pPr>
            <w:r w:rsidRPr="00784E8E">
              <w:rPr>
                <w:rFonts w:eastAsia="Times New Roman"/>
                <w:color w:val="000000"/>
                <w:sz w:val="14"/>
                <w:lang w:val="en-GB"/>
              </w:rPr>
              <w:t>Wireless sensor network, contextual data, computing resources, performance model with up to 13 parameters and availability model with up to 48 parameters.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C22AAE" w14:textId="77777777" w:rsidR="00E456DC" w:rsidRPr="00784E8E" w:rsidRDefault="00000000">
            <w:pPr>
              <w:spacing w:after="0" w:line="245" w:lineRule="auto"/>
              <w:jc w:val="left"/>
              <w:rPr>
                <w:lang w:val="en-GB"/>
              </w:rPr>
            </w:pPr>
            <w:r w:rsidRPr="00784E8E">
              <w:rPr>
                <w:rFonts w:eastAsia="Times New Roman"/>
                <w:color w:val="000000"/>
                <w:sz w:val="14"/>
                <w:lang w:val="en-GB"/>
              </w:rPr>
              <w:t>Higher arrival rates were associated in the model with longer response times, higher resource use and greater discard rates. Redundancy scenarios improved estimated availability.</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3EC58A2" w14:textId="77777777" w:rsidR="00E456DC" w:rsidRPr="00784E8E" w:rsidRDefault="00000000">
            <w:pPr>
              <w:spacing w:after="0" w:line="245" w:lineRule="auto"/>
              <w:jc w:val="left"/>
              <w:rPr>
                <w:lang w:val="en-GB"/>
              </w:rPr>
            </w:pPr>
            <w:r w:rsidRPr="00784E8E">
              <w:rPr>
                <w:rFonts w:eastAsia="Times New Roman"/>
                <w:color w:val="000000"/>
                <w:sz w:val="14"/>
                <w:lang w:val="en-GB"/>
              </w:rPr>
              <w:t>Results depend on model assumptions and calibration; no empirical clinical or organisational validation.</w:t>
            </w:r>
          </w:p>
        </w:tc>
      </w:tr>
      <w:tr w:rsidR="00E456DC" w:rsidRPr="00784E8E" w14:paraId="741E650D"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7626825" w14:textId="77777777" w:rsidR="00E456DC" w:rsidRPr="00784E8E" w:rsidRDefault="00000000">
            <w:pPr>
              <w:spacing w:after="0" w:line="245" w:lineRule="auto"/>
              <w:jc w:val="left"/>
              <w:rPr>
                <w:lang w:val="en-GB"/>
              </w:rPr>
            </w:pPr>
            <w:r w:rsidRPr="00784E8E">
              <w:rPr>
                <w:rFonts w:eastAsia="Times New Roman"/>
                <w:b/>
                <w:color w:val="000000"/>
                <w:sz w:val="14"/>
                <w:lang w:val="en-GB"/>
              </w:rPr>
              <w:t>Rajashekhar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420352" w14:textId="77777777" w:rsidR="00E456DC" w:rsidRPr="00784E8E" w:rsidRDefault="00000000">
            <w:pPr>
              <w:spacing w:after="0" w:line="245" w:lineRule="auto"/>
              <w:jc w:val="left"/>
              <w:rPr>
                <w:lang w:val="en-GB"/>
              </w:rPr>
            </w:pPr>
            <w:r w:rsidRPr="00784E8E">
              <w:rPr>
                <w:rFonts w:eastAsia="Times New Roman"/>
                <w:color w:val="000000"/>
                <w:sz w:val="14"/>
                <w:lang w:val="en-GB"/>
              </w:rPr>
              <w:t>India</w:t>
            </w:r>
            <w:r w:rsidRPr="00784E8E">
              <w:rPr>
                <w:rFonts w:eastAsia="Times New Roman"/>
                <w:color w:val="000000"/>
                <w:sz w:val="14"/>
                <w:lang w:val="en-GB"/>
              </w:rPr>
              <w:br/>
              <w:t>Cross-sectional online survey with structural-equation modelling and artificial neural-network analysis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863D40" w14:textId="77777777" w:rsidR="00E456DC" w:rsidRPr="00784E8E" w:rsidRDefault="00000000">
            <w:pPr>
              <w:spacing w:after="0" w:line="245" w:lineRule="auto"/>
              <w:jc w:val="left"/>
              <w:rPr>
                <w:lang w:val="en-GB"/>
              </w:rPr>
            </w:pPr>
            <w:r w:rsidRPr="00784E8E">
              <w:rPr>
                <w:rFonts w:eastAsia="Times New Roman"/>
                <w:color w:val="000000"/>
                <w:sz w:val="14"/>
                <w:lang w:val="en-GB"/>
              </w:rPr>
              <w:t>408 healthcare professionals in India.</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8E89FA1" w14:textId="77777777" w:rsidR="00E456DC" w:rsidRPr="00784E8E" w:rsidRDefault="00000000">
            <w:pPr>
              <w:spacing w:after="0" w:line="245" w:lineRule="auto"/>
              <w:jc w:val="left"/>
              <w:rPr>
                <w:lang w:val="en-GB"/>
              </w:rPr>
            </w:pPr>
            <w:r w:rsidRPr="00784E8E">
              <w:rPr>
                <w:rFonts w:eastAsia="Times New Roman"/>
                <w:color w:val="000000"/>
                <w:sz w:val="14"/>
                <w:lang w:val="en-GB"/>
              </w:rPr>
              <w:t>Adoption of smart healthcare technologies, digital literacy/training, organisational support/resources and staff engagement.</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40EC76" w14:textId="77777777" w:rsidR="00E456DC" w:rsidRPr="00784E8E" w:rsidRDefault="00000000">
            <w:pPr>
              <w:spacing w:after="0" w:line="245" w:lineRule="auto"/>
              <w:jc w:val="left"/>
              <w:rPr>
                <w:lang w:val="en-GB"/>
              </w:rPr>
            </w:pPr>
            <w:r w:rsidRPr="00784E8E">
              <w:rPr>
                <w:rFonts w:eastAsia="Times New Roman"/>
                <w:color w:val="000000"/>
                <w:sz w:val="14"/>
                <w:lang w:val="en-GB"/>
              </w:rPr>
              <w:t>Technology adoption was associated with perceived care quality. Literacy and training were modelled as mediators, while organisational support and staff engagement modified the association; the neural-network analysis ranked engagement and support as influential predictors.</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8BC1FD7" w14:textId="77777777" w:rsidR="00E456DC" w:rsidRPr="00784E8E" w:rsidRDefault="00000000">
            <w:pPr>
              <w:spacing w:after="0" w:line="245" w:lineRule="auto"/>
              <w:jc w:val="left"/>
              <w:rPr>
                <w:lang w:val="en-GB"/>
              </w:rPr>
            </w:pPr>
            <w:r w:rsidRPr="00784E8E">
              <w:rPr>
                <w:rFonts w:eastAsia="Times New Roman"/>
                <w:color w:val="000000"/>
                <w:sz w:val="14"/>
                <w:lang w:val="en-GB"/>
              </w:rPr>
              <w:t>Cross-sectional self-report, convenience/online recruitment, common-method bias and no objective patient outcome; causal wording is not supported.</w:t>
            </w:r>
          </w:p>
        </w:tc>
      </w:tr>
      <w:tr w:rsidR="00E456DC" w:rsidRPr="00784E8E" w14:paraId="387ABA86"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D179DC8" w14:textId="77777777" w:rsidR="00E456DC" w:rsidRPr="00784E8E" w:rsidRDefault="00000000">
            <w:pPr>
              <w:spacing w:after="0" w:line="245" w:lineRule="auto"/>
              <w:jc w:val="left"/>
              <w:rPr>
                <w:lang w:val="en-GB"/>
              </w:rPr>
            </w:pPr>
            <w:r w:rsidRPr="00784E8E">
              <w:rPr>
                <w:rFonts w:eastAsia="Times New Roman"/>
                <w:b/>
                <w:color w:val="000000"/>
                <w:sz w:val="14"/>
                <w:lang w:val="en-GB"/>
              </w:rPr>
              <w:t>Hassmann et al. (2025)</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E0CD774" w14:textId="77777777" w:rsidR="00E456DC" w:rsidRPr="00784E8E" w:rsidRDefault="00000000">
            <w:pPr>
              <w:spacing w:after="0" w:line="245" w:lineRule="auto"/>
              <w:jc w:val="left"/>
              <w:rPr>
                <w:lang w:val="en-GB"/>
              </w:rPr>
            </w:pPr>
            <w:r w:rsidRPr="00784E8E">
              <w:rPr>
                <w:rFonts w:eastAsia="Times New Roman"/>
                <w:color w:val="000000"/>
                <w:sz w:val="14"/>
                <w:lang w:val="en-GB"/>
              </w:rPr>
              <w:t>Germany</w:t>
            </w:r>
            <w:r w:rsidRPr="00784E8E">
              <w:rPr>
                <w:rFonts w:eastAsia="Times New Roman"/>
                <w:color w:val="000000"/>
                <w:sz w:val="14"/>
                <w:lang w:val="en-GB"/>
              </w:rPr>
              <w:br/>
              <w:t>Longitudinal before-after organisational workflow evaluation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DB22FCA" w14:textId="77777777" w:rsidR="00E456DC" w:rsidRPr="00784E8E" w:rsidRDefault="00000000">
            <w:pPr>
              <w:spacing w:after="0" w:line="245" w:lineRule="auto"/>
              <w:jc w:val="left"/>
              <w:rPr>
                <w:lang w:val="en-GB"/>
              </w:rPr>
            </w:pPr>
            <w:r w:rsidRPr="00784E8E">
              <w:rPr>
                <w:rFonts w:eastAsia="Times New Roman"/>
                <w:color w:val="000000"/>
                <w:sz w:val="14"/>
                <w:lang w:val="en-GB"/>
              </w:rPr>
              <w:t>Klinikum Region Hannover; seven general and three specialised hospitals, approximately 3,000 beds, 100,000 cases/year and 8,500 employees. Surveys: 310 respondents in 2021 and 148 in 2024-2025.</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7E0507E" w14:textId="77777777" w:rsidR="00E456DC" w:rsidRPr="00784E8E" w:rsidRDefault="00000000">
            <w:pPr>
              <w:spacing w:after="0" w:line="245" w:lineRule="auto"/>
              <w:jc w:val="left"/>
              <w:rPr>
                <w:lang w:val="en-GB"/>
              </w:rPr>
            </w:pPr>
            <w:r w:rsidRPr="00784E8E">
              <w:rPr>
                <w:rFonts w:eastAsia="Times New Roman"/>
                <w:color w:val="000000"/>
                <w:sz w:val="14"/>
                <w:lang w:val="en-GB"/>
              </w:rPr>
              <w:t>Twenty-six candidate processes; 12 digital smart workflows implemented across operating theatres and wards.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37CD235" w14:textId="77777777" w:rsidR="00E456DC" w:rsidRPr="00784E8E" w:rsidRDefault="00000000">
            <w:pPr>
              <w:spacing w:after="0" w:line="245" w:lineRule="auto"/>
              <w:jc w:val="left"/>
              <w:rPr>
                <w:lang w:val="en-GB"/>
              </w:rPr>
            </w:pPr>
            <w:r w:rsidRPr="00784E8E">
              <w:rPr>
                <w:rFonts w:eastAsia="Times New Roman"/>
                <w:color w:val="000000"/>
                <w:sz w:val="14"/>
                <w:lang w:val="en-GB"/>
              </w:rPr>
              <w:t xml:space="preserve">Reported annual time reductions included 582 hours for operating-theatre documentation, 2,720 hours for operating-theatre requests, 9,235 hours </w:t>
            </w:r>
            <w:proofErr w:type="spellStart"/>
            <w:r w:rsidRPr="00784E8E">
              <w:rPr>
                <w:rFonts w:eastAsia="Times New Roman"/>
                <w:color w:val="000000"/>
                <w:sz w:val="14"/>
                <w:lang w:val="en-GB"/>
              </w:rPr>
              <w:t>for ward</w:t>
            </w:r>
            <w:proofErr w:type="spellEnd"/>
            <w:r w:rsidRPr="00784E8E">
              <w:rPr>
                <w:rFonts w:eastAsia="Times New Roman"/>
                <w:color w:val="000000"/>
                <w:sz w:val="14"/>
                <w:lang w:val="en-GB"/>
              </w:rPr>
              <w:t xml:space="preserve"> documentation and 5,804 hours </w:t>
            </w:r>
            <w:proofErr w:type="spellStart"/>
            <w:r w:rsidRPr="00784E8E">
              <w:rPr>
                <w:rFonts w:eastAsia="Times New Roman"/>
                <w:color w:val="000000"/>
                <w:sz w:val="14"/>
                <w:lang w:val="en-GB"/>
              </w:rPr>
              <w:t>for ward</w:t>
            </w:r>
            <w:proofErr w:type="spellEnd"/>
            <w:r w:rsidRPr="00784E8E">
              <w:rPr>
                <w:rFonts w:eastAsia="Times New Roman"/>
                <w:color w:val="000000"/>
                <w:sz w:val="14"/>
                <w:lang w:val="en-GB"/>
              </w:rPr>
              <w:t xml:space="preserve"> requests. Some tasks worsened, including a reported 150% increase for operating-theatre medication requests; master-data, barcode, duplicate-work and training problems persisted.</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6990C55" w14:textId="77777777" w:rsidR="00E456DC" w:rsidRPr="00784E8E" w:rsidRDefault="00000000">
            <w:pPr>
              <w:spacing w:after="0" w:line="245" w:lineRule="auto"/>
              <w:jc w:val="left"/>
              <w:rPr>
                <w:lang w:val="en-GB"/>
              </w:rPr>
            </w:pPr>
            <w:r w:rsidRPr="00784E8E">
              <w:rPr>
                <w:rFonts w:eastAsia="Times New Roman"/>
                <w:color w:val="000000"/>
                <w:sz w:val="14"/>
                <w:lang w:val="en-GB"/>
              </w:rPr>
              <w:t>Different pre- and post-respondent samples, self-reported times, no concurrent control, no uncertainty testing and possible secular change.</w:t>
            </w:r>
          </w:p>
        </w:tc>
      </w:tr>
      <w:tr w:rsidR="00E456DC" w:rsidRPr="00784E8E" w14:paraId="5C72BA78"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526F82" w14:textId="77777777" w:rsidR="00E456DC" w:rsidRPr="00784E8E" w:rsidRDefault="00000000">
            <w:pPr>
              <w:spacing w:after="0" w:line="245" w:lineRule="auto"/>
              <w:jc w:val="left"/>
              <w:rPr>
                <w:lang w:val="en-GB"/>
              </w:rPr>
            </w:pPr>
            <w:r w:rsidRPr="00784E8E">
              <w:rPr>
                <w:rFonts w:eastAsia="Times New Roman"/>
                <w:b/>
                <w:color w:val="000000"/>
                <w:sz w:val="14"/>
                <w:lang w:val="en-GB"/>
              </w:rPr>
              <w:t>Lee et al.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8CBD59" w14:textId="77777777" w:rsidR="00E456DC" w:rsidRPr="00784E8E" w:rsidRDefault="00000000">
            <w:pPr>
              <w:spacing w:after="0" w:line="245" w:lineRule="auto"/>
              <w:jc w:val="left"/>
              <w:rPr>
                <w:lang w:val="en-GB"/>
              </w:rPr>
            </w:pPr>
            <w:r w:rsidRPr="00784E8E">
              <w:rPr>
                <w:rFonts w:eastAsia="Times New Roman"/>
                <w:color w:val="000000"/>
                <w:sz w:val="14"/>
                <w:lang w:val="en-GB"/>
              </w:rPr>
              <w:t>Republic of Korea</w:t>
            </w:r>
            <w:r w:rsidRPr="00784E8E">
              <w:rPr>
                <w:rFonts w:eastAsia="Times New Roman"/>
                <w:color w:val="000000"/>
                <w:sz w:val="14"/>
                <w:lang w:val="en-GB"/>
              </w:rPr>
              <w:br/>
              <w:t>Single-centre prospective feasibility study</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248C120" w14:textId="77777777" w:rsidR="00E456DC" w:rsidRPr="00784E8E" w:rsidRDefault="00000000">
            <w:pPr>
              <w:spacing w:after="0" w:line="245" w:lineRule="auto"/>
              <w:jc w:val="left"/>
              <w:rPr>
                <w:lang w:val="en-GB"/>
              </w:rPr>
            </w:pPr>
            <w:proofErr w:type="spellStart"/>
            <w:r w:rsidRPr="00784E8E">
              <w:rPr>
                <w:rFonts w:eastAsia="Times New Roman"/>
                <w:color w:val="000000"/>
                <w:sz w:val="14"/>
                <w:lang w:val="en-GB"/>
              </w:rPr>
              <w:t>Yongin</w:t>
            </w:r>
            <w:proofErr w:type="spellEnd"/>
            <w:r w:rsidRPr="00784E8E">
              <w:rPr>
                <w:rFonts w:eastAsia="Times New Roman"/>
                <w:color w:val="000000"/>
                <w:sz w:val="14"/>
                <w:lang w:val="en-GB"/>
              </w:rPr>
              <w:t xml:space="preserve"> Severance Hospital; 15 inpatients with subacute central nervous-system injuries and gait disturbance (mean age 60.9 years).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C25882C" w14:textId="77777777" w:rsidR="00E456DC" w:rsidRPr="00784E8E" w:rsidRDefault="00000000">
            <w:pPr>
              <w:spacing w:after="0" w:line="245" w:lineRule="auto"/>
              <w:jc w:val="left"/>
              <w:rPr>
                <w:lang w:val="en-GB"/>
              </w:rPr>
            </w:pPr>
            <w:r w:rsidRPr="00784E8E">
              <w:rPr>
                <w:rFonts w:eastAsia="Times New Roman"/>
                <w:color w:val="000000"/>
                <w:sz w:val="14"/>
                <w:lang w:val="en-GB"/>
              </w:rPr>
              <w:t>Smart insoles, smart bands, real-time location data, mobile symptom reporting and electronic medical-record integration.</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6E5C586" w14:textId="77777777" w:rsidR="00E456DC" w:rsidRPr="00784E8E" w:rsidRDefault="00000000">
            <w:pPr>
              <w:spacing w:after="0" w:line="245" w:lineRule="auto"/>
              <w:jc w:val="left"/>
              <w:rPr>
                <w:lang w:val="en-GB"/>
              </w:rPr>
            </w:pPr>
            <w:r w:rsidRPr="00784E8E">
              <w:rPr>
                <w:rFonts w:eastAsia="Times New Roman"/>
                <w:color w:val="000000"/>
                <w:sz w:val="14"/>
                <w:lang w:val="en-GB"/>
              </w:rPr>
              <w:t>Mean satisfaction was 4.28/5. Eighty-seven per cent had reduced stride length and 27% marked asymmetry, enabling individual feedback. Nurses valued real-time condition detection but reported increased workload; battery, transfer and registration failures caused missing data.</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D75F60" w14:textId="77777777" w:rsidR="00E456DC" w:rsidRPr="00784E8E" w:rsidRDefault="00000000">
            <w:pPr>
              <w:spacing w:after="0" w:line="245" w:lineRule="auto"/>
              <w:jc w:val="left"/>
              <w:rPr>
                <w:lang w:val="en-GB"/>
              </w:rPr>
            </w:pPr>
            <w:r w:rsidRPr="00784E8E">
              <w:rPr>
                <w:rFonts w:eastAsia="Times New Roman"/>
                <w:color w:val="000000"/>
                <w:sz w:val="14"/>
                <w:lang w:val="en-GB"/>
              </w:rPr>
              <w:t>Very small uncontrolled feasibility sample, short monitoring period and no clinical-effect comparator.</w:t>
            </w:r>
          </w:p>
        </w:tc>
      </w:tr>
      <w:tr w:rsidR="00E456DC" w:rsidRPr="00784E8E" w14:paraId="6B03618F"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8686A35" w14:textId="77777777" w:rsidR="00E456DC" w:rsidRPr="00784E8E" w:rsidRDefault="00000000">
            <w:pPr>
              <w:spacing w:after="0" w:line="245" w:lineRule="auto"/>
              <w:jc w:val="left"/>
              <w:rPr>
                <w:lang w:val="en-GB"/>
              </w:rPr>
            </w:pPr>
            <w:r w:rsidRPr="00784E8E">
              <w:rPr>
                <w:rFonts w:eastAsia="Times New Roman"/>
                <w:b/>
                <w:color w:val="000000"/>
                <w:sz w:val="14"/>
                <w:lang w:val="en-GB"/>
              </w:rPr>
              <w:t>Peng et al.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8BF3A37" w14:textId="77777777" w:rsidR="00E456DC" w:rsidRPr="00784E8E" w:rsidRDefault="00000000">
            <w:pPr>
              <w:spacing w:after="0" w:line="245" w:lineRule="auto"/>
              <w:jc w:val="left"/>
              <w:rPr>
                <w:lang w:val="en-GB"/>
              </w:rPr>
            </w:pPr>
            <w:r w:rsidRPr="00784E8E">
              <w:rPr>
                <w:rFonts w:eastAsia="Times New Roman"/>
                <w:color w:val="000000"/>
                <w:sz w:val="14"/>
                <w:lang w:val="en-GB"/>
              </w:rPr>
              <w:t>China</w:t>
            </w:r>
            <w:r w:rsidRPr="00784E8E">
              <w:rPr>
                <w:rFonts w:eastAsia="Times New Roman"/>
                <w:color w:val="000000"/>
                <w:sz w:val="14"/>
                <w:lang w:val="en-GB"/>
              </w:rPr>
              <w:br/>
              <w:t>Single-site implementation case study with before-after service indicators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2903FA" w14:textId="77777777" w:rsidR="00E456DC" w:rsidRPr="00784E8E" w:rsidRDefault="00000000">
            <w:pPr>
              <w:spacing w:after="0" w:line="245" w:lineRule="auto"/>
              <w:jc w:val="left"/>
              <w:rPr>
                <w:lang w:val="en-GB"/>
              </w:rPr>
            </w:pPr>
            <w:r w:rsidRPr="00784E8E">
              <w:rPr>
                <w:rFonts w:eastAsia="Times New Roman"/>
                <w:color w:val="000000"/>
                <w:sz w:val="14"/>
                <w:lang w:val="en-GB"/>
              </w:rPr>
              <w:t>Guangming branch of Shenzhen Traditional Chinese Medicine Hospital; pilot smart wards. Patient denominators and analytic samples for several indicators were not clearly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F8A9045" w14:textId="77777777" w:rsidR="00E456DC" w:rsidRPr="00784E8E" w:rsidRDefault="00000000">
            <w:pPr>
              <w:spacing w:after="0" w:line="245" w:lineRule="auto"/>
              <w:jc w:val="left"/>
              <w:rPr>
                <w:lang w:val="en-GB"/>
              </w:rPr>
            </w:pPr>
            <w:r w:rsidRPr="00784E8E">
              <w:rPr>
                <w:rFonts w:eastAsia="Times New Roman"/>
                <w:color w:val="000000"/>
                <w:sz w:val="14"/>
                <w:lang w:val="en-GB"/>
              </w:rPr>
              <w:t>Locally deployed large language model, Internet of Things, big-data analytics, 5G, smart admission/discharge, education, safety monitoring, logistics, continuity and operations.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CD8A0C" w14:textId="77777777" w:rsidR="00E456DC" w:rsidRPr="00784E8E" w:rsidRDefault="00000000">
            <w:pPr>
              <w:spacing w:after="0" w:line="245" w:lineRule="auto"/>
              <w:jc w:val="left"/>
              <w:rPr>
                <w:lang w:val="en-GB"/>
              </w:rPr>
            </w:pPr>
            <w:r w:rsidRPr="00784E8E">
              <w:rPr>
                <w:rFonts w:eastAsia="Times New Roman"/>
                <w:color w:val="000000"/>
                <w:sz w:val="14"/>
                <w:lang w:val="en-GB"/>
              </w:rPr>
              <w:t>The report described satisfaction of 98.53%, traditional Chinese medicine literacy increasing from 70% to 92%, bedside discharge settlement of 99.2%, and reported savings of 20.8 minutes/patient/day for vital signs and 28.7 minutes/patient/day for documentation.</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35C640" w14:textId="77777777" w:rsidR="00E456DC" w:rsidRPr="00784E8E" w:rsidRDefault="00000000">
            <w:pPr>
              <w:spacing w:after="0" w:line="245" w:lineRule="auto"/>
              <w:jc w:val="left"/>
              <w:rPr>
                <w:lang w:val="en-GB"/>
              </w:rPr>
            </w:pPr>
            <w:r w:rsidRPr="00784E8E">
              <w:rPr>
                <w:rFonts w:eastAsia="Times New Roman"/>
                <w:color w:val="000000"/>
                <w:sz w:val="14"/>
                <w:lang w:val="en-GB"/>
              </w:rPr>
              <w:t>Unclear denominators, non-equivalent before-after periods, no concurrent comparator and limited statistical methods; claims should be treated as preliminary service indicators.</w:t>
            </w:r>
          </w:p>
        </w:tc>
      </w:tr>
      <w:tr w:rsidR="00E456DC" w:rsidRPr="00784E8E" w14:paraId="53AE321F"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C2A2C2" w14:textId="77777777" w:rsidR="00E456DC" w:rsidRPr="00784E8E" w:rsidRDefault="00000000">
            <w:pPr>
              <w:spacing w:after="0" w:line="245" w:lineRule="auto"/>
              <w:jc w:val="left"/>
              <w:rPr>
                <w:lang w:val="en-GB"/>
              </w:rPr>
            </w:pPr>
            <w:r w:rsidRPr="00784E8E">
              <w:rPr>
                <w:rFonts w:eastAsia="Times New Roman"/>
                <w:b/>
                <w:color w:val="000000"/>
                <w:sz w:val="14"/>
                <w:lang w:val="en-GB"/>
              </w:rPr>
              <w:t>Quan and Pan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EAD765" w14:textId="77777777" w:rsidR="00E456DC" w:rsidRPr="00784E8E" w:rsidRDefault="00000000">
            <w:pPr>
              <w:spacing w:after="0" w:line="245" w:lineRule="auto"/>
              <w:jc w:val="left"/>
              <w:rPr>
                <w:lang w:val="en-GB"/>
              </w:rPr>
            </w:pPr>
            <w:r w:rsidRPr="00784E8E">
              <w:rPr>
                <w:rFonts w:eastAsia="Times New Roman"/>
                <w:color w:val="000000"/>
                <w:sz w:val="14"/>
                <w:lang w:val="en-GB"/>
              </w:rPr>
              <w:t>China</w:t>
            </w:r>
            <w:r w:rsidRPr="00784E8E">
              <w:rPr>
                <w:rFonts w:eastAsia="Times New Roman"/>
                <w:color w:val="000000"/>
                <w:sz w:val="14"/>
                <w:lang w:val="en-GB"/>
              </w:rPr>
              <w:br/>
              <w:t>Organisational case study comparing management indicators before and after AI enablement</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5645AF" w14:textId="77777777" w:rsidR="00E456DC" w:rsidRPr="00784E8E" w:rsidRDefault="00000000">
            <w:pPr>
              <w:spacing w:after="0" w:line="245" w:lineRule="auto"/>
              <w:jc w:val="left"/>
              <w:rPr>
                <w:lang w:val="en-GB"/>
              </w:rPr>
            </w:pPr>
            <w:proofErr w:type="spellStart"/>
            <w:r w:rsidRPr="00784E8E">
              <w:rPr>
                <w:rFonts w:eastAsia="Times New Roman"/>
                <w:color w:val="000000"/>
                <w:sz w:val="14"/>
                <w:lang w:val="en-GB"/>
              </w:rPr>
              <w:t>Dapeng</w:t>
            </w:r>
            <w:proofErr w:type="spellEnd"/>
            <w:r w:rsidRPr="00784E8E">
              <w:rPr>
                <w:rFonts w:eastAsia="Times New Roman"/>
                <w:color w:val="000000"/>
                <w:sz w:val="14"/>
                <w:lang w:val="en-GB"/>
              </w:rPr>
              <w:t xml:space="preserve"> Medical Group, Shenzhen; 2022 pre-adoption indicators compared with 2025 post-enablement indicators. Denominators were not consistently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8BC3E7D" w14:textId="77777777" w:rsidR="00E456DC" w:rsidRPr="00784E8E" w:rsidRDefault="00000000">
            <w:pPr>
              <w:spacing w:after="0" w:line="245" w:lineRule="auto"/>
              <w:jc w:val="left"/>
              <w:rPr>
                <w:lang w:val="en-GB"/>
              </w:rPr>
            </w:pPr>
            <w:r w:rsidRPr="00784E8E">
              <w:rPr>
                <w:rFonts w:eastAsia="Times New Roman"/>
                <w:color w:val="000000"/>
                <w:sz w:val="14"/>
                <w:lang w:val="en-GB"/>
              </w:rPr>
              <w:t>Artificial intelligence, cloud computing, Internet of Things, consortium management, patient-service and resource-management systems.</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8B61B40" w14:textId="77777777" w:rsidR="00E456DC" w:rsidRPr="00784E8E" w:rsidRDefault="00000000">
            <w:pPr>
              <w:spacing w:after="0" w:line="245" w:lineRule="auto"/>
              <w:jc w:val="left"/>
              <w:rPr>
                <w:lang w:val="en-GB"/>
              </w:rPr>
            </w:pPr>
            <w:r w:rsidRPr="00784E8E">
              <w:rPr>
                <w:rFonts w:eastAsia="Times New Roman"/>
                <w:color w:val="000000"/>
                <w:sz w:val="14"/>
                <w:lang w:val="en-GB"/>
              </w:rPr>
              <w:t xml:space="preserve">Reported changes included satisfaction from 68.75% to 93.75%, waiting time reduced by 14%, consultation duration by 34%, online </w:t>
            </w:r>
            <w:proofErr w:type="spellStart"/>
            <w:r w:rsidRPr="00784E8E">
              <w:rPr>
                <w:rFonts w:eastAsia="Times New Roman"/>
                <w:color w:val="000000"/>
                <w:sz w:val="14"/>
                <w:lang w:val="en-GB"/>
              </w:rPr>
              <w:t>prediagnostic</w:t>
            </w:r>
            <w:proofErr w:type="spellEnd"/>
            <w:r w:rsidRPr="00784E8E">
              <w:rPr>
                <w:rFonts w:eastAsia="Times New Roman"/>
                <w:color w:val="000000"/>
                <w:sz w:val="14"/>
                <w:lang w:val="en-GB"/>
              </w:rPr>
              <w:t xml:space="preserve"> error by 29%, chronic-disease management from 65% to 78%, clinician utilisation up 18% and throughput up 23%.</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D4037EB" w14:textId="77777777" w:rsidR="00E456DC" w:rsidRPr="00784E8E" w:rsidRDefault="00000000">
            <w:pPr>
              <w:spacing w:after="0" w:line="245" w:lineRule="auto"/>
              <w:jc w:val="left"/>
              <w:rPr>
                <w:lang w:val="en-GB"/>
              </w:rPr>
            </w:pPr>
            <w:r w:rsidRPr="00784E8E">
              <w:rPr>
                <w:rFonts w:eastAsia="Times New Roman"/>
                <w:color w:val="000000"/>
                <w:sz w:val="14"/>
                <w:lang w:val="en-GB"/>
              </w:rPr>
              <w:t>Uncontrolled historical comparison, unclear denominators and outcome definitions, no uncertainty estimates and high susceptibility to secular change.</w:t>
            </w:r>
          </w:p>
        </w:tc>
      </w:tr>
      <w:tr w:rsidR="00E456DC" w:rsidRPr="00784E8E" w14:paraId="629936DC" w14:textId="77777777">
        <w:trPr>
          <w:jc w:val="center"/>
        </w:trPr>
        <w:tc>
          <w:tcPr>
            <w:tcW w:w="124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CC5C3EC" w14:textId="77777777" w:rsidR="00E456DC" w:rsidRPr="00784E8E" w:rsidRDefault="00000000">
            <w:pPr>
              <w:spacing w:after="0" w:line="245" w:lineRule="auto"/>
              <w:jc w:val="left"/>
              <w:rPr>
                <w:lang w:val="en-GB"/>
              </w:rPr>
            </w:pPr>
            <w:r w:rsidRPr="00784E8E">
              <w:rPr>
                <w:rFonts w:eastAsia="Times New Roman"/>
                <w:b/>
                <w:color w:val="000000"/>
                <w:sz w:val="14"/>
                <w:lang w:val="en-GB"/>
              </w:rPr>
              <w:t>Jiang et al. (2026)</w:t>
            </w:r>
          </w:p>
        </w:tc>
        <w:tc>
          <w:tcPr>
            <w:tcW w:w="215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9FA2DD2" w14:textId="77777777" w:rsidR="00E456DC" w:rsidRPr="00784E8E" w:rsidRDefault="00000000">
            <w:pPr>
              <w:spacing w:after="0" w:line="245" w:lineRule="auto"/>
              <w:jc w:val="left"/>
              <w:rPr>
                <w:lang w:val="en-GB"/>
              </w:rPr>
            </w:pPr>
            <w:r w:rsidRPr="00784E8E">
              <w:rPr>
                <w:rFonts w:eastAsia="Times New Roman"/>
                <w:color w:val="000000"/>
                <w:sz w:val="14"/>
                <w:lang w:val="en-GB"/>
              </w:rPr>
              <w:t>China</w:t>
            </w:r>
            <w:r w:rsidRPr="00784E8E">
              <w:rPr>
                <w:rFonts w:eastAsia="Times New Roman"/>
                <w:color w:val="000000"/>
                <w:sz w:val="14"/>
                <w:lang w:val="en-GB"/>
              </w:rPr>
              <w:br/>
              <w:t>Retrospective descriptive implementation case review</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DBC9924" w14:textId="77777777" w:rsidR="00E456DC" w:rsidRPr="00784E8E" w:rsidRDefault="00000000">
            <w:pPr>
              <w:spacing w:after="0" w:line="245" w:lineRule="auto"/>
              <w:jc w:val="left"/>
              <w:rPr>
                <w:lang w:val="en-GB"/>
              </w:rPr>
            </w:pPr>
            <w:proofErr w:type="spellStart"/>
            <w:r w:rsidRPr="00784E8E">
              <w:rPr>
                <w:rFonts w:eastAsia="Times New Roman"/>
                <w:color w:val="000000"/>
                <w:sz w:val="14"/>
                <w:lang w:val="en-GB"/>
              </w:rPr>
              <w:t>Quzhou</w:t>
            </w:r>
            <w:proofErr w:type="spellEnd"/>
            <w:r w:rsidRPr="00784E8E">
              <w:rPr>
                <w:rFonts w:eastAsia="Times New Roman"/>
                <w:color w:val="000000"/>
                <w:sz w:val="14"/>
                <w:lang w:val="en-GB"/>
              </w:rPr>
              <w:t xml:space="preserve"> Hospital, approximately 1,200 beds; all completed requests from 31 August to 30 September 2024. The abstract reports 15,543 requests; the detailed results report 15,443 online requests with 14,940 complete time records.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4C01B3" w14:textId="77777777" w:rsidR="00E456DC" w:rsidRPr="00784E8E" w:rsidRDefault="00000000">
            <w:pPr>
              <w:spacing w:after="0" w:line="245" w:lineRule="auto"/>
              <w:jc w:val="left"/>
              <w:rPr>
                <w:lang w:val="en-GB"/>
              </w:rPr>
            </w:pPr>
            <w:r w:rsidRPr="00784E8E">
              <w:rPr>
                <w:rFonts w:eastAsia="Times New Roman"/>
                <w:color w:val="000000"/>
                <w:sz w:val="14"/>
                <w:lang w:val="en-GB"/>
              </w:rPr>
              <w:t>Electronic medical-record integration, mobile devices, 5G Internet of Things positioning, automated task assignment and real-time monitoring dashboard.</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9EA012D" w14:textId="77777777" w:rsidR="00E456DC" w:rsidRPr="00784E8E" w:rsidRDefault="00000000">
            <w:pPr>
              <w:spacing w:after="0" w:line="245" w:lineRule="auto"/>
              <w:jc w:val="left"/>
              <w:rPr>
                <w:lang w:val="en-GB"/>
              </w:rPr>
            </w:pPr>
            <w:r w:rsidRPr="00784E8E">
              <w:rPr>
                <w:rFonts w:eastAsia="Times New Roman"/>
                <w:color w:val="000000"/>
                <w:sz w:val="14"/>
                <w:lang w:val="en-GB"/>
              </w:rPr>
              <w:t>Mean transport time varied markedly by department; ophthalmology and gynaecology had the shortest means (34.78 and 34.94 minutes). Overall satisfaction was 90%, and no misidentification event was reported during the study period.</w:t>
            </w:r>
          </w:p>
        </w:tc>
        <w:tc>
          <w:tcPr>
            <w:tcW w:w="238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3BEA53" w14:textId="77777777" w:rsidR="00E456DC" w:rsidRPr="00784E8E" w:rsidRDefault="00000000">
            <w:pPr>
              <w:spacing w:after="0" w:line="245" w:lineRule="auto"/>
              <w:jc w:val="left"/>
              <w:rPr>
                <w:lang w:val="en-GB"/>
              </w:rPr>
            </w:pPr>
            <w:r w:rsidRPr="00784E8E">
              <w:rPr>
                <w:rFonts w:eastAsia="Times New Roman"/>
                <w:color w:val="000000"/>
                <w:sz w:val="14"/>
                <w:lang w:val="en-GB"/>
              </w:rPr>
              <w:t>Descriptive single-site study with no comparator; internal inconsistency in request totals, changing satisfaction instrument and possible under-reporting of incidents.</w:t>
            </w:r>
          </w:p>
        </w:tc>
      </w:tr>
    </w:tbl>
    <w:p w14:paraId="2ADA856B" w14:textId="77777777" w:rsidR="00E456DC" w:rsidRPr="00784E8E" w:rsidRDefault="00000000">
      <w:pPr>
        <w:pStyle w:val="SmallNote"/>
        <w:rPr>
          <w:lang w:val="en-GB"/>
        </w:rPr>
      </w:pPr>
      <w:r w:rsidRPr="00784E8E">
        <w:rPr>
          <w:rFonts w:eastAsia="Times New Roman"/>
          <w:b/>
          <w:lang w:val="en-GB"/>
        </w:rPr>
        <w:lastRenderedPageBreak/>
        <w:t xml:space="preserve">Note. </w:t>
      </w:r>
      <w:r w:rsidRPr="00784E8E">
        <w:rPr>
          <w:rFonts w:eastAsia="Times New Roman"/>
          <w:lang w:val="en-GB"/>
        </w:rPr>
        <w:t>Reported operational changes were retained with their original design limitations and were not interpreted as causal effects.</w:t>
      </w:r>
    </w:p>
    <w:p w14:paraId="1C3D1824" w14:textId="77777777" w:rsidR="00E456DC" w:rsidRPr="00784E8E" w:rsidRDefault="00E456DC">
      <w:pPr>
        <w:rPr>
          <w:lang w:val="en-GB"/>
        </w:rPr>
        <w:sectPr w:rsidR="00E456DC" w:rsidRPr="00784E8E">
          <w:pgSz w:w="16838" w:h="11906" w:orient="landscape"/>
          <w:pgMar w:top="850" w:right="794" w:bottom="850" w:left="794" w:header="397" w:footer="397" w:gutter="0"/>
          <w:cols w:space="720"/>
          <w:docGrid w:linePitch="360"/>
        </w:sectPr>
      </w:pPr>
    </w:p>
    <w:p w14:paraId="6ED3CE61" w14:textId="77777777" w:rsidR="00E456DC" w:rsidRPr="00784E8E" w:rsidRDefault="00000000">
      <w:pPr>
        <w:pStyle w:val="Heading2"/>
        <w:rPr>
          <w:lang w:val="en-GB"/>
        </w:rPr>
      </w:pPr>
      <w:r w:rsidRPr="00784E8E">
        <w:rPr>
          <w:rFonts w:ascii="Times New Roman" w:eastAsia="Times New Roman" w:hAnsi="Times New Roman"/>
          <w:lang w:val="en-GB"/>
        </w:rPr>
        <w:lastRenderedPageBreak/>
        <w:t>3.3 Definitions and the smart-to-cognitive maturity pathway</w:t>
      </w:r>
    </w:p>
    <w:p w14:paraId="4EA14D02" w14:textId="77777777" w:rsidR="00E456DC" w:rsidRPr="00784E8E" w:rsidRDefault="00000000">
      <w:pPr>
        <w:rPr>
          <w:lang w:val="en-GB"/>
        </w:rPr>
      </w:pPr>
      <w:r w:rsidRPr="00784E8E">
        <w:rPr>
          <w:rFonts w:eastAsia="Times New Roman"/>
          <w:lang w:val="en-GB"/>
        </w:rPr>
        <w:t>Across the definitional literature, three elements separated a smart hospital from a merely digitised one. First, data had to move across interoperable clinical, administrative and technical systems rather than remain in isolated applications. Second, information had to be converted into real-time or near-real-time action through tracking, automation, decision support or redesigned work. Third, the action had to create measurable value for patients, staff or the organisation. Kwon et al. (2022) made this value orientation explicit in relation to safety, quality, cost-effectiveness and patient-centredness. Rajaei et al. (2024) reached a similar synthesis through 83 characteristics grouped as technologies, services and goals, and warned that digitising existing processes is often mislabelled as smart transformation.</w:t>
      </w:r>
    </w:p>
    <w:p w14:paraId="1D14239D" w14:textId="77777777" w:rsidR="00E456DC" w:rsidRPr="00784E8E" w:rsidRDefault="00000000">
      <w:pPr>
        <w:rPr>
          <w:lang w:val="en-GB"/>
        </w:rPr>
      </w:pPr>
      <w:r w:rsidRPr="00784E8E">
        <w:rPr>
          <w:rFonts w:eastAsia="Times New Roman"/>
          <w:lang w:val="en-GB"/>
        </w:rPr>
        <w:t xml:space="preserve">The broader reviews expanded the definition beyond the hospital perimeter. Sony et al. (2023) placed digital integration within an ecosystem of patients, providers, payers, regulators and suppliers, while </w:t>
      </w:r>
      <w:proofErr w:type="spellStart"/>
      <w:r w:rsidRPr="00784E8E">
        <w:rPr>
          <w:rFonts w:eastAsia="Times New Roman"/>
          <w:lang w:val="en-GB"/>
        </w:rPr>
        <w:t>Rabiei</w:t>
      </w:r>
      <w:proofErr w:type="spellEnd"/>
      <w:r w:rsidRPr="00784E8E">
        <w:rPr>
          <w:rFonts w:eastAsia="Times New Roman"/>
          <w:lang w:val="en-GB"/>
        </w:rPr>
        <w:t xml:space="preserve"> et al. (2025) emphasised maturity, interoperability and data management as prerequisites for advanced sensing and analytics. Jovy-Klein et al. (2024) added sustainability, ecosystems and human-centredness to artificial intelligence as four future dimensions. Malekzadeh et al. (2025) similarly distributed smartness across leadership, care, communication, equipment and physical facilities. The convergence implies that no single technology can confer smart status; the relevant unit is the coordinated organisation.</w:t>
      </w:r>
    </w:p>
    <w:p w14:paraId="28A7085E" w14:textId="77777777" w:rsidR="00E456DC" w:rsidRPr="00784E8E" w:rsidRDefault="00000000">
      <w:pPr>
        <w:rPr>
          <w:lang w:val="en-GB"/>
        </w:rPr>
      </w:pPr>
      <w:r w:rsidRPr="00784E8E">
        <w:rPr>
          <w:rFonts w:eastAsia="Times New Roman"/>
          <w:lang w:val="en-GB"/>
        </w:rPr>
        <w:t>Cognition required an additional transition. Rovira-Simón et al. (2022) proposed hospital-wide sensing, integration, learning, anticipation and adaptive reconfiguration. Rahimi et al. (2024) supplied a more operational bridge through the learning-health-system literature: artificial intelligence must progress from retrospective data-set validation to live electronic-record integration, continuous implementation and feedback. Yet their review found that such integration was rare. The included empirical studies demonstrated pieces of the architecture - real-time location, automated dispatch, wearable monitoring, workflow dashboards and AI-supported consortium management - but none documented validated, continuous learning across multiple hospital domains with explicit closed-loop governance.</w:t>
      </w:r>
    </w:p>
    <w:p w14:paraId="2AF8B8D2" w14:textId="77777777" w:rsidR="00E456DC" w:rsidRPr="00784E8E" w:rsidRDefault="00E456DC">
      <w:pPr>
        <w:rPr>
          <w:lang w:val="en-GB"/>
        </w:rPr>
        <w:sectPr w:rsidR="00E456DC" w:rsidRPr="00784E8E">
          <w:pgSz w:w="11906" w:h="16838"/>
          <w:pgMar w:top="1134" w:right="1191" w:bottom="1020" w:left="1191" w:header="454" w:footer="454" w:gutter="0"/>
          <w:cols w:space="720"/>
          <w:docGrid w:linePitch="360"/>
        </w:sectPr>
      </w:pPr>
    </w:p>
    <w:p w14:paraId="22D70C62" w14:textId="77777777" w:rsidR="00E456DC" w:rsidRPr="00784E8E" w:rsidRDefault="00000000">
      <w:pPr>
        <w:pStyle w:val="AnalyticalLead"/>
        <w:rPr>
          <w:lang w:val="en-GB"/>
        </w:rPr>
      </w:pPr>
      <w:r w:rsidRPr="00784E8E">
        <w:rPr>
          <w:rFonts w:eastAsia="Times New Roman"/>
          <w:lang w:val="en-GB"/>
        </w:rPr>
        <w:lastRenderedPageBreak/>
        <w:t>Comparison of recurring attributes produced a five-stage continuum from digitisation to cognition. Table 4 makes the evidential gap visible: the corpus contains many examples of connectivity and several integrated smart workflows, but predictive and adaptive functions remain partial and a fully cognitive hospital remains conceptual.</w:t>
      </w:r>
    </w:p>
    <w:p w14:paraId="2F02D901" w14:textId="77777777" w:rsidR="00E456DC" w:rsidRPr="00784E8E" w:rsidRDefault="00000000">
      <w:pPr>
        <w:pStyle w:val="TableTitle"/>
        <w:rPr>
          <w:lang w:val="en-GB"/>
        </w:rPr>
      </w:pPr>
      <w:r w:rsidRPr="00784E8E">
        <w:rPr>
          <w:rFonts w:eastAsia="Times New Roman"/>
          <w:lang w:val="en-GB"/>
        </w:rPr>
        <w:t>Table 4. Review-derived maturity continuum from digitised to cognitive hospital capability</w:t>
      </w:r>
    </w:p>
    <w:tbl>
      <w:tblPr>
        <w:tblStyle w:val="TableGrid"/>
        <w:tblW w:w="0" w:type="auto"/>
        <w:jc w:val="center"/>
        <w:tblLayout w:type="fixed"/>
        <w:tblLook w:val="04A0" w:firstRow="1" w:lastRow="0" w:firstColumn="1" w:lastColumn="0" w:noHBand="0" w:noVBand="1"/>
      </w:tblPr>
      <w:tblGrid>
        <w:gridCol w:w="1701"/>
        <w:gridCol w:w="2948"/>
        <w:gridCol w:w="3005"/>
        <w:gridCol w:w="3515"/>
        <w:gridCol w:w="3402"/>
      </w:tblGrid>
      <w:tr w:rsidR="00E456DC" w:rsidRPr="00784E8E" w14:paraId="0DC7A6A5" w14:textId="77777777">
        <w:trPr>
          <w:tblHeader/>
          <w:jc w:val="center"/>
        </w:trPr>
        <w:tc>
          <w:tcPr>
            <w:tcW w:w="170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B4BC731" w14:textId="77777777" w:rsidR="00E456DC" w:rsidRPr="00784E8E" w:rsidRDefault="00000000">
            <w:pPr>
              <w:spacing w:after="0"/>
              <w:jc w:val="center"/>
              <w:rPr>
                <w:lang w:val="en-GB"/>
              </w:rPr>
            </w:pPr>
            <w:r w:rsidRPr="00784E8E">
              <w:rPr>
                <w:rFonts w:eastAsia="Times New Roman"/>
                <w:b/>
                <w:color w:val="FFFFFF"/>
                <w:sz w:val="15"/>
                <w:lang w:val="en-GB"/>
              </w:rPr>
              <w:t>Stage</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52575BF" w14:textId="77777777" w:rsidR="00E456DC" w:rsidRPr="00784E8E" w:rsidRDefault="00000000">
            <w:pPr>
              <w:spacing w:after="0"/>
              <w:jc w:val="center"/>
              <w:rPr>
                <w:lang w:val="en-GB"/>
              </w:rPr>
            </w:pPr>
            <w:r w:rsidRPr="00784E8E">
              <w:rPr>
                <w:rFonts w:eastAsia="Times New Roman"/>
                <w:b/>
                <w:color w:val="FFFFFF"/>
                <w:sz w:val="15"/>
                <w:lang w:val="en-GB"/>
              </w:rPr>
              <w:t>Defining capability</w:t>
            </w:r>
          </w:p>
        </w:tc>
        <w:tc>
          <w:tcPr>
            <w:tcW w:w="300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922FD26" w14:textId="77777777" w:rsidR="00E456DC" w:rsidRPr="00784E8E" w:rsidRDefault="00000000">
            <w:pPr>
              <w:spacing w:after="0"/>
              <w:jc w:val="center"/>
              <w:rPr>
                <w:lang w:val="en-GB"/>
              </w:rPr>
            </w:pPr>
            <w:r w:rsidRPr="00784E8E">
              <w:rPr>
                <w:rFonts w:eastAsia="Times New Roman"/>
                <w:b/>
                <w:color w:val="FFFFFF"/>
                <w:sz w:val="15"/>
                <w:lang w:val="en-GB"/>
              </w:rPr>
              <w:t>Illustrative functions</w:t>
            </w:r>
          </w:p>
        </w:tc>
        <w:tc>
          <w:tcPr>
            <w:tcW w:w="351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E566FB2" w14:textId="77777777" w:rsidR="00E456DC" w:rsidRPr="00784E8E" w:rsidRDefault="00000000">
            <w:pPr>
              <w:spacing w:after="0"/>
              <w:jc w:val="center"/>
              <w:rPr>
                <w:lang w:val="en-GB"/>
              </w:rPr>
            </w:pPr>
            <w:r w:rsidRPr="00784E8E">
              <w:rPr>
                <w:rFonts w:eastAsia="Times New Roman"/>
                <w:b/>
                <w:color w:val="FFFFFF"/>
                <w:sz w:val="15"/>
                <w:lang w:val="en-GB"/>
              </w:rPr>
              <w:t>Critical conditions</w:t>
            </w:r>
          </w:p>
        </w:tc>
        <w:tc>
          <w:tcPr>
            <w:tcW w:w="340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507F826" w14:textId="77777777" w:rsidR="00E456DC" w:rsidRPr="00784E8E" w:rsidRDefault="00000000">
            <w:pPr>
              <w:spacing w:after="0"/>
              <w:jc w:val="center"/>
              <w:rPr>
                <w:lang w:val="en-GB"/>
              </w:rPr>
            </w:pPr>
            <w:r w:rsidRPr="00784E8E">
              <w:rPr>
                <w:rFonts w:eastAsia="Times New Roman"/>
                <w:b/>
                <w:color w:val="FFFFFF"/>
                <w:sz w:val="15"/>
                <w:lang w:val="en-GB"/>
              </w:rPr>
              <w:t>Status in included evidence</w:t>
            </w:r>
          </w:p>
        </w:tc>
      </w:tr>
      <w:tr w:rsidR="00E456DC" w:rsidRPr="00784E8E" w14:paraId="753F19AF"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F50BD71" w14:textId="77777777" w:rsidR="00E456DC" w:rsidRPr="00784E8E" w:rsidRDefault="00000000">
            <w:pPr>
              <w:spacing w:after="0" w:line="245" w:lineRule="auto"/>
              <w:jc w:val="left"/>
              <w:rPr>
                <w:lang w:val="en-GB"/>
              </w:rPr>
            </w:pPr>
            <w:r w:rsidRPr="00784E8E">
              <w:rPr>
                <w:rFonts w:eastAsia="Times New Roman"/>
                <w:b/>
                <w:color w:val="000000"/>
                <w:sz w:val="15"/>
                <w:lang w:val="en-GB"/>
              </w:rPr>
              <w:t>1. Digitised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780660E" w14:textId="77777777" w:rsidR="00E456DC" w:rsidRPr="00784E8E" w:rsidRDefault="00000000">
            <w:pPr>
              <w:spacing w:after="0" w:line="245" w:lineRule="auto"/>
              <w:jc w:val="left"/>
              <w:rPr>
                <w:lang w:val="en-GB"/>
              </w:rPr>
            </w:pPr>
            <w:r w:rsidRPr="00784E8E">
              <w:rPr>
                <w:rFonts w:eastAsia="Times New Roman"/>
                <w:color w:val="000000"/>
                <w:sz w:val="15"/>
                <w:lang w:val="en-GB"/>
              </w:rPr>
              <w:t>Paper processes converted to electronic form; information remains application- or department-specific.</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3D7DDEF" w14:textId="77777777" w:rsidR="00E456DC" w:rsidRPr="00784E8E" w:rsidRDefault="00000000">
            <w:pPr>
              <w:spacing w:after="0" w:line="245" w:lineRule="auto"/>
              <w:jc w:val="left"/>
              <w:rPr>
                <w:lang w:val="en-GB"/>
              </w:rPr>
            </w:pPr>
            <w:r w:rsidRPr="00784E8E">
              <w:rPr>
                <w:rFonts w:eastAsia="Times New Roman"/>
                <w:color w:val="000000"/>
                <w:sz w:val="15"/>
                <w:lang w:val="en-GB"/>
              </w:rPr>
              <w:t>Electronic records, digital orders and reports; retrospective dashboards.</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B69F229" w14:textId="77777777" w:rsidR="00E456DC" w:rsidRPr="00784E8E" w:rsidRDefault="00000000">
            <w:pPr>
              <w:spacing w:after="0" w:line="245" w:lineRule="auto"/>
              <w:jc w:val="left"/>
              <w:rPr>
                <w:lang w:val="en-GB"/>
              </w:rPr>
            </w:pPr>
            <w:r w:rsidRPr="00784E8E">
              <w:rPr>
                <w:rFonts w:eastAsia="Times New Roman"/>
                <w:color w:val="000000"/>
                <w:sz w:val="15"/>
                <w:lang w:val="en-GB"/>
              </w:rPr>
              <w:t>Reliable data capture, identity and basic usability.</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7C1505" w14:textId="77777777" w:rsidR="00E456DC" w:rsidRPr="00784E8E" w:rsidRDefault="00000000">
            <w:pPr>
              <w:spacing w:after="0" w:line="245" w:lineRule="auto"/>
              <w:jc w:val="left"/>
              <w:rPr>
                <w:lang w:val="en-GB"/>
              </w:rPr>
            </w:pPr>
            <w:r w:rsidRPr="00784E8E">
              <w:rPr>
                <w:rFonts w:eastAsia="Times New Roman"/>
                <w:color w:val="000000"/>
                <w:sz w:val="15"/>
                <w:lang w:val="en-GB"/>
              </w:rPr>
              <w:t>Widely assumed foundation; not itself sufficient for smart status.</w:t>
            </w:r>
          </w:p>
        </w:tc>
      </w:tr>
      <w:tr w:rsidR="00E456DC" w:rsidRPr="00784E8E" w14:paraId="5987AD6D"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C9499C" w14:textId="77777777" w:rsidR="00E456DC" w:rsidRPr="00784E8E" w:rsidRDefault="00000000">
            <w:pPr>
              <w:spacing w:after="0" w:line="245" w:lineRule="auto"/>
              <w:jc w:val="left"/>
              <w:rPr>
                <w:lang w:val="en-GB"/>
              </w:rPr>
            </w:pPr>
            <w:r w:rsidRPr="00784E8E">
              <w:rPr>
                <w:rFonts w:eastAsia="Times New Roman"/>
                <w:b/>
                <w:color w:val="000000"/>
                <w:sz w:val="15"/>
                <w:lang w:val="en-GB"/>
              </w:rPr>
              <w:t>2. Connected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19A30B" w14:textId="77777777" w:rsidR="00E456DC" w:rsidRPr="00784E8E" w:rsidRDefault="00000000">
            <w:pPr>
              <w:spacing w:after="0" w:line="245" w:lineRule="auto"/>
              <w:jc w:val="left"/>
              <w:rPr>
                <w:lang w:val="en-GB"/>
              </w:rPr>
            </w:pPr>
            <w:r w:rsidRPr="00784E8E">
              <w:rPr>
                <w:rFonts w:eastAsia="Times New Roman"/>
                <w:color w:val="000000"/>
                <w:sz w:val="15"/>
                <w:lang w:val="en-GB"/>
              </w:rPr>
              <w:t>Devices, people and assets communicate; real-time data are available but may remain fragmented.</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908769" w14:textId="77777777" w:rsidR="00E456DC" w:rsidRPr="00784E8E" w:rsidRDefault="00000000">
            <w:pPr>
              <w:spacing w:after="0" w:line="245" w:lineRule="auto"/>
              <w:jc w:val="left"/>
              <w:rPr>
                <w:lang w:val="en-GB"/>
              </w:rPr>
            </w:pPr>
            <w:r w:rsidRPr="00784E8E">
              <w:rPr>
                <w:rFonts w:eastAsia="Times New Roman"/>
                <w:color w:val="000000"/>
                <w:sz w:val="15"/>
                <w:lang w:val="en-GB"/>
              </w:rPr>
              <w:t>Internet of Things, location tracking, mobile access, high-speed networks and device integration.</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A77347" w14:textId="77777777" w:rsidR="00E456DC" w:rsidRPr="00784E8E" w:rsidRDefault="00000000">
            <w:pPr>
              <w:spacing w:after="0" w:line="245" w:lineRule="auto"/>
              <w:jc w:val="left"/>
              <w:rPr>
                <w:lang w:val="en-GB"/>
              </w:rPr>
            </w:pPr>
            <w:r w:rsidRPr="00784E8E">
              <w:rPr>
                <w:rFonts w:eastAsia="Times New Roman"/>
                <w:color w:val="000000"/>
                <w:sz w:val="15"/>
                <w:lang w:val="en-GB"/>
              </w:rPr>
              <w:t>Network reliability, standards, cybersecurity and data quality.</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FE441B" w14:textId="77777777" w:rsidR="00E456DC" w:rsidRPr="00784E8E" w:rsidRDefault="00000000">
            <w:pPr>
              <w:spacing w:after="0" w:line="245" w:lineRule="auto"/>
              <w:jc w:val="left"/>
              <w:rPr>
                <w:lang w:val="en-GB"/>
              </w:rPr>
            </w:pPr>
            <w:r w:rsidRPr="00784E8E">
              <w:rPr>
                <w:rFonts w:eastAsia="Times New Roman"/>
                <w:color w:val="000000"/>
                <w:sz w:val="15"/>
                <w:lang w:val="en-GB"/>
              </w:rPr>
              <w:t>Multiple implemented examples, including beacon, wearable and transport systems.</w:t>
            </w:r>
          </w:p>
        </w:tc>
      </w:tr>
      <w:tr w:rsidR="00E456DC" w:rsidRPr="00784E8E" w14:paraId="67F25523"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51524E9" w14:textId="77777777" w:rsidR="00E456DC" w:rsidRPr="00784E8E" w:rsidRDefault="00000000">
            <w:pPr>
              <w:spacing w:after="0" w:line="245" w:lineRule="auto"/>
              <w:jc w:val="left"/>
              <w:rPr>
                <w:lang w:val="en-GB"/>
              </w:rPr>
            </w:pPr>
            <w:r w:rsidRPr="00784E8E">
              <w:rPr>
                <w:rFonts w:eastAsia="Times New Roman"/>
                <w:b/>
                <w:color w:val="000000"/>
                <w:sz w:val="15"/>
                <w:lang w:val="en-GB"/>
              </w:rPr>
              <w:t>3. Integrated smart</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35D137" w14:textId="77777777" w:rsidR="00E456DC" w:rsidRPr="00784E8E" w:rsidRDefault="00000000">
            <w:pPr>
              <w:spacing w:after="0" w:line="245" w:lineRule="auto"/>
              <w:jc w:val="left"/>
              <w:rPr>
                <w:lang w:val="en-GB"/>
              </w:rPr>
            </w:pPr>
            <w:r w:rsidRPr="00784E8E">
              <w:rPr>
                <w:rFonts w:eastAsia="Times New Roman"/>
                <w:color w:val="000000"/>
                <w:sz w:val="15"/>
                <w:lang w:val="en-GB"/>
              </w:rPr>
              <w:t>Interoperable data are embedded in redesigned workflows and automation with measurable organisational value.</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6A80B43" w14:textId="77777777" w:rsidR="00E456DC" w:rsidRPr="00784E8E" w:rsidRDefault="00000000">
            <w:pPr>
              <w:spacing w:after="0" w:line="245" w:lineRule="auto"/>
              <w:jc w:val="left"/>
              <w:rPr>
                <w:lang w:val="en-GB"/>
              </w:rPr>
            </w:pPr>
            <w:r w:rsidRPr="00784E8E">
              <w:rPr>
                <w:rFonts w:eastAsia="Times New Roman"/>
                <w:color w:val="000000"/>
                <w:sz w:val="15"/>
                <w:lang w:val="en-GB"/>
              </w:rPr>
              <w:t>Shared platforms, automated dispatch, smart wards, decision support and cross-department dashboards.</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C4F2D7" w14:textId="77777777" w:rsidR="00E456DC" w:rsidRPr="00784E8E" w:rsidRDefault="00000000">
            <w:pPr>
              <w:spacing w:after="0" w:line="245" w:lineRule="auto"/>
              <w:jc w:val="left"/>
              <w:rPr>
                <w:lang w:val="en-GB"/>
              </w:rPr>
            </w:pPr>
            <w:r w:rsidRPr="00784E8E">
              <w:rPr>
                <w:rFonts w:eastAsia="Times New Roman"/>
                <w:color w:val="000000"/>
                <w:sz w:val="15"/>
                <w:lang w:val="en-GB"/>
              </w:rPr>
              <w:t>Workflow ownership, staff capability, governance, balancing measures and lifecycle cost.</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A4F25B" w14:textId="77777777" w:rsidR="00E456DC" w:rsidRPr="00784E8E" w:rsidRDefault="00000000">
            <w:pPr>
              <w:spacing w:after="0" w:line="245" w:lineRule="auto"/>
              <w:jc w:val="left"/>
              <w:rPr>
                <w:lang w:val="en-GB"/>
              </w:rPr>
            </w:pPr>
            <w:r w:rsidRPr="00784E8E">
              <w:rPr>
                <w:rFonts w:eastAsia="Times New Roman"/>
                <w:color w:val="000000"/>
                <w:sz w:val="15"/>
                <w:lang w:val="en-GB"/>
              </w:rPr>
              <w:t>Several single-site/multi-site implementations; outcome certainty remains low.</w:t>
            </w:r>
          </w:p>
        </w:tc>
      </w:tr>
      <w:tr w:rsidR="00E456DC" w:rsidRPr="00784E8E" w14:paraId="1162101A"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6B915E0" w14:textId="77777777" w:rsidR="00E456DC" w:rsidRPr="00784E8E" w:rsidRDefault="00000000">
            <w:pPr>
              <w:spacing w:after="0" w:line="245" w:lineRule="auto"/>
              <w:jc w:val="left"/>
              <w:rPr>
                <w:lang w:val="en-GB"/>
              </w:rPr>
            </w:pPr>
            <w:r w:rsidRPr="00784E8E">
              <w:rPr>
                <w:rFonts w:eastAsia="Times New Roman"/>
                <w:b/>
                <w:color w:val="000000"/>
                <w:sz w:val="15"/>
                <w:lang w:val="en-GB"/>
              </w:rPr>
              <w:t>4. Predictive/context-aware</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891D60" w14:textId="77777777" w:rsidR="00E456DC" w:rsidRPr="00784E8E" w:rsidRDefault="00000000">
            <w:pPr>
              <w:spacing w:after="0" w:line="245" w:lineRule="auto"/>
              <w:jc w:val="left"/>
              <w:rPr>
                <w:lang w:val="en-GB"/>
              </w:rPr>
            </w:pPr>
            <w:r w:rsidRPr="00784E8E">
              <w:rPr>
                <w:rFonts w:eastAsia="Times New Roman"/>
                <w:color w:val="000000"/>
                <w:sz w:val="15"/>
                <w:lang w:val="en-GB"/>
              </w:rPr>
              <w:t>Analytics anticipate risk, demand or resource need and support proactive action.</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838AE09" w14:textId="77777777" w:rsidR="00E456DC" w:rsidRPr="00784E8E" w:rsidRDefault="00000000">
            <w:pPr>
              <w:spacing w:after="0" w:line="245" w:lineRule="auto"/>
              <w:jc w:val="left"/>
              <w:rPr>
                <w:lang w:val="en-GB"/>
              </w:rPr>
            </w:pPr>
            <w:r w:rsidRPr="00784E8E">
              <w:rPr>
                <w:rFonts w:eastAsia="Times New Roman"/>
                <w:color w:val="000000"/>
                <w:sz w:val="15"/>
                <w:lang w:val="en-GB"/>
              </w:rPr>
              <w:t>Live predictive models, context-aware prioritisation, simulation/digital twins and proactive resource allocation.</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1797805" w14:textId="77777777" w:rsidR="00E456DC" w:rsidRPr="00784E8E" w:rsidRDefault="00000000">
            <w:pPr>
              <w:spacing w:after="0" w:line="245" w:lineRule="auto"/>
              <w:jc w:val="left"/>
              <w:rPr>
                <w:lang w:val="en-GB"/>
              </w:rPr>
            </w:pPr>
            <w:r w:rsidRPr="00784E8E">
              <w:rPr>
                <w:rFonts w:eastAsia="Times New Roman"/>
                <w:color w:val="000000"/>
                <w:sz w:val="15"/>
                <w:lang w:val="en-GB"/>
              </w:rPr>
              <w:t>Prospective validation, drift monitoring, explainability, override and equity surveillance.</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FE2F1B" w14:textId="77777777" w:rsidR="00E456DC" w:rsidRPr="00784E8E" w:rsidRDefault="00000000">
            <w:pPr>
              <w:spacing w:after="0" w:line="245" w:lineRule="auto"/>
              <w:jc w:val="left"/>
              <w:rPr>
                <w:lang w:val="en-GB"/>
              </w:rPr>
            </w:pPr>
            <w:r w:rsidRPr="00784E8E">
              <w:rPr>
                <w:rFonts w:eastAsia="Times New Roman"/>
                <w:color w:val="000000"/>
                <w:sz w:val="15"/>
                <w:lang w:val="en-GB"/>
              </w:rPr>
              <w:t>Partial functions reported; hospital-wide validation uncommon.</w:t>
            </w:r>
          </w:p>
        </w:tc>
      </w:tr>
      <w:tr w:rsidR="00E456DC" w:rsidRPr="00784E8E" w14:paraId="71A680F2" w14:textId="77777777">
        <w:trPr>
          <w:jc w:val="center"/>
        </w:trPr>
        <w:tc>
          <w:tcPr>
            <w:tcW w:w="170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A10817F" w14:textId="77777777" w:rsidR="00E456DC" w:rsidRPr="00784E8E" w:rsidRDefault="00000000">
            <w:pPr>
              <w:spacing w:after="0" w:line="245" w:lineRule="auto"/>
              <w:jc w:val="left"/>
              <w:rPr>
                <w:lang w:val="en-GB"/>
              </w:rPr>
            </w:pPr>
            <w:r w:rsidRPr="00784E8E">
              <w:rPr>
                <w:rFonts w:eastAsia="Times New Roman"/>
                <w:b/>
                <w:color w:val="000000"/>
                <w:sz w:val="15"/>
                <w:lang w:val="en-GB"/>
              </w:rPr>
              <w:t>5. Cognitive/learning</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44CCFC" w14:textId="77777777" w:rsidR="00E456DC" w:rsidRPr="00784E8E" w:rsidRDefault="00000000">
            <w:pPr>
              <w:spacing w:after="0" w:line="245" w:lineRule="auto"/>
              <w:jc w:val="left"/>
              <w:rPr>
                <w:lang w:val="en-GB"/>
              </w:rPr>
            </w:pPr>
            <w:r w:rsidRPr="00784E8E">
              <w:rPr>
                <w:rFonts w:eastAsia="Times New Roman"/>
                <w:color w:val="000000"/>
                <w:sz w:val="15"/>
                <w:lang w:val="en-GB"/>
              </w:rPr>
              <w:t>The organisation senses, reasons, acts, evaluates and adapts across domains under accountable human governance.</w:t>
            </w:r>
          </w:p>
        </w:tc>
        <w:tc>
          <w:tcPr>
            <w:tcW w:w="300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878D674" w14:textId="77777777" w:rsidR="00E456DC" w:rsidRPr="00784E8E" w:rsidRDefault="00000000">
            <w:pPr>
              <w:spacing w:after="0" w:line="245" w:lineRule="auto"/>
              <w:jc w:val="left"/>
              <w:rPr>
                <w:lang w:val="en-GB"/>
              </w:rPr>
            </w:pPr>
            <w:r w:rsidRPr="00784E8E">
              <w:rPr>
                <w:rFonts w:eastAsia="Times New Roman"/>
                <w:color w:val="000000"/>
                <w:sz w:val="15"/>
                <w:lang w:val="en-GB"/>
              </w:rPr>
              <w:t>Closed-loop feedback, institutional memory, safe policy/model adaptation, self-monitoring and cross-domain learning.</w:t>
            </w:r>
          </w:p>
        </w:tc>
        <w:tc>
          <w:tcPr>
            <w:tcW w:w="351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EC82A75" w14:textId="77777777" w:rsidR="00E456DC" w:rsidRPr="00784E8E" w:rsidRDefault="00000000">
            <w:pPr>
              <w:spacing w:after="0" w:line="245" w:lineRule="auto"/>
              <w:jc w:val="left"/>
              <w:rPr>
                <w:lang w:val="en-GB"/>
              </w:rPr>
            </w:pPr>
            <w:r w:rsidRPr="00784E8E">
              <w:rPr>
                <w:rFonts w:eastAsia="Times New Roman"/>
                <w:color w:val="000000"/>
                <w:sz w:val="15"/>
                <w:lang w:val="en-GB"/>
              </w:rPr>
              <w:t>Validated benefit, change control, auditability, resilience, ethical limits and safe degradation.</w:t>
            </w:r>
          </w:p>
        </w:tc>
        <w:tc>
          <w:tcPr>
            <w:tcW w:w="340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11B054" w14:textId="77777777" w:rsidR="00E456DC" w:rsidRPr="00784E8E" w:rsidRDefault="00000000">
            <w:pPr>
              <w:spacing w:after="0" w:line="245" w:lineRule="auto"/>
              <w:jc w:val="left"/>
              <w:rPr>
                <w:lang w:val="en-GB"/>
              </w:rPr>
            </w:pPr>
            <w:r w:rsidRPr="00784E8E">
              <w:rPr>
                <w:rFonts w:eastAsia="Times New Roman"/>
                <w:color w:val="000000"/>
                <w:sz w:val="15"/>
                <w:lang w:val="en-GB"/>
              </w:rPr>
              <w:t>Conceptual in the included corpus; no complete end-to-end empirical demonstration.</w:t>
            </w:r>
          </w:p>
        </w:tc>
      </w:tr>
    </w:tbl>
    <w:p w14:paraId="1BADBCA0" w14:textId="77777777" w:rsidR="00E456DC" w:rsidRPr="00784E8E" w:rsidRDefault="00000000">
      <w:pPr>
        <w:pStyle w:val="SmallNote"/>
        <w:rPr>
          <w:lang w:val="en-GB"/>
        </w:rPr>
      </w:pPr>
      <w:r w:rsidRPr="00784E8E">
        <w:rPr>
          <w:rFonts w:eastAsia="Times New Roman"/>
          <w:b/>
          <w:lang w:val="en-GB"/>
        </w:rPr>
        <w:t xml:space="preserve">Note. </w:t>
      </w:r>
      <w:r w:rsidRPr="00784E8E">
        <w:rPr>
          <w:rFonts w:eastAsia="Times New Roman"/>
          <w:lang w:val="en-GB"/>
        </w:rPr>
        <w:t>The continuum is an analytical synthesis, not a validated accreditation score. Hospitals may occupy different stages in different domains.</w:t>
      </w:r>
    </w:p>
    <w:p w14:paraId="732A1193" w14:textId="77777777" w:rsidR="00E456DC" w:rsidRPr="00784E8E" w:rsidRDefault="00E456DC">
      <w:pPr>
        <w:rPr>
          <w:lang w:val="en-GB"/>
        </w:rPr>
        <w:sectPr w:rsidR="00E456DC" w:rsidRPr="00784E8E">
          <w:pgSz w:w="16838" w:h="11906" w:orient="landscape"/>
          <w:pgMar w:top="850" w:right="794" w:bottom="850" w:left="794" w:header="397" w:footer="397" w:gutter="0"/>
          <w:cols w:space="720"/>
          <w:docGrid w:linePitch="360"/>
        </w:sectPr>
      </w:pPr>
    </w:p>
    <w:p w14:paraId="2FF1313C" w14:textId="77777777" w:rsidR="00E456DC" w:rsidRPr="00784E8E" w:rsidRDefault="00000000">
      <w:pPr>
        <w:pStyle w:val="Heading2"/>
        <w:rPr>
          <w:lang w:val="en-GB"/>
        </w:rPr>
      </w:pPr>
      <w:r w:rsidRPr="00784E8E">
        <w:rPr>
          <w:rFonts w:ascii="Times New Roman" w:eastAsia="Times New Roman" w:hAnsi="Times New Roman"/>
          <w:lang w:val="en-GB"/>
        </w:rPr>
        <w:lastRenderedPageBreak/>
        <w:t>3.4 Operational efficiency and resource use</w:t>
      </w:r>
    </w:p>
    <w:p w14:paraId="52FA95F3" w14:textId="77777777" w:rsidR="00E456DC" w:rsidRPr="00784E8E" w:rsidRDefault="00000000">
      <w:pPr>
        <w:rPr>
          <w:lang w:val="en-GB"/>
        </w:rPr>
      </w:pPr>
      <w:r w:rsidRPr="00784E8E">
        <w:rPr>
          <w:rFonts w:eastAsia="Times New Roman"/>
          <w:lang w:val="en-GB"/>
        </w:rPr>
        <w:t xml:space="preserve">Operational efficiency was the most frequently quantified outcome, but the estimates were not comparable. Hassmann et al. (2025) reported substantial annual time reductions after 12 smart workflows were implemented across a German hospital network, including 9,235 hours </w:t>
      </w:r>
      <w:proofErr w:type="spellStart"/>
      <w:r w:rsidRPr="00784E8E">
        <w:rPr>
          <w:rFonts w:eastAsia="Times New Roman"/>
          <w:lang w:val="en-GB"/>
        </w:rPr>
        <w:t>for ward</w:t>
      </w:r>
      <w:proofErr w:type="spellEnd"/>
      <w:r w:rsidRPr="00784E8E">
        <w:rPr>
          <w:rFonts w:eastAsia="Times New Roman"/>
          <w:lang w:val="en-GB"/>
        </w:rPr>
        <w:t xml:space="preserve"> documentation and 5,804 hours </w:t>
      </w:r>
      <w:proofErr w:type="spellStart"/>
      <w:r w:rsidRPr="00784E8E">
        <w:rPr>
          <w:rFonts w:eastAsia="Times New Roman"/>
          <w:lang w:val="en-GB"/>
        </w:rPr>
        <w:t>for ward</w:t>
      </w:r>
      <w:proofErr w:type="spellEnd"/>
      <w:r w:rsidRPr="00784E8E">
        <w:rPr>
          <w:rFonts w:eastAsia="Times New Roman"/>
          <w:lang w:val="en-GB"/>
        </w:rPr>
        <w:t xml:space="preserve"> requests. The same evaluation also found deterioration in some tasks, including a 150% increase in operating-theatre medication-request time, and identified master-data, barcode, duplicate-work and training problems. Because the pre- and post-surveys involved different respondents, no concurrent control was used and uncertainty tests were absent, the estimates indicate plausible workflow effects rather than causal savings.</w:t>
      </w:r>
    </w:p>
    <w:p w14:paraId="72576C3B" w14:textId="77777777" w:rsidR="00E456DC" w:rsidRPr="00784E8E" w:rsidRDefault="00000000">
      <w:pPr>
        <w:rPr>
          <w:lang w:val="en-GB"/>
        </w:rPr>
      </w:pPr>
      <w:r w:rsidRPr="00784E8E">
        <w:rPr>
          <w:rFonts w:eastAsia="Times New Roman"/>
          <w:lang w:val="en-GB"/>
        </w:rPr>
        <w:t>The Chinese service cases reported similarly favourable but methodologically fragile indicators. Peng et al. (2026) described savings of 20.8 minutes per patient per day for vital-sign collection and 28.7 minutes for documentation in AI-enabled smart wards. Quan and Pan (2026) reported a 14% reduction in waiting time, 34% shorter consultation duration, 18% higher clinician utilisation and 23% greater throughput after AI enablement of a hospital consortium. Both reports lacked consistently defined denominators and concurrent comparisons. Their results may reflect the integrated programmes, but they may also include secular change, selective measurement or simultaneous managerial reform.</w:t>
      </w:r>
    </w:p>
    <w:p w14:paraId="1EE01549" w14:textId="77777777" w:rsidR="00E456DC" w:rsidRPr="00784E8E" w:rsidRDefault="00000000">
      <w:pPr>
        <w:rPr>
          <w:lang w:val="en-GB"/>
        </w:rPr>
      </w:pPr>
      <w:r w:rsidRPr="00784E8E">
        <w:rPr>
          <w:rFonts w:eastAsia="Times New Roman"/>
          <w:lang w:val="en-GB"/>
        </w:rPr>
        <w:t xml:space="preserve">Jiang et al. (2026) provided a detailed descriptive account of intelligent inpatient transport in a 1,200-bed tertiary hospital. The platform integrated electronic records, automated assignment and real-time tracking. Transport times varied widely by department, with means of 34.78 and 34.94 minutes in ophthalmology and gynaecology, respectively, and much longer means in emergency and trauma-related services. The study did not include a pre-implementation or concurrent benchmark and contained a discrepancy between the request count reported in the abstract and the complete records described in the results. It demonstrates </w:t>
      </w:r>
      <w:proofErr w:type="spellStart"/>
      <w:r w:rsidRPr="00784E8E">
        <w:rPr>
          <w:rFonts w:eastAsia="Times New Roman"/>
          <w:lang w:val="en-GB"/>
        </w:rPr>
        <w:t>implementability</w:t>
      </w:r>
      <w:proofErr w:type="spellEnd"/>
      <w:r w:rsidRPr="00784E8E">
        <w:rPr>
          <w:rFonts w:eastAsia="Times New Roman"/>
          <w:lang w:val="en-GB"/>
        </w:rPr>
        <w:t xml:space="preserve"> and workload visibility, not comparative efficiency.</w:t>
      </w:r>
    </w:p>
    <w:p w14:paraId="159D631F" w14:textId="77777777" w:rsidR="00E456DC" w:rsidRPr="00784E8E" w:rsidRDefault="00000000">
      <w:pPr>
        <w:rPr>
          <w:lang w:val="en-GB"/>
        </w:rPr>
      </w:pPr>
      <w:r w:rsidRPr="00784E8E">
        <w:rPr>
          <w:rFonts w:eastAsia="Times New Roman"/>
          <w:lang w:val="en-GB"/>
        </w:rPr>
        <w:t>The technical model by Rodrigues et al. (2021) explained how architecture could shape operational performance. Under simulated scenarios, rising arrival rates increased response time, resource use and discarded requests, while redundancy improved estimated availability. This supports capacity planning but remains indirect because the parameterised architecture was not externally validated in a functioning hospital. Park et al. (2018) supplied the complementary real-world warning: navigation and monitoring services were paused when beacon interference undermined reliability, and recurrent beacon replacement increased cost. Together, the studies show that operational benefit depends on data quality, physical infrastructure, resilience and total workflow cost rather than algorithmic performance alone.</w:t>
      </w:r>
    </w:p>
    <w:p w14:paraId="51F04852" w14:textId="77777777" w:rsidR="00E456DC" w:rsidRPr="00784E8E" w:rsidRDefault="00000000">
      <w:pPr>
        <w:pStyle w:val="Heading2"/>
        <w:rPr>
          <w:lang w:val="en-GB"/>
        </w:rPr>
      </w:pPr>
      <w:r w:rsidRPr="00784E8E">
        <w:rPr>
          <w:rFonts w:ascii="Times New Roman" w:eastAsia="Times New Roman" w:hAnsi="Times New Roman"/>
          <w:lang w:val="en-GB"/>
        </w:rPr>
        <w:t>3.5 Patient experience and access</w:t>
      </w:r>
    </w:p>
    <w:p w14:paraId="0A134424" w14:textId="77777777" w:rsidR="00E456DC" w:rsidRPr="00784E8E" w:rsidRDefault="00000000">
      <w:pPr>
        <w:rPr>
          <w:lang w:val="en-GB"/>
        </w:rPr>
      </w:pPr>
      <w:r w:rsidRPr="00784E8E">
        <w:rPr>
          <w:rFonts w:eastAsia="Times New Roman"/>
          <w:lang w:val="en-GB"/>
        </w:rPr>
        <w:t>Patient or user experience was reported in four empirical studies. Lee et al. (2026) found mean satisfaction of 4.28/5 among 15 rehabilitation inpatients using an integrated wearable and symptom-monitoring system. Peng et al. (2026) reported 98.53% patient satisfaction in smart caregiver-free wards, Quan and Pan (2026) reported an increase from 68.75% to 93.75% after consortium-level AI enablement, and Jiang et al. (2026) reported 90% satisfaction with inpatient transport. These values are encouraging but cannot be pooled. Instruments, respondents, timing and denominators differed, and some measures were internally developed or changed during implementation. High satisfaction may also coexist with increased staff work or technical instability, as the rehabilitation feasibility study demonstrated.</w:t>
      </w:r>
    </w:p>
    <w:p w14:paraId="2029BE18" w14:textId="77777777" w:rsidR="00E456DC" w:rsidRPr="00784E8E" w:rsidRDefault="00000000">
      <w:pPr>
        <w:rPr>
          <w:lang w:val="en-GB"/>
        </w:rPr>
      </w:pPr>
      <w:r w:rsidRPr="00784E8E">
        <w:rPr>
          <w:rFonts w:eastAsia="Times New Roman"/>
          <w:lang w:val="en-GB"/>
        </w:rPr>
        <w:t xml:space="preserve">Access and service continuity were mostly discussed rather than measured. The conceptual literature anticipated personalised services, movement of care towards the home and hospital participation in wider digital ecosystems (Jovy-Klein et al., 2024; Rovira-Simón et al., 2022). The </w:t>
      </w:r>
      <w:proofErr w:type="spellStart"/>
      <w:r w:rsidRPr="00784E8E">
        <w:rPr>
          <w:rFonts w:eastAsia="Times New Roman"/>
          <w:lang w:val="en-GB"/>
        </w:rPr>
        <w:t>Dapeng</w:t>
      </w:r>
      <w:proofErr w:type="spellEnd"/>
      <w:r w:rsidRPr="00784E8E">
        <w:rPr>
          <w:rFonts w:eastAsia="Times New Roman"/>
          <w:lang w:val="en-GB"/>
        </w:rPr>
        <w:t xml:space="preserve"> consortium case reported improvement in chronic-disease management from 65% to 78%, but the underlying population and definition were unclear. No included study provided robust comparative evidence on digital exclusion, differential access by socioeconomic position, disability or language, or whether a smart-hospital programme narrowed or widened inequalities.</w:t>
      </w:r>
    </w:p>
    <w:p w14:paraId="7C6E6E37" w14:textId="77777777" w:rsidR="00E456DC" w:rsidRPr="00784E8E" w:rsidRDefault="00000000">
      <w:pPr>
        <w:pStyle w:val="Heading2"/>
        <w:rPr>
          <w:lang w:val="en-GB"/>
        </w:rPr>
      </w:pPr>
      <w:r w:rsidRPr="00784E8E">
        <w:rPr>
          <w:rFonts w:ascii="Times New Roman" w:eastAsia="Times New Roman" w:hAnsi="Times New Roman"/>
          <w:lang w:val="en-GB"/>
        </w:rPr>
        <w:t>3.6 Patient safety and clinical quality</w:t>
      </w:r>
    </w:p>
    <w:p w14:paraId="33872978" w14:textId="77777777" w:rsidR="00E456DC" w:rsidRPr="00784E8E" w:rsidRDefault="00000000">
      <w:pPr>
        <w:rPr>
          <w:lang w:val="en-GB"/>
        </w:rPr>
      </w:pPr>
      <w:r w:rsidRPr="00784E8E">
        <w:rPr>
          <w:rFonts w:eastAsia="Times New Roman"/>
          <w:lang w:val="en-GB"/>
        </w:rPr>
        <w:t xml:space="preserve">Direct patient-safety and clinical-quality evidence was sparse. Park et al. (2018) intended to support high-risk inpatient monitoring and point-of-care access to emergency information, but reliability concerns led to pausing </w:t>
      </w:r>
      <w:r w:rsidRPr="00784E8E">
        <w:rPr>
          <w:rFonts w:eastAsia="Times New Roman"/>
          <w:lang w:val="en-GB"/>
        </w:rPr>
        <w:lastRenderedPageBreak/>
        <w:t>the monitoring service. Lee et al. (2026) identified gait asymmetry and symptom changes that informed individual feedback or referral, yet the study was not designed to test falls, function or recovery against standard rehabilitation. Jiang et al. (2026) reported no misidentification events during the transport study period, while acknowledging reliance on routine incident capture. Peng et al. (2026) described an integrated patient-safety module but did not provide a controlled safety endpoint. The absence of reported events should therefore not be interpreted as evidence of no harm.</w:t>
      </w:r>
    </w:p>
    <w:p w14:paraId="634EB33D" w14:textId="77777777" w:rsidR="00E456DC" w:rsidRPr="00784E8E" w:rsidRDefault="00000000">
      <w:pPr>
        <w:rPr>
          <w:lang w:val="en-GB"/>
        </w:rPr>
      </w:pPr>
      <w:r w:rsidRPr="00784E8E">
        <w:rPr>
          <w:rFonts w:eastAsia="Times New Roman"/>
          <w:lang w:val="en-GB"/>
        </w:rPr>
        <w:t>No included study evaluated hospital-wide mortality, length of stay, readmission, diagnostic error, medication harm or health-related quality of life using a design capable of attributing change to a smart or cognitive-hospital programme. Likewise, cyber incidents, privacy breaches, automation-related near misses and algorithmic subgroup performance were rarely quantified. This gap is important because the cognitive-hospital premise requires action based on continuously integrated information; errors in sensing, identity, timing or model output could propagate across departments rather than remain local.</w:t>
      </w:r>
    </w:p>
    <w:p w14:paraId="5D3F1269" w14:textId="77777777" w:rsidR="00E456DC" w:rsidRPr="00784E8E" w:rsidRDefault="00000000">
      <w:pPr>
        <w:pStyle w:val="Heading2"/>
        <w:rPr>
          <w:lang w:val="en-GB"/>
        </w:rPr>
      </w:pPr>
      <w:r w:rsidRPr="00784E8E">
        <w:rPr>
          <w:rFonts w:ascii="Times New Roman" w:eastAsia="Times New Roman" w:hAnsi="Times New Roman"/>
          <w:lang w:val="en-GB"/>
        </w:rPr>
        <w:t>3.7 Workforce and workflow effects</w:t>
      </w:r>
    </w:p>
    <w:p w14:paraId="57B22B85" w14:textId="77777777" w:rsidR="00E456DC" w:rsidRPr="00784E8E" w:rsidRDefault="00000000">
      <w:pPr>
        <w:rPr>
          <w:lang w:val="en-GB"/>
        </w:rPr>
      </w:pPr>
      <w:r w:rsidRPr="00784E8E">
        <w:rPr>
          <w:rFonts w:eastAsia="Times New Roman"/>
          <w:lang w:val="en-GB"/>
        </w:rPr>
        <w:t>Workforce findings showed both potential relief and new burden. The German workflow evaluation reported large reductions in selected administrative activities, but also tasks that took longer and implementation problems that created duplicate work (Hassmann et al., 2025). Nurses in the Korean rehabilitation study valued real-time condition detection and more candid patient self-report, while reporting additional device and data-management work (Lee et al., 2026). Rajashekhar et al. (2025) found that professional perceptions of care quality were associated with technology adoption and that training, literacy, organisational support and engagement were important in the model. Because the survey was cross-sectional and self-reported, these relationships support implementation planning rather than a causal claim.</w:t>
      </w:r>
    </w:p>
    <w:p w14:paraId="693C844D" w14:textId="77777777" w:rsidR="00E456DC" w:rsidRPr="00784E8E" w:rsidRDefault="00000000">
      <w:pPr>
        <w:rPr>
          <w:lang w:val="en-GB"/>
        </w:rPr>
      </w:pPr>
      <w:r w:rsidRPr="00784E8E">
        <w:rPr>
          <w:rFonts w:eastAsia="Times New Roman"/>
          <w:lang w:val="en-GB"/>
        </w:rPr>
        <w:t xml:space="preserve">The forecast and review literature reinforced the same message. Jovy-Klein et al. (2024) anticipated substantial role change and the need to adapt professional capability. Sony et al. (2023), Rahimi et al. (2024) and </w:t>
      </w:r>
      <w:proofErr w:type="spellStart"/>
      <w:r w:rsidRPr="00784E8E">
        <w:rPr>
          <w:rFonts w:eastAsia="Times New Roman"/>
          <w:lang w:val="en-GB"/>
        </w:rPr>
        <w:t>Rabiei</w:t>
      </w:r>
      <w:proofErr w:type="spellEnd"/>
      <w:r w:rsidRPr="00784E8E">
        <w:rPr>
          <w:rFonts w:eastAsia="Times New Roman"/>
          <w:lang w:val="en-GB"/>
        </w:rPr>
        <w:t xml:space="preserve"> et al. (2025) identified workforce skills, leadership, culture, interdisciplinary collaboration and protected implementation capacity as recurring success conditions. Smartness can therefore reduce low-value work only when the whole task pathway is redesigned and total work is measured across roles. Automating one step may otherwise transfer verification, exception handling, troubleshooting or explanation to another worker.</w:t>
      </w:r>
    </w:p>
    <w:p w14:paraId="51AC68E5" w14:textId="77777777" w:rsidR="00E456DC" w:rsidRPr="00784E8E" w:rsidRDefault="00000000">
      <w:pPr>
        <w:pStyle w:val="Heading2"/>
        <w:rPr>
          <w:lang w:val="en-GB"/>
        </w:rPr>
      </w:pPr>
      <w:r w:rsidRPr="00784E8E">
        <w:rPr>
          <w:rFonts w:ascii="Times New Roman" w:eastAsia="Times New Roman" w:hAnsi="Times New Roman"/>
          <w:lang w:val="en-GB"/>
        </w:rPr>
        <w:t>3.8 Governance, ethics, security, equity and sustainability</w:t>
      </w:r>
    </w:p>
    <w:p w14:paraId="5E40FABF" w14:textId="77777777" w:rsidR="00E456DC" w:rsidRPr="00784E8E" w:rsidRDefault="00000000">
      <w:pPr>
        <w:rPr>
          <w:lang w:val="en-GB"/>
        </w:rPr>
      </w:pPr>
      <w:r w:rsidRPr="00784E8E">
        <w:rPr>
          <w:rFonts w:eastAsia="Times New Roman"/>
          <w:lang w:val="en-GB"/>
        </w:rPr>
        <w:t>Implementation determinants were consistently multi-level. Rahimi et al. (2024) identified 28 enablers and 18 barriers and mapped them to near-, medium- and longer-term horizons. Technical integration, access to live data, clinical workflow fit and multidisciplinary collaboration were prominent, but most underlying evidence was assessed as poor. Malekzadeh et al. (2025) and Sony et al. (2023) located implementation within leadership, strategy, culture, resources, information infrastructure, equipment and facilities. Park et al. (2018) showed why those conditions matter in practice: the decision to sustain or pause a service depended on reliability, recurrent cost and organisational commitment.</w:t>
      </w:r>
    </w:p>
    <w:p w14:paraId="7DE05E41" w14:textId="77777777" w:rsidR="00E456DC" w:rsidRPr="00784E8E" w:rsidRDefault="00000000">
      <w:pPr>
        <w:rPr>
          <w:lang w:val="en-GB"/>
        </w:rPr>
      </w:pPr>
      <w:r w:rsidRPr="00784E8E">
        <w:rPr>
          <w:rFonts w:eastAsia="Times New Roman"/>
          <w:lang w:val="en-GB"/>
        </w:rPr>
        <w:t>Governance was treated most explicitly by de Graaf et al. (2025), who mapped societal factors across development, implementation, monitoring and evaluation and across micro-, meso- and macro-levels. Stakeholder engagement, ethics, regulation, acceptance, skills and accountability were interdependent. However, only 11 people took part in the focus groups, all within a shared project context. The study provides a useful governance agenda but not evidence that a particular governance model prevents harm. Across the corpus, few reports described algorithm change control, incident escalation, independent audit, equity monitoring, retirement criteria or responsibility when a model and a clinical team disagreed.</w:t>
      </w:r>
    </w:p>
    <w:p w14:paraId="238CE0E5" w14:textId="77777777" w:rsidR="00E456DC" w:rsidRPr="00784E8E" w:rsidRDefault="00000000">
      <w:pPr>
        <w:pStyle w:val="Heading2"/>
        <w:rPr>
          <w:lang w:val="en-GB"/>
        </w:rPr>
      </w:pPr>
      <w:r w:rsidRPr="00784E8E">
        <w:rPr>
          <w:rFonts w:ascii="Times New Roman" w:eastAsia="Times New Roman" w:hAnsi="Times New Roman"/>
          <w:lang w:val="en-GB"/>
        </w:rPr>
        <w:t>3.9 Evidence for prediction, learning and adaptation</w:t>
      </w:r>
    </w:p>
    <w:p w14:paraId="6E9C7FA4" w14:textId="77777777" w:rsidR="00E456DC" w:rsidRPr="00784E8E" w:rsidRDefault="00000000">
      <w:pPr>
        <w:rPr>
          <w:lang w:val="en-GB"/>
        </w:rPr>
      </w:pPr>
      <w:r w:rsidRPr="00784E8E">
        <w:rPr>
          <w:rFonts w:eastAsia="Times New Roman"/>
          <w:lang w:val="en-GB"/>
        </w:rPr>
        <w:t xml:space="preserve">The strongest evidence for movement towards cognition was architectural rather than outcome-based. Real-time transport assignment, wearable-triggered feedback and AI-supported management indicate context awareness and partial anticipation. Reviews described learning-health-system pathways and mature ecosystems, and conceptual work specified organisational sensing, memory and adaptation. Yet none of the empirical studies demonstrated a full feedback cycle in which a hospital detected a system-level change, updated a model or </w:t>
      </w:r>
      <w:r w:rsidRPr="00784E8E">
        <w:rPr>
          <w:rFonts w:eastAsia="Times New Roman"/>
          <w:lang w:val="en-GB"/>
        </w:rPr>
        <w:lastRenderedPageBreak/>
        <w:t>policy, implemented an adaptive response, monitored benefit and harm, and retained validated learning under accountable human oversight.</w:t>
      </w:r>
    </w:p>
    <w:p w14:paraId="04D9973D" w14:textId="77777777" w:rsidR="00E456DC" w:rsidRPr="00784E8E" w:rsidRDefault="00000000">
      <w:pPr>
        <w:rPr>
          <w:lang w:val="en-GB"/>
        </w:rPr>
      </w:pPr>
      <w:r w:rsidRPr="00784E8E">
        <w:rPr>
          <w:rFonts w:eastAsia="Times New Roman"/>
          <w:lang w:val="en-GB"/>
        </w:rPr>
        <w:t>Accordingly, 'cognitive hospital' should not be used as a synonym for any hospital deploying artificial intelligence. In the included evidence, artificial intelligence was often one component of a broader programme, and several reported gains could have arisen from digitisation, standardisation or management redesign. A defensible cognitive designation would require cross-domain integration, continuous learning, prospective validation, explainable action boundaries, human override, safety monitoring and evidence that adaptation improves outcomes without unacceptable burden or inequity.</w:t>
      </w:r>
    </w:p>
    <w:p w14:paraId="2A8BBEED" w14:textId="77777777" w:rsidR="00E456DC" w:rsidRPr="00784E8E" w:rsidRDefault="00000000">
      <w:pPr>
        <w:pStyle w:val="AnalyticalLead"/>
        <w:rPr>
          <w:lang w:val="en-GB"/>
        </w:rPr>
      </w:pPr>
      <w:r w:rsidRPr="00784E8E">
        <w:rPr>
          <w:rFonts w:eastAsia="Times New Roman"/>
          <w:lang w:val="en-GB"/>
        </w:rPr>
        <w:t>The outcome synthesis in Table 5 separates what was measured from what remains aspirational. Operational and experience indicators were the most visible, but clinical safety, equity and validated adaptive learning were either weakly measured or absent.</w:t>
      </w:r>
    </w:p>
    <w:p w14:paraId="4E2853AD" w14:textId="77777777" w:rsidR="00E456DC" w:rsidRPr="00784E8E" w:rsidRDefault="00000000">
      <w:pPr>
        <w:pStyle w:val="TableTitle"/>
        <w:rPr>
          <w:lang w:val="en-GB"/>
        </w:rPr>
      </w:pPr>
      <w:r w:rsidRPr="00784E8E">
        <w:rPr>
          <w:rFonts w:eastAsia="Times New Roman"/>
          <w:lang w:val="en-GB"/>
        </w:rPr>
        <w:t>Table 5. Outcome-level synthesis without statistical meta-analysis</w:t>
      </w:r>
    </w:p>
    <w:tbl>
      <w:tblPr>
        <w:tblStyle w:val="TableGrid"/>
        <w:tblW w:w="0" w:type="auto"/>
        <w:jc w:val="center"/>
        <w:tblLayout w:type="fixed"/>
        <w:tblLook w:val="04A0" w:firstRow="1" w:lastRow="0" w:firstColumn="1" w:lastColumn="0" w:noHBand="0" w:noVBand="1"/>
      </w:tblPr>
      <w:tblGrid>
        <w:gridCol w:w="1757"/>
        <w:gridCol w:w="1814"/>
        <w:gridCol w:w="2948"/>
        <w:gridCol w:w="2948"/>
      </w:tblGrid>
      <w:tr w:rsidR="00E456DC" w:rsidRPr="00784E8E" w14:paraId="6096037E" w14:textId="77777777">
        <w:trPr>
          <w:tblHeader/>
          <w:jc w:val="center"/>
        </w:trPr>
        <w:tc>
          <w:tcPr>
            <w:tcW w:w="1757"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7C1EFBEB" w14:textId="77777777" w:rsidR="00E456DC" w:rsidRPr="00784E8E" w:rsidRDefault="00000000">
            <w:pPr>
              <w:spacing w:after="0"/>
              <w:jc w:val="center"/>
              <w:rPr>
                <w:lang w:val="en-GB"/>
              </w:rPr>
            </w:pPr>
            <w:r w:rsidRPr="00784E8E">
              <w:rPr>
                <w:rFonts w:eastAsia="Times New Roman"/>
                <w:b/>
                <w:color w:val="FFFFFF"/>
                <w:sz w:val="16"/>
                <w:lang w:val="en-GB"/>
              </w:rPr>
              <w:t>Domain</w:t>
            </w:r>
          </w:p>
        </w:tc>
        <w:tc>
          <w:tcPr>
            <w:tcW w:w="181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BB37209" w14:textId="77777777" w:rsidR="00E456DC" w:rsidRPr="00784E8E" w:rsidRDefault="00000000">
            <w:pPr>
              <w:spacing w:after="0"/>
              <w:jc w:val="center"/>
              <w:rPr>
                <w:lang w:val="en-GB"/>
              </w:rPr>
            </w:pPr>
            <w:r w:rsidRPr="00784E8E">
              <w:rPr>
                <w:rFonts w:eastAsia="Times New Roman"/>
                <w:b/>
                <w:color w:val="FFFFFF"/>
                <w:sz w:val="16"/>
                <w:lang w:val="en-GB"/>
              </w:rPr>
              <w:t>Contributing evidence</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E2AB34A" w14:textId="77777777" w:rsidR="00E456DC" w:rsidRPr="00784E8E" w:rsidRDefault="00000000">
            <w:pPr>
              <w:spacing w:after="0"/>
              <w:jc w:val="center"/>
              <w:rPr>
                <w:lang w:val="en-GB"/>
              </w:rPr>
            </w:pPr>
            <w:r w:rsidRPr="00784E8E">
              <w:rPr>
                <w:rFonts w:eastAsia="Times New Roman"/>
                <w:b/>
                <w:color w:val="FFFFFF"/>
                <w:sz w:val="16"/>
                <w:lang w:val="en-GB"/>
              </w:rPr>
              <w:t>Direction and substantive signal</w:t>
            </w:r>
          </w:p>
        </w:tc>
        <w:tc>
          <w:tcPr>
            <w:tcW w:w="294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72CE691" w14:textId="77777777" w:rsidR="00E456DC" w:rsidRPr="00784E8E" w:rsidRDefault="00000000">
            <w:pPr>
              <w:spacing w:after="0"/>
              <w:jc w:val="center"/>
              <w:rPr>
                <w:lang w:val="en-GB"/>
              </w:rPr>
            </w:pPr>
            <w:r w:rsidRPr="00784E8E">
              <w:rPr>
                <w:rFonts w:eastAsia="Times New Roman"/>
                <w:b/>
                <w:color w:val="FFFFFF"/>
                <w:sz w:val="16"/>
                <w:lang w:val="en-GB"/>
              </w:rPr>
              <w:t>Critical interpretation</w:t>
            </w:r>
          </w:p>
        </w:tc>
      </w:tr>
      <w:tr w:rsidR="00E456DC" w:rsidRPr="00784E8E" w14:paraId="5C5126D5"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610E92A" w14:textId="77777777" w:rsidR="00E456DC" w:rsidRPr="00784E8E" w:rsidRDefault="00000000">
            <w:pPr>
              <w:spacing w:after="0" w:line="245" w:lineRule="auto"/>
              <w:jc w:val="left"/>
              <w:rPr>
                <w:lang w:val="en-GB"/>
              </w:rPr>
            </w:pPr>
            <w:r w:rsidRPr="00784E8E">
              <w:rPr>
                <w:rFonts w:eastAsia="Times New Roman"/>
                <w:b/>
                <w:color w:val="000000"/>
                <w:sz w:val="15"/>
                <w:lang w:val="en-GB"/>
              </w:rPr>
              <w:t>Definition and maturity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1CDDBC9" w14:textId="77777777" w:rsidR="00E456DC" w:rsidRPr="00784E8E" w:rsidRDefault="00000000">
            <w:pPr>
              <w:spacing w:after="0" w:line="245" w:lineRule="auto"/>
              <w:jc w:val="left"/>
              <w:rPr>
                <w:lang w:val="en-GB"/>
              </w:rPr>
            </w:pPr>
            <w:r w:rsidRPr="00784E8E">
              <w:rPr>
                <w:rFonts w:eastAsia="Times New Roman"/>
                <w:color w:val="000000"/>
                <w:sz w:val="15"/>
                <w:lang w:val="en-GB"/>
              </w:rPr>
              <w:t>9 knowledge-building studies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175544F" w14:textId="77777777" w:rsidR="00E456DC" w:rsidRPr="00784E8E" w:rsidRDefault="00000000">
            <w:pPr>
              <w:spacing w:after="0" w:line="245" w:lineRule="auto"/>
              <w:jc w:val="left"/>
              <w:rPr>
                <w:lang w:val="en-GB"/>
              </w:rPr>
            </w:pPr>
            <w:r w:rsidRPr="00784E8E">
              <w:rPr>
                <w:rFonts w:eastAsia="Times New Roman"/>
                <w:color w:val="000000"/>
                <w:sz w:val="15"/>
                <w:lang w:val="en-GB"/>
              </w:rPr>
              <w:t>Convergent socio-technical definitions; review-derived five-stage continuum.</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D302D93" w14:textId="77777777" w:rsidR="00E456DC" w:rsidRPr="00784E8E" w:rsidRDefault="00000000">
            <w:pPr>
              <w:spacing w:after="0" w:line="245" w:lineRule="auto"/>
              <w:jc w:val="left"/>
              <w:rPr>
                <w:lang w:val="en-GB"/>
              </w:rPr>
            </w:pPr>
            <w:r w:rsidRPr="00784E8E">
              <w:rPr>
                <w:rFonts w:eastAsia="Times New Roman"/>
                <w:color w:val="000000"/>
                <w:sz w:val="15"/>
                <w:lang w:val="en-GB"/>
              </w:rPr>
              <w:t>Moderate conceptual consistency; no validated universal scale.</w:t>
            </w:r>
          </w:p>
        </w:tc>
      </w:tr>
      <w:tr w:rsidR="00E456DC" w:rsidRPr="00784E8E" w14:paraId="1002B7A3"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04BAFB1" w14:textId="77777777" w:rsidR="00E456DC" w:rsidRPr="00784E8E" w:rsidRDefault="00000000">
            <w:pPr>
              <w:spacing w:after="0" w:line="245" w:lineRule="auto"/>
              <w:jc w:val="left"/>
              <w:rPr>
                <w:lang w:val="en-GB"/>
              </w:rPr>
            </w:pPr>
            <w:r w:rsidRPr="00784E8E">
              <w:rPr>
                <w:rFonts w:eastAsia="Times New Roman"/>
                <w:b/>
                <w:color w:val="000000"/>
                <w:sz w:val="15"/>
                <w:lang w:val="en-GB"/>
              </w:rPr>
              <w:t>Operational efficiency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29FEBDF" w14:textId="77777777" w:rsidR="00E456DC" w:rsidRPr="00784E8E" w:rsidRDefault="00000000">
            <w:pPr>
              <w:spacing w:after="0" w:line="245" w:lineRule="auto"/>
              <w:jc w:val="left"/>
              <w:rPr>
                <w:lang w:val="en-GB"/>
              </w:rPr>
            </w:pPr>
            <w:r w:rsidRPr="00784E8E">
              <w:rPr>
                <w:rFonts w:eastAsia="Times New Roman"/>
                <w:color w:val="000000"/>
                <w:sz w:val="15"/>
                <w:lang w:val="en-GB"/>
              </w:rPr>
              <w:t>Rodrigues; Hassmann; Peng; Quan and Pan; Jiang; Park</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28AA4C" w14:textId="77777777" w:rsidR="00E456DC" w:rsidRPr="00784E8E" w:rsidRDefault="00000000">
            <w:pPr>
              <w:spacing w:after="0" w:line="245" w:lineRule="auto"/>
              <w:jc w:val="left"/>
              <w:rPr>
                <w:lang w:val="en-GB"/>
              </w:rPr>
            </w:pPr>
            <w:r w:rsidRPr="00784E8E">
              <w:rPr>
                <w:rFonts w:eastAsia="Times New Roman"/>
                <w:color w:val="000000"/>
                <w:sz w:val="15"/>
                <w:lang w:val="en-GB"/>
              </w:rPr>
              <w:t>Reported time savings, shorter waits/consultations, higher throughput and improved visibility; modelling supported capacity effects.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F19E8BF" w14:textId="77777777" w:rsidR="00E456DC" w:rsidRPr="00784E8E" w:rsidRDefault="00000000">
            <w:pPr>
              <w:spacing w:after="0" w:line="245" w:lineRule="auto"/>
              <w:jc w:val="left"/>
              <w:rPr>
                <w:lang w:val="en-GB"/>
              </w:rPr>
            </w:pPr>
            <w:r w:rsidRPr="00784E8E">
              <w:rPr>
                <w:rFonts w:eastAsia="Times New Roman"/>
                <w:color w:val="000000"/>
                <w:sz w:val="15"/>
                <w:lang w:val="en-GB"/>
              </w:rPr>
              <w:t>Mostly uncontrolled, incomplete denominators, self-report or simulation; no pooled estimate.</w:t>
            </w:r>
          </w:p>
        </w:tc>
      </w:tr>
      <w:tr w:rsidR="00E456DC" w:rsidRPr="00784E8E" w14:paraId="1219FBAE"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34BB04C" w14:textId="77777777" w:rsidR="00E456DC" w:rsidRPr="00784E8E" w:rsidRDefault="00000000">
            <w:pPr>
              <w:spacing w:after="0" w:line="245" w:lineRule="auto"/>
              <w:jc w:val="left"/>
              <w:rPr>
                <w:lang w:val="en-GB"/>
              </w:rPr>
            </w:pPr>
            <w:r w:rsidRPr="00784E8E">
              <w:rPr>
                <w:rFonts w:eastAsia="Times New Roman"/>
                <w:b/>
                <w:color w:val="000000"/>
                <w:sz w:val="15"/>
                <w:lang w:val="en-GB"/>
              </w:rPr>
              <w:t>Patient experience/access</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B72369" w14:textId="77777777" w:rsidR="00E456DC" w:rsidRPr="00784E8E" w:rsidRDefault="00000000">
            <w:pPr>
              <w:spacing w:after="0" w:line="245" w:lineRule="auto"/>
              <w:jc w:val="left"/>
              <w:rPr>
                <w:lang w:val="en-GB"/>
              </w:rPr>
            </w:pPr>
            <w:r w:rsidRPr="00784E8E">
              <w:rPr>
                <w:rFonts w:eastAsia="Times New Roman"/>
                <w:color w:val="000000"/>
                <w:sz w:val="15"/>
                <w:lang w:val="en-GB"/>
              </w:rPr>
              <w:t>Lee; Peng; Quan and Pan; Jiang</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1D637C8" w14:textId="77777777" w:rsidR="00E456DC" w:rsidRPr="00784E8E" w:rsidRDefault="00000000">
            <w:pPr>
              <w:spacing w:after="0" w:line="245" w:lineRule="auto"/>
              <w:jc w:val="left"/>
              <w:rPr>
                <w:lang w:val="en-GB"/>
              </w:rPr>
            </w:pPr>
            <w:r w:rsidRPr="00784E8E">
              <w:rPr>
                <w:rFonts w:eastAsia="Times New Roman"/>
                <w:color w:val="000000"/>
                <w:sz w:val="15"/>
                <w:lang w:val="en-GB"/>
              </w:rPr>
              <w:t>Satisfaction values from 4.28/5 to 90%-98.53%; one case reported chronic-disease management improvement.</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226B5D2" w14:textId="77777777" w:rsidR="00E456DC" w:rsidRPr="00784E8E" w:rsidRDefault="00000000">
            <w:pPr>
              <w:spacing w:after="0" w:line="245" w:lineRule="auto"/>
              <w:jc w:val="left"/>
              <w:rPr>
                <w:lang w:val="en-GB"/>
              </w:rPr>
            </w:pPr>
            <w:r w:rsidRPr="00784E8E">
              <w:rPr>
                <w:rFonts w:eastAsia="Times New Roman"/>
                <w:color w:val="000000"/>
                <w:sz w:val="15"/>
                <w:lang w:val="en-GB"/>
              </w:rPr>
              <w:t>Different instruments/respondents; weak comparators; equity not evaluated.</w:t>
            </w:r>
          </w:p>
        </w:tc>
      </w:tr>
      <w:tr w:rsidR="00E456DC" w:rsidRPr="00784E8E" w14:paraId="21F218D7"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D8F325" w14:textId="77777777" w:rsidR="00E456DC" w:rsidRPr="00784E8E" w:rsidRDefault="00000000">
            <w:pPr>
              <w:spacing w:after="0" w:line="245" w:lineRule="auto"/>
              <w:jc w:val="left"/>
              <w:rPr>
                <w:lang w:val="en-GB"/>
              </w:rPr>
            </w:pPr>
            <w:r w:rsidRPr="00784E8E">
              <w:rPr>
                <w:rFonts w:eastAsia="Times New Roman"/>
                <w:b/>
                <w:color w:val="000000"/>
                <w:sz w:val="15"/>
                <w:lang w:val="en-GB"/>
              </w:rPr>
              <w:t>Safety/clinical quality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2F47701" w14:textId="77777777" w:rsidR="00E456DC" w:rsidRPr="00784E8E" w:rsidRDefault="00000000">
            <w:pPr>
              <w:spacing w:after="0" w:line="245" w:lineRule="auto"/>
              <w:jc w:val="left"/>
              <w:rPr>
                <w:lang w:val="en-GB"/>
              </w:rPr>
            </w:pPr>
            <w:r w:rsidRPr="00784E8E">
              <w:rPr>
                <w:rFonts w:eastAsia="Times New Roman"/>
                <w:color w:val="000000"/>
                <w:sz w:val="15"/>
                <w:lang w:val="en-GB"/>
              </w:rPr>
              <w:t>Park; Lee; Peng; Jiang</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8653C7" w14:textId="77777777" w:rsidR="00E456DC" w:rsidRPr="00784E8E" w:rsidRDefault="00000000">
            <w:pPr>
              <w:spacing w:after="0" w:line="245" w:lineRule="auto"/>
              <w:jc w:val="left"/>
              <w:rPr>
                <w:lang w:val="en-GB"/>
              </w:rPr>
            </w:pPr>
            <w:r w:rsidRPr="00784E8E">
              <w:rPr>
                <w:rFonts w:eastAsia="Times New Roman"/>
                <w:color w:val="000000"/>
                <w:sz w:val="15"/>
                <w:lang w:val="en-GB"/>
              </w:rPr>
              <w:t>Monitoring and individual feedback were feasible; no misidentification reported in one transport study.</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48E124" w14:textId="77777777" w:rsidR="00E456DC" w:rsidRPr="00784E8E" w:rsidRDefault="00000000">
            <w:pPr>
              <w:spacing w:after="0" w:line="245" w:lineRule="auto"/>
              <w:jc w:val="left"/>
              <w:rPr>
                <w:lang w:val="en-GB"/>
              </w:rPr>
            </w:pPr>
            <w:r w:rsidRPr="00784E8E">
              <w:rPr>
                <w:rFonts w:eastAsia="Times New Roman"/>
                <w:color w:val="000000"/>
                <w:sz w:val="15"/>
                <w:lang w:val="en-GB"/>
              </w:rPr>
              <w:t>Sparse direct outcomes, possible under-reporting and no robust comparative clinical endpoints.</w:t>
            </w:r>
          </w:p>
        </w:tc>
      </w:tr>
      <w:tr w:rsidR="00E456DC" w:rsidRPr="00784E8E" w14:paraId="0E536332"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FAFC61F" w14:textId="77777777" w:rsidR="00E456DC" w:rsidRPr="00784E8E" w:rsidRDefault="00000000">
            <w:pPr>
              <w:spacing w:after="0" w:line="245" w:lineRule="auto"/>
              <w:jc w:val="left"/>
              <w:rPr>
                <w:lang w:val="en-GB"/>
              </w:rPr>
            </w:pPr>
            <w:r w:rsidRPr="00784E8E">
              <w:rPr>
                <w:rFonts w:eastAsia="Times New Roman"/>
                <w:b/>
                <w:color w:val="000000"/>
                <w:sz w:val="15"/>
                <w:lang w:val="en-GB"/>
              </w:rPr>
              <w:t>Workforce/workflow</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550812E" w14:textId="77777777" w:rsidR="00E456DC" w:rsidRPr="00784E8E" w:rsidRDefault="00000000">
            <w:pPr>
              <w:spacing w:after="0" w:line="245" w:lineRule="auto"/>
              <w:jc w:val="left"/>
              <w:rPr>
                <w:lang w:val="en-GB"/>
              </w:rPr>
            </w:pPr>
            <w:r w:rsidRPr="00784E8E">
              <w:rPr>
                <w:rFonts w:eastAsia="Times New Roman"/>
                <w:color w:val="000000"/>
                <w:sz w:val="15"/>
                <w:lang w:val="en-GB"/>
              </w:rPr>
              <w:t>Hassmann; Lee; Rajashekhar; Jovy-Klein; Sony/Rahimi/</w:t>
            </w:r>
            <w:proofErr w:type="spellStart"/>
            <w:r w:rsidRPr="00784E8E">
              <w:rPr>
                <w:rFonts w:eastAsia="Times New Roman"/>
                <w:color w:val="000000"/>
                <w:sz w:val="15"/>
                <w:lang w:val="en-GB"/>
              </w:rPr>
              <w:t>Rabiei</w:t>
            </w:r>
            <w:proofErr w:type="spellEnd"/>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78AD76" w14:textId="77777777" w:rsidR="00E456DC" w:rsidRPr="00784E8E" w:rsidRDefault="00000000">
            <w:pPr>
              <w:spacing w:after="0" w:line="245" w:lineRule="auto"/>
              <w:jc w:val="left"/>
              <w:rPr>
                <w:lang w:val="en-GB"/>
              </w:rPr>
            </w:pPr>
            <w:r w:rsidRPr="00784E8E">
              <w:rPr>
                <w:rFonts w:eastAsia="Times New Roman"/>
                <w:color w:val="000000"/>
                <w:sz w:val="15"/>
                <w:lang w:val="en-GB"/>
              </w:rPr>
              <w:t>Selected administrative work decreased; training, support and engagement repeatedly identified; burden shifted in some tasks.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A34323" w14:textId="77777777" w:rsidR="00E456DC" w:rsidRPr="00784E8E" w:rsidRDefault="00000000">
            <w:pPr>
              <w:spacing w:after="0" w:line="245" w:lineRule="auto"/>
              <w:jc w:val="left"/>
              <w:rPr>
                <w:lang w:val="en-GB"/>
              </w:rPr>
            </w:pPr>
            <w:r w:rsidRPr="00784E8E">
              <w:rPr>
                <w:rFonts w:eastAsia="Times New Roman"/>
                <w:color w:val="000000"/>
                <w:sz w:val="15"/>
                <w:lang w:val="en-GB"/>
              </w:rPr>
              <w:t>Non-equivalent samples, cross-sectional perceptions and limited total-work measurement.</w:t>
            </w:r>
          </w:p>
        </w:tc>
      </w:tr>
      <w:tr w:rsidR="00E456DC" w:rsidRPr="00784E8E" w14:paraId="1D2163E8"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0112199" w14:textId="77777777" w:rsidR="00E456DC" w:rsidRPr="00784E8E" w:rsidRDefault="00000000">
            <w:pPr>
              <w:spacing w:after="0" w:line="245" w:lineRule="auto"/>
              <w:jc w:val="left"/>
              <w:rPr>
                <w:lang w:val="en-GB"/>
              </w:rPr>
            </w:pPr>
            <w:r w:rsidRPr="00784E8E">
              <w:rPr>
                <w:rFonts w:eastAsia="Times New Roman"/>
                <w:b/>
                <w:color w:val="000000"/>
                <w:sz w:val="15"/>
                <w:lang w:val="en-GB"/>
              </w:rPr>
              <w:t>Governance/ethics/equity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C42B969" w14:textId="77777777" w:rsidR="00E456DC" w:rsidRPr="00784E8E" w:rsidRDefault="00000000">
            <w:pPr>
              <w:spacing w:after="0" w:line="245" w:lineRule="auto"/>
              <w:jc w:val="left"/>
              <w:rPr>
                <w:lang w:val="en-GB"/>
              </w:rPr>
            </w:pPr>
            <w:r w:rsidRPr="00784E8E">
              <w:rPr>
                <w:rFonts w:eastAsia="Times New Roman"/>
                <w:color w:val="000000"/>
                <w:sz w:val="15"/>
                <w:lang w:val="en-GB"/>
              </w:rPr>
              <w:t xml:space="preserve">de Graaf; Sony; Rahimi; Malekzadeh; </w:t>
            </w:r>
            <w:proofErr w:type="spellStart"/>
            <w:r w:rsidRPr="00784E8E">
              <w:rPr>
                <w:rFonts w:eastAsia="Times New Roman"/>
                <w:color w:val="000000"/>
                <w:sz w:val="15"/>
                <w:lang w:val="en-GB"/>
              </w:rPr>
              <w:t>Rabiei</w:t>
            </w:r>
            <w:proofErr w:type="spellEnd"/>
            <w:r w:rsidRPr="00784E8E">
              <w:rPr>
                <w:rFonts w:eastAsia="Times New Roman"/>
                <w:color w:val="000000"/>
                <w:sz w:val="15"/>
                <w:lang w:val="en-GB"/>
              </w:rPr>
              <w:t>; Jovy-Klein; Rovira-Simón</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6CFA7EB" w14:textId="77777777" w:rsidR="00E456DC" w:rsidRPr="00784E8E" w:rsidRDefault="00000000">
            <w:pPr>
              <w:spacing w:after="0" w:line="245" w:lineRule="auto"/>
              <w:jc w:val="left"/>
              <w:rPr>
                <w:lang w:val="en-GB"/>
              </w:rPr>
            </w:pPr>
            <w:r w:rsidRPr="00784E8E">
              <w:rPr>
                <w:rFonts w:eastAsia="Times New Roman"/>
                <w:color w:val="000000"/>
                <w:sz w:val="15"/>
                <w:lang w:val="en-GB"/>
              </w:rPr>
              <w:t>Stakeholder engagement, accountability, regulation, privacy, security and human-centredness were consistently required.</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769B3BF" w14:textId="77777777" w:rsidR="00E456DC" w:rsidRPr="00784E8E" w:rsidRDefault="00000000">
            <w:pPr>
              <w:spacing w:after="0" w:line="245" w:lineRule="auto"/>
              <w:jc w:val="left"/>
              <w:rPr>
                <w:lang w:val="en-GB"/>
              </w:rPr>
            </w:pPr>
            <w:r w:rsidRPr="00784E8E">
              <w:rPr>
                <w:rFonts w:eastAsia="Times New Roman"/>
                <w:color w:val="000000"/>
                <w:sz w:val="15"/>
                <w:lang w:val="en-GB"/>
              </w:rPr>
              <w:t>Few empirical evaluations of governance effectiveness; equity outcomes largely absent.</w:t>
            </w:r>
          </w:p>
        </w:tc>
      </w:tr>
      <w:tr w:rsidR="00E456DC" w:rsidRPr="00784E8E" w14:paraId="69F77810" w14:textId="77777777">
        <w:trPr>
          <w:jc w:val="center"/>
        </w:trPr>
        <w:tc>
          <w:tcPr>
            <w:tcW w:w="1757"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50273A1" w14:textId="77777777" w:rsidR="00E456DC" w:rsidRPr="00784E8E" w:rsidRDefault="00000000">
            <w:pPr>
              <w:spacing w:after="0" w:line="245" w:lineRule="auto"/>
              <w:jc w:val="left"/>
              <w:rPr>
                <w:lang w:val="en-GB"/>
              </w:rPr>
            </w:pPr>
            <w:r w:rsidRPr="00784E8E">
              <w:rPr>
                <w:rFonts w:eastAsia="Times New Roman"/>
                <w:b/>
                <w:color w:val="000000"/>
                <w:sz w:val="15"/>
                <w:lang w:val="en-GB"/>
              </w:rPr>
              <w:t>Learning/adaptation</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1AB1BD" w14:textId="77777777" w:rsidR="00E456DC" w:rsidRPr="00784E8E" w:rsidRDefault="00000000">
            <w:pPr>
              <w:spacing w:after="0" w:line="245" w:lineRule="auto"/>
              <w:jc w:val="left"/>
              <w:rPr>
                <w:lang w:val="en-GB"/>
              </w:rPr>
            </w:pPr>
            <w:r w:rsidRPr="00784E8E">
              <w:rPr>
                <w:rFonts w:eastAsia="Times New Roman"/>
                <w:color w:val="000000"/>
                <w:sz w:val="15"/>
                <w:lang w:val="en-GB"/>
              </w:rPr>
              <w:t>Rovira-Simón; Rahimi; Jovy-Klein; selected implementation cases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D21A017" w14:textId="77777777" w:rsidR="00E456DC" w:rsidRPr="00784E8E" w:rsidRDefault="00000000">
            <w:pPr>
              <w:spacing w:after="0" w:line="245" w:lineRule="auto"/>
              <w:jc w:val="left"/>
              <w:rPr>
                <w:lang w:val="en-GB"/>
              </w:rPr>
            </w:pPr>
            <w:r w:rsidRPr="00784E8E">
              <w:rPr>
                <w:rFonts w:eastAsia="Times New Roman"/>
                <w:color w:val="000000"/>
                <w:sz w:val="15"/>
                <w:lang w:val="en-GB"/>
              </w:rPr>
              <w:t>Conceptual model and partial predictive/real-time functions support a pathway towards learning systems.</w:t>
            </w:r>
          </w:p>
        </w:tc>
        <w:tc>
          <w:tcPr>
            <w:tcW w:w="294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E075292" w14:textId="77777777" w:rsidR="00E456DC" w:rsidRPr="00784E8E" w:rsidRDefault="00000000">
            <w:pPr>
              <w:spacing w:after="0" w:line="245" w:lineRule="auto"/>
              <w:jc w:val="left"/>
              <w:rPr>
                <w:lang w:val="en-GB"/>
              </w:rPr>
            </w:pPr>
            <w:r w:rsidRPr="00784E8E">
              <w:rPr>
                <w:rFonts w:eastAsia="Times New Roman"/>
                <w:color w:val="000000"/>
                <w:sz w:val="15"/>
                <w:lang w:val="en-GB"/>
              </w:rPr>
              <w:t>No validated hospital-wide closed loop demonstrating safe continuous adaptation.</w:t>
            </w:r>
          </w:p>
        </w:tc>
      </w:tr>
    </w:tbl>
    <w:p w14:paraId="55C5F386" w14:textId="77777777" w:rsidR="00E456DC" w:rsidRPr="00784E8E" w:rsidRDefault="00000000">
      <w:pPr>
        <w:pStyle w:val="SmallNote"/>
        <w:rPr>
          <w:lang w:val="en-GB"/>
        </w:rPr>
      </w:pPr>
      <w:r w:rsidRPr="00784E8E">
        <w:rPr>
          <w:rFonts w:eastAsia="Times New Roman"/>
          <w:b/>
          <w:lang w:val="en-GB"/>
        </w:rPr>
        <w:t xml:space="preserve">Note. </w:t>
      </w:r>
      <w:r w:rsidRPr="00784E8E">
        <w:rPr>
          <w:rFonts w:eastAsia="Times New Roman"/>
          <w:lang w:val="en-GB"/>
        </w:rPr>
        <w:t>No pooled estimate was calculated. Study size, design, precision, measurement validity and risk of bias informed the narrative weighting.</w:t>
      </w:r>
    </w:p>
    <w:p w14:paraId="261C433C" w14:textId="77777777" w:rsidR="00E456DC" w:rsidRPr="00784E8E" w:rsidRDefault="00000000">
      <w:pPr>
        <w:pStyle w:val="Heading2"/>
        <w:rPr>
          <w:lang w:val="en-GB"/>
        </w:rPr>
      </w:pPr>
      <w:r w:rsidRPr="00784E8E">
        <w:rPr>
          <w:rFonts w:ascii="Times New Roman" w:eastAsia="Times New Roman" w:hAnsi="Times New Roman"/>
          <w:lang w:val="en-GB"/>
        </w:rPr>
        <w:t>3.10 Methodological appraisal</w:t>
      </w:r>
    </w:p>
    <w:p w14:paraId="254C0953" w14:textId="77777777" w:rsidR="00E456DC" w:rsidRPr="00784E8E" w:rsidRDefault="00000000">
      <w:pPr>
        <w:rPr>
          <w:lang w:val="en-GB"/>
        </w:rPr>
      </w:pPr>
      <w:r w:rsidRPr="00784E8E">
        <w:rPr>
          <w:rFonts w:eastAsia="Times New Roman"/>
          <w:lang w:val="en-GB"/>
        </w:rPr>
        <w:t>Methodological limitations were substantial. Only the Delphi study, the AI implementation review, the smart-hospital scoping review, the Iranian qualitative framework and the technical model were judged to have no more than some concerns overall. Even these studies addressed concepts, implementation determinants or model behaviour rather than causal clinical effects. Most empirical reports were single-site, uncontrolled and vulnerable to selection, measurement and secular-trend bias. Unclear denominators and absent uncertainty estimates were common.</w:t>
      </w:r>
    </w:p>
    <w:p w14:paraId="710E754A" w14:textId="77777777" w:rsidR="00E456DC" w:rsidRPr="00784E8E" w:rsidRDefault="00000000">
      <w:pPr>
        <w:rPr>
          <w:lang w:val="en-GB"/>
        </w:rPr>
      </w:pPr>
      <w:r w:rsidRPr="00784E8E">
        <w:rPr>
          <w:rFonts w:eastAsia="Times New Roman"/>
          <w:lang w:val="en-GB"/>
        </w:rPr>
        <w:t>The result is an evidence base that is useful for theory building and implementation planning but weak for comparative effectiveness. The most credible conclusions are those supported by convergence across methods - for example, that interoperability, leadership, workforce capability and governance are necessary. The least credible are precise claims that smart transformation improved clinical outcomes or generated a particular amount of savings, because those claims were rarely tested with prospective controls or complete cost accounting.</w:t>
      </w:r>
    </w:p>
    <w:p w14:paraId="52B6844E" w14:textId="77777777" w:rsidR="00E456DC" w:rsidRPr="00784E8E" w:rsidRDefault="00E456DC">
      <w:pPr>
        <w:rPr>
          <w:lang w:val="en-GB"/>
        </w:rPr>
        <w:sectPr w:rsidR="00E456DC" w:rsidRPr="00784E8E">
          <w:pgSz w:w="11906" w:h="16838"/>
          <w:pgMar w:top="1134" w:right="1191" w:bottom="1020" w:left="1191" w:header="454" w:footer="454" w:gutter="0"/>
          <w:cols w:space="720"/>
          <w:docGrid w:linePitch="360"/>
        </w:sectPr>
      </w:pPr>
    </w:p>
    <w:p w14:paraId="3EFE77E2" w14:textId="77777777" w:rsidR="00E456DC" w:rsidRPr="00784E8E" w:rsidRDefault="00000000">
      <w:pPr>
        <w:pStyle w:val="AnalyticalLead"/>
        <w:rPr>
          <w:lang w:val="en-GB"/>
        </w:rPr>
      </w:pPr>
      <w:r w:rsidRPr="00784E8E">
        <w:rPr>
          <w:rFonts w:eastAsia="Times New Roman"/>
          <w:lang w:val="en-GB"/>
        </w:rPr>
        <w:lastRenderedPageBreak/>
        <w:t>Table 6 connects each study's design to its main inferential constraint. The pattern matters because apparently precise operational percentages often came from designs with major limitations, whereas stronger review and qualitative methods mainly informed definitions and implementation mechanisms.</w:t>
      </w:r>
    </w:p>
    <w:p w14:paraId="4349E0E2" w14:textId="77777777" w:rsidR="00E456DC" w:rsidRPr="00784E8E" w:rsidRDefault="00000000">
      <w:pPr>
        <w:pStyle w:val="TableTitle"/>
        <w:rPr>
          <w:lang w:val="en-GB"/>
        </w:rPr>
      </w:pPr>
      <w:r w:rsidRPr="00784E8E">
        <w:rPr>
          <w:rFonts w:eastAsia="Times New Roman"/>
          <w:lang w:val="en-GB"/>
        </w:rPr>
        <w:t>Table 6. Study-level methodological appraisal and inferential constraints</w:t>
      </w:r>
    </w:p>
    <w:tbl>
      <w:tblPr>
        <w:tblStyle w:val="TableGrid"/>
        <w:tblW w:w="0" w:type="auto"/>
        <w:jc w:val="center"/>
        <w:tblLayout w:type="fixed"/>
        <w:tblLook w:val="04A0" w:firstRow="1" w:lastRow="0" w:firstColumn="1" w:lastColumn="0" w:noHBand="0" w:noVBand="1"/>
      </w:tblPr>
      <w:tblGrid>
        <w:gridCol w:w="1191"/>
        <w:gridCol w:w="1928"/>
        <w:gridCol w:w="2268"/>
        <w:gridCol w:w="2608"/>
        <w:gridCol w:w="2608"/>
        <w:gridCol w:w="2835"/>
        <w:gridCol w:w="1304"/>
      </w:tblGrid>
      <w:tr w:rsidR="00E456DC" w:rsidRPr="00784E8E" w14:paraId="5B95CCE6" w14:textId="77777777">
        <w:trPr>
          <w:tblHeader/>
          <w:jc w:val="center"/>
        </w:trPr>
        <w:tc>
          <w:tcPr>
            <w:tcW w:w="1191"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4451865" w14:textId="77777777" w:rsidR="00E456DC" w:rsidRPr="00784E8E" w:rsidRDefault="00000000">
            <w:pPr>
              <w:spacing w:after="0"/>
              <w:jc w:val="center"/>
              <w:rPr>
                <w:lang w:val="en-GB"/>
              </w:rPr>
            </w:pPr>
            <w:r w:rsidRPr="00784E8E">
              <w:rPr>
                <w:rFonts w:eastAsia="Times New Roman"/>
                <w:b/>
                <w:color w:val="FFFFFF"/>
                <w:sz w:val="14"/>
                <w:lang w:val="en-GB"/>
              </w:rPr>
              <w:t>Study</w:t>
            </w:r>
          </w:p>
        </w:tc>
        <w:tc>
          <w:tcPr>
            <w:tcW w:w="192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69C58972" w14:textId="77777777" w:rsidR="00E456DC" w:rsidRPr="00784E8E" w:rsidRDefault="00000000">
            <w:pPr>
              <w:spacing w:after="0"/>
              <w:jc w:val="center"/>
              <w:rPr>
                <w:lang w:val="en-GB"/>
              </w:rPr>
            </w:pPr>
            <w:r w:rsidRPr="00784E8E">
              <w:rPr>
                <w:rFonts w:eastAsia="Times New Roman"/>
                <w:b/>
                <w:color w:val="FFFFFF"/>
                <w:sz w:val="14"/>
                <w:lang w:val="en-GB"/>
              </w:rPr>
              <w:t>Design</w:t>
            </w:r>
          </w:p>
        </w:tc>
        <w:tc>
          <w:tcPr>
            <w:tcW w:w="226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A36C170" w14:textId="77777777" w:rsidR="00E456DC" w:rsidRPr="00784E8E" w:rsidRDefault="00000000">
            <w:pPr>
              <w:spacing w:after="0"/>
              <w:jc w:val="center"/>
              <w:rPr>
                <w:lang w:val="en-GB"/>
              </w:rPr>
            </w:pPr>
            <w:r w:rsidRPr="00784E8E">
              <w:rPr>
                <w:rFonts w:eastAsia="Times New Roman"/>
                <w:b/>
                <w:color w:val="FFFFFF"/>
                <w:sz w:val="14"/>
                <w:lang w:val="en-GB"/>
              </w:rPr>
              <w:t>Appraisal basis</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1A7DC87" w14:textId="77777777" w:rsidR="00E456DC" w:rsidRPr="00784E8E" w:rsidRDefault="00000000">
            <w:pPr>
              <w:spacing w:after="0"/>
              <w:jc w:val="center"/>
              <w:rPr>
                <w:lang w:val="en-GB"/>
              </w:rPr>
            </w:pPr>
            <w:r w:rsidRPr="00784E8E">
              <w:rPr>
                <w:rFonts w:eastAsia="Times New Roman"/>
                <w:b/>
                <w:color w:val="FFFFFF"/>
                <w:sz w:val="14"/>
                <w:lang w:val="en-GB"/>
              </w:rPr>
              <w:t>Selection/source</w:t>
            </w:r>
          </w:p>
        </w:tc>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FC3DDAB" w14:textId="77777777" w:rsidR="00E456DC" w:rsidRPr="00784E8E" w:rsidRDefault="00000000">
            <w:pPr>
              <w:spacing w:after="0"/>
              <w:jc w:val="center"/>
              <w:rPr>
                <w:lang w:val="en-GB"/>
              </w:rPr>
            </w:pPr>
            <w:r w:rsidRPr="00784E8E">
              <w:rPr>
                <w:rFonts w:eastAsia="Times New Roman"/>
                <w:b/>
                <w:color w:val="FFFFFF"/>
                <w:sz w:val="14"/>
                <w:lang w:val="en-GB"/>
              </w:rPr>
              <w:t>Outcome measurement</w:t>
            </w:r>
          </w:p>
        </w:tc>
        <w:tc>
          <w:tcPr>
            <w:tcW w:w="2835"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381BAC8F" w14:textId="77777777" w:rsidR="00E456DC" w:rsidRPr="00784E8E" w:rsidRDefault="00000000">
            <w:pPr>
              <w:spacing w:after="0"/>
              <w:jc w:val="center"/>
              <w:rPr>
                <w:lang w:val="en-GB"/>
              </w:rPr>
            </w:pPr>
            <w:r w:rsidRPr="00784E8E">
              <w:rPr>
                <w:rFonts w:eastAsia="Times New Roman"/>
                <w:b/>
                <w:color w:val="FFFFFF"/>
                <w:sz w:val="14"/>
                <w:lang w:val="en-GB"/>
              </w:rPr>
              <w:t>Comparator/causal identification</w:t>
            </w:r>
          </w:p>
        </w:tc>
        <w:tc>
          <w:tcPr>
            <w:tcW w:w="130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18B7BB36" w14:textId="77777777" w:rsidR="00E456DC" w:rsidRPr="00784E8E" w:rsidRDefault="00000000">
            <w:pPr>
              <w:spacing w:after="0"/>
              <w:jc w:val="center"/>
              <w:rPr>
                <w:lang w:val="en-GB"/>
              </w:rPr>
            </w:pPr>
            <w:r w:rsidRPr="00784E8E">
              <w:rPr>
                <w:rFonts w:eastAsia="Times New Roman"/>
                <w:b/>
                <w:color w:val="FFFFFF"/>
                <w:sz w:val="14"/>
                <w:lang w:val="en-GB"/>
              </w:rPr>
              <w:t>Overall</w:t>
            </w:r>
          </w:p>
        </w:tc>
      </w:tr>
      <w:tr w:rsidR="00E456DC" w:rsidRPr="00784E8E" w14:paraId="59A65CC6"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CE27BEF" w14:textId="77777777" w:rsidR="00E456DC" w:rsidRPr="00784E8E" w:rsidRDefault="00000000">
            <w:pPr>
              <w:spacing w:after="0" w:line="245" w:lineRule="auto"/>
              <w:jc w:val="left"/>
              <w:rPr>
                <w:lang w:val="en-GB"/>
              </w:rPr>
            </w:pPr>
            <w:r w:rsidRPr="00784E8E">
              <w:rPr>
                <w:rFonts w:eastAsia="Times New Roman"/>
                <w:b/>
                <w:color w:val="000000"/>
                <w:sz w:val="14"/>
                <w:lang w:val="en-GB"/>
              </w:rPr>
              <w:t>Park et al. (2018)</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B93446" w14:textId="77777777" w:rsidR="00E456DC" w:rsidRPr="00784E8E" w:rsidRDefault="00000000">
            <w:pPr>
              <w:spacing w:after="0" w:line="245" w:lineRule="auto"/>
              <w:jc w:val="left"/>
              <w:rPr>
                <w:lang w:val="en-GB"/>
              </w:rPr>
            </w:pPr>
            <w:r w:rsidRPr="00784E8E">
              <w:rPr>
                <w:rFonts w:eastAsia="Times New Roman"/>
                <w:color w:val="000000"/>
                <w:sz w:val="14"/>
                <w:lang w:val="en-GB"/>
              </w:rPr>
              <w:t>Single-site implementation case report</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1740F6" w14:textId="77777777" w:rsidR="00E456DC" w:rsidRPr="00784E8E" w:rsidRDefault="00000000">
            <w:pPr>
              <w:spacing w:after="0" w:line="245" w:lineRule="auto"/>
              <w:jc w:val="left"/>
              <w:rPr>
                <w:lang w:val="en-GB"/>
              </w:rPr>
            </w:pPr>
            <w:r w:rsidRPr="00784E8E">
              <w:rPr>
                <w:rFonts w:eastAsia="Times New Roman"/>
                <w:color w:val="000000"/>
                <w:sz w:val="14"/>
                <w:lang w:val="en-GB"/>
              </w:rPr>
              <w:t>JBI case report principles, adapted to an organisational implementation case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2240DE9" w14:textId="77777777" w:rsidR="00E456DC" w:rsidRPr="00784E8E" w:rsidRDefault="00000000">
            <w:pPr>
              <w:spacing w:after="0" w:line="245" w:lineRule="auto"/>
              <w:jc w:val="left"/>
              <w:rPr>
                <w:lang w:val="en-GB"/>
              </w:rPr>
            </w:pPr>
            <w:r w:rsidRPr="00784E8E">
              <w:rPr>
                <w:rFonts w:eastAsia="Times New Roman"/>
                <w:color w:val="000000"/>
                <w:sz w:val="14"/>
                <w:lang w:val="en-GB"/>
              </w:rPr>
              <w:t>Selection of services and users is not fully reported.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3676BE" w14:textId="77777777" w:rsidR="00E456DC" w:rsidRPr="00784E8E" w:rsidRDefault="00000000">
            <w:pPr>
              <w:spacing w:after="0" w:line="245" w:lineRule="auto"/>
              <w:jc w:val="left"/>
              <w:rPr>
                <w:lang w:val="en-GB"/>
              </w:rPr>
            </w:pPr>
            <w:r w:rsidRPr="00784E8E">
              <w:rPr>
                <w:rFonts w:eastAsia="Times New Roman"/>
                <w:color w:val="000000"/>
                <w:sz w:val="14"/>
                <w:lang w:val="en-GB"/>
              </w:rPr>
              <w:t>Outcomes are operational observations without prespecified measurement methods.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761B5C" w14:textId="77777777" w:rsidR="00E456DC" w:rsidRPr="00784E8E" w:rsidRDefault="00000000">
            <w:pPr>
              <w:spacing w:after="0" w:line="245" w:lineRule="auto"/>
              <w:jc w:val="left"/>
              <w:rPr>
                <w:lang w:val="en-GB"/>
              </w:rPr>
            </w:pPr>
            <w:r w:rsidRPr="00784E8E">
              <w:rPr>
                <w:rFonts w:eastAsia="Times New Roman"/>
                <w:color w:val="000000"/>
                <w:sz w:val="14"/>
                <w:lang w:val="en-GB"/>
              </w:rPr>
              <w:t>No comparator or control for concurrent change.</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E046514"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1176C057"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E41EDB9" w14:textId="77777777" w:rsidR="00E456DC" w:rsidRPr="00784E8E" w:rsidRDefault="00000000">
            <w:pPr>
              <w:spacing w:after="0" w:line="245" w:lineRule="auto"/>
              <w:jc w:val="left"/>
              <w:rPr>
                <w:lang w:val="en-GB"/>
              </w:rPr>
            </w:pPr>
            <w:r w:rsidRPr="00784E8E">
              <w:rPr>
                <w:rFonts w:eastAsia="Times New Roman"/>
                <w:b/>
                <w:color w:val="000000"/>
                <w:sz w:val="14"/>
                <w:lang w:val="en-GB"/>
              </w:rPr>
              <w:t>Rodrigues et al. (2021)</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249AB39" w14:textId="77777777" w:rsidR="00E456DC" w:rsidRPr="00784E8E" w:rsidRDefault="00000000">
            <w:pPr>
              <w:spacing w:after="0" w:line="245" w:lineRule="auto"/>
              <w:jc w:val="left"/>
              <w:rPr>
                <w:lang w:val="en-GB"/>
              </w:rPr>
            </w:pPr>
            <w:r w:rsidRPr="00784E8E">
              <w:rPr>
                <w:rFonts w:eastAsia="Times New Roman"/>
                <w:color w:val="000000"/>
                <w:sz w:val="14"/>
                <w:lang w:val="en-GB"/>
              </w:rPr>
              <w:t>Analytical modelling study using stochastic Petri nets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F3A7B73" w14:textId="77777777" w:rsidR="00E456DC" w:rsidRPr="00784E8E" w:rsidRDefault="00000000">
            <w:pPr>
              <w:spacing w:after="0" w:line="245" w:lineRule="auto"/>
              <w:jc w:val="left"/>
              <w:rPr>
                <w:lang w:val="en-GB"/>
              </w:rPr>
            </w:pPr>
            <w:r w:rsidRPr="00784E8E">
              <w:rPr>
                <w:rFonts w:eastAsia="Times New Roman"/>
                <w:color w:val="000000"/>
                <w:sz w:val="14"/>
                <w:lang w:val="en-GB"/>
              </w:rPr>
              <w:t>Review-specific technical credibility domains for modelling studies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19EF181" w14:textId="77777777" w:rsidR="00E456DC" w:rsidRPr="00784E8E" w:rsidRDefault="00000000">
            <w:pPr>
              <w:spacing w:after="0" w:line="245" w:lineRule="auto"/>
              <w:jc w:val="left"/>
              <w:rPr>
                <w:lang w:val="en-GB"/>
              </w:rPr>
            </w:pPr>
            <w:r w:rsidRPr="00784E8E">
              <w:rPr>
                <w:rFonts w:eastAsia="Times New Roman"/>
                <w:color w:val="000000"/>
                <w:sz w:val="14"/>
                <w:lang w:val="en-GB"/>
              </w:rPr>
              <w:t>Parameterisation is flexible, but empirical provenance for all inputs is not established.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9A385C1" w14:textId="77777777" w:rsidR="00E456DC" w:rsidRPr="00784E8E" w:rsidRDefault="00000000">
            <w:pPr>
              <w:spacing w:after="0" w:line="245" w:lineRule="auto"/>
              <w:jc w:val="left"/>
              <w:rPr>
                <w:lang w:val="en-GB"/>
              </w:rPr>
            </w:pPr>
            <w:r w:rsidRPr="00784E8E">
              <w:rPr>
                <w:rFonts w:eastAsia="Times New Roman"/>
                <w:color w:val="000000"/>
                <w:sz w:val="14"/>
                <w:lang w:val="en-GB"/>
              </w:rPr>
              <w:t>Model outputs are internally coherent and sensitivity analyses are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14F172E" w14:textId="77777777" w:rsidR="00E456DC" w:rsidRPr="00784E8E" w:rsidRDefault="00000000">
            <w:pPr>
              <w:spacing w:after="0" w:line="245" w:lineRule="auto"/>
              <w:jc w:val="left"/>
              <w:rPr>
                <w:lang w:val="en-GB"/>
              </w:rPr>
            </w:pPr>
            <w:r w:rsidRPr="00784E8E">
              <w:rPr>
                <w:rFonts w:eastAsia="Times New Roman"/>
                <w:color w:val="000000"/>
                <w:sz w:val="14"/>
                <w:lang w:val="en-GB"/>
              </w:rPr>
              <w:t>No external validation against a functioning hospital.</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2390B63" w14:textId="77777777" w:rsidR="00E456DC" w:rsidRPr="00784E8E" w:rsidRDefault="00000000">
            <w:pPr>
              <w:spacing w:after="0" w:line="245" w:lineRule="auto"/>
              <w:jc w:val="left"/>
              <w:rPr>
                <w:lang w:val="en-GB"/>
              </w:rPr>
            </w:pPr>
            <w:r w:rsidRPr="00784E8E">
              <w:rPr>
                <w:rFonts w:eastAsia="Times New Roman"/>
                <w:color w:val="000000"/>
                <w:sz w:val="14"/>
                <w:lang w:val="en-GB"/>
              </w:rPr>
              <w:t>Some concerns</w:t>
            </w:r>
          </w:p>
        </w:tc>
      </w:tr>
      <w:tr w:rsidR="00E456DC" w:rsidRPr="00784E8E" w14:paraId="54C45499"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BD8853" w14:textId="77777777" w:rsidR="00E456DC" w:rsidRPr="00784E8E" w:rsidRDefault="00000000">
            <w:pPr>
              <w:spacing w:after="0" w:line="245" w:lineRule="auto"/>
              <w:jc w:val="left"/>
              <w:rPr>
                <w:lang w:val="en-GB"/>
              </w:rPr>
            </w:pPr>
            <w:r w:rsidRPr="00784E8E">
              <w:rPr>
                <w:rFonts w:eastAsia="Times New Roman"/>
                <w:b/>
                <w:color w:val="000000"/>
                <w:sz w:val="14"/>
                <w:lang w:val="en-GB"/>
              </w:rPr>
              <w:t>Kwon et al. (2022)</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9238CE6" w14:textId="77777777" w:rsidR="00E456DC" w:rsidRPr="00784E8E" w:rsidRDefault="00000000">
            <w:pPr>
              <w:spacing w:after="0" w:line="245" w:lineRule="auto"/>
              <w:jc w:val="left"/>
              <w:rPr>
                <w:lang w:val="en-GB"/>
              </w:rPr>
            </w:pPr>
            <w:r w:rsidRPr="00784E8E">
              <w:rPr>
                <w:rFonts w:eastAsia="Times New Roman"/>
                <w:color w:val="000000"/>
                <w:sz w:val="14"/>
                <w:lang w:val="en-GB"/>
              </w:rPr>
              <w:t>Narrative literature review with expert focus-group consensus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E14EF7" w14:textId="77777777" w:rsidR="00E456DC" w:rsidRPr="00784E8E" w:rsidRDefault="00000000">
            <w:pPr>
              <w:spacing w:after="0" w:line="245" w:lineRule="auto"/>
              <w:jc w:val="left"/>
              <w:rPr>
                <w:lang w:val="en-GB"/>
              </w:rPr>
            </w:pPr>
            <w:r w:rsidRPr="00784E8E">
              <w:rPr>
                <w:rFonts w:eastAsia="Times New Roman"/>
                <w:color w:val="000000"/>
                <w:sz w:val="14"/>
                <w:lang w:val="en-GB"/>
              </w:rPr>
              <w:t>JBI research-synthesis and qualitative-consensus principles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59F136D" w14:textId="77777777" w:rsidR="00E456DC" w:rsidRPr="00784E8E" w:rsidRDefault="00000000">
            <w:pPr>
              <w:spacing w:after="0" w:line="245" w:lineRule="auto"/>
              <w:jc w:val="left"/>
              <w:rPr>
                <w:lang w:val="en-GB"/>
              </w:rPr>
            </w:pPr>
            <w:r w:rsidRPr="00784E8E">
              <w:rPr>
                <w:rFonts w:eastAsia="Times New Roman"/>
                <w:color w:val="000000"/>
                <w:sz w:val="14"/>
                <w:lang w:val="en-GB"/>
              </w:rPr>
              <w:t>Search strategy and source-selection process are insufficiently reproducible.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2B91132" w14:textId="77777777" w:rsidR="00E456DC" w:rsidRPr="00784E8E" w:rsidRDefault="00000000">
            <w:pPr>
              <w:spacing w:after="0" w:line="245" w:lineRule="auto"/>
              <w:jc w:val="left"/>
              <w:rPr>
                <w:lang w:val="en-GB"/>
              </w:rPr>
            </w:pPr>
            <w:r w:rsidRPr="00784E8E">
              <w:rPr>
                <w:rFonts w:eastAsia="Times New Roman"/>
                <w:color w:val="000000"/>
                <w:sz w:val="14"/>
                <w:lang w:val="en-GB"/>
              </w:rPr>
              <w:t>Expert eligibility is described broadly; sample size and reflexivity are not reported.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0D5616A" w14:textId="77777777" w:rsidR="00E456DC" w:rsidRPr="00784E8E" w:rsidRDefault="00000000">
            <w:pPr>
              <w:spacing w:after="0" w:line="245" w:lineRule="auto"/>
              <w:jc w:val="left"/>
              <w:rPr>
                <w:lang w:val="en-GB"/>
              </w:rPr>
            </w:pPr>
            <w:r w:rsidRPr="00784E8E">
              <w:rPr>
                <w:rFonts w:eastAsia="Times New Roman"/>
                <w:color w:val="000000"/>
                <w:sz w:val="14"/>
                <w:lang w:val="en-GB"/>
              </w:rPr>
              <w:t>No formal quality appraisal of cited examples.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506E677"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2971E801"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AEE449B" w14:textId="77777777" w:rsidR="00E456DC" w:rsidRPr="00784E8E" w:rsidRDefault="00000000">
            <w:pPr>
              <w:spacing w:after="0" w:line="245" w:lineRule="auto"/>
              <w:jc w:val="left"/>
              <w:rPr>
                <w:lang w:val="en-GB"/>
              </w:rPr>
            </w:pPr>
            <w:r w:rsidRPr="00784E8E">
              <w:rPr>
                <w:rFonts w:eastAsia="Times New Roman"/>
                <w:b/>
                <w:color w:val="000000"/>
                <w:sz w:val="14"/>
                <w:lang w:val="en-GB"/>
              </w:rPr>
              <w:t>Rovira-Simón et al. (2022)</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1CAABAC" w14:textId="77777777" w:rsidR="00E456DC" w:rsidRPr="00784E8E" w:rsidRDefault="00000000">
            <w:pPr>
              <w:spacing w:after="0" w:line="245" w:lineRule="auto"/>
              <w:jc w:val="left"/>
              <w:rPr>
                <w:lang w:val="en-GB"/>
              </w:rPr>
            </w:pPr>
            <w:r w:rsidRPr="00784E8E">
              <w:rPr>
                <w:rFonts w:eastAsia="Times New Roman"/>
                <w:color w:val="000000"/>
                <w:sz w:val="14"/>
                <w:lang w:val="en-GB"/>
              </w:rPr>
              <w:t>Conceptual survey and expert narrative</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728DCA0" w14:textId="77777777" w:rsidR="00E456DC" w:rsidRPr="00784E8E" w:rsidRDefault="00000000">
            <w:pPr>
              <w:spacing w:after="0" w:line="245" w:lineRule="auto"/>
              <w:jc w:val="left"/>
              <w:rPr>
                <w:lang w:val="en-GB"/>
              </w:rPr>
            </w:pPr>
            <w:r w:rsidRPr="00784E8E">
              <w:rPr>
                <w:rFonts w:eastAsia="Times New Roman"/>
                <w:color w:val="000000"/>
                <w:sz w:val="14"/>
                <w:lang w:val="en-GB"/>
              </w:rPr>
              <w:t>JBI text and opinion principles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5A49268" w14:textId="77777777" w:rsidR="00E456DC" w:rsidRPr="00784E8E" w:rsidRDefault="00000000">
            <w:pPr>
              <w:spacing w:after="0" w:line="245" w:lineRule="auto"/>
              <w:jc w:val="left"/>
              <w:rPr>
                <w:lang w:val="en-GB"/>
              </w:rPr>
            </w:pPr>
            <w:r w:rsidRPr="00784E8E">
              <w:rPr>
                <w:rFonts w:eastAsia="Times New Roman"/>
                <w:color w:val="000000"/>
                <w:sz w:val="14"/>
                <w:lang w:val="en-GB"/>
              </w:rPr>
              <w:t>Literature-identification methods are limited and not systematic.</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5918708" w14:textId="77777777" w:rsidR="00E456DC" w:rsidRPr="00784E8E" w:rsidRDefault="00000000">
            <w:pPr>
              <w:spacing w:after="0" w:line="245" w:lineRule="auto"/>
              <w:jc w:val="left"/>
              <w:rPr>
                <w:lang w:val="en-GB"/>
              </w:rPr>
            </w:pPr>
            <w:r w:rsidRPr="00784E8E">
              <w:rPr>
                <w:rFonts w:eastAsia="Times New Roman"/>
                <w:color w:val="000000"/>
                <w:sz w:val="14"/>
                <w:lang w:val="en-GB"/>
              </w:rPr>
              <w:t>Argument is logically developed but relies on analogy.</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AF62349" w14:textId="77777777" w:rsidR="00E456DC" w:rsidRPr="00784E8E" w:rsidRDefault="00000000">
            <w:pPr>
              <w:spacing w:after="0" w:line="245" w:lineRule="auto"/>
              <w:jc w:val="left"/>
              <w:rPr>
                <w:lang w:val="en-GB"/>
              </w:rPr>
            </w:pPr>
            <w:r w:rsidRPr="00784E8E">
              <w:rPr>
                <w:rFonts w:eastAsia="Times New Roman"/>
                <w:color w:val="000000"/>
                <w:sz w:val="14"/>
                <w:lang w:val="en-GB"/>
              </w:rPr>
              <w:t>No empirical validation or falsifiable performance thresholds.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FB47824"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6B68E01F"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1DE298F" w14:textId="77777777" w:rsidR="00E456DC" w:rsidRPr="00784E8E" w:rsidRDefault="00000000">
            <w:pPr>
              <w:spacing w:after="0" w:line="245" w:lineRule="auto"/>
              <w:jc w:val="left"/>
              <w:rPr>
                <w:lang w:val="en-GB"/>
              </w:rPr>
            </w:pPr>
            <w:r w:rsidRPr="00784E8E">
              <w:rPr>
                <w:rFonts w:eastAsia="Times New Roman"/>
                <w:b/>
                <w:color w:val="000000"/>
                <w:sz w:val="14"/>
                <w:lang w:val="en-GB"/>
              </w:rPr>
              <w:t>Sony et al. (2023)</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ED1976" w14:textId="77777777" w:rsidR="00E456DC" w:rsidRPr="00784E8E" w:rsidRDefault="00000000">
            <w:pPr>
              <w:spacing w:after="0" w:line="245" w:lineRule="auto"/>
              <w:jc w:val="left"/>
              <w:rPr>
                <w:lang w:val="en-GB"/>
              </w:rPr>
            </w:pPr>
            <w:r w:rsidRPr="00784E8E">
              <w:rPr>
                <w:rFonts w:eastAsia="Times New Roman"/>
                <w:color w:val="000000"/>
                <w:sz w:val="14"/>
                <w:lang w:val="en-GB"/>
              </w:rPr>
              <w:t>Systematic literature review with bibliometric and thematic analysis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F6746C" w14:textId="77777777" w:rsidR="00E456DC" w:rsidRPr="00784E8E" w:rsidRDefault="00000000">
            <w:pPr>
              <w:spacing w:after="0" w:line="245" w:lineRule="auto"/>
              <w:jc w:val="left"/>
              <w:rPr>
                <w:lang w:val="en-GB"/>
              </w:rPr>
            </w:pPr>
            <w:r w:rsidRPr="00784E8E">
              <w:rPr>
                <w:rFonts w:eastAsia="Times New Roman"/>
                <w:color w:val="000000"/>
                <w:sz w:val="14"/>
                <w:lang w:val="en-GB"/>
              </w:rPr>
              <w:t>JBI checklist for systematic reviews and research syntheses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5DD21B0" w14:textId="77777777" w:rsidR="00E456DC" w:rsidRPr="00784E8E" w:rsidRDefault="00000000">
            <w:pPr>
              <w:spacing w:after="0" w:line="245" w:lineRule="auto"/>
              <w:jc w:val="left"/>
              <w:rPr>
                <w:lang w:val="en-GB"/>
              </w:rPr>
            </w:pPr>
            <w:r w:rsidRPr="00784E8E">
              <w:rPr>
                <w:rFonts w:eastAsia="Times New Roman"/>
                <w:color w:val="000000"/>
                <w:sz w:val="14"/>
                <w:lang w:val="en-GB"/>
              </w:rPr>
              <w:t>Search terms are reported, but source coverage and selection detail are not sufficient for complete replication.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62173C" w14:textId="77777777" w:rsidR="00E456DC" w:rsidRPr="00784E8E" w:rsidRDefault="00000000">
            <w:pPr>
              <w:spacing w:after="0" w:line="245" w:lineRule="auto"/>
              <w:jc w:val="left"/>
              <w:rPr>
                <w:lang w:val="en-GB"/>
              </w:rPr>
            </w:pPr>
            <w:r w:rsidRPr="00784E8E">
              <w:rPr>
                <w:rFonts w:eastAsia="Times New Roman"/>
                <w:color w:val="000000"/>
                <w:sz w:val="14"/>
                <w:lang w:val="en-GB"/>
              </w:rPr>
              <w:t>Critical appraisal of included evidence is limited.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1221869" w14:textId="77777777" w:rsidR="00E456DC" w:rsidRPr="00784E8E" w:rsidRDefault="00000000">
            <w:pPr>
              <w:spacing w:after="0" w:line="245" w:lineRule="auto"/>
              <w:jc w:val="left"/>
              <w:rPr>
                <w:lang w:val="en-GB"/>
              </w:rPr>
            </w:pPr>
            <w:r w:rsidRPr="00784E8E">
              <w:rPr>
                <w:rFonts w:eastAsia="Times New Roman"/>
                <w:color w:val="000000"/>
                <w:sz w:val="14"/>
                <w:lang w:val="en-GB"/>
              </w:rPr>
              <w:t>Synthesis combines heterogeneous evidence without outcome-level certainty assessment.</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40F5626"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0ABA4798"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6AE9D1" w14:textId="77777777" w:rsidR="00E456DC" w:rsidRPr="00784E8E" w:rsidRDefault="00000000">
            <w:pPr>
              <w:spacing w:after="0" w:line="245" w:lineRule="auto"/>
              <w:jc w:val="left"/>
              <w:rPr>
                <w:lang w:val="en-GB"/>
              </w:rPr>
            </w:pPr>
            <w:r w:rsidRPr="00784E8E">
              <w:rPr>
                <w:rFonts w:eastAsia="Times New Roman"/>
                <w:b/>
                <w:color w:val="000000"/>
                <w:sz w:val="14"/>
                <w:lang w:val="en-GB"/>
              </w:rPr>
              <w:t>Rajaei et al. (2024)</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D98C7C5" w14:textId="77777777" w:rsidR="00E456DC" w:rsidRPr="00784E8E" w:rsidRDefault="00000000">
            <w:pPr>
              <w:spacing w:after="0" w:line="245" w:lineRule="auto"/>
              <w:jc w:val="left"/>
              <w:rPr>
                <w:lang w:val="en-GB"/>
              </w:rPr>
            </w:pPr>
            <w:r w:rsidRPr="00784E8E">
              <w:rPr>
                <w:rFonts w:eastAsia="Times New Roman"/>
                <w:color w:val="000000"/>
                <w:sz w:val="14"/>
                <w:lang w:val="en-GB"/>
              </w:rPr>
              <w:t>Structured review of academic and practical sources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934D066" w14:textId="77777777" w:rsidR="00E456DC" w:rsidRPr="00784E8E" w:rsidRDefault="00000000">
            <w:pPr>
              <w:spacing w:after="0" w:line="245" w:lineRule="auto"/>
              <w:jc w:val="left"/>
              <w:rPr>
                <w:lang w:val="en-GB"/>
              </w:rPr>
            </w:pPr>
            <w:r w:rsidRPr="00784E8E">
              <w:rPr>
                <w:rFonts w:eastAsia="Times New Roman"/>
                <w:color w:val="000000"/>
                <w:sz w:val="14"/>
                <w:lang w:val="en-GB"/>
              </w:rPr>
              <w:t>JBI checklist for systematic reviews and research syntheses, adapted for mixed academic/industry sources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2B880A" w14:textId="77777777" w:rsidR="00E456DC" w:rsidRPr="00784E8E" w:rsidRDefault="00000000">
            <w:pPr>
              <w:spacing w:after="0" w:line="245" w:lineRule="auto"/>
              <w:jc w:val="left"/>
              <w:rPr>
                <w:lang w:val="en-GB"/>
              </w:rPr>
            </w:pPr>
            <w:r w:rsidRPr="00784E8E">
              <w:rPr>
                <w:rFonts w:eastAsia="Times New Roman"/>
                <w:color w:val="000000"/>
                <w:sz w:val="14"/>
                <w:lang w:val="en-GB"/>
              </w:rPr>
              <w:t>PRISMA-based selection is reported, with a limited final corpus.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0E96D7" w14:textId="77777777" w:rsidR="00E456DC" w:rsidRPr="00784E8E" w:rsidRDefault="00000000">
            <w:pPr>
              <w:spacing w:after="0" w:line="245" w:lineRule="auto"/>
              <w:jc w:val="left"/>
              <w:rPr>
                <w:lang w:val="en-GB"/>
              </w:rPr>
            </w:pPr>
            <w:r w:rsidRPr="00784E8E">
              <w:rPr>
                <w:rFonts w:eastAsia="Times New Roman"/>
                <w:color w:val="000000"/>
                <w:sz w:val="14"/>
                <w:lang w:val="en-GB"/>
              </w:rPr>
              <w:t>Industrial source quality and independence are heterogeneous.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1BD7A37" w14:textId="77777777" w:rsidR="00E456DC" w:rsidRPr="00784E8E" w:rsidRDefault="00000000">
            <w:pPr>
              <w:spacing w:after="0" w:line="245" w:lineRule="auto"/>
              <w:jc w:val="left"/>
              <w:rPr>
                <w:lang w:val="en-GB"/>
              </w:rPr>
            </w:pPr>
            <w:r w:rsidRPr="00784E8E">
              <w:rPr>
                <w:rFonts w:eastAsia="Times New Roman"/>
                <w:color w:val="000000"/>
                <w:sz w:val="14"/>
                <w:lang w:val="en-GB"/>
              </w:rPr>
              <w:t>Frequency analysis is descriptive and not an appraisal of causal importance.</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D066E17" w14:textId="77777777" w:rsidR="00E456DC" w:rsidRPr="00784E8E" w:rsidRDefault="00000000">
            <w:pPr>
              <w:spacing w:after="0" w:line="245" w:lineRule="auto"/>
              <w:jc w:val="left"/>
              <w:rPr>
                <w:lang w:val="en-GB"/>
              </w:rPr>
            </w:pPr>
            <w:r w:rsidRPr="00784E8E">
              <w:rPr>
                <w:rFonts w:eastAsia="Times New Roman"/>
                <w:color w:val="000000"/>
                <w:sz w:val="14"/>
                <w:lang w:val="en-GB"/>
              </w:rPr>
              <w:t>Some concerns to major limitations</w:t>
            </w:r>
          </w:p>
        </w:tc>
      </w:tr>
      <w:tr w:rsidR="00E456DC" w:rsidRPr="00784E8E" w14:paraId="408B3750"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7594087" w14:textId="77777777" w:rsidR="00E456DC" w:rsidRPr="00784E8E" w:rsidRDefault="00000000">
            <w:pPr>
              <w:spacing w:after="0" w:line="245" w:lineRule="auto"/>
              <w:jc w:val="left"/>
              <w:rPr>
                <w:lang w:val="en-GB"/>
              </w:rPr>
            </w:pPr>
            <w:r w:rsidRPr="00784E8E">
              <w:rPr>
                <w:rFonts w:eastAsia="Times New Roman"/>
                <w:b/>
                <w:color w:val="000000"/>
                <w:sz w:val="14"/>
                <w:lang w:val="en-GB"/>
              </w:rPr>
              <w:t>Jovy-Klein et al. (2024)</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60D3843" w14:textId="77777777" w:rsidR="00E456DC" w:rsidRPr="00784E8E" w:rsidRDefault="00000000">
            <w:pPr>
              <w:spacing w:after="0" w:line="245" w:lineRule="auto"/>
              <w:jc w:val="left"/>
              <w:rPr>
                <w:lang w:val="en-GB"/>
              </w:rPr>
            </w:pPr>
            <w:r w:rsidRPr="00784E8E">
              <w:rPr>
                <w:rFonts w:eastAsia="Times New Roman"/>
                <w:color w:val="000000"/>
                <w:sz w:val="14"/>
                <w:lang w:val="en-GB"/>
              </w:rPr>
              <w:t>Iterative mixed-methods workshops and real-time Delphi study</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434252D" w14:textId="77777777" w:rsidR="00E456DC" w:rsidRPr="00784E8E" w:rsidRDefault="00000000">
            <w:pPr>
              <w:spacing w:after="0" w:line="245" w:lineRule="auto"/>
              <w:jc w:val="left"/>
              <w:rPr>
                <w:lang w:val="en-GB"/>
              </w:rPr>
            </w:pPr>
            <w:r w:rsidRPr="00784E8E">
              <w:rPr>
                <w:rFonts w:eastAsia="Times New Roman"/>
                <w:color w:val="000000"/>
                <w:sz w:val="14"/>
                <w:lang w:val="en-GB"/>
              </w:rPr>
              <w:t>JBI qualitative/mixed-methods principles plus Delphi reporting domains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F830A16" w14:textId="77777777" w:rsidR="00E456DC" w:rsidRPr="00784E8E" w:rsidRDefault="00000000">
            <w:pPr>
              <w:spacing w:after="0" w:line="245" w:lineRule="auto"/>
              <w:jc w:val="left"/>
              <w:rPr>
                <w:lang w:val="en-GB"/>
              </w:rPr>
            </w:pPr>
            <w:r w:rsidRPr="00784E8E">
              <w:rPr>
                <w:rFonts w:eastAsia="Times New Roman"/>
                <w:color w:val="000000"/>
                <w:sz w:val="14"/>
                <w:lang w:val="en-GB"/>
              </w:rPr>
              <w:t>Expert recruitment and characteristics are reported, although representativeness is uncertain.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126C68F" w14:textId="77777777" w:rsidR="00E456DC" w:rsidRPr="00784E8E" w:rsidRDefault="00000000">
            <w:pPr>
              <w:spacing w:after="0" w:line="245" w:lineRule="auto"/>
              <w:jc w:val="left"/>
              <w:rPr>
                <w:lang w:val="en-GB"/>
              </w:rPr>
            </w:pPr>
            <w:r w:rsidRPr="00784E8E">
              <w:rPr>
                <w:rFonts w:eastAsia="Times New Roman"/>
                <w:color w:val="000000"/>
                <w:sz w:val="14"/>
                <w:lang w:val="en-GB"/>
              </w:rPr>
              <w:t>Consensus process and projections are transparently presented.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79C2A3F" w14:textId="77777777" w:rsidR="00E456DC" w:rsidRPr="00784E8E" w:rsidRDefault="00000000">
            <w:pPr>
              <w:spacing w:after="0" w:line="245" w:lineRule="auto"/>
              <w:jc w:val="left"/>
              <w:rPr>
                <w:lang w:val="en-GB"/>
              </w:rPr>
            </w:pPr>
            <w:r w:rsidRPr="00784E8E">
              <w:rPr>
                <w:rFonts w:eastAsia="Times New Roman"/>
                <w:color w:val="000000"/>
                <w:sz w:val="14"/>
                <w:lang w:val="en-GB"/>
              </w:rPr>
              <w:t>Forecasts cannot establish future occurrence or impact.</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D0DABF8" w14:textId="77777777" w:rsidR="00E456DC" w:rsidRPr="00784E8E" w:rsidRDefault="00000000">
            <w:pPr>
              <w:spacing w:after="0" w:line="245" w:lineRule="auto"/>
              <w:jc w:val="left"/>
              <w:rPr>
                <w:lang w:val="en-GB"/>
              </w:rPr>
            </w:pPr>
            <w:r w:rsidRPr="00784E8E">
              <w:rPr>
                <w:rFonts w:eastAsia="Times New Roman"/>
                <w:color w:val="000000"/>
                <w:sz w:val="14"/>
                <w:lang w:val="en-GB"/>
              </w:rPr>
              <w:t>Some concerns</w:t>
            </w:r>
          </w:p>
        </w:tc>
      </w:tr>
      <w:tr w:rsidR="00E456DC" w:rsidRPr="00784E8E" w14:paraId="2EE03AAB"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D5D965" w14:textId="77777777" w:rsidR="00E456DC" w:rsidRPr="00784E8E" w:rsidRDefault="00000000">
            <w:pPr>
              <w:spacing w:after="0" w:line="245" w:lineRule="auto"/>
              <w:jc w:val="left"/>
              <w:rPr>
                <w:lang w:val="en-GB"/>
              </w:rPr>
            </w:pPr>
            <w:r w:rsidRPr="00784E8E">
              <w:rPr>
                <w:rFonts w:eastAsia="Times New Roman"/>
                <w:b/>
                <w:color w:val="000000"/>
                <w:sz w:val="14"/>
                <w:lang w:val="en-GB"/>
              </w:rPr>
              <w:t>Rahimi et al. (2024)</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201CFA9" w14:textId="77777777" w:rsidR="00E456DC" w:rsidRPr="00784E8E" w:rsidRDefault="00000000">
            <w:pPr>
              <w:spacing w:after="0" w:line="245" w:lineRule="auto"/>
              <w:jc w:val="left"/>
              <w:rPr>
                <w:lang w:val="en-GB"/>
              </w:rPr>
            </w:pPr>
            <w:r w:rsidRPr="00784E8E">
              <w:rPr>
                <w:rFonts w:eastAsia="Times New Roman"/>
                <w:color w:val="000000"/>
                <w:sz w:val="14"/>
                <w:lang w:val="en-GB"/>
              </w:rPr>
              <w:t>Systematic review with three-horizon implementation mapping</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A884350" w14:textId="77777777" w:rsidR="00E456DC" w:rsidRPr="00784E8E" w:rsidRDefault="00000000">
            <w:pPr>
              <w:spacing w:after="0" w:line="245" w:lineRule="auto"/>
              <w:jc w:val="left"/>
              <w:rPr>
                <w:lang w:val="en-GB"/>
              </w:rPr>
            </w:pPr>
            <w:r w:rsidRPr="00784E8E">
              <w:rPr>
                <w:rFonts w:eastAsia="Times New Roman"/>
                <w:color w:val="000000"/>
                <w:sz w:val="14"/>
                <w:lang w:val="en-GB"/>
              </w:rPr>
              <w:t>JBI checklist for systematic reviews and research syntheses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88B2164" w14:textId="77777777" w:rsidR="00E456DC" w:rsidRPr="00784E8E" w:rsidRDefault="00000000">
            <w:pPr>
              <w:spacing w:after="0" w:line="245" w:lineRule="auto"/>
              <w:jc w:val="left"/>
              <w:rPr>
                <w:lang w:val="en-GB"/>
              </w:rPr>
            </w:pPr>
            <w:r w:rsidRPr="00784E8E">
              <w:rPr>
                <w:rFonts w:eastAsia="Times New Roman"/>
                <w:color w:val="000000"/>
                <w:sz w:val="14"/>
                <w:lang w:val="en-GB"/>
              </w:rPr>
              <w:t>Search and PRISMA selection are reproducible at a high level.</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8CBE30" w14:textId="77777777" w:rsidR="00E456DC" w:rsidRPr="00784E8E" w:rsidRDefault="00000000">
            <w:pPr>
              <w:spacing w:after="0" w:line="245" w:lineRule="auto"/>
              <w:jc w:val="left"/>
              <w:rPr>
                <w:lang w:val="en-GB"/>
              </w:rPr>
            </w:pPr>
            <w:r w:rsidRPr="00784E8E">
              <w:rPr>
                <w:rFonts w:eastAsia="Times New Roman"/>
                <w:color w:val="000000"/>
                <w:sz w:val="14"/>
                <w:lang w:val="en-GB"/>
              </w:rPr>
              <w:t>Design-appropriate appraisal was undertaken, although heterogeneous tools were required.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E690E81" w14:textId="77777777" w:rsidR="00E456DC" w:rsidRPr="00784E8E" w:rsidRDefault="00000000">
            <w:pPr>
              <w:spacing w:after="0" w:line="245" w:lineRule="auto"/>
              <w:jc w:val="left"/>
              <w:rPr>
                <w:lang w:val="en-GB"/>
              </w:rPr>
            </w:pPr>
            <w:r w:rsidRPr="00784E8E">
              <w:rPr>
                <w:rFonts w:eastAsia="Times New Roman"/>
                <w:color w:val="000000"/>
                <w:sz w:val="14"/>
                <w:lang w:val="en-GB"/>
              </w:rPr>
              <w:t>Synthesis is thematic and does not estimate intervention effects.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F5E4741" w14:textId="77777777" w:rsidR="00E456DC" w:rsidRPr="00784E8E" w:rsidRDefault="00000000">
            <w:pPr>
              <w:spacing w:after="0" w:line="245" w:lineRule="auto"/>
              <w:jc w:val="left"/>
              <w:rPr>
                <w:lang w:val="en-GB"/>
              </w:rPr>
            </w:pPr>
            <w:r w:rsidRPr="00784E8E">
              <w:rPr>
                <w:rFonts w:eastAsia="Times New Roman"/>
                <w:color w:val="000000"/>
                <w:sz w:val="14"/>
                <w:lang w:val="en-GB"/>
              </w:rPr>
              <w:t>Some concerns</w:t>
            </w:r>
          </w:p>
        </w:tc>
      </w:tr>
      <w:tr w:rsidR="00E456DC" w:rsidRPr="00784E8E" w14:paraId="0AAA6E8C"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37727B" w14:textId="77777777" w:rsidR="00E456DC" w:rsidRPr="00784E8E" w:rsidRDefault="00000000">
            <w:pPr>
              <w:spacing w:after="0" w:line="245" w:lineRule="auto"/>
              <w:jc w:val="left"/>
              <w:rPr>
                <w:lang w:val="en-GB"/>
              </w:rPr>
            </w:pPr>
            <w:r w:rsidRPr="00784E8E">
              <w:rPr>
                <w:rFonts w:eastAsia="Times New Roman"/>
                <w:b/>
                <w:color w:val="000000"/>
                <w:sz w:val="14"/>
                <w:lang w:val="en-GB"/>
              </w:rPr>
              <w:t>de Graaf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92FDA02" w14:textId="77777777" w:rsidR="00E456DC" w:rsidRPr="00784E8E" w:rsidRDefault="00000000">
            <w:pPr>
              <w:spacing w:after="0" w:line="245" w:lineRule="auto"/>
              <w:jc w:val="left"/>
              <w:rPr>
                <w:lang w:val="en-GB"/>
              </w:rPr>
            </w:pPr>
            <w:r w:rsidRPr="00784E8E">
              <w:rPr>
                <w:rFonts w:eastAsia="Times New Roman"/>
                <w:color w:val="000000"/>
                <w:sz w:val="14"/>
                <w:lang w:val="en-GB"/>
              </w:rPr>
              <w:t>Survey followed by qualitative focus-group interviews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BCB6C59" w14:textId="77777777" w:rsidR="00E456DC" w:rsidRPr="00784E8E" w:rsidRDefault="00000000">
            <w:pPr>
              <w:spacing w:after="0" w:line="245" w:lineRule="auto"/>
              <w:jc w:val="left"/>
              <w:rPr>
                <w:lang w:val="en-GB"/>
              </w:rPr>
            </w:pPr>
            <w:r w:rsidRPr="00784E8E">
              <w:rPr>
                <w:rFonts w:eastAsia="Times New Roman"/>
                <w:color w:val="000000"/>
                <w:sz w:val="14"/>
                <w:lang w:val="en-GB"/>
              </w:rPr>
              <w:t>JBI qualitative research principles with cross-sectional survey considerations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6086234" w14:textId="77777777" w:rsidR="00E456DC" w:rsidRPr="00784E8E" w:rsidRDefault="00000000">
            <w:pPr>
              <w:spacing w:after="0" w:line="245" w:lineRule="auto"/>
              <w:jc w:val="left"/>
              <w:rPr>
                <w:lang w:val="en-GB"/>
              </w:rPr>
            </w:pPr>
            <w:r w:rsidRPr="00784E8E">
              <w:rPr>
                <w:rFonts w:eastAsia="Times New Roman"/>
                <w:color w:val="000000"/>
                <w:sz w:val="14"/>
                <w:lang w:val="en-GB"/>
              </w:rPr>
              <w:t>Survey and focus-group samples are small and purposively project-linked.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AC56DC" w14:textId="77777777" w:rsidR="00E456DC" w:rsidRPr="00784E8E" w:rsidRDefault="00000000">
            <w:pPr>
              <w:spacing w:after="0" w:line="245" w:lineRule="auto"/>
              <w:jc w:val="left"/>
              <w:rPr>
                <w:lang w:val="en-GB"/>
              </w:rPr>
            </w:pPr>
            <w:r w:rsidRPr="00784E8E">
              <w:rPr>
                <w:rFonts w:eastAsia="Times New Roman"/>
                <w:color w:val="000000"/>
                <w:sz w:val="14"/>
                <w:lang w:val="en-GB"/>
              </w:rPr>
              <w:t>Data collection and factor-validation process are described.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08CF3F6" w14:textId="77777777" w:rsidR="00E456DC" w:rsidRPr="00784E8E" w:rsidRDefault="00000000">
            <w:pPr>
              <w:spacing w:after="0" w:line="245" w:lineRule="auto"/>
              <w:jc w:val="left"/>
              <w:rPr>
                <w:lang w:val="en-GB"/>
              </w:rPr>
            </w:pPr>
            <w:r w:rsidRPr="00784E8E">
              <w:rPr>
                <w:rFonts w:eastAsia="Times New Roman"/>
                <w:color w:val="000000"/>
                <w:sz w:val="14"/>
                <w:lang w:val="en-GB"/>
              </w:rPr>
              <w:t>Reflexivity and saturation are incompletely addressed.</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A780D7F"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3C19476E"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5FA72F" w14:textId="77777777" w:rsidR="00E456DC" w:rsidRPr="00784E8E" w:rsidRDefault="00000000">
            <w:pPr>
              <w:spacing w:after="0" w:line="245" w:lineRule="auto"/>
              <w:jc w:val="left"/>
              <w:rPr>
                <w:lang w:val="en-GB"/>
              </w:rPr>
            </w:pPr>
            <w:r w:rsidRPr="00784E8E">
              <w:rPr>
                <w:rFonts w:eastAsia="Times New Roman"/>
                <w:b/>
                <w:color w:val="000000"/>
                <w:sz w:val="14"/>
                <w:lang w:val="en-GB"/>
              </w:rPr>
              <w:t>Malekzadeh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9D8400" w14:textId="77777777" w:rsidR="00E456DC" w:rsidRPr="00784E8E" w:rsidRDefault="00000000">
            <w:pPr>
              <w:spacing w:after="0" w:line="245" w:lineRule="auto"/>
              <w:jc w:val="left"/>
              <w:rPr>
                <w:lang w:val="en-GB"/>
              </w:rPr>
            </w:pPr>
            <w:r w:rsidRPr="00784E8E">
              <w:rPr>
                <w:rFonts w:eastAsia="Times New Roman"/>
                <w:color w:val="000000"/>
                <w:sz w:val="14"/>
                <w:lang w:val="en-GB"/>
              </w:rPr>
              <w:t>Qualitative content analysis with expert validation panel</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4DDCA3F" w14:textId="77777777" w:rsidR="00E456DC" w:rsidRPr="00784E8E" w:rsidRDefault="00000000">
            <w:pPr>
              <w:spacing w:after="0" w:line="245" w:lineRule="auto"/>
              <w:jc w:val="left"/>
              <w:rPr>
                <w:lang w:val="en-GB"/>
              </w:rPr>
            </w:pPr>
            <w:r w:rsidRPr="00784E8E">
              <w:rPr>
                <w:rFonts w:eastAsia="Times New Roman"/>
                <w:color w:val="000000"/>
                <w:sz w:val="14"/>
                <w:lang w:val="en-GB"/>
              </w:rPr>
              <w:t>JBI checklist for qualitative research</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A488FC" w14:textId="77777777" w:rsidR="00E456DC" w:rsidRPr="00784E8E" w:rsidRDefault="00000000">
            <w:pPr>
              <w:spacing w:after="0" w:line="245" w:lineRule="auto"/>
              <w:jc w:val="left"/>
              <w:rPr>
                <w:lang w:val="en-GB"/>
              </w:rPr>
            </w:pPr>
            <w:r w:rsidRPr="00784E8E">
              <w:rPr>
                <w:rFonts w:eastAsia="Times New Roman"/>
                <w:color w:val="000000"/>
                <w:sz w:val="14"/>
                <w:lang w:val="en-GB"/>
              </w:rPr>
              <w:t>Purposive and snowball sampling are described; representation is context-bound.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2280AEF" w14:textId="77777777" w:rsidR="00E456DC" w:rsidRPr="00784E8E" w:rsidRDefault="00000000">
            <w:pPr>
              <w:spacing w:after="0" w:line="245" w:lineRule="auto"/>
              <w:jc w:val="left"/>
              <w:rPr>
                <w:lang w:val="en-GB"/>
              </w:rPr>
            </w:pPr>
            <w:r w:rsidRPr="00784E8E">
              <w:rPr>
                <w:rFonts w:eastAsia="Times New Roman"/>
                <w:color w:val="000000"/>
                <w:sz w:val="14"/>
                <w:lang w:val="en-GB"/>
              </w:rPr>
              <w:t>Saturation and coding procedures are reported at a general level.</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5382F23" w14:textId="77777777" w:rsidR="00E456DC" w:rsidRPr="00784E8E" w:rsidRDefault="00000000">
            <w:pPr>
              <w:spacing w:after="0" w:line="245" w:lineRule="auto"/>
              <w:jc w:val="left"/>
              <w:rPr>
                <w:lang w:val="en-GB"/>
              </w:rPr>
            </w:pPr>
            <w:r w:rsidRPr="00784E8E">
              <w:rPr>
                <w:rFonts w:eastAsia="Times New Roman"/>
                <w:color w:val="000000"/>
                <w:sz w:val="14"/>
                <w:lang w:val="en-GB"/>
              </w:rPr>
              <w:t>Researcher reflexivity and influence are not fully developed.</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7755A63" w14:textId="77777777" w:rsidR="00E456DC" w:rsidRPr="00784E8E" w:rsidRDefault="00000000">
            <w:pPr>
              <w:spacing w:after="0" w:line="245" w:lineRule="auto"/>
              <w:jc w:val="left"/>
              <w:rPr>
                <w:lang w:val="en-GB"/>
              </w:rPr>
            </w:pPr>
            <w:r w:rsidRPr="00784E8E">
              <w:rPr>
                <w:rFonts w:eastAsia="Times New Roman"/>
                <w:color w:val="000000"/>
                <w:sz w:val="14"/>
                <w:lang w:val="en-GB"/>
              </w:rPr>
              <w:t>Some concerns</w:t>
            </w:r>
          </w:p>
        </w:tc>
      </w:tr>
      <w:tr w:rsidR="00E456DC" w:rsidRPr="00784E8E" w14:paraId="17691E25"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0D61B08" w14:textId="77777777" w:rsidR="00E456DC" w:rsidRPr="00784E8E" w:rsidRDefault="00000000">
            <w:pPr>
              <w:spacing w:after="0" w:line="245" w:lineRule="auto"/>
              <w:jc w:val="left"/>
              <w:rPr>
                <w:lang w:val="en-GB"/>
              </w:rPr>
            </w:pPr>
            <w:proofErr w:type="spellStart"/>
            <w:r w:rsidRPr="00784E8E">
              <w:rPr>
                <w:rFonts w:eastAsia="Times New Roman"/>
                <w:b/>
                <w:color w:val="000000"/>
                <w:sz w:val="14"/>
                <w:lang w:val="en-GB"/>
              </w:rPr>
              <w:t>Rabiei</w:t>
            </w:r>
            <w:proofErr w:type="spellEnd"/>
            <w:r w:rsidRPr="00784E8E">
              <w:rPr>
                <w:rFonts w:eastAsia="Times New Roman"/>
                <w:b/>
                <w:color w:val="000000"/>
                <w:sz w:val="14"/>
                <w:lang w:val="en-GB"/>
              </w:rPr>
              <w:t xml:space="preserve">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0D7D41B" w14:textId="77777777" w:rsidR="00E456DC" w:rsidRPr="00784E8E" w:rsidRDefault="00000000">
            <w:pPr>
              <w:spacing w:after="0" w:line="245" w:lineRule="auto"/>
              <w:jc w:val="left"/>
              <w:rPr>
                <w:lang w:val="en-GB"/>
              </w:rPr>
            </w:pPr>
            <w:r w:rsidRPr="00784E8E">
              <w:rPr>
                <w:rFonts w:eastAsia="Times New Roman"/>
                <w:color w:val="000000"/>
                <w:sz w:val="14"/>
                <w:lang w:val="en-GB"/>
              </w:rPr>
              <w:t>Scoping review with qualitative synthesis and trend analysis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F0CD41" w14:textId="77777777" w:rsidR="00E456DC" w:rsidRPr="00784E8E" w:rsidRDefault="00000000">
            <w:pPr>
              <w:spacing w:after="0" w:line="245" w:lineRule="auto"/>
              <w:jc w:val="left"/>
              <w:rPr>
                <w:lang w:val="en-GB"/>
              </w:rPr>
            </w:pPr>
            <w:r w:rsidRPr="00784E8E">
              <w:rPr>
                <w:rFonts w:eastAsia="Times New Roman"/>
                <w:color w:val="000000"/>
                <w:sz w:val="14"/>
                <w:lang w:val="en-GB"/>
              </w:rPr>
              <w:t>JBI scoping-review reporting and research-synthesis principles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AFEE7FE" w14:textId="77777777" w:rsidR="00E456DC" w:rsidRPr="00784E8E" w:rsidRDefault="00000000">
            <w:pPr>
              <w:spacing w:after="0" w:line="245" w:lineRule="auto"/>
              <w:jc w:val="left"/>
              <w:rPr>
                <w:lang w:val="en-GB"/>
              </w:rPr>
            </w:pPr>
            <w:r w:rsidRPr="00784E8E">
              <w:rPr>
                <w:rFonts w:eastAsia="Times New Roman"/>
                <w:color w:val="000000"/>
                <w:sz w:val="14"/>
                <w:lang w:val="en-GB"/>
              </w:rPr>
              <w:t>Multiple sources, eligibility and final search date are reported.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016C9A6" w14:textId="77777777" w:rsidR="00E456DC" w:rsidRPr="00784E8E" w:rsidRDefault="00000000">
            <w:pPr>
              <w:spacing w:after="0" w:line="245" w:lineRule="auto"/>
              <w:jc w:val="left"/>
              <w:rPr>
                <w:lang w:val="en-GB"/>
              </w:rPr>
            </w:pPr>
            <w:r w:rsidRPr="00784E8E">
              <w:rPr>
                <w:rFonts w:eastAsia="Times New Roman"/>
                <w:color w:val="000000"/>
                <w:sz w:val="14"/>
                <w:lang w:val="en-GB"/>
              </w:rPr>
              <w:t>No formal effect-level risk-of-bias synthesis was expected for the scoping aim.</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542BEFE" w14:textId="77777777" w:rsidR="00E456DC" w:rsidRPr="00784E8E" w:rsidRDefault="00000000">
            <w:pPr>
              <w:spacing w:after="0" w:line="245" w:lineRule="auto"/>
              <w:jc w:val="left"/>
              <w:rPr>
                <w:lang w:val="en-GB"/>
              </w:rPr>
            </w:pPr>
            <w:r w:rsidRPr="00784E8E">
              <w:rPr>
                <w:rFonts w:eastAsia="Times New Roman"/>
                <w:color w:val="000000"/>
                <w:sz w:val="14"/>
                <w:lang w:val="en-GB"/>
              </w:rPr>
              <w:t>The evidence base is heterogeneous and may overlap with other reviews.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CA6005F" w14:textId="77777777" w:rsidR="00E456DC" w:rsidRPr="00784E8E" w:rsidRDefault="00000000">
            <w:pPr>
              <w:spacing w:after="0" w:line="245" w:lineRule="auto"/>
              <w:jc w:val="left"/>
              <w:rPr>
                <w:lang w:val="en-GB"/>
              </w:rPr>
            </w:pPr>
            <w:r w:rsidRPr="00784E8E">
              <w:rPr>
                <w:rFonts w:eastAsia="Times New Roman"/>
                <w:color w:val="000000"/>
                <w:sz w:val="14"/>
                <w:lang w:val="en-GB"/>
              </w:rPr>
              <w:t>Some concerns</w:t>
            </w:r>
          </w:p>
        </w:tc>
      </w:tr>
      <w:tr w:rsidR="00E456DC" w:rsidRPr="00784E8E" w14:paraId="63051E00"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6B63EEB" w14:textId="77777777" w:rsidR="00E456DC" w:rsidRPr="00784E8E" w:rsidRDefault="00000000">
            <w:pPr>
              <w:spacing w:after="0" w:line="245" w:lineRule="auto"/>
              <w:jc w:val="left"/>
              <w:rPr>
                <w:lang w:val="en-GB"/>
              </w:rPr>
            </w:pPr>
            <w:r w:rsidRPr="00784E8E">
              <w:rPr>
                <w:rFonts w:eastAsia="Times New Roman"/>
                <w:b/>
                <w:color w:val="000000"/>
                <w:sz w:val="14"/>
                <w:lang w:val="en-GB"/>
              </w:rPr>
              <w:t>Rajashekhar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898902C" w14:textId="77777777" w:rsidR="00E456DC" w:rsidRPr="00784E8E" w:rsidRDefault="00000000">
            <w:pPr>
              <w:spacing w:after="0" w:line="245" w:lineRule="auto"/>
              <w:jc w:val="left"/>
              <w:rPr>
                <w:lang w:val="en-GB"/>
              </w:rPr>
            </w:pPr>
            <w:r w:rsidRPr="00784E8E">
              <w:rPr>
                <w:rFonts w:eastAsia="Times New Roman"/>
                <w:color w:val="000000"/>
                <w:sz w:val="14"/>
                <w:lang w:val="en-GB"/>
              </w:rPr>
              <w:t>Cross-sectional online survey with structural-equation modelling and artificial neural-network analysis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FDF9072" w14:textId="77777777" w:rsidR="00E456DC" w:rsidRPr="00784E8E" w:rsidRDefault="00000000">
            <w:pPr>
              <w:spacing w:after="0" w:line="245" w:lineRule="auto"/>
              <w:jc w:val="left"/>
              <w:rPr>
                <w:lang w:val="en-GB"/>
              </w:rPr>
            </w:pPr>
            <w:r w:rsidRPr="00784E8E">
              <w:rPr>
                <w:rFonts w:eastAsia="Times New Roman"/>
                <w:color w:val="000000"/>
                <w:sz w:val="14"/>
                <w:lang w:val="en-GB"/>
              </w:rPr>
              <w:t>JBI checklist for analytical cross-sectional studies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EB5428D" w14:textId="77777777" w:rsidR="00E456DC" w:rsidRPr="00784E8E" w:rsidRDefault="00000000">
            <w:pPr>
              <w:spacing w:after="0" w:line="245" w:lineRule="auto"/>
              <w:jc w:val="left"/>
              <w:rPr>
                <w:lang w:val="en-GB"/>
              </w:rPr>
            </w:pPr>
            <w:r w:rsidRPr="00784E8E">
              <w:rPr>
                <w:rFonts w:eastAsia="Times New Roman"/>
                <w:color w:val="000000"/>
                <w:sz w:val="14"/>
                <w:lang w:val="en-GB"/>
              </w:rPr>
              <w:t>Sampling frame and representativeness are uncertain.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C6EC99" w14:textId="77777777" w:rsidR="00E456DC" w:rsidRPr="00784E8E" w:rsidRDefault="00000000">
            <w:pPr>
              <w:spacing w:after="0" w:line="245" w:lineRule="auto"/>
              <w:jc w:val="left"/>
              <w:rPr>
                <w:lang w:val="en-GB"/>
              </w:rPr>
            </w:pPr>
            <w:r w:rsidRPr="00784E8E">
              <w:rPr>
                <w:rFonts w:eastAsia="Times New Roman"/>
                <w:color w:val="000000"/>
                <w:sz w:val="14"/>
                <w:lang w:val="en-GB"/>
              </w:rPr>
              <w:t>Exposure and outcome are self-reported at one time point.</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C6F671A" w14:textId="77777777" w:rsidR="00E456DC" w:rsidRPr="00784E8E" w:rsidRDefault="00000000">
            <w:pPr>
              <w:spacing w:after="0" w:line="245" w:lineRule="auto"/>
              <w:jc w:val="left"/>
              <w:rPr>
                <w:lang w:val="en-GB"/>
              </w:rPr>
            </w:pPr>
            <w:r w:rsidRPr="00784E8E">
              <w:rPr>
                <w:rFonts w:eastAsia="Times New Roman"/>
                <w:color w:val="000000"/>
                <w:sz w:val="14"/>
                <w:lang w:val="en-GB"/>
              </w:rPr>
              <w:t>Statistical modelling cannot resolve temporal ordering or unmeasured confounding.</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8D308CB"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4A6E49D0"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65CC010" w14:textId="77777777" w:rsidR="00E456DC" w:rsidRPr="00784E8E" w:rsidRDefault="00000000">
            <w:pPr>
              <w:spacing w:after="0" w:line="245" w:lineRule="auto"/>
              <w:jc w:val="left"/>
              <w:rPr>
                <w:lang w:val="en-GB"/>
              </w:rPr>
            </w:pPr>
            <w:r w:rsidRPr="00784E8E">
              <w:rPr>
                <w:rFonts w:eastAsia="Times New Roman"/>
                <w:b/>
                <w:color w:val="000000"/>
                <w:sz w:val="14"/>
                <w:lang w:val="en-GB"/>
              </w:rPr>
              <w:t>Hassmann et al. (2025)</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F410C64" w14:textId="77777777" w:rsidR="00E456DC" w:rsidRPr="00784E8E" w:rsidRDefault="00000000">
            <w:pPr>
              <w:spacing w:after="0" w:line="245" w:lineRule="auto"/>
              <w:jc w:val="left"/>
              <w:rPr>
                <w:lang w:val="en-GB"/>
              </w:rPr>
            </w:pPr>
            <w:r w:rsidRPr="00784E8E">
              <w:rPr>
                <w:rFonts w:eastAsia="Times New Roman"/>
                <w:color w:val="000000"/>
                <w:sz w:val="14"/>
                <w:lang w:val="en-GB"/>
              </w:rPr>
              <w:t>Longitudinal before-after organisational workflow evaluation</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D85255B" w14:textId="77777777" w:rsidR="00E456DC" w:rsidRPr="00784E8E" w:rsidRDefault="00000000">
            <w:pPr>
              <w:spacing w:after="0" w:line="245" w:lineRule="auto"/>
              <w:jc w:val="left"/>
              <w:rPr>
                <w:lang w:val="en-GB"/>
              </w:rPr>
            </w:pPr>
            <w:r w:rsidRPr="00784E8E">
              <w:rPr>
                <w:rFonts w:eastAsia="Times New Roman"/>
                <w:color w:val="000000"/>
                <w:sz w:val="14"/>
                <w:lang w:val="en-GB"/>
              </w:rPr>
              <w:t>JBI checklist for quasi-experimental studies, adapted for an uncontrolled before-after workflow evaluation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F6E369" w14:textId="77777777" w:rsidR="00E456DC" w:rsidRPr="00784E8E" w:rsidRDefault="00000000">
            <w:pPr>
              <w:spacing w:after="0" w:line="245" w:lineRule="auto"/>
              <w:jc w:val="left"/>
              <w:rPr>
                <w:lang w:val="en-GB"/>
              </w:rPr>
            </w:pPr>
            <w:r w:rsidRPr="00784E8E">
              <w:rPr>
                <w:rFonts w:eastAsia="Times New Roman"/>
                <w:color w:val="000000"/>
                <w:sz w:val="14"/>
                <w:lang w:val="en-GB"/>
              </w:rPr>
              <w:t>Pre/post respondent groups differ and selection mechanisms are not fully characterised.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57EF456" w14:textId="77777777" w:rsidR="00E456DC" w:rsidRPr="00784E8E" w:rsidRDefault="00000000">
            <w:pPr>
              <w:spacing w:after="0" w:line="245" w:lineRule="auto"/>
              <w:jc w:val="left"/>
              <w:rPr>
                <w:lang w:val="en-GB"/>
              </w:rPr>
            </w:pPr>
            <w:r w:rsidRPr="00784E8E">
              <w:rPr>
                <w:rFonts w:eastAsia="Times New Roman"/>
                <w:color w:val="000000"/>
                <w:sz w:val="14"/>
                <w:lang w:val="en-GB"/>
              </w:rPr>
              <w:t>Outcomes are self-reported or modelled time estimates.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2703BC4" w14:textId="77777777" w:rsidR="00E456DC" w:rsidRPr="00784E8E" w:rsidRDefault="00000000">
            <w:pPr>
              <w:spacing w:after="0" w:line="245" w:lineRule="auto"/>
              <w:jc w:val="left"/>
              <w:rPr>
                <w:lang w:val="en-GB"/>
              </w:rPr>
            </w:pPr>
            <w:r w:rsidRPr="00784E8E">
              <w:rPr>
                <w:rFonts w:eastAsia="Times New Roman"/>
                <w:color w:val="000000"/>
                <w:sz w:val="14"/>
                <w:lang w:val="en-GB"/>
              </w:rPr>
              <w:t>No control group, interrupted time series or adjustment for secular trends.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B1B4B4"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2E76E665"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4128409" w14:textId="77777777" w:rsidR="00E456DC" w:rsidRPr="00784E8E" w:rsidRDefault="00000000">
            <w:pPr>
              <w:spacing w:after="0" w:line="245" w:lineRule="auto"/>
              <w:jc w:val="left"/>
              <w:rPr>
                <w:lang w:val="en-GB"/>
              </w:rPr>
            </w:pPr>
            <w:r w:rsidRPr="00784E8E">
              <w:rPr>
                <w:rFonts w:eastAsia="Times New Roman"/>
                <w:b/>
                <w:color w:val="000000"/>
                <w:sz w:val="14"/>
                <w:lang w:val="en-GB"/>
              </w:rPr>
              <w:t>Lee et al.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5600E15" w14:textId="77777777" w:rsidR="00E456DC" w:rsidRPr="00784E8E" w:rsidRDefault="00000000">
            <w:pPr>
              <w:spacing w:after="0" w:line="245" w:lineRule="auto"/>
              <w:jc w:val="left"/>
              <w:rPr>
                <w:lang w:val="en-GB"/>
              </w:rPr>
            </w:pPr>
            <w:r w:rsidRPr="00784E8E">
              <w:rPr>
                <w:rFonts w:eastAsia="Times New Roman"/>
                <w:color w:val="000000"/>
                <w:sz w:val="14"/>
                <w:lang w:val="en-GB"/>
              </w:rPr>
              <w:t>Single-centre prospective feasibility study</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1091A09" w14:textId="77777777" w:rsidR="00E456DC" w:rsidRPr="00784E8E" w:rsidRDefault="00000000">
            <w:pPr>
              <w:spacing w:after="0" w:line="245" w:lineRule="auto"/>
              <w:jc w:val="left"/>
              <w:rPr>
                <w:lang w:val="en-GB"/>
              </w:rPr>
            </w:pPr>
            <w:r w:rsidRPr="00784E8E">
              <w:rPr>
                <w:rFonts w:eastAsia="Times New Roman"/>
                <w:color w:val="000000"/>
                <w:sz w:val="14"/>
                <w:lang w:val="en-GB"/>
              </w:rPr>
              <w:t>JBI case-series principles for a feasibility cohort</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38C661" w14:textId="77777777" w:rsidR="00E456DC" w:rsidRPr="00784E8E" w:rsidRDefault="00000000">
            <w:pPr>
              <w:spacing w:after="0" w:line="245" w:lineRule="auto"/>
              <w:jc w:val="left"/>
              <w:rPr>
                <w:lang w:val="en-GB"/>
              </w:rPr>
            </w:pPr>
            <w:r w:rsidRPr="00784E8E">
              <w:rPr>
                <w:rFonts w:eastAsia="Times New Roman"/>
                <w:color w:val="000000"/>
                <w:sz w:val="14"/>
                <w:lang w:val="en-GB"/>
              </w:rPr>
              <w:t>Small convenience sample limits representativeness.</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E1F3B6C" w14:textId="77777777" w:rsidR="00E456DC" w:rsidRPr="00784E8E" w:rsidRDefault="00000000">
            <w:pPr>
              <w:spacing w:after="0" w:line="245" w:lineRule="auto"/>
              <w:jc w:val="left"/>
              <w:rPr>
                <w:lang w:val="en-GB"/>
              </w:rPr>
            </w:pPr>
            <w:r w:rsidRPr="00784E8E">
              <w:rPr>
                <w:rFonts w:eastAsia="Times New Roman"/>
                <w:color w:val="000000"/>
                <w:sz w:val="14"/>
                <w:lang w:val="en-GB"/>
              </w:rPr>
              <w:t xml:space="preserve">Device and patient-reported measurements are described, with missing-data problems </w:t>
            </w:r>
            <w:r w:rsidRPr="00784E8E">
              <w:rPr>
                <w:rFonts w:eastAsia="Times New Roman"/>
                <w:color w:val="000000"/>
                <w:sz w:val="14"/>
                <w:lang w:val="en-GB"/>
              </w:rPr>
              <w:lastRenderedPageBreak/>
              <w:t>acknowledged.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F37834F" w14:textId="77777777" w:rsidR="00E456DC" w:rsidRPr="00784E8E" w:rsidRDefault="00000000">
            <w:pPr>
              <w:spacing w:after="0" w:line="245" w:lineRule="auto"/>
              <w:jc w:val="left"/>
              <w:rPr>
                <w:lang w:val="en-GB"/>
              </w:rPr>
            </w:pPr>
            <w:r w:rsidRPr="00784E8E">
              <w:rPr>
                <w:rFonts w:eastAsia="Times New Roman"/>
                <w:color w:val="000000"/>
                <w:sz w:val="14"/>
                <w:lang w:val="en-GB"/>
              </w:rPr>
              <w:lastRenderedPageBreak/>
              <w:t>No comparator or blinded outcome assessment.</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FB56F2D"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7D080AD3"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2716A63" w14:textId="77777777" w:rsidR="00E456DC" w:rsidRPr="00784E8E" w:rsidRDefault="00000000">
            <w:pPr>
              <w:spacing w:after="0" w:line="245" w:lineRule="auto"/>
              <w:jc w:val="left"/>
              <w:rPr>
                <w:lang w:val="en-GB"/>
              </w:rPr>
            </w:pPr>
            <w:r w:rsidRPr="00784E8E">
              <w:rPr>
                <w:rFonts w:eastAsia="Times New Roman"/>
                <w:b/>
                <w:color w:val="000000"/>
                <w:sz w:val="14"/>
                <w:lang w:val="en-GB"/>
              </w:rPr>
              <w:t>Peng et al.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40B2C8E" w14:textId="77777777" w:rsidR="00E456DC" w:rsidRPr="00784E8E" w:rsidRDefault="00000000">
            <w:pPr>
              <w:spacing w:after="0" w:line="245" w:lineRule="auto"/>
              <w:jc w:val="left"/>
              <w:rPr>
                <w:lang w:val="en-GB"/>
              </w:rPr>
            </w:pPr>
            <w:r w:rsidRPr="00784E8E">
              <w:rPr>
                <w:rFonts w:eastAsia="Times New Roman"/>
                <w:color w:val="000000"/>
                <w:sz w:val="14"/>
                <w:lang w:val="en-GB"/>
              </w:rPr>
              <w:t>Single-site implementation case study with before-after service indicators</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B9468F" w14:textId="77777777" w:rsidR="00E456DC" w:rsidRPr="00784E8E" w:rsidRDefault="00000000">
            <w:pPr>
              <w:spacing w:after="0" w:line="245" w:lineRule="auto"/>
              <w:jc w:val="left"/>
              <w:rPr>
                <w:lang w:val="en-GB"/>
              </w:rPr>
            </w:pPr>
            <w:r w:rsidRPr="00784E8E">
              <w:rPr>
                <w:rFonts w:eastAsia="Times New Roman"/>
                <w:color w:val="000000"/>
                <w:sz w:val="14"/>
                <w:lang w:val="en-GB"/>
              </w:rPr>
              <w:t>JBI quasi-experimental and case-report principles, adapted to an uncontrolled implementation case</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DD4C945" w14:textId="77777777" w:rsidR="00E456DC" w:rsidRPr="00784E8E" w:rsidRDefault="00000000">
            <w:pPr>
              <w:spacing w:after="0" w:line="245" w:lineRule="auto"/>
              <w:jc w:val="left"/>
              <w:rPr>
                <w:lang w:val="en-GB"/>
              </w:rPr>
            </w:pPr>
            <w:r w:rsidRPr="00784E8E">
              <w:rPr>
                <w:rFonts w:eastAsia="Times New Roman"/>
                <w:color w:val="000000"/>
                <w:sz w:val="14"/>
                <w:lang w:val="en-GB"/>
              </w:rPr>
              <w:t>Population, denominators and missing data are incompletely reported.</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73A3682" w14:textId="77777777" w:rsidR="00E456DC" w:rsidRPr="00784E8E" w:rsidRDefault="00000000">
            <w:pPr>
              <w:spacing w:after="0" w:line="245" w:lineRule="auto"/>
              <w:jc w:val="left"/>
              <w:rPr>
                <w:lang w:val="en-GB"/>
              </w:rPr>
            </w:pPr>
            <w:r w:rsidRPr="00784E8E">
              <w:rPr>
                <w:rFonts w:eastAsia="Times New Roman"/>
                <w:color w:val="000000"/>
                <w:sz w:val="14"/>
                <w:lang w:val="en-GB"/>
              </w:rPr>
              <w:t>Several outcomes rely on internally generated service indicators.</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F49D5EA" w14:textId="77777777" w:rsidR="00E456DC" w:rsidRPr="00784E8E" w:rsidRDefault="00000000">
            <w:pPr>
              <w:spacing w:after="0" w:line="245" w:lineRule="auto"/>
              <w:jc w:val="left"/>
              <w:rPr>
                <w:lang w:val="en-GB"/>
              </w:rPr>
            </w:pPr>
            <w:r w:rsidRPr="00784E8E">
              <w:rPr>
                <w:rFonts w:eastAsia="Times New Roman"/>
                <w:color w:val="000000"/>
                <w:sz w:val="14"/>
                <w:lang w:val="en-GB"/>
              </w:rPr>
              <w:t>No concurrent control and limited adjustment for time-related change.</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EA07728"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441FC638"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89443ED" w14:textId="77777777" w:rsidR="00E456DC" w:rsidRPr="00784E8E" w:rsidRDefault="00000000">
            <w:pPr>
              <w:spacing w:after="0" w:line="245" w:lineRule="auto"/>
              <w:jc w:val="left"/>
              <w:rPr>
                <w:lang w:val="en-GB"/>
              </w:rPr>
            </w:pPr>
            <w:r w:rsidRPr="00784E8E">
              <w:rPr>
                <w:rFonts w:eastAsia="Times New Roman"/>
                <w:b/>
                <w:color w:val="000000"/>
                <w:sz w:val="14"/>
                <w:lang w:val="en-GB"/>
              </w:rPr>
              <w:t>Quan and Pan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AFEBDEE" w14:textId="77777777" w:rsidR="00E456DC" w:rsidRPr="00784E8E" w:rsidRDefault="00000000">
            <w:pPr>
              <w:spacing w:after="0" w:line="245" w:lineRule="auto"/>
              <w:jc w:val="left"/>
              <w:rPr>
                <w:lang w:val="en-GB"/>
              </w:rPr>
            </w:pPr>
            <w:r w:rsidRPr="00784E8E">
              <w:rPr>
                <w:rFonts w:eastAsia="Times New Roman"/>
                <w:color w:val="000000"/>
                <w:sz w:val="14"/>
                <w:lang w:val="en-GB"/>
              </w:rPr>
              <w:t>Organisational case study comparing management indicators before and after AI enablement</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9C91D58" w14:textId="77777777" w:rsidR="00E456DC" w:rsidRPr="00784E8E" w:rsidRDefault="00000000">
            <w:pPr>
              <w:spacing w:after="0" w:line="245" w:lineRule="auto"/>
              <w:jc w:val="left"/>
              <w:rPr>
                <w:lang w:val="en-GB"/>
              </w:rPr>
            </w:pPr>
            <w:r w:rsidRPr="00784E8E">
              <w:rPr>
                <w:rFonts w:eastAsia="Times New Roman"/>
                <w:color w:val="000000"/>
                <w:sz w:val="14"/>
                <w:lang w:val="en-GB"/>
              </w:rPr>
              <w:t>JBI quasi-experimental principles, adapted to a historical organisational case comparison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3777032" w14:textId="77777777" w:rsidR="00E456DC" w:rsidRPr="00784E8E" w:rsidRDefault="00000000">
            <w:pPr>
              <w:spacing w:after="0" w:line="245" w:lineRule="auto"/>
              <w:jc w:val="left"/>
              <w:rPr>
                <w:lang w:val="en-GB"/>
              </w:rPr>
            </w:pPr>
            <w:r w:rsidRPr="00784E8E">
              <w:rPr>
                <w:rFonts w:eastAsia="Times New Roman"/>
                <w:color w:val="000000"/>
                <w:sz w:val="14"/>
                <w:lang w:val="en-GB"/>
              </w:rPr>
              <w:t>Patient, staff and indicator denominators are unclear.</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817DC9F" w14:textId="77777777" w:rsidR="00E456DC" w:rsidRPr="00784E8E" w:rsidRDefault="00000000">
            <w:pPr>
              <w:spacing w:after="0" w:line="245" w:lineRule="auto"/>
              <w:jc w:val="left"/>
              <w:rPr>
                <w:lang w:val="en-GB"/>
              </w:rPr>
            </w:pPr>
            <w:r w:rsidRPr="00784E8E">
              <w:rPr>
                <w:rFonts w:eastAsia="Times New Roman"/>
                <w:color w:val="000000"/>
                <w:sz w:val="14"/>
                <w:lang w:val="en-GB"/>
              </w:rPr>
              <w:t>Outcome definitions and collection consistency are incompletely documented.</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778AEA" w14:textId="77777777" w:rsidR="00E456DC" w:rsidRPr="00784E8E" w:rsidRDefault="00000000">
            <w:pPr>
              <w:spacing w:after="0" w:line="245" w:lineRule="auto"/>
              <w:jc w:val="left"/>
              <w:rPr>
                <w:lang w:val="en-GB"/>
              </w:rPr>
            </w:pPr>
            <w:r w:rsidRPr="00784E8E">
              <w:rPr>
                <w:rFonts w:eastAsia="Times New Roman"/>
                <w:color w:val="000000"/>
                <w:sz w:val="14"/>
                <w:lang w:val="en-GB"/>
              </w:rPr>
              <w:t>No concurrent comparator, adjustment or formal causal design.</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31913F8"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r w:rsidR="00E456DC" w:rsidRPr="00784E8E" w14:paraId="309E53CC" w14:textId="77777777">
        <w:trPr>
          <w:jc w:val="center"/>
        </w:trPr>
        <w:tc>
          <w:tcPr>
            <w:tcW w:w="1191"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0423DE" w14:textId="77777777" w:rsidR="00E456DC" w:rsidRPr="00784E8E" w:rsidRDefault="00000000">
            <w:pPr>
              <w:spacing w:after="0" w:line="245" w:lineRule="auto"/>
              <w:jc w:val="left"/>
              <w:rPr>
                <w:lang w:val="en-GB"/>
              </w:rPr>
            </w:pPr>
            <w:r w:rsidRPr="00784E8E">
              <w:rPr>
                <w:rFonts w:eastAsia="Times New Roman"/>
                <w:b/>
                <w:color w:val="000000"/>
                <w:sz w:val="14"/>
                <w:lang w:val="en-GB"/>
              </w:rPr>
              <w:t>Jiang et al. (2026)</w:t>
            </w:r>
          </w:p>
        </w:tc>
        <w:tc>
          <w:tcPr>
            <w:tcW w:w="192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3E0C71A" w14:textId="77777777" w:rsidR="00E456DC" w:rsidRPr="00784E8E" w:rsidRDefault="00000000">
            <w:pPr>
              <w:spacing w:after="0" w:line="245" w:lineRule="auto"/>
              <w:jc w:val="left"/>
              <w:rPr>
                <w:lang w:val="en-GB"/>
              </w:rPr>
            </w:pPr>
            <w:r w:rsidRPr="00784E8E">
              <w:rPr>
                <w:rFonts w:eastAsia="Times New Roman"/>
                <w:color w:val="000000"/>
                <w:sz w:val="14"/>
                <w:lang w:val="en-GB"/>
              </w:rPr>
              <w:t>Retrospective descriptive implementation case review</w:t>
            </w:r>
          </w:p>
        </w:tc>
        <w:tc>
          <w:tcPr>
            <w:tcW w:w="226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14306EA" w14:textId="77777777" w:rsidR="00E456DC" w:rsidRPr="00784E8E" w:rsidRDefault="00000000">
            <w:pPr>
              <w:spacing w:after="0" w:line="245" w:lineRule="auto"/>
              <w:jc w:val="left"/>
              <w:rPr>
                <w:lang w:val="en-GB"/>
              </w:rPr>
            </w:pPr>
            <w:r w:rsidRPr="00784E8E">
              <w:rPr>
                <w:rFonts w:eastAsia="Times New Roman"/>
                <w:color w:val="000000"/>
                <w:sz w:val="14"/>
                <w:lang w:val="en-GB"/>
              </w:rPr>
              <w:t>JBI case-series/case-report principles for a retrospective implementation evaluation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36D0A03" w14:textId="77777777" w:rsidR="00E456DC" w:rsidRPr="00784E8E" w:rsidRDefault="00000000">
            <w:pPr>
              <w:spacing w:after="0" w:line="245" w:lineRule="auto"/>
              <w:jc w:val="left"/>
              <w:rPr>
                <w:lang w:val="en-GB"/>
              </w:rPr>
            </w:pPr>
            <w:r w:rsidRPr="00784E8E">
              <w:rPr>
                <w:rFonts w:eastAsia="Times New Roman"/>
                <w:color w:val="000000"/>
                <w:sz w:val="14"/>
                <w:lang w:val="en-GB"/>
              </w:rPr>
              <w:t>Complete-request inclusion is stated, but count discrepancies require caution.</w:t>
            </w:r>
          </w:p>
        </w:tc>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925E81D" w14:textId="77777777" w:rsidR="00E456DC" w:rsidRPr="00784E8E" w:rsidRDefault="00000000">
            <w:pPr>
              <w:spacing w:after="0" w:line="245" w:lineRule="auto"/>
              <w:jc w:val="left"/>
              <w:rPr>
                <w:lang w:val="en-GB"/>
              </w:rPr>
            </w:pPr>
            <w:r w:rsidRPr="00784E8E">
              <w:rPr>
                <w:rFonts w:eastAsia="Times New Roman"/>
                <w:color w:val="000000"/>
                <w:sz w:val="14"/>
                <w:lang w:val="en-GB"/>
              </w:rPr>
              <w:t>Operational times are system-derived; satisfaction tools changed over time.</w:t>
            </w:r>
          </w:p>
        </w:tc>
        <w:tc>
          <w:tcPr>
            <w:tcW w:w="2835"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E465DE7" w14:textId="77777777" w:rsidR="00E456DC" w:rsidRPr="00784E8E" w:rsidRDefault="00000000">
            <w:pPr>
              <w:spacing w:after="0" w:line="245" w:lineRule="auto"/>
              <w:jc w:val="left"/>
              <w:rPr>
                <w:lang w:val="en-GB"/>
              </w:rPr>
            </w:pPr>
            <w:r w:rsidRPr="00784E8E">
              <w:rPr>
                <w:rFonts w:eastAsia="Times New Roman"/>
                <w:color w:val="000000"/>
                <w:sz w:val="14"/>
                <w:lang w:val="en-GB"/>
              </w:rPr>
              <w:t>No comparator or pre-specified efficiency benchmark.</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C8D37B0" w14:textId="77777777" w:rsidR="00E456DC" w:rsidRPr="00784E8E" w:rsidRDefault="00000000">
            <w:pPr>
              <w:spacing w:after="0" w:line="245" w:lineRule="auto"/>
              <w:jc w:val="left"/>
              <w:rPr>
                <w:lang w:val="en-GB"/>
              </w:rPr>
            </w:pPr>
            <w:r w:rsidRPr="00784E8E">
              <w:rPr>
                <w:rFonts w:eastAsia="Times New Roman"/>
                <w:color w:val="000000"/>
                <w:sz w:val="14"/>
                <w:lang w:val="en-GB"/>
              </w:rPr>
              <w:t>Major limitations</w:t>
            </w:r>
          </w:p>
        </w:tc>
      </w:tr>
    </w:tbl>
    <w:p w14:paraId="4501926D" w14:textId="77777777" w:rsidR="00E456DC" w:rsidRPr="00784E8E" w:rsidRDefault="00000000">
      <w:pPr>
        <w:pStyle w:val="SmallNote"/>
        <w:rPr>
          <w:lang w:val="en-GB"/>
        </w:rPr>
      </w:pPr>
      <w:r w:rsidRPr="00784E8E">
        <w:rPr>
          <w:rFonts w:eastAsia="Times New Roman"/>
          <w:b/>
          <w:lang w:val="en-GB"/>
        </w:rPr>
        <w:t xml:space="preserve">Note. </w:t>
      </w:r>
      <w:r w:rsidRPr="00784E8E">
        <w:rPr>
          <w:rFonts w:eastAsia="Times New Roman"/>
          <w:lang w:val="en-GB"/>
        </w:rPr>
        <w:t>Domain-based judgments were used; no unsupported numerical quality score was calculated. Detailed rationale is provided in the supplementary material.</w:t>
      </w:r>
    </w:p>
    <w:p w14:paraId="685B26DA" w14:textId="77777777" w:rsidR="00E456DC" w:rsidRPr="00784E8E" w:rsidRDefault="00E456DC">
      <w:pPr>
        <w:rPr>
          <w:lang w:val="en-GB"/>
        </w:rPr>
        <w:sectPr w:rsidR="00E456DC" w:rsidRPr="00784E8E">
          <w:pgSz w:w="16838" w:h="11906" w:orient="landscape"/>
          <w:pgMar w:top="850" w:right="794" w:bottom="850" w:left="794" w:header="397" w:footer="397" w:gutter="0"/>
          <w:cols w:space="720"/>
          <w:docGrid w:linePitch="360"/>
        </w:sectPr>
      </w:pPr>
    </w:p>
    <w:p w14:paraId="0BEE6F70" w14:textId="77777777" w:rsidR="00E456DC" w:rsidRPr="00784E8E" w:rsidRDefault="00000000">
      <w:pPr>
        <w:pStyle w:val="Heading2"/>
        <w:rPr>
          <w:lang w:val="en-GB"/>
        </w:rPr>
      </w:pPr>
      <w:r w:rsidRPr="00784E8E">
        <w:rPr>
          <w:rFonts w:ascii="Times New Roman" w:eastAsia="Times New Roman" w:hAnsi="Times New Roman"/>
          <w:lang w:val="en-GB"/>
        </w:rPr>
        <w:lastRenderedPageBreak/>
        <w:t>3.11 Confidence in the body of evidence</w:t>
      </w:r>
    </w:p>
    <w:p w14:paraId="5535C0ED" w14:textId="77777777" w:rsidR="00E456DC" w:rsidRPr="00784E8E" w:rsidRDefault="00000000">
      <w:pPr>
        <w:pStyle w:val="AnalyticalLead"/>
        <w:rPr>
          <w:lang w:val="en-GB"/>
        </w:rPr>
      </w:pPr>
      <w:r w:rsidRPr="00784E8E">
        <w:rPr>
          <w:rFonts w:eastAsia="Times New Roman"/>
          <w:lang w:val="en-GB"/>
        </w:rPr>
        <w:t>The structured confidence assessment in Table 7 distinguishes conceptual convergence from outcome certainty. Confidence was highest for the description of smart-hospital attributes and lowest for patient safety, patient experience and fully adaptive cognition.</w:t>
      </w:r>
    </w:p>
    <w:p w14:paraId="0A372881" w14:textId="77777777" w:rsidR="00E456DC" w:rsidRPr="00784E8E" w:rsidRDefault="00000000">
      <w:pPr>
        <w:pStyle w:val="TableTitle"/>
        <w:rPr>
          <w:lang w:val="en-GB"/>
        </w:rPr>
      </w:pPr>
      <w:r w:rsidRPr="00784E8E">
        <w:rPr>
          <w:rFonts w:eastAsia="Times New Roman"/>
          <w:lang w:val="en-GB"/>
        </w:rPr>
        <w:t>Table 7. Structured confidence assessment by review domain</w:t>
      </w:r>
    </w:p>
    <w:tbl>
      <w:tblPr>
        <w:tblStyle w:val="TableGrid"/>
        <w:tblW w:w="0" w:type="auto"/>
        <w:jc w:val="center"/>
        <w:tblLayout w:type="fixed"/>
        <w:tblLook w:val="04A0" w:firstRow="1" w:lastRow="0" w:firstColumn="1" w:lastColumn="0" w:noHBand="0" w:noVBand="1"/>
      </w:tblPr>
      <w:tblGrid>
        <w:gridCol w:w="2608"/>
        <w:gridCol w:w="1814"/>
        <w:gridCol w:w="1304"/>
        <w:gridCol w:w="3742"/>
      </w:tblGrid>
      <w:tr w:rsidR="00E456DC" w:rsidRPr="00784E8E" w14:paraId="77899236" w14:textId="77777777">
        <w:trPr>
          <w:tblHeader/>
          <w:jc w:val="center"/>
        </w:trPr>
        <w:tc>
          <w:tcPr>
            <w:tcW w:w="2608"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1199FA1" w14:textId="77777777" w:rsidR="00E456DC" w:rsidRPr="00784E8E" w:rsidRDefault="00000000">
            <w:pPr>
              <w:spacing w:after="0"/>
              <w:jc w:val="center"/>
              <w:rPr>
                <w:lang w:val="en-GB"/>
              </w:rPr>
            </w:pPr>
            <w:r w:rsidRPr="00784E8E">
              <w:rPr>
                <w:rFonts w:eastAsia="Times New Roman"/>
                <w:b/>
                <w:color w:val="FFFFFF"/>
                <w:sz w:val="16"/>
                <w:lang w:val="en-GB"/>
              </w:rPr>
              <w:t>Outcome/domain</w:t>
            </w:r>
          </w:p>
        </w:tc>
        <w:tc>
          <w:tcPr>
            <w:tcW w:w="181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4F0D90E5" w14:textId="77777777" w:rsidR="00E456DC" w:rsidRPr="00784E8E" w:rsidRDefault="00000000">
            <w:pPr>
              <w:spacing w:after="0"/>
              <w:jc w:val="center"/>
              <w:rPr>
                <w:lang w:val="en-GB"/>
              </w:rPr>
            </w:pPr>
            <w:r w:rsidRPr="00784E8E">
              <w:rPr>
                <w:rFonts w:eastAsia="Times New Roman"/>
                <w:b/>
                <w:color w:val="FFFFFF"/>
                <w:sz w:val="16"/>
                <w:lang w:val="en-GB"/>
              </w:rPr>
              <w:t>Evidence base</w:t>
            </w:r>
          </w:p>
        </w:tc>
        <w:tc>
          <w:tcPr>
            <w:tcW w:w="1304"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567C7DE1" w14:textId="77777777" w:rsidR="00E456DC" w:rsidRPr="00784E8E" w:rsidRDefault="00000000">
            <w:pPr>
              <w:spacing w:after="0"/>
              <w:jc w:val="center"/>
              <w:rPr>
                <w:lang w:val="en-GB"/>
              </w:rPr>
            </w:pPr>
            <w:r w:rsidRPr="00784E8E">
              <w:rPr>
                <w:rFonts w:eastAsia="Times New Roman"/>
                <w:b/>
                <w:color w:val="FFFFFF"/>
                <w:sz w:val="16"/>
                <w:lang w:val="en-GB"/>
              </w:rPr>
              <w:t>Confidence</w:t>
            </w:r>
          </w:p>
        </w:tc>
        <w:tc>
          <w:tcPr>
            <w:tcW w:w="3742" w:type="dxa"/>
            <w:tcBorders>
              <w:top w:val="single" w:sz="8" w:space="0" w:color="17365D"/>
              <w:left w:val="single" w:sz="4" w:space="0" w:color="AAB2BD"/>
              <w:bottom w:val="single" w:sz="8" w:space="0" w:color="17365D"/>
              <w:right w:val="single" w:sz="4" w:space="0" w:color="AAB2BD"/>
            </w:tcBorders>
            <w:shd w:val="clear" w:color="auto" w:fill="17365D"/>
            <w:tcMar>
              <w:top w:w="85" w:type="dxa"/>
              <w:left w:w="90" w:type="dxa"/>
              <w:bottom w:w="85" w:type="dxa"/>
              <w:right w:w="90" w:type="dxa"/>
            </w:tcMar>
            <w:vAlign w:val="center"/>
          </w:tcPr>
          <w:p w14:paraId="00F5FA22" w14:textId="77777777" w:rsidR="00E456DC" w:rsidRPr="00784E8E" w:rsidRDefault="00000000">
            <w:pPr>
              <w:spacing w:after="0"/>
              <w:jc w:val="center"/>
              <w:rPr>
                <w:lang w:val="en-GB"/>
              </w:rPr>
            </w:pPr>
            <w:r w:rsidRPr="00784E8E">
              <w:rPr>
                <w:rFonts w:eastAsia="Times New Roman"/>
                <w:b/>
                <w:color w:val="FFFFFF"/>
                <w:sz w:val="16"/>
                <w:lang w:val="en-GB"/>
              </w:rPr>
              <w:t>Rationale</w:t>
            </w:r>
          </w:p>
        </w:tc>
      </w:tr>
      <w:tr w:rsidR="00E456DC" w:rsidRPr="00784E8E" w14:paraId="495618F6"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3BB13BB" w14:textId="77777777" w:rsidR="00E456DC" w:rsidRPr="00784E8E" w:rsidRDefault="00000000">
            <w:pPr>
              <w:spacing w:after="0" w:line="245" w:lineRule="auto"/>
              <w:jc w:val="left"/>
              <w:rPr>
                <w:lang w:val="en-GB"/>
              </w:rPr>
            </w:pPr>
            <w:r w:rsidRPr="00784E8E">
              <w:rPr>
                <w:rFonts w:eastAsia="Times New Roman"/>
                <w:b/>
                <w:color w:val="000000"/>
                <w:sz w:val="16"/>
                <w:lang w:val="en-GB"/>
              </w:rPr>
              <w:t>Conceptual definition and maturity of smart/cognitive hospitals</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F0EAE3" w14:textId="77777777" w:rsidR="00E456DC" w:rsidRPr="00784E8E" w:rsidRDefault="00000000">
            <w:pPr>
              <w:spacing w:after="0" w:line="245" w:lineRule="auto"/>
              <w:jc w:val="left"/>
              <w:rPr>
                <w:lang w:val="en-GB"/>
              </w:rPr>
            </w:pPr>
            <w:r w:rsidRPr="00784E8E">
              <w:rPr>
                <w:rFonts w:eastAsia="Times New Roman"/>
                <w:color w:val="000000"/>
                <w:sz w:val="16"/>
                <w:lang w:val="en-GB"/>
              </w:rPr>
              <w:t>9 knowledge-building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76FED58" w14:textId="77777777" w:rsidR="00E456DC" w:rsidRPr="00784E8E" w:rsidRDefault="00000000">
            <w:pPr>
              <w:spacing w:after="0" w:line="245" w:lineRule="auto"/>
              <w:jc w:val="center"/>
              <w:rPr>
                <w:lang w:val="en-GB"/>
              </w:rPr>
            </w:pPr>
            <w:r w:rsidRPr="00784E8E">
              <w:rPr>
                <w:rFonts w:eastAsia="Times New Roman"/>
                <w:color w:val="000000"/>
                <w:sz w:val="16"/>
                <w:lang w:val="en-GB"/>
              </w:rPr>
              <w:t>Moderate</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BF10B94" w14:textId="77777777" w:rsidR="00E456DC" w:rsidRPr="00784E8E" w:rsidRDefault="00000000">
            <w:pPr>
              <w:spacing w:after="0" w:line="245" w:lineRule="auto"/>
              <w:jc w:val="left"/>
              <w:rPr>
                <w:lang w:val="en-GB"/>
              </w:rPr>
            </w:pPr>
            <w:r w:rsidRPr="00784E8E">
              <w:rPr>
                <w:rFonts w:eastAsia="Times New Roman"/>
                <w:color w:val="000000"/>
                <w:sz w:val="16"/>
                <w:lang w:val="en-GB"/>
              </w:rPr>
              <w:t>Convergent definitions across reviews, expert work and qualitative frameworks; limited validation of maturity thresholds and substantial source overlap.</w:t>
            </w:r>
          </w:p>
        </w:tc>
      </w:tr>
      <w:tr w:rsidR="00E456DC" w:rsidRPr="00784E8E" w14:paraId="1114CE74"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7087A4D" w14:textId="77777777" w:rsidR="00E456DC" w:rsidRPr="00784E8E" w:rsidRDefault="00000000">
            <w:pPr>
              <w:spacing w:after="0" w:line="245" w:lineRule="auto"/>
              <w:jc w:val="left"/>
              <w:rPr>
                <w:lang w:val="en-GB"/>
              </w:rPr>
            </w:pPr>
            <w:r w:rsidRPr="00784E8E">
              <w:rPr>
                <w:rFonts w:eastAsia="Times New Roman"/>
                <w:b/>
                <w:color w:val="000000"/>
                <w:sz w:val="16"/>
                <w:lang w:val="en-GB"/>
              </w:rPr>
              <w:t>Interoperability and integrated technical infrastructure</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B4882C8" w14:textId="77777777" w:rsidR="00E456DC" w:rsidRPr="00784E8E" w:rsidRDefault="00000000">
            <w:pPr>
              <w:spacing w:after="0" w:line="245" w:lineRule="auto"/>
              <w:jc w:val="left"/>
              <w:rPr>
                <w:lang w:val="en-GB"/>
              </w:rPr>
            </w:pPr>
            <w:r w:rsidRPr="00784E8E">
              <w:rPr>
                <w:rFonts w:eastAsia="Times New Roman"/>
                <w:color w:val="000000"/>
                <w:sz w:val="16"/>
                <w:lang w:val="en-GB"/>
              </w:rPr>
              <w:t>Across 14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7CE364E" w14:textId="77777777" w:rsidR="00E456DC" w:rsidRPr="00784E8E" w:rsidRDefault="00000000">
            <w:pPr>
              <w:spacing w:after="0" w:line="245" w:lineRule="auto"/>
              <w:jc w:val="center"/>
              <w:rPr>
                <w:lang w:val="en-GB"/>
              </w:rPr>
            </w:pPr>
            <w:r w:rsidRPr="00784E8E">
              <w:rPr>
                <w:rFonts w:eastAsia="Times New Roman"/>
                <w:color w:val="000000"/>
                <w:sz w:val="16"/>
                <w:lang w:val="en-GB"/>
              </w:rPr>
              <w:t>Moderate</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D062DB9" w14:textId="77777777" w:rsidR="00E456DC" w:rsidRPr="00784E8E" w:rsidRDefault="00000000">
            <w:pPr>
              <w:spacing w:after="0" w:line="245" w:lineRule="auto"/>
              <w:jc w:val="left"/>
              <w:rPr>
                <w:lang w:val="en-GB"/>
              </w:rPr>
            </w:pPr>
            <w:r w:rsidRPr="00784E8E">
              <w:rPr>
                <w:rFonts w:eastAsia="Times New Roman"/>
                <w:color w:val="000000"/>
                <w:sz w:val="16"/>
                <w:lang w:val="en-GB"/>
              </w:rPr>
              <w:t>Consistent identification of connected data, devices and workflows as necessary; evidence is largely descriptive and technology-specific.</w:t>
            </w:r>
          </w:p>
        </w:tc>
      </w:tr>
      <w:tr w:rsidR="00E456DC" w:rsidRPr="00784E8E" w14:paraId="51721012"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640ED1D" w14:textId="77777777" w:rsidR="00E456DC" w:rsidRPr="00784E8E" w:rsidRDefault="00000000">
            <w:pPr>
              <w:spacing w:after="0" w:line="245" w:lineRule="auto"/>
              <w:jc w:val="left"/>
              <w:rPr>
                <w:lang w:val="en-GB"/>
              </w:rPr>
            </w:pPr>
            <w:r w:rsidRPr="00784E8E">
              <w:rPr>
                <w:rFonts w:eastAsia="Times New Roman"/>
                <w:b/>
                <w:color w:val="000000"/>
                <w:sz w:val="16"/>
                <w:lang w:val="en-GB"/>
              </w:rPr>
              <w:t>Operational efficiency and resource use</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3D55B7B" w14:textId="77777777" w:rsidR="00E456DC" w:rsidRPr="00784E8E" w:rsidRDefault="00000000">
            <w:pPr>
              <w:spacing w:after="0" w:line="245" w:lineRule="auto"/>
              <w:jc w:val="left"/>
              <w:rPr>
                <w:lang w:val="en-GB"/>
              </w:rPr>
            </w:pPr>
            <w:r w:rsidRPr="00784E8E">
              <w:rPr>
                <w:rFonts w:eastAsia="Times New Roman"/>
                <w:color w:val="000000"/>
                <w:sz w:val="16"/>
                <w:lang w:val="en-GB"/>
              </w:rPr>
              <w:t>6 empirical/technical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B2377BF" w14:textId="77777777" w:rsidR="00E456DC" w:rsidRPr="00784E8E" w:rsidRDefault="00000000">
            <w:pPr>
              <w:spacing w:after="0" w:line="245" w:lineRule="auto"/>
              <w:jc w:val="center"/>
              <w:rPr>
                <w:lang w:val="en-GB"/>
              </w:rPr>
            </w:pPr>
            <w:r w:rsidRPr="00784E8E">
              <w:rPr>
                <w:rFonts w:eastAsia="Times New Roman"/>
                <w:color w:val="000000"/>
                <w:sz w:val="16"/>
                <w:lang w:val="en-GB"/>
              </w:rPr>
              <w:t>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6AB589BD" w14:textId="77777777" w:rsidR="00E456DC" w:rsidRPr="00784E8E" w:rsidRDefault="00000000">
            <w:pPr>
              <w:spacing w:after="0" w:line="245" w:lineRule="auto"/>
              <w:jc w:val="left"/>
              <w:rPr>
                <w:lang w:val="en-GB"/>
              </w:rPr>
            </w:pPr>
            <w:r w:rsidRPr="00784E8E">
              <w:rPr>
                <w:rFonts w:eastAsia="Times New Roman"/>
                <w:color w:val="000000"/>
                <w:sz w:val="16"/>
                <w:lang w:val="en-GB"/>
              </w:rPr>
              <w:t>Direction is generally favourable, but results arise mainly from uncontrolled case studies, self-reported time estimates and modelling with unclear denominators.</w:t>
            </w:r>
          </w:p>
        </w:tc>
      </w:tr>
      <w:tr w:rsidR="00E456DC" w:rsidRPr="00784E8E" w14:paraId="792D2A54"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FDF5869" w14:textId="77777777" w:rsidR="00E456DC" w:rsidRPr="00784E8E" w:rsidRDefault="00000000">
            <w:pPr>
              <w:spacing w:after="0" w:line="245" w:lineRule="auto"/>
              <w:jc w:val="left"/>
              <w:rPr>
                <w:lang w:val="en-GB"/>
              </w:rPr>
            </w:pPr>
            <w:r w:rsidRPr="00784E8E">
              <w:rPr>
                <w:rFonts w:eastAsia="Times New Roman"/>
                <w:b/>
                <w:color w:val="000000"/>
                <w:sz w:val="16"/>
                <w:lang w:val="en-GB"/>
              </w:rPr>
              <w:t>Patient experience and service accessibility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64F6DC3" w14:textId="77777777" w:rsidR="00E456DC" w:rsidRPr="00784E8E" w:rsidRDefault="00000000">
            <w:pPr>
              <w:spacing w:after="0" w:line="245" w:lineRule="auto"/>
              <w:jc w:val="left"/>
              <w:rPr>
                <w:lang w:val="en-GB"/>
              </w:rPr>
            </w:pPr>
            <w:r w:rsidRPr="00784E8E">
              <w:rPr>
                <w:rFonts w:eastAsia="Times New Roman"/>
                <w:color w:val="000000"/>
                <w:sz w:val="16"/>
                <w:lang w:val="en-GB"/>
              </w:rPr>
              <w:t>4 empirical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32C5D4" w14:textId="77777777" w:rsidR="00E456DC" w:rsidRPr="00784E8E" w:rsidRDefault="00000000">
            <w:pPr>
              <w:spacing w:after="0" w:line="245" w:lineRule="auto"/>
              <w:jc w:val="center"/>
              <w:rPr>
                <w:lang w:val="en-GB"/>
              </w:rPr>
            </w:pPr>
            <w:r w:rsidRPr="00784E8E">
              <w:rPr>
                <w:rFonts w:eastAsia="Times New Roman"/>
                <w:color w:val="000000"/>
                <w:sz w:val="16"/>
                <w:lang w:val="en-GB"/>
              </w:rPr>
              <w:t>Very 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6DC36BF" w14:textId="77777777" w:rsidR="00E456DC" w:rsidRPr="00784E8E" w:rsidRDefault="00000000">
            <w:pPr>
              <w:spacing w:after="0" w:line="245" w:lineRule="auto"/>
              <w:jc w:val="left"/>
              <w:rPr>
                <w:lang w:val="en-GB"/>
              </w:rPr>
            </w:pPr>
            <w:r w:rsidRPr="00784E8E">
              <w:rPr>
                <w:rFonts w:eastAsia="Times New Roman"/>
                <w:color w:val="000000"/>
                <w:sz w:val="16"/>
                <w:lang w:val="en-GB"/>
              </w:rPr>
              <w:t>High satisfaction and improved service indicators were reported, but instruments, denominators and comparators were weak or absent.</w:t>
            </w:r>
          </w:p>
        </w:tc>
      </w:tr>
      <w:tr w:rsidR="00E456DC" w:rsidRPr="00784E8E" w14:paraId="5AFFB1DB"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4BDDCEA" w14:textId="77777777" w:rsidR="00E456DC" w:rsidRPr="00784E8E" w:rsidRDefault="00000000">
            <w:pPr>
              <w:spacing w:after="0" w:line="245" w:lineRule="auto"/>
              <w:jc w:val="left"/>
              <w:rPr>
                <w:lang w:val="en-GB"/>
              </w:rPr>
            </w:pPr>
            <w:r w:rsidRPr="00784E8E">
              <w:rPr>
                <w:rFonts w:eastAsia="Times New Roman"/>
                <w:b/>
                <w:color w:val="000000"/>
                <w:sz w:val="16"/>
                <w:lang w:val="en-GB"/>
              </w:rPr>
              <w:t>Patient safety and clinical quality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2D0D55A" w14:textId="77777777" w:rsidR="00E456DC" w:rsidRPr="00784E8E" w:rsidRDefault="00000000">
            <w:pPr>
              <w:spacing w:after="0" w:line="245" w:lineRule="auto"/>
              <w:jc w:val="left"/>
              <w:rPr>
                <w:lang w:val="en-GB"/>
              </w:rPr>
            </w:pPr>
            <w:r w:rsidRPr="00784E8E">
              <w:rPr>
                <w:rFonts w:eastAsia="Times New Roman"/>
                <w:color w:val="000000"/>
                <w:sz w:val="16"/>
                <w:lang w:val="en-GB"/>
              </w:rPr>
              <w:t>4 empirical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70959716" w14:textId="77777777" w:rsidR="00E456DC" w:rsidRPr="00784E8E" w:rsidRDefault="00000000">
            <w:pPr>
              <w:spacing w:after="0" w:line="245" w:lineRule="auto"/>
              <w:jc w:val="center"/>
              <w:rPr>
                <w:lang w:val="en-GB"/>
              </w:rPr>
            </w:pPr>
            <w:r w:rsidRPr="00784E8E">
              <w:rPr>
                <w:rFonts w:eastAsia="Times New Roman"/>
                <w:color w:val="000000"/>
                <w:sz w:val="16"/>
                <w:lang w:val="en-GB"/>
              </w:rPr>
              <w:t>Very 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5D22C71" w14:textId="77777777" w:rsidR="00E456DC" w:rsidRPr="00784E8E" w:rsidRDefault="00000000">
            <w:pPr>
              <w:spacing w:after="0" w:line="245" w:lineRule="auto"/>
              <w:jc w:val="left"/>
              <w:rPr>
                <w:lang w:val="en-GB"/>
              </w:rPr>
            </w:pPr>
            <w:r w:rsidRPr="00784E8E">
              <w:rPr>
                <w:rFonts w:eastAsia="Times New Roman"/>
                <w:color w:val="000000"/>
                <w:sz w:val="16"/>
                <w:lang w:val="en-GB"/>
              </w:rPr>
              <w:t>Few direct outcomes, rare-event under-ascertainment, feasibility samples and no controlled evaluation of clinical benefit.</w:t>
            </w:r>
          </w:p>
        </w:tc>
      </w:tr>
      <w:tr w:rsidR="00E456DC" w:rsidRPr="00784E8E" w14:paraId="523E49D9"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1E57115A" w14:textId="77777777" w:rsidR="00E456DC" w:rsidRPr="00784E8E" w:rsidRDefault="00000000">
            <w:pPr>
              <w:spacing w:after="0" w:line="245" w:lineRule="auto"/>
              <w:jc w:val="left"/>
              <w:rPr>
                <w:lang w:val="en-GB"/>
              </w:rPr>
            </w:pPr>
            <w:r w:rsidRPr="00784E8E">
              <w:rPr>
                <w:rFonts w:eastAsia="Times New Roman"/>
                <w:b/>
                <w:color w:val="000000"/>
                <w:sz w:val="16"/>
                <w:lang w:val="en-GB"/>
              </w:rPr>
              <w:t>Workforce workload and work redesign</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D4167AA" w14:textId="77777777" w:rsidR="00E456DC" w:rsidRPr="00784E8E" w:rsidRDefault="00000000">
            <w:pPr>
              <w:spacing w:after="0" w:line="245" w:lineRule="auto"/>
              <w:jc w:val="left"/>
              <w:rPr>
                <w:lang w:val="en-GB"/>
              </w:rPr>
            </w:pPr>
            <w:r w:rsidRPr="00784E8E">
              <w:rPr>
                <w:rFonts w:eastAsia="Times New Roman"/>
                <w:color w:val="000000"/>
                <w:sz w:val="16"/>
                <w:lang w:val="en-GB"/>
              </w:rPr>
              <w:t>5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132A08E" w14:textId="77777777" w:rsidR="00E456DC" w:rsidRPr="00784E8E" w:rsidRDefault="00000000">
            <w:pPr>
              <w:spacing w:after="0" w:line="245" w:lineRule="auto"/>
              <w:jc w:val="center"/>
              <w:rPr>
                <w:lang w:val="en-GB"/>
              </w:rPr>
            </w:pPr>
            <w:r w:rsidRPr="00784E8E">
              <w:rPr>
                <w:rFonts w:eastAsia="Times New Roman"/>
                <w:color w:val="000000"/>
                <w:sz w:val="16"/>
                <w:lang w:val="en-GB"/>
              </w:rPr>
              <w:t>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2E46191D" w14:textId="77777777" w:rsidR="00E456DC" w:rsidRPr="00784E8E" w:rsidRDefault="00000000">
            <w:pPr>
              <w:spacing w:after="0" w:line="245" w:lineRule="auto"/>
              <w:jc w:val="left"/>
              <w:rPr>
                <w:lang w:val="en-GB"/>
              </w:rPr>
            </w:pPr>
            <w:r w:rsidRPr="00784E8E">
              <w:rPr>
                <w:rFonts w:eastAsia="Times New Roman"/>
                <w:color w:val="000000"/>
                <w:sz w:val="16"/>
                <w:lang w:val="en-GB"/>
              </w:rPr>
              <w:t>Workflow savings and burden shifts were both observed; evidence relies on self-report, non-equivalent pre/post samples and early implementation.</w:t>
            </w:r>
          </w:p>
        </w:tc>
      </w:tr>
      <w:tr w:rsidR="00E456DC" w:rsidRPr="00784E8E" w14:paraId="75DD28CA"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AA3DB48" w14:textId="77777777" w:rsidR="00E456DC" w:rsidRPr="00784E8E" w:rsidRDefault="00000000">
            <w:pPr>
              <w:spacing w:after="0" w:line="245" w:lineRule="auto"/>
              <w:jc w:val="left"/>
              <w:rPr>
                <w:lang w:val="en-GB"/>
              </w:rPr>
            </w:pPr>
            <w:r w:rsidRPr="00784E8E">
              <w:rPr>
                <w:rFonts w:eastAsia="Times New Roman"/>
                <w:b/>
                <w:color w:val="000000"/>
                <w:sz w:val="16"/>
                <w:lang w:val="en-GB"/>
              </w:rPr>
              <w:t>Governance, ethics, security and equity</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3B201DA4" w14:textId="77777777" w:rsidR="00E456DC" w:rsidRPr="00784E8E" w:rsidRDefault="00000000">
            <w:pPr>
              <w:spacing w:after="0" w:line="245" w:lineRule="auto"/>
              <w:jc w:val="left"/>
              <w:rPr>
                <w:lang w:val="en-GB"/>
              </w:rPr>
            </w:pPr>
            <w:r w:rsidRPr="00784E8E">
              <w:rPr>
                <w:rFonts w:eastAsia="Times New Roman"/>
                <w:color w:val="000000"/>
                <w:sz w:val="16"/>
                <w:lang w:val="en-GB"/>
              </w:rPr>
              <w:t>7 knowledge-building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5A1DF72A" w14:textId="77777777" w:rsidR="00E456DC" w:rsidRPr="00784E8E" w:rsidRDefault="00000000">
            <w:pPr>
              <w:spacing w:after="0" w:line="245" w:lineRule="auto"/>
              <w:jc w:val="center"/>
              <w:rPr>
                <w:lang w:val="en-GB"/>
              </w:rPr>
            </w:pPr>
            <w:r w:rsidRPr="00784E8E">
              <w:rPr>
                <w:rFonts w:eastAsia="Times New Roman"/>
                <w:color w:val="000000"/>
                <w:sz w:val="16"/>
                <w:lang w:val="en-GB"/>
              </w:rPr>
              <w:t>Low to moderate</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A9FF740" w14:textId="77777777" w:rsidR="00E456DC" w:rsidRPr="00784E8E" w:rsidRDefault="00000000">
            <w:pPr>
              <w:spacing w:after="0" w:line="245" w:lineRule="auto"/>
              <w:jc w:val="left"/>
              <w:rPr>
                <w:lang w:val="en-GB"/>
              </w:rPr>
            </w:pPr>
            <w:r w:rsidRPr="00784E8E">
              <w:rPr>
                <w:rFonts w:eastAsia="Times New Roman"/>
                <w:color w:val="000000"/>
                <w:sz w:val="16"/>
                <w:lang w:val="en-GB"/>
              </w:rPr>
              <w:t>Strong thematic consistency, but few prospective evaluations show that governance arrangements prevent harm or reduce inequity.</w:t>
            </w:r>
          </w:p>
        </w:tc>
      </w:tr>
      <w:tr w:rsidR="00E456DC" w:rsidRPr="00784E8E" w14:paraId="4B25CAD2" w14:textId="77777777">
        <w:trPr>
          <w:jc w:val="center"/>
        </w:trPr>
        <w:tc>
          <w:tcPr>
            <w:tcW w:w="2608"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072C5B8" w14:textId="77777777" w:rsidR="00E456DC" w:rsidRPr="00784E8E" w:rsidRDefault="00000000">
            <w:pPr>
              <w:spacing w:after="0" w:line="245" w:lineRule="auto"/>
              <w:jc w:val="left"/>
              <w:rPr>
                <w:lang w:val="en-GB"/>
              </w:rPr>
            </w:pPr>
            <w:r w:rsidRPr="00784E8E">
              <w:rPr>
                <w:rFonts w:eastAsia="Times New Roman"/>
                <w:b/>
                <w:color w:val="000000"/>
                <w:sz w:val="16"/>
                <w:lang w:val="en-GB"/>
              </w:rPr>
              <w:t>Hospital-wide learning, prediction and adaptive cognition</w:t>
            </w:r>
          </w:p>
        </w:tc>
        <w:tc>
          <w:tcPr>
            <w:tcW w:w="181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0E17F2E5" w14:textId="77777777" w:rsidR="00E456DC" w:rsidRPr="00784E8E" w:rsidRDefault="00000000">
            <w:pPr>
              <w:spacing w:after="0" w:line="245" w:lineRule="auto"/>
              <w:jc w:val="left"/>
              <w:rPr>
                <w:lang w:val="en-GB"/>
              </w:rPr>
            </w:pPr>
            <w:r w:rsidRPr="00784E8E">
              <w:rPr>
                <w:rFonts w:eastAsia="Times New Roman"/>
                <w:color w:val="000000"/>
                <w:sz w:val="16"/>
                <w:lang w:val="en-GB"/>
              </w:rPr>
              <w:t>5 conceptual/implementation reports</w:t>
            </w:r>
          </w:p>
        </w:tc>
        <w:tc>
          <w:tcPr>
            <w:tcW w:w="1304"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7CE06DE" w14:textId="77777777" w:rsidR="00E456DC" w:rsidRPr="00784E8E" w:rsidRDefault="00000000">
            <w:pPr>
              <w:spacing w:after="0" w:line="245" w:lineRule="auto"/>
              <w:jc w:val="center"/>
              <w:rPr>
                <w:lang w:val="en-GB"/>
              </w:rPr>
            </w:pPr>
            <w:r w:rsidRPr="00784E8E">
              <w:rPr>
                <w:rFonts w:eastAsia="Times New Roman"/>
                <w:color w:val="000000"/>
                <w:sz w:val="16"/>
                <w:lang w:val="en-GB"/>
              </w:rPr>
              <w:t>Low</w:t>
            </w:r>
          </w:p>
        </w:tc>
        <w:tc>
          <w:tcPr>
            <w:tcW w:w="3742" w:type="dxa"/>
            <w:tcBorders>
              <w:top w:val="single" w:sz="3" w:space="0" w:color="C9CED6"/>
              <w:left w:val="single" w:sz="3" w:space="0" w:color="C9CED6"/>
              <w:bottom w:val="single" w:sz="3" w:space="0" w:color="C9CED6"/>
              <w:right w:val="single" w:sz="3" w:space="0" w:color="C9CED6"/>
            </w:tcBorders>
            <w:tcMar>
              <w:top w:w="75" w:type="dxa"/>
              <w:left w:w="90" w:type="dxa"/>
              <w:bottom w:w="75" w:type="dxa"/>
              <w:right w:w="90" w:type="dxa"/>
            </w:tcMar>
          </w:tcPr>
          <w:p w14:paraId="45EA5E05" w14:textId="77777777" w:rsidR="00E456DC" w:rsidRPr="00784E8E" w:rsidRDefault="00000000">
            <w:pPr>
              <w:spacing w:after="0" w:line="245" w:lineRule="auto"/>
              <w:jc w:val="left"/>
              <w:rPr>
                <w:lang w:val="en-GB"/>
              </w:rPr>
            </w:pPr>
            <w:r w:rsidRPr="00784E8E">
              <w:rPr>
                <w:rFonts w:eastAsia="Times New Roman"/>
                <w:color w:val="000000"/>
                <w:sz w:val="16"/>
                <w:lang w:val="en-GB"/>
              </w:rPr>
              <w:t>The cognitive-hospital construct is coherent, and partial predictive/feedback functions exist, but no included hospital demonstrated validated end-to-end learning and adaptive control.</w:t>
            </w:r>
          </w:p>
        </w:tc>
      </w:tr>
    </w:tbl>
    <w:p w14:paraId="03E2AE70" w14:textId="77777777" w:rsidR="00E456DC" w:rsidRPr="00784E8E" w:rsidRDefault="00000000">
      <w:pPr>
        <w:pStyle w:val="SmallNote"/>
        <w:rPr>
          <w:lang w:val="en-GB"/>
        </w:rPr>
      </w:pPr>
      <w:r w:rsidRPr="00784E8E">
        <w:rPr>
          <w:rFonts w:eastAsia="Times New Roman"/>
          <w:b/>
          <w:lang w:val="en-GB"/>
        </w:rPr>
        <w:t xml:space="preserve">Note. </w:t>
      </w:r>
      <w:r w:rsidRPr="00784E8E">
        <w:rPr>
          <w:rFonts w:eastAsia="Times New Roman"/>
          <w:lang w:val="en-GB"/>
        </w:rPr>
        <w:t xml:space="preserve">This is a structured confidence assessment rather than a formal GRADE rating because evidence types and </w:t>
      </w:r>
      <w:proofErr w:type="spellStart"/>
      <w:r w:rsidRPr="00784E8E">
        <w:rPr>
          <w:rFonts w:eastAsia="Times New Roman"/>
          <w:lang w:val="en-GB"/>
        </w:rPr>
        <w:t>estimands</w:t>
      </w:r>
      <w:proofErr w:type="spellEnd"/>
      <w:r w:rsidRPr="00784E8E">
        <w:rPr>
          <w:rFonts w:eastAsia="Times New Roman"/>
          <w:lang w:val="en-GB"/>
        </w:rPr>
        <w:t xml:space="preserve"> were heterogeneous and most outcomes were not comparative effects.</w:t>
      </w:r>
    </w:p>
    <w:p w14:paraId="2A4AB17E" w14:textId="77777777" w:rsidR="00E456DC" w:rsidRPr="00784E8E" w:rsidRDefault="00000000">
      <w:pPr>
        <w:pStyle w:val="Heading1"/>
        <w:rPr>
          <w:lang w:val="en-GB"/>
        </w:rPr>
      </w:pPr>
      <w:r w:rsidRPr="00784E8E">
        <w:rPr>
          <w:rFonts w:ascii="Times New Roman" w:eastAsia="Times New Roman" w:hAnsi="Times New Roman"/>
          <w:lang w:val="en-GB"/>
        </w:rPr>
        <w:t>4. Discussion</w:t>
      </w:r>
    </w:p>
    <w:p w14:paraId="0E87E819" w14:textId="77777777" w:rsidR="00E456DC" w:rsidRPr="00784E8E" w:rsidRDefault="00000000">
      <w:pPr>
        <w:rPr>
          <w:lang w:val="en-GB"/>
        </w:rPr>
      </w:pPr>
      <w:r w:rsidRPr="00784E8E">
        <w:rPr>
          <w:rFonts w:eastAsia="Times New Roman"/>
          <w:lang w:val="en-GB"/>
        </w:rPr>
        <w:t>This review found that the transition from smart to cognitive hospitals is better understood as an organisational maturity pathway than as a change in branding or a discrete technology purchase. The most consistent smart-hospital attributes were interoperable data, connected sensing, real-time workflow integration, analytics, automation and measurable value. The cognitive extension added institutional learning, anticipation, context awareness, adaptation and self-monitoring. Human-centredness, governance, security, workforce capability and sustainability were cross-cutting conditions at every stage. These findings were supported by conceptual convergence across reviews, expert work and qualitative frameworks, but not by a validated universal maturity instrument.</w:t>
      </w:r>
    </w:p>
    <w:p w14:paraId="0EDFB8D6" w14:textId="77777777" w:rsidR="00E456DC" w:rsidRPr="00784E8E" w:rsidRDefault="00000000">
      <w:pPr>
        <w:rPr>
          <w:lang w:val="en-GB"/>
        </w:rPr>
      </w:pPr>
      <w:r w:rsidRPr="00784E8E">
        <w:rPr>
          <w:rFonts w:eastAsia="Times New Roman"/>
          <w:lang w:val="en-GB"/>
        </w:rPr>
        <w:t>The empirical literature showed that substantial components of smart operation are feasible. Hospitals implemented connected rehabilitation monitoring, intelligent transport, digital workflows, smart wards and consortium-level management. Reported outcomes included shorter administrative tasks, higher satisfaction, improved service indicators, greater throughput and visibility of logistics. At the same time, the reports documented signal interference, missing sensor data, device-registration problems, duplicate work, altered workload and variable performance across departments. These adverse or neutral observations are analytically important: they show that a smart hospital is a complex intervention whose effects emerge from the interaction of technology, physical space, data quality, professional roles, governance and local demand.</w:t>
      </w:r>
    </w:p>
    <w:p w14:paraId="37C2B499" w14:textId="77777777" w:rsidR="00E456DC" w:rsidRPr="00784E8E" w:rsidRDefault="00000000">
      <w:pPr>
        <w:rPr>
          <w:lang w:val="en-GB"/>
        </w:rPr>
      </w:pPr>
      <w:r w:rsidRPr="00784E8E">
        <w:rPr>
          <w:rFonts w:eastAsia="Times New Roman"/>
          <w:lang w:val="en-GB"/>
        </w:rPr>
        <w:t xml:space="preserve">The evidence does not establish that smart-hospital programmes improve clinical outcomes. Few studies measured direct patient harm or benefit, and those that did were feasibility or descriptive reports. High </w:t>
      </w:r>
      <w:r w:rsidRPr="00784E8E">
        <w:rPr>
          <w:rFonts w:eastAsia="Times New Roman"/>
          <w:lang w:val="en-GB"/>
        </w:rPr>
        <w:lastRenderedPageBreak/>
        <w:t>satisfaction was common but measured with heterogeneous instruments and uncertain denominators. Efficiency estimates were generally unadjusted and could not distinguish technology effects from broader service redesign. The confidence assessment was therefore low or very low for operational, experience and clinical outcomes. This is absence of secure evidence, not evidence that connected or adaptive hospitals cannot improve care.</w:t>
      </w:r>
    </w:p>
    <w:p w14:paraId="439716AB" w14:textId="77777777" w:rsidR="00E456DC" w:rsidRPr="00784E8E" w:rsidRDefault="00000000">
      <w:pPr>
        <w:rPr>
          <w:lang w:val="en-GB"/>
        </w:rPr>
      </w:pPr>
      <w:r w:rsidRPr="00784E8E">
        <w:rPr>
          <w:rFonts w:eastAsia="Times New Roman"/>
          <w:lang w:val="en-GB"/>
        </w:rPr>
        <w:t>A central explanatory mechanism is integration. Digitisation reduces the cost of storing and retrieving information, but cognition requires that information be timely, interpretable and actionable across departmental boundaries. Sensors and electronic records create a distributed perception layer; interoperable platforms and identity services create a shared state; analytics estimate risk, demand or resource needs; and workflow systems support action. Feedback then determines whether the action worked and whether the system should change. Failure at any layer can invalidate the whole chain. Beacon interference in the Korean pilot, incomplete wearable data and master-data problems in workflow implementation illustrate how a local technical defect can become an organisational reliability problem (Hassmann et al., 2025; Lee et al., 2026; Park et al., 2018).</w:t>
      </w:r>
    </w:p>
    <w:p w14:paraId="164D63BB" w14:textId="77777777" w:rsidR="00E456DC" w:rsidRPr="00784E8E" w:rsidRDefault="00000000">
      <w:pPr>
        <w:rPr>
          <w:lang w:val="en-GB"/>
        </w:rPr>
      </w:pPr>
      <w:r w:rsidRPr="00784E8E">
        <w:rPr>
          <w:rFonts w:eastAsia="Times New Roman"/>
          <w:lang w:val="en-GB"/>
        </w:rPr>
        <w:t>The same mechanism explains why predictive analytics alone is insufficient for cognition. A model can generate a probability without changing care, and an automated rule can change care without learning. Cognitive capability requires a governed loop: objectives and constraints are specified; the hospital senses its state; an analysis or model proposes or triggers action; authorised people or systems act; outcome and safety data return; and the organisation validates, updates or suspends the policy. The included corpus contained isolated segments of this loop but no end-to-end demonstration across clinical, operational and governance domains. The term cognitive hospital should therefore remain a testable aspiration rather than an achieved status inferred from artificial-intelligence deployment.</w:t>
      </w:r>
    </w:p>
    <w:p w14:paraId="31F7CCF5" w14:textId="77777777" w:rsidR="00E456DC" w:rsidRPr="00784E8E" w:rsidRDefault="00000000">
      <w:pPr>
        <w:rPr>
          <w:lang w:val="en-GB"/>
        </w:rPr>
      </w:pPr>
      <w:r w:rsidRPr="00784E8E">
        <w:rPr>
          <w:rFonts w:eastAsia="Times New Roman"/>
          <w:lang w:val="en-GB"/>
        </w:rPr>
        <w:t>The review also clarifies the role of staff. Forecasts and implementation frameworks consistently identified skill development, engagement, leadership and culture as core infrastructure. Empirical studies showed that automation may release time from one task while adding device management, validation or exception handling elsewhere. Workforce evaluation should therefore measure net task time across all affected roles, cognitive load, interruptions, autonomy, trust, training, workarounds and the destination of released capacity. A programme that reduces documentation time but increases checking, troubleshooting or moral responsibility may not improve staff experience or patient care.</w:t>
      </w:r>
    </w:p>
    <w:p w14:paraId="0A7EAC8C" w14:textId="77777777" w:rsidR="00E456DC" w:rsidRPr="00784E8E" w:rsidRDefault="00000000">
      <w:pPr>
        <w:rPr>
          <w:lang w:val="en-GB"/>
        </w:rPr>
      </w:pPr>
      <w:r w:rsidRPr="00784E8E">
        <w:rPr>
          <w:rFonts w:eastAsia="Times New Roman"/>
          <w:lang w:val="en-GB"/>
        </w:rPr>
        <w:t>Governance and equity were less developed than technology. The stakeholder study by de Graaf et al. (2025) correctly positioned societal factors across the technology lifecycle, yet empirical evaluations rarely reported auditability, incident response, subgroup performance, procurement constraints or retirement criteria. Hospital-wide integration can magnify both benefit and harm. A misconfigured local device may affect one ward; a shared model or identity service can affect thousands of patients and multiple departments. Cognitive-hospital governance should therefore be risk-tiered, preserve human authority for consequential decisions, maintain traceable data and model versions, monitor performance drift and inequity, and allow safe degradation or suspension without disabling core care.</w:t>
      </w:r>
    </w:p>
    <w:p w14:paraId="38AE2CA9" w14:textId="77777777" w:rsidR="00E456DC" w:rsidRPr="00784E8E" w:rsidRDefault="00000000">
      <w:pPr>
        <w:rPr>
          <w:lang w:val="en-GB"/>
        </w:rPr>
      </w:pPr>
      <w:r w:rsidRPr="00784E8E">
        <w:rPr>
          <w:rFonts w:eastAsia="Times New Roman"/>
          <w:lang w:val="en-GB"/>
        </w:rPr>
        <w:t>Sustainability should likewise be treated as an outcome rather than a slogan. Smart hospitals consume hardware, networking, storage, computation and staff attention. Replacing wearable devices, maintaining batteries, updating interfaces and validating models create recurring costs and environmental burdens. Jovy-Klein et al. (2024) identified sustainability as a defining future dimension, while Park et al. (2018) showed that recurrent replacement cost can determine whether a service continues. Economic evaluation should therefore include implementation, maintenance, cybersecurity, training, downtime, decommissioning and burden shifted to patients or staff, not only the time saved in a selected workflow.</w:t>
      </w:r>
    </w:p>
    <w:p w14:paraId="0CF412E9" w14:textId="77777777" w:rsidR="00E456DC" w:rsidRPr="00784E8E" w:rsidRDefault="00000000">
      <w:pPr>
        <w:rPr>
          <w:lang w:val="en-GB"/>
        </w:rPr>
      </w:pPr>
      <w:r w:rsidRPr="00784E8E">
        <w:rPr>
          <w:rFonts w:eastAsia="Times New Roman"/>
          <w:lang w:val="en-GB"/>
        </w:rPr>
        <w:t>The review-derived maturity continuum can guide evaluation but should not be used as an accreditation score. A hospital may occupy different stages simultaneously: integrated medication management, connected but fragmented logistics, and retrospective workforce planning. Maturity should be assessed by capability and outcome within domains, not by a single label. Progression should be contingent on evidence that the prior layer is reliable. Predictive and adaptive functions built on incomplete identity matching, poor interoperability or unstable workflows may increase rather than reduce risk.</w:t>
      </w:r>
    </w:p>
    <w:p w14:paraId="0A861B03" w14:textId="77777777" w:rsidR="00E456DC" w:rsidRPr="00784E8E" w:rsidRDefault="00000000">
      <w:pPr>
        <w:rPr>
          <w:lang w:val="en-GB"/>
        </w:rPr>
      </w:pPr>
      <w:r w:rsidRPr="00784E8E">
        <w:rPr>
          <w:rFonts w:eastAsia="Times New Roman"/>
          <w:lang w:val="en-GB"/>
        </w:rPr>
        <w:t xml:space="preserve">The findings are broadly consistent with the included secondary syntheses. Kwon et al. (2022) and Rajaei et al. (2024) stressed measurable value and the difference between digitisation and smartness. Sony et al. (2023) and </w:t>
      </w:r>
      <w:proofErr w:type="spellStart"/>
      <w:r w:rsidRPr="00784E8E">
        <w:rPr>
          <w:rFonts w:eastAsia="Times New Roman"/>
          <w:lang w:val="en-GB"/>
        </w:rPr>
        <w:lastRenderedPageBreak/>
        <w:t>Rabiei</w:t>
      </w:r>
      <w:proofErr w:type="spellEnd"/>
      <w:r w:rsidRPr="00784E8E">
        <w:rPr>
          <w:rFonts w:eastAsia="Times New Roman"/>
          <w:lang w:val="en-GB"/>
        </w:rPr>
        <w:t xml:space="preserve"> et al. (2025) emphasised strategy, culture and ecosystem integration. Rahimi et al. (2024) found that movement from retrospective algorithms to a live learning health system remained uncommon and methodologically weak. This review extends those contributions by reconciling them with implementation cases, retaining adverse operational observations and explicitly testing the evidence against the stronger cognitive-hospital construct.</w:t>
      </w:r>
    </w:p>
    <w:p w14:paraId="55C6F591" w14:textId="77777777" w:rsidR="00E456DC" w:rsidRPr="00784E8E" w:rsidRDefault="00000000">
      <w:pPr>
        <w:rPr>
          <w:lang w:val="en-GB"/>
        </w:rPr>
      </w:pPr>
      <w:r w:rsidRPr="00784E8E">
        <w:rPr>
          <w:rFonts w:eastAsia="Times New Roman"/>
          <w:lang w:val="en-GB"/>
        </w:rPr>
        <w:t>Clinical interpretation should remain cautious. Connected monitoring may improve detection, automated logistics may reduce avoidable delay, and integrated analytics may help allocate resources. However, the included studies did not establish superiority over conventional hospital improvement, and none justified replacing clinical judgement with autonomous control. The strongest current use of the cognitive-hospital idea is as a design and evaluation framework: it directs attention to feedback, system-wide consequences, learning, accountability and safe adaptation rather than the novelty of individual tools.</w:t>
      </w:r>
    </w:p>
    <w:p w14:paraId="4CC78D59" w14:textId="77777777" w:rsidR="00E456DC" w:rsidRPr="00784E8E" w:rsidRDefault="00000000">
      <w:pPr>
        <w:pStyle w:val="Heading1"/>
        <w:rPr>
          <w:lang w:val="en-GB"/>
        </w:rPr>
      </w:pPr>
      <w:r w:rsidRPr="00784E8E">
        <w:rPr>
          <w:rFonts w:ascii="Times New Roman" w:eastAsia="Times New Roman" w:hAnsi="Times New Roman"/>
          <w:lang w:val="en-GB"/>
        </w:rPr>
        <w:t>5. Strengths and Limitations</w:t>
      </w:r>
    </w:p>
    <w:p w14:paraId="1E8668B9" w14:textId="77777777" w:rsidR="00E456DC" w:rsidRPr="00784E8E" w:rsidRDefault="00000000">
      <w:pPr>
        <w:rPr>
          <w:lang w:val="en-GB"/>
        </w:rPr>
      </w:pPr>
      <w:r w:rsidRPr="00784E8E">
        <w:rPr>
          <w:rFonts w:eastAsia="Times New Roman"/>
          <w:lang w:val="en-GB"/>
        </w:rPr>
        <w:t>A strength of this review is the explicit separation of conceptual, technical and empirical evidence. The evidence ledger preserves all 55 captured records, duplicate groups, screening decisions, full-text exclusions, report and study identifiers, source locators and reviewer provenance. PRISMA counts are formula-checked against the ledger. Study-level values were retained only when supported by accessible source text, and conflicting or incomplete denominators were reported rather than reconciled by assumption. Design-appropriate appraisal and a structured confidence assessment prevented precise operational claims from receiving the same weight as validated comparative outcomes.</w:t>
      </w:r>
    </w:p>
    <w:p w14:paraId="256C4F6F" w14:textId="77777777" w:rsidR="00E456DC" w:rsidRPr="00784E8E" w:rsidRDefault="00000000">
      <w:pPr>
        <w:rPr>
          <w:lang w:val="en-GB"/>
        </w:rPr>
      </w:pPr>
      <w:r w:rsidRPr="00784E8E">
        <w:rPr>
          <w:rFonts w:eastAsia="Times New Roman"/>
          <w:lang w:val="en-GB"/>
        </w:rPr>
        <w:t>The review process also has important limitations. The search used openly accessible, web-indexed sources and did not include direct subscription-database exports from Embase, Scopus, Web of Science or CINAHL. Search engines do not provide the stable, comprehensive indexing control of bibliographic databases, and relevant reports may have been missed. English-language and peer-reviewed publication restrictions may have excluded local implementation evidence. Citation-led exact-title searching can favour reports already visible in retrieved literature. Although all sought full texts were retrieved, the accessible evidence was concentrated in a small number of countries and health systems.</w:t>
      </w:r>
    </w:p>
    <w:p w14:paraId="47302114" w14:textId="7AFF6728" w:rsidR="00E456DC" w:rsidRPr="00784E8E" w:rsidRDefault="00000000">
      <w:pPr>
        <w:rPr>
          <w:lang w:val="en-GB"/>
        </w:rPr>
      </w:pPr>
      <w:r w:rsidRPr="00784E8E">
        <w:rPr>
          <w:rFonts w:eastAsia="Times New Roman"/>
          <w:lang w:val="en-GB"/>
        </w:rPr>
        <w:t xml:space="preserve">Screening, extraction and appraisal were completed </w:t>
      </w:r>
      <w:r w:rsidR="001008F5" w:rsidRPr="00784E8E">
        <w:rPr>
          <w:rFonts w:eastAsia="Times New Roman"/>
          <w:lang w:val="en-GB"/>
        </w:rPr>
        <w:t xml:space="preserve">by </w:t>
      </w:r>
      <w:r w:rsidRPr="00784E8E">
        <w:rPr>
          <w:rFonts w:eastAsia="Times New Roman"/>
          <w:lang w:val="en-GB"/>
        </w:rPr>
        <w:t xml:space="preserve">one </w:t>
      </w:r>
      <w:r w:rsidR="001008F5" w:rsidRPr="00784E8E">
        <w:rPr>
          <w:rFonts w:eastAsia="Times New Roman"/>
          <w:lang w:val="en-GB"/>
        </w:rPr>
        <w:t xml:space="preserve">reviewer </w:t>
      </w:r>
      <w:r w:rsidRPr="00784E8E">
        <w:rPr>
          <w:rFonts w:eastAsia="Times New Roman"/>
          <w:lang w:val="en-GB"/>
        </w:rPr>
        <w:t xml:space="preserve">without independent </w:t>
      </w:r>
      <w:r w:rsidR="001008F5" w:rsidRPr="00784E8E">
        <w:rPr>
          <w:rFonts w:eastAsia="Times New Roman"/>
          <w:lang w:val="en-GB"/>
        </w:rPr>
        <w:t>second</w:t>
      </w:r>
      <w:r w:rsidRPr="00784E8E">
        <w:rPr>
          <w:rFonts w:eastAsia="Times New Roman"/>
          <w:lang w:val="en-GB"/>
        </w:rPr>
        <w:t xml:space="preserve"> review</w:t>
      </w:r>
      <w:r w:rsidR="001008F5" w:rsidRPr="00784E8E">
        <w:rPr>
          <w:rFonts w:eastAsia="Times New Roman"/>
          <w:lang w:val="en-GB"/>
        </w:rPr>
        <w:t>er</w:t>
      </w:r>
      <w:r w:rsidRPr="00784E8E">
        <w:rPr>
          <w:rFonts w:eastAsia="Times New Roman"/>
          <w:lang w:val="en-GB"/>
        </w:rPr>
        <w:t>. This increases the risk of selection, extraction and judgement error despite the audit trail. The topic was conceptually broad, and the eligibility boundary between a multi-component smart-hospital implementation and a narrow digital intervention required judgement. Included secondary reviews may contain overlapping primary studies; they were therefore used for concept and implementation mapping rather than counted as independent clinical evidence. No formal certainty method was fully suited to the mixture of conceptual, qualitative, modelling and uncontrolled quantitative designs, so the confidence assessment is structured but not GRADE.</w:t>
      </w:r>
    </w:p>
    <w:p w14:paraId="1C71C83F" w14:textId="77777777" w:rsidR="00E456DC" w:rsidRPr="00784E8E" w:rsidRDefault="00000000">
      <w:pPr>
        <w:rPr>
          <w:lang w:val="en-GB"/>
        </w:rPr>
      </w:pPr>
      <w:r w:rsidRPr="00784E8E">
        <w:rPr>
          <w:rFonts w:eastAsia="Times New Roman"/>
          <w:lang w:val="en-GB"/>
        </w:rPr>
        <w:t>Limitations of the underlying evidence were more consequential than the synthesis method. Many reports were single-site case studies with no comparator, unclear denominators, self-reported outcomes or absent uncertainty estimates. Publication and selective-reporting bias are plausible because successful digital projects are more likely to be described. Safety events, equity, cybersecurity, lifecycle cost and implementation failure were under-reported. These limitations restrict causal inference and the transferability of apparently large improvements.</w:t>
      </w:r>
    </w:p>
    <w:p w14:paraId="541BD368" w14:textId="77777777" w:rsidR="00E456DC" w:rsidRPr="00784E8E" w:rsidRDefault="00000000">
      <w:pPr>
        <w:pStyle w:val="Heading1"/>
        <w:rPr>
          <w:lang w:val="en-GB"/>
        </w:rPr>
      </w:pPr>
      <w:r w:rsidRPr="00784E8E">
        <w:rPr>
          <w:rFonts w:ascii="Times New Roman" w:eastAsia="Times New Roman" w:hAnsi="Times New Roman"/>
          <w:lang w:val="en-GB"/>
        </w:rPr>
        <w:t>6. Clinical and Public Health Implications and Future Research</w:t>
      </w:r>
    </w:p>
    <w:p w14:paraId="4A8A114D" w14:textId="77777777" w:rsidR="00E456DC" w:rsidRPr="00784E8E" w:rsidRDefault="00000000">
      <w:pPr>
        <w:rPr>
          <w:lang w:val="en-GB"/>
        </w:rPr>
      </w:pPr>
      <w:r w:rsidRPr="00784E8E">
        <w:rPr>
          <w:rFonts w:eastAsia="Times New Roman"/>
          <w:lang w:val="en-GB"/>
        </w:rPr>
        <w:t>Hospital leaders should define the clinical and operational problem before selecting technology and should measure whether a programme creates net value across the whole pathway. Foundational requirements include reliable identity management, interoperable data standards, clear ownership, resilient networks, usable interfaces, workflow mapping, workforce training and a governance process capable of suspending unsafe functions. Early evaluation should pair intended benefit with balancing measures such as staff burden, data completeness, delays introduced elsewhere, inequitable access, near misses, downtime and total lifecycle cost.</w:t>
      </w:r>
    </w:p>
    <w:p w14:paraId="2DC68C9E" w14:textId="77777777" w:rsidR="00E456DC" w:rsidRPr="00784E8E" w:rsidRDefault="00000000">
      <w:pPr>
        <w:rPr>
          <w:lang w:val="en-GB"/>
        </w:rPr>
      </w:pPr>
      <w:r w:rsidRPr="00784E8E">
        <w:rPr>
          <w:rFonts w:eastAsia="Times New Roman"/>
          <w:lang w:val="en-GB"/>
        </w:rPr>
        <w:t xml:space="preserve">Clinical deployment should proceed through staged, monitored implementation. Low-risk sensing or logistics functions can be evaluated before higher-consequence decision support or autonomous action. Prospective </w:t>
      </w:r>
      <w:r w:rsidRPr="00784E8E">
        <w:rPr>
          <w:rFonts w:eastAsia="Times New Roman"/>
          <w:lang w:val="en-GB"/>
        </w:rPr>
        <w:lastRenderedPageBreak/>
        <w:t>protocols should specify the intended user, decision, time horizon, human override, failure mode and escalation route. Hospitals should retain versioned audit trails for data, models, rules and workflow changes; monitor performance and subgroup fairness after deployment; and predefine thresholds for recalibration, restriction or retirement. Patient and public involvement is particularly important where monitoring is continuous, data are repurposed or automated decisions affect access and prioritisation.</w:t>
      </w:r>
    </w:p>
    <w:p w14:paraId="350D547A" w14:textId="77777777" w:rsidR="00E456DC" w:rsidRPr="00784E8E" w:rsidRDefault="00000000">
      <w:pPr>
        <w:rPr>
          <w:lang w:val="en-GB"/>
        </w:rPr>
      </w:pPr>
      <w:r w:rsidRPr="00784E8E">
        <w:rPr>
          <w:rFonts w:eastAsia="Times New Roman"/>
          <w:lang w:val="en-GB"/>
        </w:rPr>
        <w:t>Research should move beyond uncontrolled before-after reporting. Multicentre prospective comparative studies are needed, using conventional workflow redesign or phased implementation as credible comparators. Stepped-wedge cluster designs, interrupted time-series analyses with sufficient pre- and post-periods, and pragmatic trials may be appropriate when randomisation of entire hospitals is impractical. Common outcome sets should include patient safety events, clinical quality, waiting and flow measures, patient-reported experience, staff time and wellbeing, equity, cybersecurity incidents, energy and material use, and complete economic costs. Numerators, denominators, missingness, uncertainty and adverse consequences should be reported consistently.</w:t>
      </w:r>
    </w:p>
    <w:p w14:paraId="5B6EA64F" w14:textId="77777777" w:rsidR="00E456DC" w:rsidRPr="00784E8E" w:rsidRDefault="00000000">
      <w:pPr>
        <w:rPr>
          <w:lang w:val="en-GB"/>
        </w:rPr>
      </w:pPr>
      <w:r w:rsidRPr="00784E8E">
        <w:rPr>
          <w:rFonts w:eastAsia="Times New Roman"/>
          <w:lang w:val="en-GB"/>
        </w:rPr>
        <w:t>Cognitive capability requires a dedicated research programme. Studies should test whether feedback loops genuinely improve over static decision support, whether adaptation remains safe under distribution shift, and whether organisational learning persists across staff turnover and software change. A minimum cognitive-hospital evaluation should document: the sensed state; the predictive or reasoning process; the authorised action; the feedback signal; the rule for adaptation; the human-governance boundary; and evidence that repeated cycles improve a prespecified outcome without unacceptable harm. Independent external evaluation and transparent reporting of failed or discontinued implementations are essential.</w:t>
      </w:r>
    </w:p>
    <w:p w14:paraId="3EEF044F" w14:textId="77777777" w:rsidR="00E456DC" w:rsidRPr="00784E8E" w:rsidRDefault="00000000">
      <w:pPr>
        <w:rPr>
          <w:lang w:val="en-GB"/>
        </w:rPr>
      </w:pPr>
      <w:r w:rsidRPr="00784E8E">
        <w:rPr>
          <w:rFonts w:eastAsia="Times New Roman"/>
          <w:lang w:val="en-GB"/>
        </w:rPr>
        <w:t>For policy and procurement, maturity claims should be linked to verifiable capabilities rather than marketing terminology. Contracts should require interoperability, exportable audit data, cybersecurity responsibilities, performance monitoring, incident response, continuity during vendor failure and an exit plan. Accreditation bodies and health systems could support a domain-based maturity framework, but thresholds should be validated against patient and workforce outcomes before they are used for ranking or reimbursement.</w:t>
      </w:r>
    </w:p>
    <w:p w14:paraId="72851BD8" w14:textId="77777777" w:rsidR="00E456DC" w:rsidRPr="00784E8E" w:rsidRDefault="00000000">
      <w:pPr>
        <w:pStyle w:val="Heading1"/>
        <w:rPr>
          <w:lang w:val="en-GB"/>
        </w:rPr>
      </w:pPr>
      <w:r w:rsidRPr="00784E8E">
        <w:rPr>
          <w:rFonts w:ascii="Times New Roman" w:eastAsia="Times New Roman" w:hAnsi="Times New Roman"/>
          <w:lang w:val="en-GB"/>
        </w:rPr>
        <w:t>7. Conclusion</w:t>
      </w:r>
    </w:p>
    <w:p w14:paraId="778A22CE" w14:textId="77777777" w:rsidR="00E456DC" w:rsidRPr="00784E8E" w:rsidRDefault="00000000">
      <w:pPr>
        <w:rPr>
          <w:lang w:val="en-GB"/>
        </w:rPr>
      </w:pPr>
      <w:r w:rsidRPr="00784E8E">
        <w:rPr>
          <w:rFonts w:eastAsia="Times New Roman"/>
          <w:lang w:val="en-GB"/>
        </w:rPr>
        <w:t>The literature supports a coherent progression from digitised hospitals, through connected and integrated smart hospitals, towards predictive and potentially cognitive organisations. Smartness is defined less by the number of devices than by interoperable data, redesigned workflows, measurable value and human-centred governance. Cognition adds continuous learning, anticipation, adaptation and accountable feedback across the hospital.</w:t>
      </w:r>
    </w:p>
    <w:p w14:paraId="09662410" w14:textId="77777777" w:rsidR="00E456DC" w:rsidRPr="00784E8E" w:rsidRDefault="00000000">
      <w:pPr>
        <w:rPr>
          <w:lang w:val="en-GB"/>
        </w:rPr>
      </w:pPr>
      <w:r w:rsidRPr="00784E8E">
        <w:rPr>
          <w:rFonts w:eastAsia="Times New Roman"/>
          <w:lang w:val="en-GB"/>
        </w:rPr>
        <w:t>Current evidence demonstrates feasible components and promising operational signals, but it does not establish hospital-wide cognitive capability or reliable improvement in clinical outcomes. Most quantitative findings came from uncontrolled, single-site evaluations with major limitations. The next phase of research should test integrated systems prospectively across hospitals, report safety and burden as rigorously as efficiency, and make learning and adaptation explicit, auditable and governable.</w:t>
      </w:r>
    </w:p>
    <w:p w14:paraId="2E822A98" w14:textId="77777777" w:rsidR="00E456DC" w:rsidRPr="00784E8E" w:rsidRDefault="00000000">
      <w:pPr>
        <w:pStyle w:val="Heading1"/>
        <w:rPr>
          <w:lang w:val="en-GB"/>
        </w:rPr>
      </w:pPr>
      <w:r w:rsidRPr="00784E8E">
        <w:rPr>
          <w:rFonts w:ascii="Times New Roman" w:eastAsia="Times New Roman" w:hAnsi="Times New Roman"/>
          <w:lang w:val="en-GB"/>
        </w:rPr>
        <w:t>Declarations</w:t>
      </w:r>
    </w:p>
    <w:p w14:paraId="52A8C636" w14:textId="77777777" w:rsidR="00E456DC" w:rsidRPr="00784E8E" w:rsidRDefault="00000000">
      <w:pPr>
        <w:rPr>
          <w:lang w:val="en-GB"/>
        </w:rPr>
      </w:pPr>
      <w:r w:rsidRPr="00784E8E">
        <w:rPr>
          <w:rFonts w:eastAsia="Times New Roman"/>
          <w:b/>
          <w:color w:val="17365D"/>
          <w:sz w:val="20"/>
          <w:lang w:val="en-GB"/>
        </w:rPr>
        <w:t xml:space="preserve">Protocol and registration: </w:t>
      </w:r>
      <w:r w:rsidRPr="00784E8E">
        <w:rPr>
          <w:rFonts w:eastAsia="Times New Roman"/>
          <w:sz w:val="20"/>
          <w:lang w:val="en-GB"/>
        </w:rPr>
        <w:t>The review was not registered and no prospective public protocol was available.</w:t>
      </w:r>
    </w:p>
    <w:p w14:paraId="2FC8D9EA" w14:textId="77777777" w:rsidR="00E456DC" w:rsidRPr="00784E8E" w:rsidRDefault="00000000">
      <w:pPr>
        <w:rPr>
          <w:lang w:val="en-GB"/>
        </w:rPr>
      </w:pPr>
      <w:r w:rsidRPr="00784E8E">
        <w:rPr>
          <w:rFonts w:eastAsia="Times New Roman"/>
          <w:b/>
          <w:color w:val="17365D"/>
          <w:sz w:val="20"/>
          <w:lang w:val="en-GB"/>
        </w:rPr>
        <w:t xml:space="preserve">Ethics approval and consent: </w:t>
      </w:r>
      <w:r w:rsidRPr="00784E8E">
        <w:rPr>
          <w:rFonts w:eastAsia="Times New Roman"/>
          <w:sz w:val="20"/>
          <w:lang w:val="en-GB"/>
        </w:rPr>
        <w:t>This review analysed publicly available study reports and did not enrol participants; new participant ethics approval and consent were not required.</w:t>
      </w:r>
    </w:p>
    <w:p w14:paraId="4875C4D4" w14:textId="77777777" w:rsidR="00E456DC" w:rsidRPr="00784E8E" w:rsidRDefault="00000000">
      <w:pPr>
        <w:rPr>
          <w:lang w:val="en-GB"/>
        </w:rPr>
      </w:pPr>
      <w:r w:rsidRPr="00784E8E">
        <w:rPr>
          <w:rFonts w:eastAsia="Times New Roman"/>
          <w:b/>
          <w:color w:val="17365D"/>
          <w:sz w:val="20"/>
          <w:lang w:val="en-GB"/>
        </w:rPr>
        <w:t xml:space="preserve">Competing interests: </w:t>
      </w:r>
      <w:r w:rsidRPr="00784E8E">
        <w:rPr>
          <w:rFonts w:eastAsia="Times New Roman"/>
          <w:sz w:val="20"/>
          <w:lang w:val="en-GB"/>
        </w:rPr>
        <w:t>No.</w:t>
      </w:r>
    </w:p>
    <w:p w14:paraId="690CD1E1" w14:textId="77777777" w:rsidR="00E456DC" w:rsidRPr="00784E8E" w:rsidRDefault="00000000">
      <w:pPr>
        <w:rPr>
          <w:lang w:val="en-GB"/>
        </w:rPr>
      </w:pPr>
      <w:r w:rsidRPr="00784E8E">
        <w:rPr>
          <w:rFonts w:eastAsia="Times New Roman"/>
          <w:b/>
          <w:color w:val="17365D"/>
          <w:sz w:val="20"/>
          <w:lang w:val="en-GB"/>
        </w:rPr>
        <w:t xml:space="preserve">Patient and public involvement: </w:t>
      </w:r>
      <w:r w:rsidRPr="00784E8E">
        <w:rPr>
          <w:rFonts w:eastAsia="Times New Roman"/>
          <w:sz w:val="20"/>
          <w:lang w:val="en-GB"/>
        </w:rPr>
        <w:t>No patient or public involvement in this review was documented.</w:t>
      </w:r>
    </w:p>
    <w:p w14:paraId="2BDC8EEA" w14:textId="77777777" w:rsidR="00E456DC" w:rsidRDefault="00000000">
      <w:pPr>
        <w:rPr>
          <w:rFonts w:eastAsia="Times New Roman"/>
          <w:sz w:val="20"/>
          <w:lang w:val="en-GB"/>
        </w:rPr>
      </w:pPr>
      <w:r w:rsidRPr="00784E8E">
        <w:rPr>
          <w:rFonts w:eastAsia="Times New Roman"/>
          <w:b/>
          <w:color w:val="17365D"/>
          <w:sz w:val="20"/>
          <w:lang w:val="en-GB"/>
        </w:rPr>
        <w:t xml:space="preserve">Data availability: </w:t>
      </w:r>
      <w:r w:rsidRPr="00784E8E">
        <w:rPr>
          <w:rFonts w:eastAsia="Times New Roman"/>
          <w:sz w:val="20"/>
          <w:lang w:val="en-GB"/>
        </w:rPr>
        <w:t>The evidence ledger and supplementary material supplied with the manuscript contain the auditable search, screening, extraction, appraisal and reference-verification trail.</w:t>
      </w:r>
    </w:p>
    <w:p w14:paraId="1672041C" w14:textId="77777777" w:rsidR="00F249E9" w:rsidRDefault="00F249E9">
      <w:pPr>
        <w:rPr>
          <w:rFonts w:eastAsia="Times New Roman"/>
          <w:sz w:val="20"/>
          <w:lang w:val="en-GB"/>
        </w:rPr>
      </w:pPr>
    </w:p>
    <w:p w14:paraId="1D3E90D6" w14:textId="77777777" w:rsidR="00F249E9" w:rsidRDefault="00F249E9" w:rsidP="00F249E9">
      <w:pPr>
        <w:spacing w:after="0" w:line="240" w:lineRule="auto"/>
        <w:rPr>
          <w:rFonts w:cs="Times New Roman"/>
          <w:b/>
        </w:rPr>
      </w:pPr>
      <w:r w:rsidRPr="000839CE">
        <w:rPr>
          <w:rFonts w:cs="Times New Roman"/>
          <w:b/>
        </w:rPr>
        <w:t>Declaration of AI Use</w:t>
      </w:r>
    </w:p>
    <w:p w14:paraId="044726FB" w14:textId="77777777" w:rsidR="00F249E9" w:rsidRDefault="00F249E9" w:rsidP="00F249E9">
      <w:pPr>
        <w:spacing w:after="0" w:line="240" w:lineRule="auto"/>
        <w:rPr>
          <w:rFonts w:cs="Times New Roman"/>
          <w:b/>
        </w:rPr>
      </w:pPr>
    </w:p>
    <w:p w14:paraId="38AF185E" w14:textId="77777777" w:rsidR="00F249E9" w:rsidRDefault="00F249E9" w:rsidP="00F249E9">
      <w:pPr>
        <w:spacing w:after="0" w:line="240" w:lineRule="auto"/>
        <w:rPr>
          <w:rFonts w:cs="Times New Roman"/>
          <w:b/>
        </w:rPr>
      </w:pPr>
    </w:p>
    <w:p w14:paraId="304695EE" w14:textId="77777777" w:rsidR="00F249E9" w:rsidRDefault="00F249E9" w:rsidP="00F249E9">
      <w:pPr>
        <w:spacing w:after="0" w:line="240" w:lineRule="auto"/>
        <w:rPr>
          <w:rFonts w:cs="Times New Roman"/>
          <w:b/>
        </w:rPr>
      </w:pPr>
    </w:p>
    <w:p w14:paraId="1EF2A5C0" w14:textId="77777777" w:rsidR="00F249E9" w:rsidRPr="002D08AC" w:rsidRDefault="00F249E9" w:rsidP="00F249E9">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A7B0A15" w14:textId="77777777" w:rsidR="00F249E9" w:rsidRPr="00784E8E" w:rsidRDefault="00F249E9">
      <w:pPr>
        <w:rPr>
          <w:lang w:val="en-GB"/>
        </w:rPr>
      </w:pPr>
    </w:p>
    <w:p w14:paraId="4BC95F3E" w14:textId="77777777" w:rsidR="00E456DC" w:rsidRPr="00784E8E" w:rsidRDefault="00000000">
      <w:pPr>
        <w:pStyle w:val="Heading1"/>
        <w:rPr>
          <w:lang w:val="en-GB"/>
        </w:rPr>
      </w:pPr>
      <w:r w:rsidRPr="00784E8E">
        <w:rPr>
          <w:rFonts w:ascii="Times New Roman" w:eastAsia="Times New Roman" w:hAnsi="Times New Roman"/>
          <w:lang w:val="en-GB"/>
        </w:rPr>
        <w:t>References</w:t>
      </w:r>
    </w:p>
    <w:p w14:paraId="0757A0B3" w14:textId="77777777" w:rsidR="00E456DC" w:rsidRPr="00784E8E" w:rsidRDefault="00000000">
      <w:pPr>
        <w:pStyle w:val="Reference"/>
        <w:rPr>
          <w:lang w:val="en-GB"/>
        </w:rPr>
      </w:pPr>
      <w:proofErr w:type="spellStart"/>
      <w:r w:rsidRPr="00784E8E">
        <w:rPr>
          <w:rFonts w:eastAsia="Times New Roman"/>
          <w:lang w:val="en-GB"/>
        </w:rPr>
        <w:t>Aromataris</w:t>
      </w:r>
      <w:proofErr w:type="spellEnd"/>
      <w:r w:rsidRPr="00784E8E">
        <w:rPr>
          <w:rFonts w:eastAsia="Times New Roman"/>
          <w:lang w:val="en-GB"/>
        </w:rPr>
        <w:t xml:space="preserve">, E., Lockwood, C., Porritt, K., Pilla, B., &amp; Jordan, Z. (Eds.). (2024). JBI manual for evidence synthesis. </w:t>
      </w:r>
      <w:r w:rsidRPr="00784E8E">
        <w:rPr>
          <w:rFonts w:eastAsia="Times New Roman"/>
          <w:i/>
          <w:lang w:val="en-GB"/>
        </w:rPr>
        <w:t>JBI.</w:t>
      </w:r>
      <w:r w:rsidRPr="00784E8E">
        <w:rPr>
          <w:rFonts w:eastAsia="Times New Roman"/>
          <w:lang w:val="en-GB"/>
        </w:rPr>
        <w:t xml:space="preserve"> https://doi.org/10.46658/JBIMES-24-01</w:t>
      </w:r>
    </w:p>
    <w:p w14:paraId="47BC97F8" w14:textId="77777777" w:rsidR="00E456DC" w:rsidRPr="00784E8E" w:rsidRDefault="00000000">
      <w:pPr>
        <w:pStyle w:val="Reference"/>
        <w:rPr>
          <w:lang w:val="en-GB"/>
        </w:rPr>
      </w:pPr>
      <w:r w:rsidRPr="00784E8E">
        <w:rPr>
          <w:rFonts w:eastAsia="Times New Roman"/>
          <w:lang w:val="en-GB"/>
        </w:rPr>
        <w:t xml:space="preserve">Beller, E. M., </w:t>
      </w:r>
      <w:proofErr w:type="spellStart"/>
      <w:r w:rsidRPr="00784E8E">
        <w:rPr>
          <w:rFonts w:eastAsia="Times New Roman"/>
          <w:lang w:val="en-GB"/>
        </w:rPr>
        <w:t>Glasziou</w:t>
      </w:r>
      <w:proofErr w:type="spellEnd"/>
      <w:r w:rsidRPr="00784E8E">
        <w:rPr>
          <w:rFonts w:eastAsia="Times New Roman"/>
          <w:lang w:val="en-GB"/>
        </w:rPr>
        <w:t xml:space="preserve">, P. P., Altman, D. G., Hopewell, S., Bastian, H., Chalmers, I., Gøtzsche, P. C., Lasserson, T., &amp; Tovey, D. (2013). PRISMA for abstracts: Reporting systematic reviews in journal and conference abstracts. </w:t>
      </w:r>
      <w:r w:rsidRPr="00784E8E">
        <w:rPr>
          <w:rFonts w:eastAsia="Times New Roman"/>
          <w:i/>
          <w:lang w:val="en-GB"/>
        </w:rPr>
        <w:t>PLOS Medicine, 10</w:t>
      </w:r>
      <w:r w:rsidRPr="00784E8E">
        <w:rPr>
          <w:rFonts w:eastAsia="Times New Roman"/>
          <w:lang w:val="en-GB"/>
        </w:rPr>
        <w:t>(4), e1001419. https://doi.org/10.1371/journal.pmed.1001419</w:t>
      </w:r>
    </w:p>
    <w:p w14:paraId="291ECDA0" w14:textId="77777777" w:rsidR="00E456DC" w:rsidRPr="00784E8E" w:rsidRDefault="00000000">
      <w:pPr>
        <w:pStyle w:val="Reference"/>
        <w:rPr>
          <w:lang w:val="en-GB"/>
        </w:rPr>
      </w:pPr>
      <w:r w:rsidRPr="00784E8E">
        <w:rPr>
          <w:rFonts w:eastAsia="Times New Roman"/>
          <w:lang w:val="en-GB"/>
        </w:rPr>
        <w:t xml:space="preserve">Campbell, M., McKenzie, J. E., Sowden, A., </w:t>
      </w:r>
      <w:proofErr w:type="spellStart"/>
      <w:r w:rsidRPr="00784E8E">
        <w:rPr>
          <w:rFonts w:eastAsia="Times New Roman"/>
          <w:lang w:val="en-GB"/>
        </w:rPr>
        <w:t>Katikireddi</w:t>
      </w:r>
      <w:proofErr w:type="spellEnd"/>
      <w:r w:rsidRPr="00784E8E">
        <w:rPr>
          <w:rFonts w:eastAsia="Times New Roman"/>
          <w:lang w:val="en-GB"/>
        </w:rPr>
        <w:t>, S. V., Brennan, S. E., Ellis, S., Hartmann-Boyce, J., Ryan, R., Shepperd, S., Thomas, J., Welch, V., &amp; Thomson, H. (2020). Synthesis without meta-analysis (</w:t>
      </w:r>
      <w:proofErr w:type="spellStart"/>
      <w:r w:rsidRPr="00784E8E">
        <w:rPr>
          <w:rFonts w:eastAsia="Times New Roman"/>
          <w:lang w:val="en-GB"/>
        </w:rPr>
        <w:t>SWiM</w:t>
      </w:r>
      <w:proofErr w:type="spellEnd"/>
      <w:r w:rsidRPr="00784E8E">
        <w:rPr>
          <w:rFonts w:eastAsia="Times New Roman"/>
          <w:lang w:val="en-GB"/>
        </w:rPr>
        <w:t xml:space="preserve">) in systematic reviews: Reporting guideline. </w:t>
      </w:r>
      <w:r w:rsidRPr="00784E8E">
        <w:rPr>
          <w:rFonts w:eastAsia="Times New Roman"/>
          <w:i/>
          <w:lang w:val="en-GB"/>
        </w:rPr>
        <w:t>BMJ, 368</w:t>
      </w:r>
      <w:r w:rsidRPr="00784E8E">
        <w:rPr>
          <w:rFonts w:eastAsia="Times New Roman"/>
          <w:lang w:val="en-GB"/>
        </w:rPr>
        <w:t>, l6890. https://doi.org/10.1136/bmj.l6890</w:t>
      </w:r>
    </w:p>
    <w:p w14:paraId="1DC3465F" w14:textId="77777777" w:rsidR="00E456DC" w:rsidRPr="00784E8E" w:rsidRDefault="00000000">
      <w:pPr>
        <w:pStyle w:val="Reference"/>
        <w:rPr>
          <w:lang w:val="en-GB"/>
        </w:rPr>
      </w:pPr>
      <w:r w:rsidRPr="00784E8E">
        <w:rPr>
          <w:rFonts w:eastAsia="Times New Roman"/>
          <w:lang w:val="en-GB"/>
        </w:rPr>
        <w:t xml:space="preserve">de Graaf, Y., Ahmed, A., Sanges, C., Herbst, L., &amp; </w:t>
      </w:r>
      <w:proofErr w:type="spellStart"/>
      <w:r w:rsidRPr="00784E8E">
        <w:rPr>
          <w:rFonts w:eastAsia="Times New Roman"/>
          <w:lang w:val="en-GB"/>
        </w:rPr>
        <w:t>Vrijhoef</w:t>
      </w:r>
      <w:proofErr w:type="spellEnd"/>
      <w:r w:rsidRPr="00784E8E">
        <w:rPr>
          <w:rFonts w:eastAsia="Times New Roman"/>
          <w:lang w:val="en-GB"/>
        </w:rPr>
        <w:t xml:space="preserve">, H. J. M. (2025). Societal factors influencing the implementation of AI-driven technologies in (smart) hospitals. </w:t>
      </w:r>
      <w:r w:rsidRPr="00784E8E">
        <w:rPr>
          <w:rFonts w:eastAsia="Times New Roman"/>
          <w:i/>
          <w:lang w:val="en-GB"/>
        </w:rPr>
        <w:t>PLOS ONE, 20</w:t>
      </w:r>
      <w:r w:rsidRPr="00784E8E">
        <w:rPr>
          <w:rFonts w:eastAsia="Times New Roman"/>
          <w:lang w:val="en-GB"/>
        </w:rPr>
        <w:t>(6), e0325718. https://doi.org/10.1371/journal.pone.0325718</w:t>
      </w:r>
    </w:p>
    <w:p w14:paraId="676F7CC8" w14:textId="77777777" w:rsidR="00E456DC" w:rsidRPr="00784E8E" w:rsidRDefault="00000000">
      <w:pPr>
        <w:pStyle w:val="Reference"/>
        <w:rPr>
          <w:lang w:val="en-GB"/>
        </w:rPr>
      </w:pPr>
      <w:r w:rsidRPr="00784E8E">
        <w:rPr>
          <w:rFonts w:eastAsia="Times New Roman"/>
          <w:lang w:val="en-GB"/>
        </w:rPr>
        <w:t xml:space="preserve">Hassmann, J., Kröner, S., Niemöller, L., Wu, L., &amp; Hübner, U. (2025). Can digital smart workflows in a hospital free staff from documentation and administrative work? </w:t>
      </w:r>
      <w:r w:rsidRPr="00784E8E">
        <w:rPr>
          <w:rFonts w:eastAsia="Times New Roman"/>
          <w:i/>
          <w:lang w:val="en-GB"/>
        </w:rPr>
        <w:t>Studies in Health Technology and Informatics, 332</w:t>
      </w:r>
      <w:r w:rsidRPr="00784E8E">
        <w:rPr>
          <w:rFonts w:eastAsia="Times New Roman"/>
          <w:lang w:val="en-GB"/>
        </w:rPr>
        <w:t>, 123-128. https://doi.org/10.3233/SHTI251509</w:t>
      </w:r>
    </w:p>
    <w:p w14:paraId="3B12EF6E" w14:textId="77777777" w:rsidR="00E456DC" w:rsidRPr="00784E8E" w:rsidRDefault="00000000">
      <w:pPr>
        <w:pStyle w:val="Reference"/>
        <w:rPr>
          <w:lang w:val="en-GB"/>
        </w:rPr>
      </w:pPr>
      <w:r w:rsidRPr="00784E8E">
        <w:rPr>
          <w:rFonts w:eastAsia="Times New Roman"/>
          <w:lang w:val="en-GB"/>
        </w:rPr>
        <w:t xml:space="preserve">Jiang, C., Zhu, H., Deng, L., Shu, Y., Zhou, X., Tong, L., Zhou, Y., Ye, Y., &amp; Cao, M. (2026). Evaluation of an intelligent inpatient transportation system in a large tertiary hospital: A full implementation case review. </w:t>
      </w:r>
      <w:r w:rsidRPr="00784E8E">
        <w:rPr>
          <w:rFonts w:eastAsia="Times New Roman"/>
          <w:i/>
          <w:lang w:val="en-GB"/>
        </w:rPr>
        <w:t>Frontiers in Public Health, 14</w:t>
      </w:r>
      <w:r w:rsidRPr="00784E8E">
        <w:rPr>
          <w:rFonts w:eastAsia="Times New Roman"/>
          <w:lang w:val="en-GB"/>
        </w:rPr>
        <w:t>, 1758228. https://doi.org/10.3389/fpubh.2026.1758228</w:t>
      </w:r>
    </w:p>
    <w:p w14:paraId="60782294" w14:textId="77777777" w:rsidR="00E456DC" w:rsidRPr="00784E8E" w:rsidRDefault="00000000">
      <w:pPr>
        <w:pStyle w:val="Reference"/>
        <w:rPr>
          <w:lang w:val="en-GB"/>
        </w:rPr>
      </w:pPr>
      <w:r w:rsidRPr="00784E8E">
        <w:rPr>
          <w:rFonts w:eastAsia="Times New Roman"/>
          <w:lang w:val="en-GB"/>
        </w:rPr>
        <w:t xml:space="preserve">Jovy-Klein, F., Stead, S., Salge, T. O., Sander, J., Diehl, A., &amp; Antons, D. (2024). Forecasting the future of smart hospitals: Findings from a real-time Delphi study. </w:t>
      </w:r>
      <w:r w:rsidRPr="00784E8E">
        <w:rPr>
          <w:rFonts w:eastAsia="Times New Roman"/>
          <w:i/>
          <w:lang w:val="en-GB"/>
        </w:rPr>
        <w:t>BMC Health Services Research, 24</w:t>
      </w:r>
      <w:r w:rsidRPr="00784E8E">
        <w:rPr>
          <w:rFonts w:eastAsia="Times New Roman"/>
          <w:lang w:val="en-GB"/>
        </w:rPr>
        <w:t>, 1421. https://doi.org/10.1186/s12913-024-11895-z</w:t>
      </w:r>
    </w:p>
    <w:p w14:paraId="7BD37CE0" w14:textId="77777777" w:rsidR="00E456DC" w:rsidRPr="00784E8E" w:rsidRDefault="00000000">
      <w:pPr>
        <w:pStyle w:val="Reference"/>
        <w:rPr>
          <w:lang w:val="en-GB"/>
        </w:rPr>
      </w:pPr>
      <w:r w:rsidRPr="00784E8E">
        <w:rPr>
          <w:rFonts w:eastAsia="Times New Roman"/>
          <w:lang w:val="en-GB"/>
        </w:rPr>
        <w:t xml:space="preserve">Kwon, H., An, S., Lee, H.-Y., Cha, W. C., Kim, S., Cho, M., &amp; Kong, H.-J. (2022). Review of smart hospital services in real healthcare environments. </w:t>
      </w:r>
      <w:r w:rsidRPr="00784E8E">
        <w:rPr>
          <w:rFonts w:eastAsia="Times New Roman"/>
          <w:i/>
          <w:lang w:val="en-GB"/>
        </w:rPr>
        <w:t>Healthcare Informatics Research, 28</w:t>
      </w:r>
      <w:r w:rsidRPr="00784E8E">
        <w:rPr>
          <w:rFonts w:eastAsia="Times New Roman"/>
          <w:lang w:val="en-GB"/>
        </w:rPr>
        <w:t>(1), 3-15. https://doi.org/10.4258/hir.2022.28.1.3</w:t>
      </w:r>
    </w:p>
    <w:p w14:paraId="7B6A99E7" w14:textId="77777777" w:rsidR="00E456DC" w:rsidRPr="00784E8E" w:rsidRDefault="00000000">
      <w:pPr>
        <w:pStyle w:val="Reference"/>
        <w:rPr>
          <w:lang w:val="en-GB"/>
        </w:rPr>
      </w:pPr>
      <w:r w:rsidRPr="00784E8E">
        <w:rPr>
          <w:rFonts w:eastAsia="Times New Roman"/>
          <w:lang w:val="en-GB"/>
        </w:rPr>
        <w:t xml:space="preserve">Lee, W., Choi, S.-I., Hong, K. P., Kang, Y. J., Yang, H., Park, J. Y., &amp; Kim, N. Y. (2026). Promoting rehabilitation using a multimodal Internet of Things-based patient monitoring system in a smart hospital. </w:t>
      </w:r>
      <w:r w:rsidRPr="00784E8E">
        <w:rPr>
          <w:rFonts w:eastAsia="Times New Roman"/>
          <w:i/>
          <w:lang w:val="en-GB"/>
        </w:rPr>
        <w:t>IEEE Journal of Translational Engineering in Health and Medicine, 14</w:t>
      </w:r>
      <w:r w:rsidRPr="00784E8E">
        <w:rPr>
          <w:rFonts w:eastAsia="Times New Roman"/>
          <w:lang w:val="en-GB"/>
        </w:rPr>
        <w:t>, 113-122. https://doi.org/10.1109/JTEHM.2026.3669059</w:t>
      </w:r>
    </w:p>
    <w:p w14:paraId="439F2EED" w14:textId="77777777" w:rsidR="00E456DC" w:rsidRPr="00784E8E" w:rsidRDefault="00000000">
      <w:pPr>
        <w:pStyle w:val="Reference"/>
        <w:rPr>
          <w:lang w:val="en-GB"/>
        </w:rPr>
      </w:pPr>
      <w:r w:rsidRPr="00784E8E">
        <w:rPr>
          <w:rFonts w:eastAsia="Times New Roman"/>
          <w:lang w:val="en-GB"/>
        </w:rPr>
        <w:t xml:space="preserve">Malekzadeh, R., Abedi, G., &amp; Sadeghi, M. (2025). Development of a conceptual framework for smart hospitals: A qualitative study in Iran. </w:t>
      </w:r>
      <w:r w:rsidRPr="00784E8E">
        <w:rPr>
          <w:rFonts w:eastAsia="Times New Roman"/>
          <w:i/>
          <w:lang w:val="en-GB"/>
        </w:rPr>
        <w:t>Health Science Reports, 8</w:t>
      </w:r>
      <w:r w:rsidRPr="00784E8E">
        <w:rPr>
          <w:rFonts w:eastAsia="Times New Roman"/>
          <w:lang w:val="en-GB"/>
        </w:rPr>
        <w:t>(11), e71339. https://doi.org/10.1002/hsr2.71339</w:t>
      </w:r>
    </w:p>
    <w:p w14:paraId="4CD80540" w14:textId="77777777" w:rsidR="00E456DC" w:rsidRPr="00784E8E" w:rsidRDefault="00000000">
      <w:pPr>
        <w:pStyle w:val="Reference"/>
        <w:rPr>
          <w:lang w:val="en-GB"/>
        </w:rPr>
      </w:pPr>
      <w:r w:rsidRPr="00784E8E">
        <w:rPr>
          <w:rFonts w:eastAsia="Times New Roman"/>
          <w:lang w:val="en-GB"/>
        </w:rPr>
        <w:t xml:space="preserve">Page, M. J., McKenzie, J. E., Bossuyt, P. M., </w:t>
      </w:r>
      <w:proofErr w:type="spellStart"/>
      <w:r w:rsidRPr="00784E8E">
        <w:rPr>
          <w:rFonts w:eastAsia="Times New Roman"/>
          <w:lang w:val="en-GB"/>
        </w:rPr>
        <w:t>Boutron</w:t>
      </w:r>
      <w:proofErr w:type="spellEnd"/>
      <w:r w:rsidRPr="00784E8E">
        <w:rPr>
          <w:rFonts w:eastAsia="Times New Roman"/>
          <w:lang w:val="en-GB"/>
        </w:rPr>
        <w:t xml:space="preserve">, I., Hoffmann, T. C., Mulrow, C. D., </w:t>
      </w:r>
      <w:proofErr w:type="spellStart"/>
      <w:r w:rsidRPr="00784E8E">
        <w:rPr>
          <w:rFonts w:eastAsia="Times New Roman"/>
          <w:lang w:val="en-GB"/>
        </w:rPr>
        <w:t>Shamseer</w:t>
      </w:r>
      <w:proofErr w:type="spellEnd"/>
      <w:r w:rsidRPr="00784E8E">
        <w:rPr>
          <w:rFonts w:eastAsia="Times New Roman"/>
          <w:lang w:val="en-GB"/>
        </w:rPr>
        <w:t xml:space="preserve">, L., Tetzlaff, J. M., Akl, E. A., Brennan, S. E., Chou, R., Glanville, J., Grimshaw, J. M., Hróbjartsson, A., Lalu, M. M., Li, T., Loder, E. W., Mayo-Wilson, E., McDonald, S., ... Moher, D. (2021). The PRISMA 2020 statement: An updated guideline for reporting systematic reviews. </w:t>
      </w:r>
      <w:r w:rsidRPr="00784E8E">
        <w:rPr>
          <w:rFonts w:eastAsia="Times New Roman"/>
          <w:i/>
          <w:lang w:val="en-GB"/>
        </w:rPr>
        <w:t>BMJ, 372</w:t>
      </w:r>
      <w:r w:rsidRPr="00784E8E">
        <w:rPr>
          <w:rFonts w:eastAsia="Times New Roman"/>
          <w:lang w:val="en-GB"/>
        </w:rPr>
        <w:t>, n71. https://doi.org/10.1136/bmj.n71</w:t>
      </w:r>
    </w:p>
    <w:p w14:paraId="164E4936" w14:textId="77777777" w:rsidR="00E456DC" w:rsidRPr="00784E8E" w:rsidRDefault="00000000">
      <w:pPr>
        <w:pStyle w:val="Reference"/>
        <w:rPr>
          <w:lang w:val="en-GB"/>
        </w:rPr>
      </w:pPr>
      <w:r w:rsidRPr="00784E8E">
        <w:rPr>
          <w:rFonts w:eastAsia="Times New Roman"/>
          <w:lang w:val="en-GB"/>
        </w:rPr>
        <w:t xml:space="preserve">Park, A., Chang, H., &amp; Lee, K. J. (2018). How to sustain smart connected hospital services: An experience from a pilot project on IoT-based healthcare services. </w:t>
      </w:r>
      <w:r w:rsidRPr="00784E8E">
        <w:rPr>
          <w:rFonts w:eastAsia="Times New Roman"/>
          <w:i/>
          <w:lang w:val="en-GB"/>
        </w:rPr>
        <w:t>Healthcare Informatics Research, 24</w:t>
      </w:r>
      <w:r w:rsidRPr="00784E8E">
        <w:rPr>
          <w:rFonts w:eastAsia="Times New Roman"/>
          <w:lang w:val="en-GB"/>
        </w:rPr>
        <w:t>(4), 387-393. https://doi.org/10.4258/hir.2018.24.4.387</w:t>
      </w:r>
    </w:p>
    <w:p w14:paraId="545B51BE" w14:textId="77777777" w:rsidR="00E456DC" w:rsidRPr="00784E8E" w:rsidRDefault="00000000">
      <w:pPr>
        <w:pStyle w:val="Reference"/>
        <w:rPr>
          <w:lang w:val="en-GB"/>
        </w:rPr>
      </w:pPr>
      <w:r w:rsidRPr="00784E8E">
        <w:rPr>
          <w:rFonts w:eastAsia="Times New Roman"/>
          <w:lang w:val="en-GB"/>
        </w:rPr>
        <w:t xml:space="preserve">Peng, S., Gao, Y., Hong, Y., Ren, X., Tang, X., Ding, X., Li, J., Wang, J., &amp; Guo, D. (2026). Exploration and practice of AI-enabled smart caregiver-free ward with traditional Chinese medicine characteristics: A case study based on the Guangming branch of Shenzhen Traditional Chinese Medicine Hospital. </w:t>
      </w:r>
      <w:r w:rsidRPr="00784E8E">
        <w:rPr>
          <w:rFonts w:eastAsia="Times New Roman"/>
          <w:i/>
          <w:lang w:val="en-GB"/>
        </w:rPr>
        <w:t>Frontiers in Public Health, 14</w:t>
      </w:r>
      <w:r w:rsidRPr="00784E8E">
        <w:rPr>
          <w:rFonts w:eastAsia="Times New Roman"/>
          <w:lang w:val="en-GB"/>
        </w:rPr>
        <w:t>, 1799247. https://doi.org/10.3389/fpubh.2026.1799247</w:t>
      </w:r>
    </w:p>
    <w:p w14:paraId="4E5BB78B" w14:textId="77777777" w:rsidR="00E456DC" w:rsidRPr="00784E8E" w:rsidRDefault="00000000">
      <w:pPr>
        <w:pStyle w:val="Reference"/>
        <w:rPr>
          <w:lang w:val="en-GB"/>
        </w:rPr>
      </w:pPr>
      <w:r w:rsidRPr="00784E8E">
        <w:rPr>
          <w:rFonts w:eastAsia="Times New Roman"/>
          <w:lang w:val="en-GB"/>
        </w:rPr>
        <w:t xml:space="preserve">Quan, X., &amp; Pan, J. (2026). Enhancing healthcare quality and management: AI-driven smart consortium practices at </w:t>
      </w:r>
      <w:proofErr w:type="spellStart"/>
      <w:r w:rsidRPr="00784E8E">
        <w:rPr>
          <w:rFonts w:eastAsia="Times New Roman"/>
          <w:lang w:val="en-GB"/>
        </w:rPr>
        <w:t>Dapeng</w:t>
      </w:r>
      <w:proofErr w:type="spellEnd"/>
      <w:r w:rsidRPr="00784E8E">
        <w:rPr>
          <w:rFonts w:eastAsia="Times New Roman"/>
          <w:lang w:val="en-GB"/>
        </w:rPr>
        <w:t xml:space="preserve"> Medical Group, Shenzhen. </w:t>
      </w:r>
      <w:r w:rsidRPr="00784E8E">
        <w:rPr>
          <w:rFonts w:eastAsia="Times New Roman"/>
          <w:i/>
          <w:lang w:val="en-GB"/>
        </w:rPr>
        <w:t>Frontiers in Medicine, 13</w:t>
      </w:r>
      <w:r w:rsidRPr="00784E8E">
        <w:rPr>
          <w:rFonts w:eastAsia="Times New Roman"/>
          <w:lang w:val="en-GB"/>
        </w:rPr>
        <w:t>, 1680509. https://doi.org/10.3389/fmed.2026.1680509</w:t>
      </w:r>
    </w:p>
    <w:p w14:paraId="2F9D4150" w14:textId="77777777" w:rsidR="00E456DC" w:rsidRPr="00784E8E" w:rsidRDefault="00000000">
      <w:pPr>
        <w:pStyle w:val="Reference"/>
        <w:rPr>
          <w:lang w:val="en-GB"/>
        </w:rPr>
      </w:pPr>
      <w:proofErr w:type="spellStart"/>
      <w:r w:rsidRPr="00784E8E">
        <w:rPr>
          <w:rFonts w:eastAsia="Times New Roman"/>
          <w:lang w:val="en-GB"/>
        </w:rPr>
        <w:t>Rabiei</w:t>
      </w:r>
      <w:proofErr w:type="spellEnd"/>
      <w:r w:rsidRPr="00784E8E">
        <w:rPr>
          <w:rFonts w:eastAsia="Times New Roman"/>
          <w:lang w:val="en-GB"/>
        </w:rPr>
        <w:t xml:space="preserve">, R., Hsu, W.-C., Bastani, P., Almasi, S., </w:t>
      </w:r>
      <w:proofErr w:type="spellStart"/>
      <w:r w:rsidRPr="00784E8E">
        <w:rPr>
          <w:rFonts w:eastAsia="Times New Roman"/>
          <w:lang w:val="en-GB"/>
        </w:rPr>
        <w:t>Mortezaei</w:t>
      </w:r>
      <w:proofErr w:type="spellEnd"/>
      <w:r w:rsidRPr="00784E8E">
        <w:rPr>
          <w:rFonts w:eastAsia="Times New Roman"/>
          <w:lang w:val="en-GB"/>
        </w:rPr>
        <w:t xml:space="preserve">, S., &amp; Dehghan, S. (2025). Transition toward smart hospitals: A scoping review of features, technologies, and challenges. </w:t>
      </w:r>
      <w:r w:rsidRPr="00784E8E">
        <w:rPr>
          <w:rFonts w:eastAsia="Times New Roman"/>
          <w:i/>
          <w:lang w:val="en-GB"/>
        </w:rPr>
        <w:t>Health Science Reports, 8</w:t>
      </w:r>
      <w:r w:rsidRPr="00784E8E">
        <w:rPr>
          <w:rFonts w:eastAsia="Times New Roman"/>
          <w:lang w:val="en-GB"/>
        </w:rPr>
        <w:t>(12), e71601. https://doi.org/10.1002/hsr2.71601</w:t>
      </w:r>
    </w:p>
    <w:p w14:paraId="3EDF7088" w14:textId="77777777" w:rsidR="00E456DC" w:rsidRPr="00784E8E" w:rsidRDefault="00000000">
      <w:pPr>
        <w:pStyle w:val="Reference"/>
        <w:rPr>
          <w:lang w:val="en-GB"/>
        </w:rPr>
      </w:pPr>
      <w:r w:rsidRPr="00784E8E">
        <w:rPr>
          <w:rFonts w:eastAsia="Times New Roman"/>
          <w:lang w:val="en-GB"/>
        </w:rPr>
        <w:t xml:space="preserve">Rahimi, A. K., Pienaar, O., Ghadimi, M., </w:t>
      </w:r>
      <w:proofErr w:type="spellStart"/>
      <w:r w:rsidRPr="00784E8E">
        <w:rPr>
          <w:rFonts w:eastAsia="Times New Roman"/>
          <w:lang w:val="en-GB"/>
        </w:rPr>
        <w:t>Canfell</w:t>
      </w:r>
      <w:proofErr w:type="spellEnd"/>
      <w:r w:rsidRPr="00784E8E">
        <w:rPr>
          <w:rFonts w:eastAsia="Times New Roman"/>
          <w:lang w:val="en-GB"/>
        </w:rPr>
        <w:t xml:space="preserve">, O. J., Pole, J. D., Shrapnel, S., van der </w:t>
      </w:r>
      <w:proofErr w:type="spellStart"/>
      <w:r w:rsidRPr="00784E8E">
        <w:rPr>
          <w:rFonts w:eastAsia="Times New Roman"/>
          <w:lang w:val="en-GB"/>
        </w:rPr>
        <w:t>Vegt</w:t>
      </w:r>
      <w:proofErr w:type="spellEnd"/>
      <w:r w:rsidRPr="00784E8E">
        <w:rPr>
          <w:rFonts w:eastAsia="Times New Roman"/>
          <w:lang w:val="en-GB"/>
        </w:rPr>
        <w:t xml:space="preserve">, A. H., &amp; Sullivan, C. (2024). Implementing AI in hospitals to achieve a learning health system: Systematic review of current enablers and barriers. </w:t>
      </w:r>
      <w:r w:rsidRPr="00784E8E">
        <w:rPr>
          <w:rFonts w:eastAsia="Times New Roman"/>
          <w:i/>
          <w:lang w:val="en-GB"/>
        </w:rPr>
        <w:t>Journal of Medical Internet Research, 26</w:t>
      </w:r>
      <w:r w:rsidRPr="00784E8E">
        <w:rPr>
          <w:rFonts w:eastAsia="Times New Roman"/>
          <w:lang w:val="en-GB"/>
        </w:rPr>
        <w:t>, e49655. https://doi.org/10.2196/49655</w:t>
      </w:r>
    </w:p>
    <w:p w14:paraId="1CECDC69" w14:textId="77777777" w:rsidR="00E456DC" w:rsidRPr="00784E8E" w:rsidRDefault="00000000">
      <w:pPr>
        <w:pStyle w:val="Reference"/>
        <w:rPr>
          <w:lang w:val="en-GB"/>
        </w:rPr>
      </w:pPr>
      <w:r w:rsidRPr="00784E8E">
        <w:rPr>
          <w:rFonts w:eastAsia="Times New Roman"/>
          <w:lang w:val="en-GB"/>
        </w:rPr>
        <w:lastRenderedPageBreak/>
        <w:t xml:space="preserve">Rajaei, O., </w:t>
      </w:r>
      <w:proofErr w:type="spellStart"/>
      <w:r w:rsidRPr="00784E8E">
        <w:rPr>
          <w:rFonts w:eastAsia="Times New Roman"/>
          <w:lang w:val="en-GB"/>
        </w:rPr>
        <w:t>Khayami</w:t>
      </w:r>
      <w:proofErr w:type="spellEnd"/>
      <w:r w:rsidRPr="00784E8E">
        <w:rPr>
          <w:rFonts w:eastAsia="Times New Roman"/>
          <w:lang w:val="en-GB"/>
        </w:rPr>
        <w:t xml:space="preserve">, S. R., &amp; Rezaei, M. S. (2024). Smart hospital definition: Academic and industrial perspective. </w:t>
      </w:r>
      <w:r w:rsidRPr="00784E8E">
        <w:rPr>
          <w:rFonts w:eastAsia="Times New Roman"/>
          <w:i/>
          <w:lang w:val="en-GB"/>
        </w:rPr>
        <w:t>International Journal of Medical Informatics, 182</w:t>
      </w:r>
      <w:r w:rsidRPr="00784E8E">
        <w:rPr>
          <w:rFonts w:eastAsia="Times New Roman"/>
          <w:lang w:val="en-GB"/>
        </w:rPr>
        <w:t>, 105304. https://doi.org/10.1016/j.ijmedinf.2023.105304</w:t>
      </w:r>
    </w:p>
    <w:p w14:paraId="45D07B2A" w14:textId="77777777" w:rsidR="00E456DC" w:rsidRPr="00784E8E" w:rsidRDefault="00000000">
      <w:pPr>
        <w:pStyle w:val="Reference"/>
        <w:rPr>
          <w:lang w:val="en-GB"/>
        </w:rPr>
      </w:pPr>
      <w:r w:rsidRPr="00784E8E">
        <w:rPr>
          <w:rFonts w:eastAsia="Times New Roman"/>
          <w:lang w:val="en-GB"/>
        </w:rPr>
        <w:t xml:space="preserve">Rajashekhar, S. A., Sharma, K., Trivedi, M. K., Villagómez Galindo, M., Singh, K., &amp; Martínez Valencia, A. B. (2025). Investigating the impact of adoption of smart healthcare technologies on quality of patient care using two-staged SEM-ANN approach. </w:t>
      </w:r>
      <w:r w:rsidRPr="00784E8E">
        <w:rPr>
          <w:rFonts w:eastAsia="Times New Roman"/>
          <w:i/>
          <w:lang w:val="en-GB"/>
        </w:rPr>
        <w:t>Discover Public Health, 22</w:t>
      </w:r>
      <w:r w:rsidRPr="00784E8E">
        <w:rPr>
          <w:rFonts w:eastAsia="Times New Roman"/>
          <w:lang w:val="en-GB"/>
        </w:rPr>
        <w:t>, 350. https://doi.org/10.1186/s12982-025-00738-9</w:t>
      </w:r>
    </w:p>
    <w:p w14:paraId="6A11DDFC" w14:textId="77777777" w:rsidR="00E456DC" w:rsidRPr="00784E8E" w:rsidRDefault="00000000">
      <w:pPr>
        <w:pStyle w:val="Reference"/>
        <w:rPr>
          <w:lang w:val="en-GB"/>
        </w:rPr>
      </w:pPr>
      <w:proofErr w:type="spellStart"/>
      <w:r w:rsidRPr="00784E8E">
        <w:rPr>
          <w:rFonts w:eastAsia="Times New Roman"/>
          <w:lang w:val="en-GB"/>
        </w:rPr>
        <w:t>Rethlefsen</w:t>
      </w:r>
      <w:proofErr w:type="spellEnd"/>
      <w:r w:rsidRPr="00784E8E">
        <w:rPr>
          <w:rFonts w:eastAsia="Times New Roman"/>
          <w:lang w:val="en-GB"/>
        </w:rPr>
        <w:t xml:space="preserve">, M. L., Kirtley, S., Waffenschmidt, S., Ayala, A. P., Moher, D., Page, M. J., Koffel, J. B., &amp; PRISMA-S Group. (2021). PRISMA-S: An extension to the PRISMA statement for reporting literature searches in systematic reviews. </w:t>
      </w:r>
      <w:r w:rsidRPr="00784E8E">
        <w:rPr>
          <w:rFonts w:eastAsia="Times New Roman"/>
          <w:i/>
          <w:lang w:val="en-GB"/>
        </w:rPr>
        <w:t>Systematic Reviews, 10</w:t>
      </w:r>
      <w:r w:rsidRPr="00784E8E">
        <w:rPr>
          <w:rFonts w:eastAsia="Times New Roman"/>
          <w:lang w:val="en-GB"/>
        </w:rPr>
        <w:t>(1), 39. https://doi.org/10.1186/s13643-020-01542-z</w:t>
      </w:r>
    </w:p>
    <w:p w14:paraId="4A7E03AF" w14:textId="77777777" w:rsidR="00E456DC" w:rsidRPr="00784E8E" w:rsidRDefault="00000000">
      <w:pPr>
        <w:pStyle w:val="Reference"/>
        <w:rPr>
          <w:lang w:val="en-GB"/>
        </w:rPr>
      </w:pPr>
      <w:r w:rsidRPr="00784E8E">
        <w:rPr>
          <w:rFonts w:eastAsia="Times New Roman"/>
          <w:lang w:val="en-GB"/>
        </w:rPr>
        <w:t xml:space="preserve">Rodrigues, L., Gonçalves, I., </w:t>
      </w:r>
      <w:proofErr w:type="spellStart"/>
      <w:r w:rsidRPr="00784E8E">
        <w:rPr>
          <w:rFonts w:eastAsia="Times New Roman"/>
          <w:lang w:val="en-GB"/>
        </w:rPr>
        <w:t>Fé</w:t>
      </w:r>
      <w:proofErr w:type="spellEnd"/>
      <w:r w:rsidRPr="00784E8E">
        <w:rPr>
          <w:rFonts w:eastAsia="Times New Roman"/>
          <w:lang w:val="en-GB"/>
        </w:rPr>
        <w:t xml:space="preserve">, I., Endo, P. T., &amp; Silva, F. A. (2021). Performance and availability evaluation of </w:t>
      </w:r>
      <w:proofErr w:type="gramStart"/>
      <w:r w:rsidRPr="00784E8E">
        <w:rPr>
          <w:rFonts w:eastAsia="Times New Roman"/>
          <w:lang w:val="en-GB"/>
        </w:rPr>
        <w:t>an</w:t>
      </w:r>
      <w:proofErr w:type="gramEnd"/>
      <w:r w:rsidRPr="00784E8E">
        <w:rPr>
          <w:rFonts w:eastAsia="Times New Roman"/>
          <w:lang w:val="en-GB"/>
        </w:rPr>
        <w:t xml:space="preserve"> smart hospital architecture. </w:t>
      </w:r>
      <w:r w:rsidRPr="00784E8E">
        <w:rPr>
          <w:rFonts w:eastAsia="Times New Roman"/>
          <w:i/>
          <w:lang w:val="en-GB"/>
        </w:rPr>
        <w:t>Computing, 103</w:t>
      </w:r>
      <w:r w:rsidRPr="00784E8E">
        <w:rPr>
          <w:rFonts w:eastAsia="Times New Roman"/>
          <w:lang w:val="en-GB"/>
        </w:rPr>
        <w:t>(10), 2401-2435. https://doi.org/10.1007/s00607-021-00979-x</w:t>
      </w:r>
    </w:p>
    <w:p w14:paraId="5F602312" w14:textId="77777777" w:rsidR="00E456DC" w:rsidRPr="00784E8E" w:rsidRDefault="00000000">
      <w:pPr>
        <w:pStyle w:val="Reference"/>
        <w:rPr>
          <w:lang w:val="en-GB"/>
        </w:rPr>
      </w:pPr>
      <w:r w:rsidRPr="00784E8E">
        <w:rPr>
          <w:rFonts w:eastAsia="Times New Roman"/>
          <w:lang w:val="en-GB"/>
        </w:rPr>
        <w:t>Rovira-Simón, J., Sales-</w:t>
      </w:r>
      <w:proofErr w:type="spellStart"/>
      <w:r w:rsidRPr="00784E8E">
        <w:rPr>
          <w:rFonts w:eastAsia="Times New Roman"/>
          <w:lang w:val="en-GB"/>
        </w:rPr>
        <w:t>i</w:t>
      </w:r>
      <w:proofErr w:type="spellEnd"/>
      <w:r w:rsidRPr="00784E8E">
        <w:rPr>
          <w:rFonts w:eastAsia="Times New Roman"/>
          <w:lang w:val="en-GB"/>
        </w:rPr>
        <w:t xml:space="preserve">-Coll, M., Pozo-Rosich, P., Gates, D., Patt, C., Hennessey, I., Emery, L., </w:t>
      </w:r>
      <w:proofErr w:type="spellStart"/>
      <w:r w:rsidRPr="00784E8E">
        <w:rPr>
          <w:rFonts w:eastAsia="Times New Roman"/>
          <w:lang w:val="en-GB"/>
        </w:rPr>
        <w:t>Hueto</w:t>
      </w:r>
      <w:proofErr w:type="spellEnd"/>
      <w:r w:rsidRPr="00784E8E">
        <w:rPr>
          <w:rFonts w:eastAsia="Times New Roman"/>
          <w:lang w:val="en-GB"/>
        </w:rPr>
        <w:t>-Madrid, J. A., Carbonell-Cobo, M., Garcia-</w:t>
      </w:r>
      <w:proofErr w:type="spellStart"/>
      <w:r w:rsidRPr="00784E8E">
        <w:rPr>
          <w:rFonts w:eastAsia="Times New Roman"/>
          <w:lang w:val="en-GB"/>
        </w:rPr>
        <w:t>Cuyàs</w:t>
      </w:r>
      <w:proofErr w:type="spellEnd"/>
      <w:r w:rsidRPr="00784E8E">
        <w:rPr>
          <w:rFonts w:eastAsia="Times New Roman"/>
          <w:lang w:val="en-GB"/>
        </w:rPr>
        <w:t xml:space="preserve">, F., Moz, M., Chaudry, Z., &amp; Shaw, G. (2022). Introduction to the cognitive hospital. </w:t>
      </w:r>
      <w:r w:rsidRPr="00784E8E">
        <w:rPr>
          <w:rFonts w:eastAsia="Times New Roman"/>
          <w:i/>
          <w:lang w:val="en-GB"/>
        </w:rPr>
        <w:t>Future Healthcare Journal, 9</w:t>
      </w:r>
      <w:r w:rsidRPr="00784E8E">
        <w:rPr>
          <w:rFonts w:eastAsia="Times New Roman"/>
          <w:lang w:val="en-GB"/>
        </w:rPr>
        <w:t>(1), 34-40. https://doi.org/10.7861/fhj.2021-0016</w:t>
      </w:r>
    </w:p>
    <w:p w14:paraId="062E42DC" w14:textId="77777777" w:rsidR="00E456DC" w:rsidRPr="00F04E13" w:rsidRDefault="00000000">
      <w:pPr>
        <w:pStyle w:val="Reference"/>
        <w:rPr>
          <w:lang w:val="en-GB"/>
        </w:rPr>
      </w:pPr>
      <w:r w:rsidRPr="00784E8E">
        <w:rPr>
          <w:rFonts w:eastAsia="Times New Roman"/>
          <w:lang w:val="en-GB"/>
        </w:rPr>
        <w:t xml:space="preserve">Sony, M., Antony, J., &amp; Tortorella, G. L. (2023). Critical success factors for successful implementation of </w:t>
      </w:r>
      <w:proofErr w:type="gramStart"/>
      <w:r w:rsidRPr="00784E8E">
        <w:rPr>
          <w:rFonts w:eastAsia="Times New Roman"/>
          <w:lang w:val="en-GB"/>
        </w:rPr>
        <w:t>Healthcare</w:t>
      </w:r>
      <w:proofErr w:type="gramEnd"/>
      <w:r w:rsidRPr="00784E8E">
        <w:rPr>
          <w:rFonts w:eastAsia="Times New Roman"/>
          <w:lang w:val="en-GB"/>
        </w:rPr>
        <w:t xml:space="preserve"> 4.0: A literature review and future research agenda. </w:t>
      </w:r>
      <w:r w:rsidRPr="00784E8E">
        <w:rPr>
          <w:rFonts w:eastAsia="Times New Roman"/>
          <w:i/>
          <w:lang w:val="en-GB"/>
        </w:rPr>
        <w:t>International Journal of Environmental Research and Public Health, 20</w:t>
      </w:r>
      <w:r w:rsidRPr="00784E8E">
        <w:rPr>
          <w:rFonts w:eastAsia="Times New Roman"/>
          <w:lang w:val="en-GB"/>
        </w:rPr>
        <w:t>(5), 4669. https://doi.org/10.3390/ijerph20054669</w:t>
      </w:r>
    </w:p>
    <w:sectPr w:rsidR="00E456DC" w:rsidRPr="00F04E13" w:rsidSect="00034616">
      <w:pgSz w:w="11906" w:h="16838"/>
      <w:pgMar w:top="1134" w:right="1191" w:bottom="1020" w:left="1191" w:header="454"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26BD5" w14:textId="77777777" w:rsidR="00BD76EA" w:rsidRDefault="00BD76EA">
      <w:pPr>
        <w:spacing w:after="0" w:line="240" w:lineRule="auto"/>
      </w:pPr>
      <w:r>
        <w:separator/>
      </w:r>
    </w:p>
  </w:endnote>
  <w:endnote w:type="continuationSeparator" w:id="0">
    <w:p w14:paraId="705FDEB5" w14:textId="77777777" w:rsidR="00BD76EA" w:rsidRDefault="00BD76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4E7FD" w14:textId="77777777" w:rsidR="00142347" w:rsidRDefault="001423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C697F" w14:textId="77777777" w:rsidR="00E456DC" w:rsidRDefault="00000000">
    <w:pPr>
      <w:pStyle w:val="Footer"/>
      <w:jc w:val="center"/>
    </w:pPr>
    <w:r>
      <w:rPr>
        <w:rFonts w:eastAsia="Times New Roman"/>
        <w:color w:val="6B7280"/>
        <w:sz w:val="18"/>
      </w:rPr>
      <w:fldChar w:fldCharType="begin"/>
    </w:r>
    <w:r>
      <w:rPr>
        <w:rFonts w:eastAsia="Times New Roman"/>
        <w:color w:val="6B7280"/>
        <w:sz w:val="18"/>
      </w:rPr>
      <w:instrText xml:space="preserve"> PAGE </w:instrText>
    </w:r>
    <w:r>
      <w:rPr>
        <w:rFonts w:eastAsia="Times New Roman"/>
        <w:color w:val="6B7280"/>
        <w:sz w:val="18"/>
      </w:rPr>
      <w:fldChar w:fldCharType="separate"/>
    </w:r>
    <w:r w:rsidR="001008F5">
      <w:rPr>
        <w:rFonts w:eastAsia="Times New Roman"/>
        <w:noProof/>
        <w:color w:val="6B7280"/>
        <w:sz w:val="18"/>
      </w:rPr>
      <w:t>1</w:t>
    </w:r>
    <w:r>
      <w:rPr>
        <w:rFonts w:eastAsia="Times New Roman"/>
        <w:color w:val="6B72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3800A" w14:textId="77777777" w:rsidR="00142347" w:rsidRDefault="001423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784181" w14:textId="77777777" w:rsidR="00BD76EA" w:rsidRDefault="00BD76EA">
      <w:pPr>
        <w:spacing w:after="0" w:line="240" w:lineRule="auto"/>
      </w:pPr>
      <w:r>
        <w:separator/>
      </w:r>
    </w:p>
  </w:footnote>
  <w:footnote w:type="continuationSeparator" w:id="0">
    <w:p w14:paraId="7F4AFC17" w14:textId="77777777" w:rsidR="00BD76EA" w:rsidRDefault="00BD76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8C8AB" w14:textId="6E1C718D" w:rsidR="00142347" w:rsidRDefault="00142347">
    <w:pPr>
      <w:pStyle w:val="Header"/>
    </w:pPr>
    <w:r>
      <w:rPr>
        <w:noProof/>
      </w:rPr>
      <w:pict w14:anchorId="05E2EF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704344" o:spid="_x0000_s1026" type="#_x0000_t136" style="position:absolute;left:0;text-align:left;margin-left:0;margin-top:0;width:604.25pt;height:67.1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AC902" w14:textId="452CFD0E" w:rsidR="00142347" w:rsidRDefault="00142347">
    <w:pPr>
      <w:pStyle w:val="Header"/>
    </w:pPr>
    <w:r>
      <w:rPr>
        <w:noProof/>
      </w:rPr>
      <w:pict w14:anchorId="546BC33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704345" o:spid="_x0000_s1027" type="#_x0000_t136" style="position:absolute;left:0;text-align:left;margin-left:0;margin-top:0;width:604.25pt;height:67.1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8E34" w14:textId="15D71E91" w:rsidR="00142347" w:rsidRDefault="00142347">
    <w:pPr>
      <w:pStyle w:val="Header"/>
    </w:pPr>
    <w:r>
      <w:rPr>
        <w:noProof/>
      </w:rPr>
      <w:pict w14:anchorId="2420B5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704343" o:spid="_x0000_s1025" type="#_x0000_t136" style="position:absolute;left:0;text-align:left;margin-left:0;margin-top:0;width:604.25pt;height:67.1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41156803">
    <w:abstractNumId w:val="8"/>
  </w:num>
  <w:num w:numId="2" w16cid:durableId="1135610839">
    <w:abstractNumId w:val="6"/>
  </w:num>
  <w:num w:numId="3" w16cid:durableId="1718235787">
    <w:abstractNumId w:val="5"/>
  </w:num>
  <w:num w:numId="4" w16cid:durableId="1234126657">
    <w:abstractNumId w:val="4"/>
  </w:num>
  <w:num w:numId="5" w16cid:durableId="1202475253">
    <w:abstractNumId w:val="7"/>
  </w:num>
  <w:num w:numId="6" w16cid:durableId="567108025">
    <w:abstractNumId w:val="3"/>
  </w:num>
  <w:num w:numId="7" w16cid:durableId="1326666359">
    <w:abstractNumId w:val="2"/>
  </w:num>
  <w:num w:numId="8" w16cid:durableId="1780568833">
    <w:abstractNumId w:val="1"/>
  </w:num>
  <w:num w:numId="9" w16cid:durableId="547641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5D26"/>
    <w:rsid w:val="00034616"/>
    <w:rsid w:val="0006063C"/>
    <w:rsid w:val="000F7F10"/>
    <w:rsid w:val="001008F5"/>
    <w:rsid w:val="00136212"/>
    <w:rsid w:val="00142347"/>
    <w:rsid w:val="0015074B"/>
    <w:rsid w:val="0029639D"/>
    <w:rsid w:val="003010D4"/>
    <w:rsid w:val="00326F90"/>
    <w:rsid w:val="00706CE7"/>
    <w:rsid w:val="00784E8E"/>
    <w:rsid w:val="00932D56"/>
    <w:rsid w:val="00AA1D8D"/>
    <w:rsid w:val="00B00A59"/>
    <w:rsid w:val="00B47730"/>
    <w:rsid w:val="00B63C1C"/>
    <w:rsid w:val="00BD76EA"/>
    <w:rsid w:val="00C43215"/>
    <w:rsid w:val="00CB0664"/>
    <w:rsid w:val="00E13600"/>
    <w:rsid w:val="00E456DC"/>
    <w:rsid w:val="00EF5278"/>
    <w:rsid w:val="00F04E13"/>
    <w:rsid w:val="00F249E9"/>
    <w:rsid w:val="00F73EA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F75E68D"/>
  <w14:defaultImageDpi w14:val="300"/>
  <w15:docId w15:val="{CCAF525E-37F5-4FFC-83D5-7DB2472BD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jc w:val="both"/>
    </w:pPr>
    <w:rPr>
      <w:rFonts w:ascii="Times New Roman" w:hAnsi="Times New Roman"/>
      <w:sz w:val="21"/>
    </w:rPr>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5597"/>
      <w:sz w:val="24"/>
      <w:szCs w:val="26"/>
    </w:rPr>
  </w:style>
  <w:style w:type="paragraph" w:styleId="Heading3">
    <w:name w:val="heading 3"/>
    <w:basedOn w:val="Normal"/>
    <w:next w:val="Normal"/>
    <w:link w:val="Heading3Char"/>
    <w:uiPriority w:val="9"/>
    <w:unhideWhenUsed/>
    <w:qFormat/>
    <w:rsid w:val="00FC693F"/>
    <w:pPr>
      <w:keepNext/>
      <w:keepLines/>
      <w:spacing w:before="140" w:after="60"/>
      <w:outlineLvl w:val="2"/>
    </w:pPr>
    <w:rPr>
      <w:rFonts w:asciiTheme="majorHAnsi" w:eastAsiaTheme="majorEastAsia" w:hAnsiTheme="majorHAnsi" w:cstheme="majorBidi"/>
      <w:b/>
      <w:bCs/>
      <w:color w:val="17365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00" w:line="240" w:lineRule="auto"/>
      <w:contextualSpacing/>
      <w:jc w:val="center"/>
    </w:pPr>
    <w:rPr>
      <w:rFonts w:asciiTheme="majorHAnsi" w:eastAsiaTheme="majorEastAsia" w:hAnsiTheme="majorHAnsi" w:cstheme="majorBidi"/>
      <w:b/>
      <w:color w:val="17365D"/>
      <w:spacing w:val="5"/>
      <w:kern w:val="28"/>
      <w:sz w:val="3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itle">
    <w:name w:val="Table Title"/>
    <w:pPr>
      <w:keepNext/>
      <w:spacing w:before="80" w:after="60"/>
    </w:pPr>
    <w:rPr>
      <w:rFonts w:ascii="Times New Roman" w:hAnsi="Times New Roman"/>
      <w:b/>
      <w:color w:val="17365D"/>
      <w:sz w:val="19"/>
    </w:rPr>
  </w:style>
  <w:style w:type="paragraph" w:customStyle="1" w:styleId="FigureCaption">
    <w:name w:val="Figure Caption"/>
    <w:pPr>
      <w:spacing w:before="60" w:after="160"/>
    </w:pPr>
    <w:rPr>
      <w:rFonts w:ascii="Times New Roman" w:hAnsi="Times New Roman"/>
      <w:i/>
      <w:color w:val="000000"/>
      <w:sz w:val="18"/>
    </w:rPr>
  </w:style>
  <w:style w:type="paragraph" w:customStyle="1" w:styleId="AnalyticalLead">
    <w:name w:val="Analytical Lead"/>
    <w:pPr>
      <w:keepNext/>
      <w:spacing w:before="80" w:after="100"/>
      <w:jc w:val="both"/>
    </w:pPr>
    <w:rPr>
      <w:rFonts w:ascii="Times New Roman" w:hAnsi="Times New Roman"/>
      <w:i/>
      <w:color w:val="374151"/>
      <w:sz w:val="20"/>
    </w:rPr>
  </w:style>
  <w:style w:type="paragraph" w:customStyle="1" w:styleId="SmallNote">
    <w:name w:val="Small Note"/>
    <w:pPr>
      <w:spacing w:before="40" w:after="100" w:line="252" w:lineRule="auto"/>
    </w:pPr>
    <w:rPr>
      <w:rFonts w:ascii="Times New Roman" w:hAnsi="Times New Roman"/>
      <w:color w:val="6B7280"/>
      <w:sz w:val="17"/>
    </w:rPr>
  </w:style>
  <w:style w:type="paragraph" w:customStyle="1" w:styleId="Reference">
    <w:name w:val="Reference"/>
    <w:pPr>
      <w:spacing w:after="80" w:line="259" w:lineRule="auto"/>
      <w:ind w:left="397" w:hanging="397"/>
    </w:pPr>
    <w:rPr>
      <w:rFonts w:ascii="Times New Roman" w:hAnsi="Times New Roman"/>
      <w:sz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26</Pages>
  <Words>13697</Words>
  <Characters>78074</Characters>
  <Application>Microsoft Office Word</Application>
  <DocSecurity>0</DocSecurity>
  <Lines>650</Lines>
  <Paragraphs>183</Paragraphs>
  <ScaleCrop>false</ScaleCrop>
  <HeadingPairs>
    <vt:vector size="2" baseType="variant">
      <vt:variant>
        <vt:lpstr>Title</vt:lpstr>
      </vt:variant>
      <vt:variant>
        <vt:i4>1</vt:i4>
      </vt:variant>
    </vt:vector>
  </HeadingPairs>
  <TitlesOfParts>
    <vt:vector size="1" baseType="lpstr">
      <vt:lpstr>From Smart Hospitals to Cognitive Hospitals: A Systematic Literature Review</vt:lpstr>
    </vt:vector>
  </TitlesOfParts>
  <Manager/>
  <Company/>
  <LinksUpToDate>false</LinksUpToDate>
  <CharactersWithSpaces>91588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SDI 1084</cp:lastModifiedBy>
  <cp:revision>5</cp:revision>
  <dcterms:created xsi:type="dcterms:W3CDTF">2013-12-23T23:15:00Z</dcterms:created>
  <dcterms:modified xsi:type="dcterms:W3CDTF">2026-08-21T13:23:00Z</dcterms:modified>
  <cp:category/>
</cp:coreProperties>
</file>