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55F9E" w14:textId="77777777" w:rsidR="006C0CA2" w:rsidRPr="006D641C" w:rsidRDefault="006C0CA2" w:rsidP="006C0CA2">
      <w:pPr>
        <w:pStyle w:val="Author"/>
        <w:outlineLvl w:val="0"/>
        <w:rPr>
          <w:rFonts w:ascii="Arial" w:hAnsi="Arial" w:cs="Arial"/>
          <w:bCs/>
          <w:i/>
          <w:iCs/>
          <w:kern w:val="28"/>
          <w:sz w:val="36"/>
          <w:u w:val="single"/>
        </w:rPr>
      </w:pPr>
      <w:bookmarkStart w:id="0" w:name="Xe6777dfbb8a8c6e41bb81f89e9be7916148018e"/>
      <w:r>
        <w:rPr>
          <w:rFonts w:ascii="Arial" w:hAnsi="Arial" w:cs="Arial"/>
          <w:bCs/>
          <w:i/>
          <w:iCs/>
          <w:kern w:val="28"/>
          <w:sz w:val="36"/>
          <w:u w:val="single"/>
        </w:rPr>
        <w:t xml:space="preserve">Review </w:t>
      </w:r>
      <w:r w:rsidRPr="00D52414">
        <w:rPr>
          <w:rFonts w:ascii="Arial" w:hAnsi="Arial" w:cs="Arial"/>
          <w:bCs/>
          <w:i/>
          <w:iCs/>
          <w:kern w:val="28"/>
          <w:sz w:val="36"/>
          <w:u w:val="single"/>
        </w:rPr>
        <w:t>Article</w:t>
      </w:r>
    </w:p>
    <w:p w14:paraId="41551405" w14:textId="77777777" w:rsidR="00D31E3D" w:rsidRDefault="00000000">
      <w:pPr>
        <w:pStyle w:val="Heading1"/>
      </w:pPr>
      <w:r>
        <w:t>Critical Mineral Recovery from Mine Tailings: A Critical Appraisal of Resource Potential, Processing Constraints and Implications for United States Resource Security</w:t>
      </w:r>
    </w:p>
    <w:p w14:paraId="4F5D32E0" w14:textId="77777777" w:rsidR="00FE512B" w:rsidRPr="00FE512B" w:rsidRDefault="00FE512B" w:rsidP="00FE512B">
      <w:pPr>
        <w:pStyle w:val="BodyText"/>
      </w:pPr>
    </w:p>
    <w:p w14:paraId="77EDDCAE" w14:textId="77777777" w:rsidR="00D31E3D" w:rsidRDefault="00000000">
      <w:pPr>
        <w:pStyle w:val="Heading2"/>
      </w:pPr>
      <w:bookmarkStart w:id="1" w:name="abstract"/>
      <w:r>
        <w:t>Abstract</w:t>
      </w:r>
    </w:p>
    <w:p w14:paraId="7B37E962" w14:textId="77777777" w:rsidR="00D31E3D" w:rsidRDefault="00000000">
      <w:pPr>
        <w:pStyle w:val="FirstParagraph"/>
      </w:pPr>
      <w:r>
        <w:t>Mine tailings are increasingly promoted as an accessible domestic source of critical minerals for the United States, on the argument that legacy and active impoundments already contain comminuted material enriched in elements that earlier processing did not target. This review evaluates the strength of that argument. It examines the geological, mineralogical, metallurgical, economic, environmental and institutional evidence bearing on the recovery of critical minerals from tailings, with particular attention to how well the published record supports claims of near-term contribution to national supply security. Literature was identified through structured searching of open scholarly databases and indexes, supplemented by citation searching and by publications of federal scientific agencies, and was appraised for methodological adequacy rather than aggregated. The evidence indicates that the elemental endowment argument is reasonably secure for a small number of element–deposit pairings, notably tellurium in porphyry copper tailings, germanium in sphalerite-bearing zinc wastes, cobalt in pyrrhotite- and pyrite-rich sulphide tailings, and rare earth elements in coal-related wastes and acid mine drainage precipitates. It is considerably weaker for the broader proposition that tailings constitute a large, readily convertible national reserve. Three constraints recur across the literature. Resource estimation in tailings storage facilities remains poorly standardised, so that reported concentrations frequently cannot be converted into defensible tonnages. Recovery performance is dominated by laboratory-scale results, with few independently replicated pilot demonstrations and fewer still at operating scale. Economic viability depends on cost structures, by-product pricing and residue-management obligations that most published assessments treat only partially. Institutional barriers specific to the United States, including ownership and liability at legacy sites, land status and public acceptance, further separate technical feasibility from realised production. Tailings reprocessing is best understood as a targeted, site-selective supplement to primary supply and remediation policy rather than as a substitute for either. Priorities for future work are identified in resource-scale characterisation, transparent pilot reporting and integrated techno-economic and environmental assessment.</w:t>
      </w:r>
    </w:p>
    <w:p w14:paraId="2B013D47" w14:textId="77777777" w:rsidR="00D31E3D" w:rsidRDefault="00000000">
      <w:pPr>
        <w:pStyle w:val="BodyText"/>
      </w:pPr>
      <w:r>
        <w:rPr>
          <w:b/>
          <w:bCs/>
        </w:rPr>
        <w:t>Keywords:</w:t>
      </w:r>
      <w:r>
        <w:t xml:space="preserve"> mine tailings; critical minerals; secondary resources; resource security; tailings reprocessing; geometallurgy; mine waste characterisation; United States</w:t>
      </w:r>
    </w:p>
    <w:p w14:paraId="69989D30" w14:textId="77777777" w:rsidR="00D31E3D" w:rsidRDefault="00000000">
      <w:pPr>
        <w:pStyle w:val="Heading2"/>
      </w:pPr>
      <w:bookmarkStart w:id="2" w:name="introduction"/>
      <w:bookmarkEnd w:id="1"/>
      <w:r>
        <w:lastRenderedPageBreak/>
        <w:t>1. Introduction</w:t>
      </w:r>
    </w:p>
    <w:p w14:paraId="1ED336D2" w14:textId="77777777" w:rsidR="00D31E3D" w:rsidRDefault="00000000">
      <w:pPr>
        <w:pStyle w:val="FirstParagraph"/>
      </w:pPr>
      <w:r>
        <w:t>The material basis of contemporary industrial and defence technology has narrowed onto a set of elements whose supply chains are geographically concentrated and institutionally fragile. In the United States this concern has been formalised through statute and executive action, culminating in a list of sixty mineral commodities designated as critical on the basis of modelled economic exposure to trade disruption (U.S. Geological Survey, 2025). The analytical apparatus supporting that designation estimates the potential effects of supply chain interruptions across several hundred industries and more than a thousand disruption scenarios (Nassar et al., 2025). Earlier iterations of the same research programme established that exposure is not distributed evenly across the manufacturing economy, and that the commodities of greatest concern are frequently those for which domestic extraction and refining capacity is thinnest (Nassar et al., 2020). The policy response has emphasised the acceleration of domestic production, and within that emphasis a specific proposition has gained prominence: that material already mined, crushed, ground and impounded as tailings represents a substantial and comparatively accessible reserve of critical minerals.</w:t>
      </w:r>
    </w:p>
    <w:p w14:paraId="27EADDD9" w14:textId="77777777" w:rsidR="00D31E3D" w:rsidRDefault="00000000">
      <w:pPr>
        <w:pStyle w:val="BodyText"/>
      </w:pPr>
      <w:r>
        <w:t>The proposition has an intuitive appeal that deserves scrutiny rather than assent. Tailings are the fine-grained residue remaining after the target commodity has been separated from ore, and they are generated in volumes that dwarf the mass of metal recovered. A global survey of facilities disclosed by extractive companies at the request of institutional investors compiled information on 1,743 tailings storage facilities, the most comprehensive such compilation attempted, and reported that approximately one in ten had at some point recorded notable stability concerns or had failed to be confirmed as stable (Franks et al., 2021). The same characteristics that make these facilities an environmental and geotechnical liability, namely their scale, their fine particle size and their surface accessibility, are what make them attractive as a putative resource. Comminution, which typically dominates the energy demand of primary mineral processing, has already been performed. Overburden removal has already occurred. Access roads, water infrastructure and, in many cases, tenure exist.</w:t>
      </w:r>
    </w:p>
    <w:p w14:paraId="784D9336" w14:textId="77777777" w:rsidR="00D31E3D" w:rsidRDefault="00000000">
      <w:pPr>
        <w:pStyle w:val="BodyText"/>
      </w:pPr>
      <w:r>
        <w:t xml:space="preserve">Against this, the reason tailings exist at all is that the material they contain was not recovered. In some cases this reflects the technology of the period: flotation reagents, grinding circuits and analytical methods available in the early twentieth century differed substantially from those available now, and metals of no commercial interest at the time were discarded without measurement. In other cases the loss is structural rather than historical. Many critical minerals are by-products or co-products, recovered incidentally during the processing of a host commodity whose economics govern the operation. Approximately three-fifths of the commodities on the current United States list fall into this category. The consequences for supply have been analysed in detail: by-product production responds weakly to price signals for the by-product itself, because production decisions are made on the basis of the host metal, and this inelasticity creates supply behaviour that differs qualitatively from that of primary commodities (Nassar et al., 2015). Criticality assessments that treat all metals as economically equivalent understate the resulting vulnerability (Graedel et al., 2015). Tellurium provides the clearest worked example, in </w:t>
      </w:r>
      <w:r>
        <w:lastRenderedPageBreak/>
        <w:t>which demand growth driven by thin-film photovoltaic manufacture confronts a supply base determined almost entirely by copper anode slime processing (Bustamante et al., 2018; McNulty &amp; Jowitt, 2022). The same logic explains why critical elements reach tailings: at the margin, recovering them was not worth the reagent cost, the circuit complexity or the metallurgical risk to the primary product.</w:t>
      </w:r>
    </w:p>
    <w:p w14:paraId="53158676" w14:textId="77777777" w:rsidR="00D31E3D" w:rsidRDefault="00000000">
      <w:pPr>
        <w:pStyle w:val="BodyText"/>
      </w:pPr>
      <w:r>
        <w:t>Scholarly interest in mine waste as a resource rather than solely as a hazard has developed over three decades, and the conceptual framing has shifted. Early work established the geochemical and mineralogical basis for predicting environmental behaviour, particularly acid generation and metal release from sulphidic tailings (Dold, 2014; Jamieson, 2011). A subsequent literature reframed the same material through circular economy concepts, arguing that resource recovery and waste liability reduction could be pursued jointly rather than sequentially (Kinnunen &amp; Kaksonen, 2019; Lèbre et al., 2017a, 2017b; Tayebi-Khorami et al., 2019). More recent contributions have pressed the argument that mine wastes constitute an underused source of critical elements specifically (Dold, 2020; Hudson-Edwards &amp; Marquis, 2026). Federal scientific effort in the United States has moved in the same direction, with agency work documenting critical mineral content in legacy and active mine waste and mapping the distribution of mine features at national scale (Piatak et al., 2025).</w:t>
      </w:r>
    </w:p>
    <w:p w14:paraId="7BD442D7" w14:textId="77777777" w:rsidR="00D31E3D" w:rsidRDefault="00000000">
      <w:pPr>
        <w:pStyle w:val="BodyText"/>
      </w:pPr>
      <w:r>
        <w:t>What the field has not resolved is the magnitude and timing of any contribution to supply. Existing reviews are numerous but tend to share a common structure: they compile reported concentrations across geographically dispersed case studies, describe candidate recovery technologies, and conclude that the potential is considerable (Abbadi &amp; Mucsi, 2024; Chowdhury &amp; Talan, 2025; Sarker et al., 2022; Vitti &amp; Arnold, 2022). Several are valuable syntheses of process chemistry. Few interrogate whether the underlying measurements can support resource estimation, whether the reported recoveries were obtained under conditions that would persist at operating scale, or whether the economic and institutional conditions that caused the material to be discarded have materially changed. Reviews are also dominated by evidence from Chile, China, Canada, southern Africa and Europe, reflecting where reprocessing research has been funded, with the consequence that inferences are transferred to United States settings whose deposit types, regulatory environment, ownership structures and land status differ.</w:t>
      </w:r>
    </w:p>
    <w:p w14:paraId="19153A7A" w14:textId="77777777" w:rsidR="00D31E3D" w:rsidRDefault="00000000">
      <w:pPr>
        <w:pStyle w:val="Heading3"/>
      </w:pPr>
      <w:bookmarkStart w:id="3" w:name="scope-research-gap-and-objectives"/>
      <w:r>
        <w:t>1.1 Scope, Research Gap and Objectives</w:t>
      </w:r>
    </w:p>
    <w:p w14:paraId="5E712446" w14:textId="77777777" w:rsidR="00D31E3D" w:rsidRDefault="00000000">
      <w:pPr>
        <w:pStyle w:val="FirstParagraph"/>
      </w:pPr>
      <w:r>
        <w:t>This review addresses the recovery of critical minerals from the fine-grained processing residues of metalliferous and coal mining, with the United States as the setting for which conclusions are drawn. It covers the geological and mineralogical basis of critical element occurrence in tailings, the methods used to characterise and estimate such occurrences as resources, the physical, chemical and biological routes proposed for recovery, the economic and environmental conditions governing viability, and the institutional arrangements that determine whether technically feasible recovery can proceed. Evidence generated outside the United States is included where the underlying deposit type, mineralogy or process chemistry is transferable, and its transferability is assessed explicitly rather than assumed.</w:t>
      </w:r>
    </w:p>
    <w:p w14:paraId="358975FC" w14:textId="77777777" w:rsidR="00D31E3D" w:rsidRDefault="00000000">
      <w:pPr>
        <w:pStyle w:val="BodyText"/>
      </w:pPr>
      <w:r>
        <w:lastRenderedPageBreak/>
        <w:t>The review is bounded in several respects. Waste rock, heap leach residues, slag and smelter wastes are considered only where they inform the interpretation of tailings evidence. Acid mine drainage and its precipitates are treated as an adjacent evidence stream rather than as tailings, because the recovery problem they present is hydrometallurgically distinct, but they are included because the United States literature on critical mineral recovery from mining legacies is concentrated there. Phosphogypsum stacks, bauxite residue impoundments and municipal or electronic waste streams lie outside the scope, although selected bauxite residue findings are used comparatively. The review does not attempt a quantitative estimate of national recoverable tonnage, and explains why the published evidence does not currently permit one.</w:t>
      </w:r>
    </w:p>
    <w:p w14:paraId="7580153E" w14:textId="77777777" w:rsidR="00D31E3D" w:rsidRDefault="00000000">
      <w:pPr>
        <w:pStyle w:val="BodyText"/>
      </w:pPr>
      <w:r>
        <w:t>The gap this review addresses is the absence of an integrated critical appraisal that connects three literatures which have developed largely in parallel: geochemical and mineralogical characterisation of mine waste, process metallurgy of secondary resource recovery, and the economic and institutional analysis of critical mineral supply. Each contains internally rigorous work. The claims made about national resource security, however, depend on inferences that cross all three, and those inferences are rarely examined. The objectives are accordingly to establish what the evidence supports regarding critical element endowment in United States tailings, to evaluate the methodological adequacy of resource characterisation and recovery studies, to identify the conditions under which reprocessing has been demonstrated rather than proposed, to distinguish claims that are well founded from those that remain speculative, and to set out defensible research and assessment priorities. The intended contribution is a calibrated account of what tailings reprocessing can and cannot be expected to deliver, and of the evidence that would be required to revise that account. ## 2. Methods for Literature Selection</w:t>
      </w:r>
    </w:p>
    <w:p w14:paraId="4DBBDD6A" w14:textId="77777777" w:rsidR="00D31E3D" w:rsidRDefault="00000000">
      <w:pPr>
        <w:pStyle w:val="Heading3"/>
      </w:pPr>
      <w:bookmarkStart w:id="4" w:name="review-design-and-rationale"/>
      <w:bookmarkEnd w:id="3"/>
      <w:r>
        <w:t>2.1 Review Design and Rationale</w:t>
      </w:r>
    </w:p>
    <w:p w14:paraId="3B2A08F2" w14:textId="77777777" w:rsidR="00D31E3D" w:rsidRDefault="00000000">
      <w:pPr>
        <w:pStyle w:val="FirstParagraph"/>
      </w:pPr>
      <w:r>
        <w:t xml:space="preserve">A critical narrative design was selected because the review question is interpretive rather than effect-estimating. The literature bearing on critical mineral recovery from tailings spans economic geology, mineralogy, extractive metallurgy, environmental engineering, industrial ecology, resource economics and law. Study designs within it are not commensurable: a geochemical survey of an impoundment, a bench-scale leaching experiment, a life-cycle inventory and an institutional analysis of mineral ownership cannot be pooled into a common effect measure, and no meaningful summary statistic exists across them. A systematic review protocol would either restrict the evidence base to a single methodological family, thereby excluding the interdependencies that constitute the research problem, or would apply screening criteria that could not be operationalised consistently across such heterogeneous designs. Narrative synthesis is appropriate where the objective is to interrogate the coherence and adequacy of a body of evidence rather than to estimate a parameter, and where the reviewer’s judgement is itself an analytical instrument that must be exercised transparently (Greenhalgh et al., 2018; Sukhera, 2022). This does not exempt the review from methodological discipline. Reporting followed the domains identified in established appraisal guidance for narrative reviews, including explicit justification of importance, statement of aims, description of literature searching, referencing of evidence, and appropriate presentation of the strength of that evidence </w:t>
      </w:r>
      <w:r>
        <w:lastRenderedPageBreak/>
        <w:t>(Baethge et al., 2019). The distinction between review types and their associated methodological commitments was used to frame the boundary between what this design can and cannot establish (Grant &amp; Booth, 2009).</w:t>
      </w:r>
    </w:p>
    <w:p w14:paraId="56A5F2CC" w14:textId="77777777" w:rsidR="00D31E3D" w:rsidRDefault="00000000">
      <w:pPr>
        <w:pStyle w:val="Heading3"/>
      </w:pPr>
      <w:bookmarkStart w:id="5" w:name="information-sources"/>
      <w:bookmarkEnd w:id="4"/>
      <w:r>
        <w:t>2.2 Information Sources</w:t>
      </w:r>
    </w:p>
    <w:p w14:paraId="37604F81" w14:textId="77777777" w:rsidR="00D31E3D" w:rsidRDefault="00000000">
      <w:pPr>
        <w:pStyle w:val="FirstParagraph"/>
      </w:pPr>
      <w:r>
        <w:t>Searches were conducted in Crossref, the Directory of Open Access Journals, Semantic Scholar, Google Scholar, Europe PubMed Central, CORE and OpenAIRE. Because the review question concerns the United States specifically, these were supplemented by OSTI.GOV, the scientific and technical information repository maintained by the United States Department of Energy, which indexes federally funded research on mineral processing, coal by-products and separations that is often poorly represented in international indexes. Institutional sources consulted directly comprised the publications catalogue of the United States Geological Survey and the Federal Register. Database searching was supplemented by backward citation searching of retrieved reviews and primary studies, by forward citation checking of frequently cited works, and by targeted searching for corrections and expressions of concern associated with candidate sources. No claim is made to have searched subscription indexes to which access was not available during preparation.</w:t>
      </w:r>
    </w:p>
    <w:p w14:paraId="04D6E813" w14:textId="77777777" w:rsidR="00D31E3D" w:rsidRDefault="00000000">
      <w:pPr>
        <w:pStyle w:val="Heading3"/>
      </w:pPr>
      <w:bookmarkStart w:id="6" w:name="search-strategy-and-search-period"/>
      <w:bookmarkEnd w:id="5"/>
      <w:r>
        <w:t>2.3 Search Strategy and Search Period</w:t>
      </w:r>
    </w:p>
    <w:p w14:paraId="4391DD12" w14:textId="77777777" w:rsidR="00D31E3D" w:rsidRDefault="00000000">
      <w:pPr>
        <w:pStyle w:val="FirstParagraph"/>
      </w:pPr>
      <w:r>
        <w:t>Search concepts were developed from the review question in five groups: the waste material itself; the target elements; the recovery operation; the assessment dimension; and the geographical setting. Representative strings combined these using Boolean operators, for example (“mine tailings” OR “tailings storage facility” OR “mine waste” OR “processing residue”) AND (“critical mineral</w:t>
      </w:r>
      <w:r>
        <w:rPr>
          <w:i/>
          <w:iCs/>
        </w:rPr>
        <w:t>” OR ”critical raw material</w:t>
      </w:r>
      <w:r>
        <w:t>” OR “rare earth element</w:t>
      </w:r>
      <w:r>
        <w:rPr>
          <w:i/>
          <w:iCs/>
        </w:rPr>
        <w:t>” OR cobalt OR tellurium OR germanium OR gallium OR indium OR rhenium OR antimony OR scandium) AND (recovery OR reprocessing OR valorisation OR extraction OR beneficiation OR leaching OR bioleaching OR flotation). Assessment-oriented strings substituted the third group with (”resource estimation” OR geometallurgy OR ”techno-economic” OR ”life cycle assessment” OR ”risk of bias” OR sampling OR geostatistic</w:t>
      </w:r>
      <w:r>
        <w:t>). Setting-oriented strings substituted with (”United States” OR “U.S.” OR Appalachia* OR “Tri-State” OR Nevada OR Arizona OR Montana OR Colorado OR Alaska). Spelling variants for valorisation, sulphide and characterisation were included in all strings. Terms were adapted to the syntax of each source, and truncation was used where supported.</w:t>
      </w:r>
    </w:p>
    <w:p w14:paraId="4DDACFE8" w14:textId="77777777" w:rsidR="00D31E3D" w:rsidRDefault="00000000">
      <w:pPr>
        <w:pStyle w:val="BodyText"/>
      </w:pPr>
      <w:r>
        <w:t>The search period extended from 1 January 1995 to 24 June 2026. The opening date reflects the point at which systematic geoenvironmental characterisation of mine waste became an established research programme with reproducible sampling and prediction methods, and from which the subsequent reframing of that material as a secondary resource proceeds. Foundational earlier publications were admitted where necessary to explain the historical development of processing practice or the origin of established analytical conventions.</w:t>
      </w:r>
    </w:p>
    <w:p w14:paraId="5E66E559" w14:textId="77777777" w:rsidR="00D31E3D" w:rsidRDefault="00000000">
      <w:pPr>
        <w:pStyle w:val="Heading3"/>
      </w:pPr>
      <w:bookmarkStart w:id="7" w:name="eligibility-criteria"/>
      <w:bookmarkEnd w:id="6"/>
      <w:r>
        <w:t>2.4 Eligibility Criteria</w:t>
      </w:r>
    </w:p>
    <w:p w14:paraId="2C798104" w14:textId="77777777" w:rsidR="00D31E3D" w:rsidRDefault="00000000">
      <w:pPr>
        <w:pStyle w:val="FirstParagraph"/>
      </w:pPr>
      <w:r>
        <w:t xml:space="preserve">Publications were eligible if they reported original research, systematic or narrative synthesis, or authoritative institutional assessment relevant to the occurrence, </w:t>
      </w:r>
      <w:r>
        <w:lastRenderedPageBreak/>
        <w:t>characterisation, recovery, economic evaluation, environmental consequence or governance of critical minerals in mine tailings and closely related processing residues. Eligible study types included geochemical and mineralogical surveys, laboratory and pilot metallurgical investigations, resource estimation and geostatistical studies, techno-economic analyses, life-cycle assessments, materials flow and criticality analyses, and empirical legal, policy and social research. Publications were excluded if they addressed tailings solely as a geotechnical or contaminant problem without bearing on resource recovery, if they concerned waste streams outside the defined scope, if they reported process chemistry on synthetic solutions with no demonstrated relationship to real tailings matrices, or if bibliographic identity could not be confirmed. Trade publications, promotional material, unrefereed conference abstracts and patent claims of effectiveness were excluded. Preprints were not used where peer-reviewed evidence addressing the same question was available. Only publications in English were assessed, which constitutes a recognised limitation given the volume of relevant work published in Chinese, Spanish, Portuguese and Russian.</w:t>
      </w:r>
    </w:p>
    <w:p w14:paraId="4C574FB1" w14:textId="77777777" w:rsidR="00D31E3D" w:rsidRDefault="00000000">
      <w:pPr>
        <w:pStyle w:val="Heading3"/>
      </w:pPr>
      <w:bookmarkStart w:id="8" w:name="X7d2e9d0ecae87711c8cd031b02724f1a8226a19"/>
      <w:bookmarkEnd w:id="7"/>
      <w:r>
        <w:t>2.5 Screening, Duplicate Handling and Study Selection</w:t>
      </w:r>
    </w:p>
    <w:p w14:paraId="4C991FF4" w14:textId="77777777" w:rsidR="00D31E3D" w:rsidRDefault="00000000">
      <w:pPr>
        <w:pStyle w:val="FirstParagraph"/>
      </w:pPr>
      <w:r>
        <w:t>Records were screened in three stages. Titles were assessed against the scope definition; abstracts were then examined for relevance to at least one of the review objectives; and full texts were read for the subset that passed. Duplicate records arising from indexing of the same article in multiple sources were identified by digital object identifier where present, and by comparison of title, first author and journal where absent, with the version bearing the most complete bibliographic metadata retained. Where a preprint and a subsequent peer-reviewed article described the same work, only the peer-reviewed version was used. Sources whose full text could not be obtained, and whose claims therefore could not be verified against the cited content, were not cited. No record counts are reported, because the selection process was purposive and iterative rather than exhaustive, and reporting counts derived from such a process would imply a systematic procedure that was not undertaken.</w:t>
      </w:r>
    </w:p>
    <w:p w14:paraId="296BA7A3" w14:textId="77777777" w:rsidR="00D31E3D" w:rsidRDefault="00000000">
      <w:pPr>
        <w:pStyle w:val="Heading3"/>
      </w:pPr>
      <w:bookmarkStart w:id="9" w:name="Xc28834b6ce4066e280aa110dcd5d5fe36acafe5"/>
      <w:bookmarkEnd w:id="8"/>
      <w:r>
        <w:t>2.6 Critical Appraisal and Evidence Synthesis</w:t>
      </w:r>
    </w:p>
    <w:p w14:paraId="220AE372" w14:textId="77777777" w:rsidR="00D31E3D" w:rsidRDefault="00000000">
      <w:pPr>
        <w:pStyle w:val="FirstParagraph"/>
      </w:pPr>
      <w:r>
        <w:t xml:space="preserve">Evidence was appraised against criteria matched to study type rather than through a single instrument. Geochemical and mineralogical studies were assessed for sampling design, spatial coverage relative to impoundment heterogeneity, analytical method and detection limits, quality control reporting, and whether mineralogical deportment was determined or inferred. Metallurgical studies were assessed for scale, feed characterisation, whether the feed was real or synthetic, reagent consumption reporting, mass balance closure, replication, and whether reported recoveries were accompanied by grade and impurity data. Economic assessments were assessed for cost estimation basis, treatment of by-product price volatility, inclusion of residue management and closure obligations, and sensitivity analysis. Life-cycle studies were assessed for system boundary definition, functional unit, allocation approach and inventory transparency. Institutional and social studies were assessed for design, sampling frame and the strength of the inference drawn from the evidence presented. No formal risk-of-bias scores were assigned, since the </w:t>
      </w:r>
      <w:r>
        <w:lastRenderedPageBreak/>
        <w:t>recognised instruments for such scoring were not developed for these study types and the information required to apply them consistently was not reported in most sources.</w:t>
      </w:r>
    </w:p>
    <w:p w14:paraId="16C44DFB" w14:textId="77777777" w:rsidR="00D31E3D" w:rsidRDefault="00000000">
      <w:pPr>
        <w:pStyle w:val="BodyText"/>
      </w:pPr>
      <w:r>
        <w:t>Synthesis proceeded thematically. Findings were grouped by the analytical problem they address rather than by commodity or geography, so that convergent and conflicting evidence bearing on the same question could be compared directly. Where studies disagreed, the review examined whether the disagreement was attributable to differences in feed mineralogy, scale, analytical method, system boundary or economic assumption before treating it as a substantive contradiction. Confidence in each conclusion was calibrated to the consistency of the evidence, the number of independent groups reporting it, and the scale at which it was demonstrated. ## 3. Tailings as an Anthropogenic Resource: Conceptual Foundations</w:t>
      </w:r>
    </w:p>
    <w:p w14:paraId="03F04731" w14:textId="77777777" w:rsidR="00D31E3D" w:rsidRDefault="00000000">
      <w:pPr>
        <w:pStyle w:val="Heading3"/>
      </w:pPr>
      <w:bookmarkStart w:id="10" w:name="X79d296d0db274ac61548703030369d1796efe25"/>
      <w:bookmarkEnd w:id="9"/>
      <w:r>
        <w:t>3.1 Definitional instability and its consequences</w:t>
      </w:r>
    </w:p>
    <w:p w14:paraId="33E7CE56" w14:textId="77777777" w:rsidR="00D31E3D" w:rsidRDefault="00000000">
      <w:pPr>
        <w:pStyle w:val="FirstParagraph"/>
      </w:pPr>
      <w:r>
        <w:t>Comparison across the tailings literature is impeded by inconsistent use of its central terms. The word tailings is applied variously to the total residue of a processing plant, to the fine fraction deposited hydraulically in an impoundment, to the combined contents of a storage facility including interstitial water and cover material, and, loosely, to any mine waste. Studies reporting elemental concentrations in mine waste frequently do not specify whether the sampled material is flotation tailings, gravity tailings, waste rock, mill fines or a weathered surface crust, although these differ systematically in particle size, mineralogy and weathering history. The distinction matters for resource inference because the processes that concentrate or disperse critical elements operate differently in each. Sulphide oxidation in a surface layer, for example, may either enrich a target element through secondary mineral precipitation or deplete it through dissolution and downward transport, and the direction of that effect determines whether near-surface sampling overestimates or underestimates the endowment of the facility as a whole (Dold, 2014).</w:t>
      </w:r>
    </w:p>
    <w:p w14:paraId="5EE3812C" w14:textId="77777777" w:rsidR="00D31E3D" w:rsidRDefault="00000000">
      <w:pPr>
        <w:pStyle w:val="BodyText"/>
      </w:pPr>
      <w:r>
        <w:t>A second definitional problem concerns the term resource. In the primary mining sector, mineral resources and reserves are reported under codified frameworks that impose requirements on sampling density, quality assurance, geological confidence and economic assessment. Much of the tailings literature reports concentrations without any corresponding statement of confidence or economic qualification, yet uses the language of resources and reserves in interpretation. Reviews that aggregate such reports inherit the ambiguity, and the resulting compilations can convey a spurious sense that tonnages are established (Abbadi &amp; Mucsi, 2024; Sarker et al., 2022). This is not a criticism of the underlying measurements, which are often careful, but of the inferential step from measurement to resource. The distinction between a documented concentration, a defensible resource estimate and a recoverable reserve is the single most consequential conceptual boundary in this field.</w:t>
      </w:r>
    </w:p>
    <w:p w14:paraId="58DF5D35" w14:textId="77777777" w:rsidR="00D31E3D" w:rsidRDefault="00000000">
      <w:pPr>
        <w:pStyle w:val="Heading3"/>
      </w:pPr>
      <w:bookmarkStart w:id="11" w:name="X1628a472cfa5a3c9302ba38c02af70b78a6ff6e"/>
      <w:bookmarkEnd w:id="10"/>
      <w:r>
        <w:t>3.2 By-product economics as the mechanism of loss</w:t>
      </w:r>
    </w:p>
    <w:p w14:paraId="0C07AD7F" w14:textId="77777777" w:rsidR="00D31E3D" w:rsidRDefault="00000000">
      <w:pPr>
        <w:pStyle w:val="FirstParagraph"/>
      </w:pPr>
      <w:r>
        <w:t xml:space="preserve">Understanding why critical elements are present in tailings clarifies which occurrences are likely to be recoverable. Three mechanisms operate. The first is technological obsolescence: elements were not recovered because no commercial process existed, or </w:t>
      </w:r>
      <w:r>
        <w:lastRenderedPageBreak/>
        <w:t>because analytical methods did not detect them. Historical gold and silver tailings, and pre-flotation base metal residues, fall into this class, and here the resource argument is strongest in principle because the loss was total rather than marginal. The second is metallurgical incompatibility: an element reports to a mineral phase that the flowsheet was not designed to float, leach or smelt. Cobalt hosted in pyrite or arsenopyrite in a copper circuit, and germanium substituting into sphalerite in a lead–zinc circuit, illustrate this class (Huston &amp; Bastrakov, 2024; Teillaud et al., 2025; White et al., 2022). The third is economic marginality: the element could have been recovered but the incremental revenue did not justify the incremental cost or the risk to primary product quality.</w:t>
      </w:r>
    </w:p>
    <w:p w14:paraId="1D97A28D" w14:textId="77777777" w:rsidR="00D31E3D" w:rsidRDefault="00000000">
      <w:pPr>
        <w:pStyle w:val="BodyText"/>
      </w:pPr>
      <w:r>
        <w:t>These mechanisms have different implications. Losses of the first kind may be reversed by applying current technology, and the material is often oxidised, unconsolidated and accessible. Losses of the second kind require a genuine metallurgical solution, not merely reprocessing, because the element is locked in a phase whose treatment was avoided for reasons that frequently persist, including arsenic or antimony management. Losses of the third kind are the most difficult to reverse, because the economic logic that produced them applies with greater force to a lower-grade, more oxidised, finer-grained feed. The by-product literature makes this explicit: production of companion metals is governed by the host metal’s economics, and the elasticity of by-product supply with respect to by-product price is low (Nassar et al., 2015). Where an element was lost because recovering it was marginal at the concentrate stage, it will not become economic at the tailings stage merely because its price has risen, unless the process route or the co-product structure has changed materially (Bustamante et al., 2018; McNulty &amp; Jowitt, 2022).</w:t>
      </w:r>
    </w:p>
    <w:p w14:paraId="5D43C4A7" w14:textId="77777777" w:rsidR="00D31E3D" w:rsidRDefault="00000000">
      <w:pPr>
        <w:pStyle w:val="Heading3"/>
      </w:pPr>
      <w:bookmarkStart w:id="12" w:name="Xe169f204499738fa19be23b5e62313a71f10dab"/>
      <w:bookmarkEnd w:id="11"/>
      <w:r>
        <w:t>3.3 Concentration, deportment and recoverability</w:t>
      </w:r>
    </w:p>
    <w:p w14:paraId="0BDC14CF" w14:textId="77777777" w:rsidR="00D31E3D" w:rsidRDefault="00000000">
      <w:pPr>
        <w:pStyle w:val="FirstParagraph"/>
      </w:pPr>
      <w:r>
        <w:t>A recurring inferential error in the applied literature is the treatment of bulk concentration as a proxy for recoverability. Bulk assay establishes how much of an element is present. It does not establish the mineral phase in which the element resides, the grain size and liberation characteristics of that phase, its association with other minerals, or its response to a given separation. Automated mineralogical methods applied to flotation tailings have shown that recovery potential is governed by the spatial and mineralogical distribution of the target phases rather than by average grade, and that spatial modelling of deportment data changes the assessment of what is recoverable (Büttner et al., 2018). Hyperspectral methods extend this to rapid geoenvironmental characterisation across large surfaces (Fox et al., 2017). The geometallurgical framing, in which mineralogical and process-response data are integrated across the life of a mine rather than collected after closure, makes the point directly: characterisation performed for waste management purposes and characterisation performed for resource purposes require different data, and retrofitting the former to the latter is rarely satisfactory (Parbhakar-Fox &amp; Baumgartner, 2023).</w:t>
      </w:r>
    </w:p>
    <w:p w14:paraId="15171062" w14:textId="77777777" w:rsidR="00D31E3D" w:rsidRDefault="00000000">
      <w:pPr>
        <w:pStyle w:val="BodyText"/>
      </w:pPr>
      <w:r>
        <w:t xml:space="preserve">The consequence for evidence appraisal is that studies reporting concentrations alone provide weaker support for recovery claims than studies reporting deportment, and studies reporting deportment provide weaker support than those reporting process response on the actual material. Much of the literature that is cited in support of the resource proposition sits in the first category. Table 1 sets out the conceptual distinctions that govern the interpretation of the evidence throughout this review. It is intended to be </w:t>
      </w:r>
      <w:r>
        <w:lastRenderedPageBreak/>
        <w:t>used as an appraisal aid: the terms in the left column are frequently used interchangeably in the sources reviewed, and the confusion between them accounts for a substantial part of the disagreement in the field about how much material is actually available. The final column identifies the sources in which each distinction is drawn or its consequences examined.</w:t>
      </w:r>
    </w:p>
    <w:p w14:paraId="30DC4882" w14:textId="77777777" w:rsidR="00D31E3D" w:rsidRDefault="00000000">
      <w:pPr>
        <w:pStyle w:val="BodyText"/>
      </w:pPr>
      <w:r>
        <w:rPr>
          <w:b/>
          <w:bCs/>
        </w:rPr>
        <w:t>Table 1.</w:t>
      </w:r>
      <w:r>
        <w:t xml:space="preserve"> Conceptual distinctions governing the interpretation of evidence on critical minerals in mine tailings.</w:t>
      </w:r>
    </w:p>
    <w:tbl>
      <w:tblPr>
        <w:tblStyle w:val="TableGrid"/>
        <w:tblW w:w="5000" w:type="pct"/>
        <w:tblLook w:val="0020" w:firstRow="1" w:lastRow="0" w:firstColumn="0" w:lastColumn="0" w:noHBand="0" w:noVBand="0"/>
      </w:tblPr>
      <w:tblGrid>
        <w:gridCol w:w="1847"/>
        <w:gridCol w:w="2594"/>
        <w:gridCol w:w="2896"/>
        <w:gridCol w:w="2239"/>
      </w:tblGrid>
      <w:tr w:rsidR="00D31E3D" w14:paraId="7C966D80" w14:textId="77777777" w:rsidTr="00FE512B">
        <w:tc>
          <w:tcPr>
            <w:tcW w:w="964" w:type="pct"/>
          </w:tcPr>
          <w:p w14:paraId="0DD672F4" w14:textId="77777777" w:rsidR="00D31E3D" w:rsidRDefault="00000000">
            <w:pPr>
              <w:pStyle w:val="Compact"/>
            </w:pPr>
            <w:r>
              <w:t>Term or category</w:t>
            </w:r>
          </w:p>
        </w:tc>
        <w:tc>
          <w:tcPr>
            <w:tcW w:w="1354" w:type="pct"/>
          </w:tcPr>
          <w:p w14:paraId="7704B84E" w14:textId="77777777" w:rsidR="00D31E3D" w:rsidRDefault="00000000">
            <w:pPr>
              <w:pStyle w:val="Compact"/>
            </w:pPr>
            <w:r>
              <w:t>Working definition adopted here</w:t>
            </w:r>
          </w:p>
        </w:tc>
        <w:tc>
          <w:tcPr>
            <w:tcW w:w="1512" w:type="pct"/>
          </w:tcPr>
          <w:p w14:paraId="0B1F74FC" w14:textId="77777777" w:rsidR="00D31E3D" w:rsidRDefault="00000000">
            <w:pPr>
              <w:pStyle w:val="Compact"/>
            </w:pPr>
            <w:r>
              <w:t>Common conflation and its consequence</w:t>
            </w:r>
          </w:p>
        </w:tc>
        <w:tc>
          <w:tcPr>
            <w:tcW w:w="1169" w:type="pct"/>
          </w:tcPr>
          <w:p w14:paraId="50D7A9B5" w14:textId="77777777" w:rsidR="00D31E3D" w:rsidRDefault="00000000">
            <w:pPr>
              <w:pStyle w:val="Compact"/>
            </w:pPr>
            <w:r>
              <w:t>Supporting references</w:t>
            </w:r>
          </w:p>
        </w:tc>
      </w:tr>
      <w:tr w:rsidR="00D31E3D" w14:paraId="50237A4F" w14:textId="77777777" w:rsidTr="00FE512B">
        <w:tc>
          <w:tcPr>
            <w:tcW w:w="964" w:type="pct"/>
          </w:tcPr>
          <w:p w14:paraId="31F3C528" w14:textId="77777777" w:rsidR="00D31E3D" w:rsidRDefault="00000000">
            <w:pPr>
              <w:pStyle w:val="Compact"/>
            </w:pPr>
            <w:r>
              <w:t>Tailings</w:t>
            </w:r>
          </w:p>
        </w:tc>
        <w:tc>
          <w:tcPr>
            <w:tcW w:w="1354" w:type="pct"/>
          </w:tcPr>
          <w:p w14:paraId="6FDF5A88" w14:textId="77777777" w:rsidR="00D31E3D" w:rsidRDefault="00000000">
            <w:pPr>
              <w:pStyle w:val="Compact"/>
            </w:pPr>
            <w:r>
              <w:t>Fine-grained residue of ore beneficiation, deposited hydraulically or as filtered material in a storage facility</w:t>
            </w:r>
          </w:p>
        </w:tc>
        <w:tc>
          <w:tcPr>
            <w:tcW w:w="1512" w:type="pct"/>
          </w:tcPr>
          <w:p w14:paraId="66A10CCA" w14:textId="77777777" w:rsidR="00D31E3D" w:rsidRDefault="00000000">
            <w:pPr>
              <w:pStyle w:val="Compact"/>
            </w:pPr>
            <w:r>
              <w:t>Conflated with waste rock, heap residue and slag, which differ in size, mineralogy and weathering; inflates apparent evidence base</w:t>
            </w:r>
          </w:p>
        </w:tc>
        <w:tc>
          <w:tcPr>
            <w:tcW w:w="1169" w:type="pct"/>
          </w:tcPr>
          <w:p w14:paraId="4B74851D" w14:textId="77777777" w:rsidR="00D31E3D" w:rsidRDefault="00000000">
            <w:pPr>
              <w:pStyle w:val="Compact"/>
            </w:pPr>
            <w:r>
              <w:t>Dold (2014); Hudson-Edwards et al. (2011); Jamieson (2011)</w:t>
            </w:r>
          </w:p>
        </w:tc>
      </w:tr>
      <w:tr w:rsidR="00D31E3D" w14:paraId="15A17534" w14:textId="77777777" w:rsidTr="00FE512B">
        <w:tc>
          <w:tcPr>
            <w:tcW w:w="964" w:type="pct"/>
          </w:tcPr>
          <w:p w14:paraId="7C17FB31" w14:textId="77777777" w:rsidR="00D31E3D" w:rsidRDefault="00000000">
            <w:pPr>
              <w:pStyle w:val="Compact"/>
            </w:pPr>
            <w:r>
              <w:t>Documented concentration</w:t>
            </w:r>
          </w:p>
        </w:tc>
        <w:tc>
          <w:tcPr>
            <w:tcW w:w="1354" w:type="pct"/>
          </w:tcPr>
          <w:p w14:paraId="3F0C867B" w14:textId="77777777" w:rsidR="00D31E3D" w:rsidRDefault="00000000">
            <w:pPr>
              <w:pStyle w:val="Compact"/>
            </w:pPr>
            <w:r>
              <w:t>Elemental content measured in one or more samples, without stated spatial confidence</w:t>
            </w:r>
          </w:p>
        </w:tc>
        <w:tc>
          <w:tcPr>
            <w:tcW w:w="1512" w:type="pct"/>
          </w:tcPr>
          <w:p w14:paraId="5E8FE3F0" w14:textId="77777777" w:rsidR="00D31E3D" w:rsidRDefault="00000000">
            <w:pPr>
              <w:pStyle w:val="Compact"/>
            </w:pPr>
            <w:r>
              <w:t>Reported as a resource; implies tonnage that sampling design cannot support</w:t>
            </w:r>
          </w:p>
        </w:tc>
        <w:tc>
          <w:tcPr>
            <w:tcW w:w="1169" w:type="pct"/>
          </w:tcPr>
          <w:p w14:paraId="5128646C" w14:textId="77777777" w:rsidR="00D31E3D" w:rsidRDefault="00000000">
            <w:pPr>
              <w:pStyle w:val="Compact"/>
            </w:pPr>
            <w:r>
              <w:t>Blannin et al. (2022); Leskelä et al. (2025)</w:t>
            </w:r>
          </w:p>
        </w:tc>
      </w:tr>
      <w:tr w:rsidR="00D31E3D" w14:paraId="78EC853A" w14:textId="77777777" w:rsidTr="00FE512B">
        <w:tc>
          <w:tcPr>
            <w:tcW w:w="964" w:type="pct"/>
          </w:tcPr>
          <w:p w14:paraId="6E1A09EE" w14:textId="77777777" w:rsidR="00D31E3D" w:rsidRDefault="00000000">
            <w:pPr>
              <w:pStyle w:val="Compact"/>
            </w:pPr>
            <w:r>
              <w:t>Resource estimate</w:t>
            </w:r>
          </w:p>
        </w:tc>
        <w:tc>
          <w:tcPr>
            <w:tcW w:w="1354" w:type="pct"/>
          </w:tcPr>
          <w:p w14:paraId="77FBD895" w14:textId="77777777" w:rsidR="00D31E3D" w:rsidRDefault="00000000">
            <w:pPr>
              <w:pStyle w:val="Compact"/>
            </w:pPr>
            <w:r>
              <w:t>Tonnage and grade with quantified spatial confidence derived from designed sampling and geostatistical modelling</w:t>
            </w:r>
          </w:p>
        </w:tc>
        <w:tc>
          <w:tcPr>
            <w:tcW w:w="1512" w:type="pct"/>
          </w:tcPr>
          <w:p w14:paraId="13B0C657" w14:textId="77777777" w:rsidR="00D31E3D" w:rsidRDefault="00000000">
            <w:pPr>
              <w:pStyle w:val="Compact"/>
            </w:pPr>
            <w:r>
              <w:t>Rare in the tailings literature; absence is often unstated</w:t>
            </w:r>
          </w:p>
        </w:tc>
        <w:tc>
          <w:tcPr>
            <w:tcW w:w="1169" w:type="pct"/>
          </w:tcPr>
          <w:p w14:paraId="7FB5B4F8" w14:textId="77777777" w:rsidR="00D31E3D" w:rsidRDefault="00000000">
            <w:pPr>
              <w:pStyle w:val="Compact"/>
            </w:pPr>
            <w:r>
              <w:t>Blannin et al. (2023); Leskelä et al. (2025)</w:t>
            </w:r>
          </w:p>
        </w:tc>
      </w:tr>
      <w:tr w:rsidR="00D31E3D" w14:paraId="64C1A05D" w14:textId="77777777" w:rsidTr="00FE512B">
        <w:tc>
          <w:tcPr>
            <w:tcW w:w="964" w:type="pct"/>
          </w:tcPr>
          <w:p w14:paraId="24BFFB15" w14:textId="77777777" w:rsidR="00D31E3D" w:rsidRDefault="00000000">
            <w:pPr>
              <w:pStyle w:val="Compact"/>
            </w:pPr>
            <w:r>
              <w:t>Deportment</w:t>
            </w:r>
          </w:p>
        </w:tc>
        <w:tc>
          <w:tcPr>
            <w:tcW w:w="1354" w:type="pct"/>
          </w:tcPr>
          <w:p w14:paraId="74101597" w14:textId="77777777" w:rsidR="00D31E3D" w:rsidRDefault="00000000">
            <w:pPr>
              <w:pStyle w:val="Compact"/>
            </w:pPr>
            <w:r>
              <w:t>Identity, grain size, liberation and association of the mineral phases hosting the target element</w:t>
            </w:r>
          </w:p>
        </w:tc>
        <w:tc>
          <w:tcPr>
            <w:tcW w:w="1512" w:type="pct"/>
          </w:tcPr>
          <w:p w14:paraId="28192E34" w14:textId="77777777" w:rsidR="00D31E3D" w:rsidRDefault="00000000">
            <w:pPr>
              <w:pStyle w:val="Compact"/>
            </w:pPr>
            <w:r>
              <w:t>Assumed from bulk assay; leads to overestimation of recoverable fraction</w:t>
            </w:r>
          </w:p>
        </w:tc>
        <w:tc>
          <w:tcPr>
            <w:tcW w:w="1169" w:type="pct"/>
          </w:tcPr>
          <w:p w14:paraId="690E4D8A" w14:textId="77777777" w:rsidR="00D31E3D" w:rsidRDefault="00000000">
            <w:pPr>
              <w:pStyle w:val="Compact"/>
            </w:pPr>
            <w:r>
              <w:t>Büttner et al. (2018); Fox et al. (2017); Parbhakar-Fox &amp; Baumgartner (2023)</w:t>
            </w:r>
          </w:p>
        </w:tc>
      </w:tr>
      <w:tr w:rsidR="00D31E3D" w14:paraId="20D4B953" w14:textId="77777777" w:rsidTr="00FE512B">
        <w:tc>
          <w:tcPr>
            <w:tcW w:w="964" w:type="pct"/>
          </w:tcPr>
          <w:p w14:paraId="73320BF0" w14:textId="77777777" w:rsidR="00D31E3D" w:rsidRDefault="00000000">
            <w:pPr>
              <w:pStyle w:val="Compact"/>
            </w:pPr>
            <w:r>
              <w:t>By-product or companion element</w:t>
            </w:r>
          </w:p>
        </w:tc>
        <w:tc>
          <w:tcPr>
            <w:tcW w:w="1354" w:type="pct"/>
          </w:tcPr>
          <w:p w14:paraId="6200F590" w14:textId="77777777" w:rsidR="00D31E3D" w:rsidRDefault="00000000">
            <w:pPr>
              <w:pStyle w:val="Compact"/>
            </w:pPr>
            <w:r>
              <w:t>Element produced incidentally during processing of a host commodity that governs operating decisions</w:t>
            </w:r>
          </w:p>
        </w:tc>
        <w:tc>
          <w:tcPr>
            <w:tcW w:w="1512" w:type="pct"/>
          </w:tcPr>
          <w:p w14:paraId="59D98D6C" w14:textId="77777777" w:rsidR="00D31E3D" w:rsidRDefault="00000000">
            <w:pPr>
              <w:pStyle w:val="Compact"/>
            </w:pPr>
            <w:r>
              <w:t>Treated as price-responsive like a primary metal; misstates supply elasticity</w:t>
            </w:r>
          </w:p>
        </w:tc>
        <w:tc>
          <w:tcPr>
            <w:tcW w:w="1169" w:type="pct"/>
          </w:tcPr>
          <w:p w14:paraId="0A134899" w14:textId="77777777" w:rsidR="00D31E3D" w:rsidRDefault="00000000">
            <w:pPr>
              <w:pStyle w:val="Compact"/>
            </w:pPr>
            <w:r>
              <w:t>Bustamante et al. (2018); Nassar et al. (2015); McNulty &amp; Jowitt (2022)</w:t>
            </w:r>
          </w:p>
        </w:tc>
      </w:tr>
      <w:tr w:rsidR="00D31E3D" w14:paraId="1950399E" w14:textId="77777777" w:rsidTr="00FE512B">
        <w:tc>
          <w:tcPr>
            <w:tcW w:w="964" w:type="pct"/>
          </w:tcPr>
          <w:p w14:paraId="1BD67148" w14:textId="77777777" w:rsidR="00D31E3D" w:rsidRDefault="00000000">
            <w:pPr>
              <w:pStyle w:val="Compact"/>
            </w:pPr>
            <w:r>
              <w:t>Reprocessing</w:t>
            </w:r>
          </w:p>
        </w:tc>
        <w:tc>
          <w:tcPr>
            <w:tcW w:w="1354" w:type="pct"/>
          </w:tcPr>
          <w:p w14:paraId="0CC49F9E" w14:textId="77777777" w:rsidR="00D31E3D" w:rsidRDefault="00000000">
            <w:pPr>
              <w:pStyle w:val="Compact"/>
            </w:pPr>
            <w:r>
              <w:t xml:space="preserve">Re-treatment of stored tailings to recover one or more elements, </w:t>
            </w:r>
            <w:r>
              <w:lastRenderedPageBreak/>
              <w:t>generating a new residue</w:t>
            </w:r>
          </w:p>
        </w:tc>
        <w:tc>
          <w:tcPr>
            <w:tcW w:w="1512" w:type="pct"/>
          </w:tcPr>
          <w:p w14:paraId="6E2C164F" w14:textId="77777777" w:rsidR="00D31E3D" w:rsidRDefault="00000000">
            <w:pPr>
              <w:pStyle w:val="Compact"/>
            </w:pPr>
            <w:r>
              <w:lastRenderedPageBreak/>
              <w:t xml:space="preserve">Equated with remediation; obscures that a residue requiring </w:t>
            </w:r>
            <w:r>
              <w:lastRenderedPageBreak/>
              <w:t>management remains</w:t>
            </w:r>
          </w:p>
        </w:tc>
        <w:tc>
          <w:tcPr>
            <w:tcW w:w="1169" w:type="pct"/>
          </w:tcPr>
          <w:p w14:paraId="2C60D175" w14:textId="77777777" w:rsidR="00D31E3D" w:rsidRDefault="00000000">
            <w:pPr>
              <w:pStyle w:val="Compact"/>
            </w:pPr>
            <w:r>
              <w:lastRenderedPageBreak/>
              <w:t xml:space="preserve">Kinnunen &amp; Kaksonen (2019); Lèbre et </w:t>
            </w:r>
            <w:r>
              <w:lastRenderedPageBreak/>
              <w:t>al. (2017b); Tayebi-Khorami et al. (2019)</w:t>
            </w:r>
          </w:p>
        </w:tc>
      </w:tr>
      <w:tr w:rsidR="00D31E3D" w14:paraId="08F7FE5A" w14:textId="77777777" w:rsidTr="00FE512B">
        <w:tc>
          <w:tcPr>
            <w:tcW w:w="964" w:type="pct"/>
          </w:tcPr>
          <w:p w14:paraId="35BF1A25" w14:textId="77777777" w:rsidR="00D31E3D" w:rsidRDefault="00000000">
            <w:pPr>
              <w:pStyle w:val="Compact"/>
            </w:pPr>
            <w:r>
              <w:lastRenderedPageBreak/>
              <w:t>Valorisation</w:t>
            </w:r>
          </w:p>
        </w:tc>
        <w:tc>
          <w:tcPr>
            <w:tcW w:w="1354" w:type="pct"/>
          </w:tcPr>
          <w:p w14:paraId="7F5ADCAC" w14:textId="77777777" w:rsidR="00D31E3D" w:rsidRDefault="00000000">
            <w:pPr>
              <w:pStyle w:val="Compact"/>
            </w:pPr>
            <w:r>
              <w:t>Conversion of residue into a saleable product, including construction materials</w:t>
            </w:r>
          </w:p>
        </w:tc>
        <w:tc>
          <w:tcPr>
            <w:tcW w:w="1512" w:type="pct"/>
          </w:tcPr>
          <w:p w14:paraId="5BD0AD84" w14:textId="77777777" w:rsidR="00D31E3D" w:rsidRDefault="00000000">
            <w:pPr>
              <w:pStyle w:val="Compact"/>
            </w:pPr>
            <w:r>
              <w:t>Used to imply metal recovery when the product is a bulk commodity of low unit value</w:t>
            </w:r>
          </w:p>
        </w:tc>
        <w:tc>
          <w:tcPr>
            <w:tcW w:w="1169" w:type="pct"/>
          </w:tcPr>
          <w:p w14:paraId="6F9D84AE" w14:textId="77777777" w:rsidR="00D31E3D" w:rsidRDefault="00000000">
            <w:pPr>
              <w:pStyle w:val="Compact"/>
            </w:pPr>
            <w:r>
              <w:t>Adesina (2025); Guo et al. (2022)</w:t>
            </w:r>
          </w:p>
        </w:tc>
      </w:tr>
    </w:tbl>
    <w:p w14:paraId="2CE56EFB" w14:textId="77777777" w:rsidR="00D31E3D" w:rsidRDefault="00000000">
      <w:pPr>
        <w:pStyle w:val="BodyText"/>
      </w:pPr>
      <w:r>
        <w:rPr>
          <w:i/>
          <w:iCs/>
        </w:rPr>
        <w:t>Note.</w:t>
      </w:r>
      <w:r>
        <w:t xml:space="preserve"> The definitions adopted are those used consistently throughout this review; they are not proposed as standard nomenclature. The table is illustrative of distinctions relevant to appraisal and is not an exhaustive glossary of terms used in the field. ## 4. The Evidence Base on Critical Element Endowment in United States Tailings</w:t>
      </w:r>
    </w:p>
    <w:p w14:paraId="78DF5411" w14:textId="77777777" w:rsidR="00D31E3D" w:rsidRDefault="00000000">
      <w:pPr>
        <w:pStyle w:val="Heading3"/>
      </w:pPr>
      <w:bookmarkStart w:id="13" w:name="X98bf44f25403a9efbaac55bacc00e513988d975"/>
      <w:bookmarkEnd w:id="12"/>
      <w:r>
        <w:t>4.1 National inventories and the mapping deficit</w:t>
      </w:r>
    </w:p>
    <w:p w14:paraId="2AA91BEB" w14:textId="77777777" w:rsidR="00D31E3D" w:rsidRDefault="00000000">
      <w:pPr>
        <w:pStyle w:val="FirstParagraph"/>
      </w:pPr>
      <w:r>
        <w:t>Any national assessment of tailings as a resource requires knowing where the material is, how much of it exists, and what it contains. The United States has made substantive progress on the first of these and comparatively little on the third. Federal work has established the value of systematic inventory of mine features and has begun coordinated geochemical and mineralogical characterisation of legacy and active mine waste in partnership with state geological surveys, framing recovery and remediation as complementary rather than competing objectives (Piatak et al., 2025). This represents a shift from earlier practice, in which mine waste characterisation was undertaken almost exclusively for contaminant management. The distinction is consequential: sampling designed to identify acid generation potential or metal mobility differs in depth, spacing and analyte suite from sampling designed to estimate an elemental resource, and the historical record consists overwhelmingly of the former.</w:t>
      </w:r>
    </w:p>
    <w:p w14:paraId="34A0D712" w14:textId="77777777" w:rsidR="00D31E3D" w:rsidRDefault="00000000">
      <w:pPr>
        <w:pStyle w:val="BodyText"/>
      </w:pPr>
      <w:r>
        <w:t>The practical implication is that published national statements about tailings resources in the United States rest on an inventory of locations rather than an inventory of contents. This is not a criticism of the agencies concerned, whose published position is explicitly that mine waste may be an untapped source requiring evaluation (Piatak et al., 2025). It is a criticism of secondary and policy literature that converts a statement of potential into an assumed reserve. The distinction between a mapped population of facilities and a characterised resource base recurs throughout the sections that follow.</w:t>
      </w:r>
    </w:p>
    <w:p w14:paraId="19679912" w14:textId="77777777" w:rsidR="00D31E3D" w:rsidRDefault="00000000">
      <w:pPr>
        <w:pStyle w:val="Heading3"/>
      </w:pPr>
      <w:bookmarkStart w:id="14" w:name="porphyry-copper-systems"/>
      <w:bookmarkEnd w:id="13"/>
      <w:r>
        <w:t>4.2 Porphyry copper systems</w:t>
      </w:r>
    </w:p>
    <w:p w14:paraId="3667FE9D" w14:textId="77777777" w:rsidR="00D31E3D" w:rsidRDefault="00000000">
      <w:pPr>
        <w:pStyle w:val="FirstParagraph"/>
      </w:pPr>
      <w:r>
        <w:t xml:space="preserve">Porphyry copper deposits are the most plausible large-volume host of critical elements in United States tailings, because they dominate domestic copper production, generate very large residue volumes at low head grades, and carry a suite of elements that report incompletely to concentrate. Tellurium is the best-documented case. Mineralogical work at a major operating porphyry copper mine in Utah has identified tellurium hosted in discrete telluride phases, including silver–gold and bismuth-bearing tellurides, occurring as fine grains that report substantially to tailings even though the operation recovers tellurium as a by-product (Piatak et al., 2025). The finding is important for two reasons. It confirms that </w:t>
      </w:r>
      <w:r>
        <w:lastRenderedPageBreak/>
        <w:t>a critical element identified as supply-constrained is being lost at an operating facility rather than only at legacy sites, and it demonstrates that the loss mechanism is mineralogical and granulometric rather than simply a matter of insufficient grade.</w:t>
      </w:r>
    </w:p>
    <w:p w14:paraId="4E9F93EB" w14:textId="77777777" w:rsidR="00D31E3D" w:rsidRDefault="00000000">
      <w:pPr>
        <w:pStyle w:val="BodyText"/>
      </w:pPr>
      <w:r>
        <w:t>The wider significance of this observation must nonetheless be assessed carefully. Tellurium demand is dominated by a single technology whose material intensity is itself changing, and supply analyses indicate that the constraint arises from the structure of copper anode slime processing rather than from geological scarcity (Bustamante et al., 2018; McNulty &amp; Jowitt, 2022). Recovering tellurium from tailings would require a separate concentration and refining route for a very low-grade feed, competing against an established by-product circuit that operates on a far richer intermediate. Comparative analysis of supply risk mitigation for tellurium suggests that improvements in recovery efficiency within existing circuits and in end-of-life recovery may be more effective than developing new primary or secondary sources (Bustamante et al., 2018). The tailings occurrence is therefore well evidenced as an occurrence and weakly evidenced as a supply solution.</w:t>
      </w:r>
    </w:p>
    <w:p w14:paraId="5AFA71C4" w14:textId="77777777" w:rsidR="00D31E3D" w:rsidRDefault="00000000">
      <w:pPr>
        <w:pStyle w:val="BodyText"/>
      </w:pPr>
      <w:r>
        <w:t>Evidence from porphyry copper tailings outside the United States is informative but requires cautious transfer. Historical assessment of Chilean porphyry copper tailings has shown that recovery potential varies systematically with the era of deposition, reflecting changes in processing technology over the operating history of the districts concerned (Alcalde et al., 2018). Subsequent work on the same national inventory identified cobalt, rare earth elements and other critical materials as candidates for recovery and examined the process configurations that might address them (Araya et al., 2020). These findings support the general proposition that older tailings retain more of the primary commodity and, in some circuits, more of the associated elements. They do not establish equivalent endowment in United States facilities, because the deposits differ in alteration style, sulphide assemblage and trace element inventory, and because the operating histories and reagent regimes differ.</w:t>
      </w:r>
    </w:p>
    <w:p w14:paraId="54EB4C69" w14:textId="77777777" w:rsidR="00D31E3D" w:rsidRDefault="00000000">
      <w:pPr>
        <w:pStyle w:val="Heading3"/>
      </w:pPr>
      <w:bookmarkStart w:id="15" w:name="zinc-and-lead-systems"/>
      <w:bookmarkEnd w:id="14"/>
      <w:r>
        <w:t>4.3 Zinc and lead systems</w:t>
      </w:r>
    </w:p>
    <w:p w14:paraId="61DF3AAC" w14:textId="77777777" w:rsidR="00D31E3D" w:rsidRDefault="00000000">
      <w:pPr>
        <w:pStyle w:val="FirstParagraph"/>
      </w:pPr>
      <w:r>
        <w:t>The case for germanium in zinc-related mine waste is among the strongest in the United States literature, and it is instructive because the evidence extends from ore geology through to weathering behaviour. Germanium, indium, gallium and cadmium occur in zinc ores through substitution into sphalerite and related phases, with systematic variation across deposit types that reflects the conditions of ore formation (Huston &amp; Bastrakov, 2024). Because germanium is recovered as a by-product of zinc processing, historical operations that predated germanium recovery, or that treated ores whose germanium content was not assayed, discarded the element with the residue.</w:t>
      </w:r>
    </w:p>
    <w:p w14:paraId="4BDAD337" w14:textId="77777777" w:rsidR="00D31E3D" w:rsidRDefault="00000000">
      <w:pPr>
        <w:pStyle w:val="BodyText"/>
      </w:pPr>
      <w:r>
        <w:t xml:space="preserve">Investigation of zinc mine wastes in the Tri-State mining district has examined what happens to germanium subsequently. Weathering redistributes germanium among secondary phases, with implications both for environmental mobility and for the feasibility of recovery, since the accessibility of the element depends on whether it remains within residual sulphide or has been incorporated into secondary iron phases (White et al., 2022). Complementary methodological work has developed non-destructive approaches for </w:t>
      </w:r>
      <w:r>
        <w:lastRenderedPageBreak/>
        <w:t>examining germanium and its co-substituents within sphalerite, addressing the analytical difficulty that has historically limited deportment studies for this element (Hayes et al., 2023). This body of work is unusual in the tailings literature in combining deposit-scale geological context, site-specific waste characterisation and analytical method development within a coherent programme. It supports a well-founded conclusion that germanium is present in United States zinc mine wastes in phases whose recovery is technically conceivable, while stopping short of resource estimation, which the authors do not claim.</w:t>
      </w:r>
    </w:p>
    <w:p w14:paraId="24E5D30D" w14:textId="77777777" w:rsidR="00D31E3D" w:rsidRDefault="00000000">
      <w:pPr>
        <w:pStyle w:val="Heading3"/>
      </w:pPr>
      <w:bookmarkStart w:id="16" w:name="X0c82b2eb60b86dcb6c99d2f30230fd500cffcb3"/>
      <w:bookmarkEnd w:id="15"/>
      <w:r>
        <w:t>4.4 Nickel–copper sulphide and ultramafic systems</w:t>
      </w:r>
    </w:p>
    <w:p w14:paraId="1FDE6D0C" w14:textId="77777777" w:rsidR="00D31E3D" w:rsidRDefault="00000000">
      <w:pPr>
        <w:pStyle w:val="FirstParagraph"/>
      </w:pPr>
      <w:r>
        <w:t>Cobalt in sulphidic tailings has attracted sustained attention because cobalt supply is concentrated and because cobalt frequently reports to iron sulphides that base metal flowsheets reject. Geochemical and mineralogical characterisation of cobalt in mine wastes from historic districts has shown that cobalt deportment varies substantially between primary sulphides, secondary phases and arsenides, with corresponding differences in leachability (Ziwa et al., 2025). Work on aged tailings has demonstrated that the recovery of cobalt-bearing minerals is complicated by their association with arsenic-bearing phases, so that a process capable of liberating cobalt also mobilises arsenic and thereby creates a residue management obligation that the recovery economics must absorb (Teillaud et al., 2025). This coupling between target element and deleterious element is a general feature of the cobalt case and is frequently omitted from optimistic assessments.</w:t>
      </w:r>
    </w:p>
    <w:p w14:paraId="330A183D" w14:textId="77777777" w:rsidR="00D31E3D" w:rsidRDefault="00000000">
      <w:pPr>
        <w:pStyle w:val="BodyText"/>
      </w:pPr>
      <w:r>
        <w:t>Ultramafic tailings present a distinct configuration in which metal recovery and carbon dioxide mineralisation may be pursued together. Magnesium silicate minerals in such tailings react with carbon dioxide to form stable carbonate phases, and assessment of a Canadian nickel deposit indicated that the tailings produced would have substantial capacity for mineralisation and enhanced weathering (Power et al., 2020). Geochemical modelling across facilities in several countries has since examined how carbon accounting and monitoring for such systems should be constructed, identifying the conditions under which sequestration can be verified (Paulo et al., 2023). A critical review of activation methods has catalogued the physical and chemical treatments proposed to overcome the slow kinetics that otherwise limit the process (Norouzpour et al., 2025), and integrated technical, economic and life-cycle assessment of a hydrothermal route using domestic nickel tailings has begun to quantify the trade-offs (Ofori et al., 2025). The co-benefit argument is attractive and increasingly well studied, but the evidence indicates that activation energy requirements, reagent consumption and monitoring obligations are material rather than incidental costs.</w:t>
      </w:r>
    </w:p>
    <w:p w14:paraId="25509C73" w14:textId="77777777" w:rsidR="00D31E3D" w:rsidRDefault="00000000">
      <w:pPr>
        <w:pStyle w:val="Heading3"/>
      </w:pPr>
      <w:bookmarkStart w:id="17" w:name="coal-related-wastes-and-mine-drainage"/>
      <w:bookmarkEnd w:id="16"/>
      <w:r>
        <w:t>4.5 Coal-related wastes and mine drainage</w:t>
      </w:r>
    </w:p>
    <w:p w14:paraId="208EBBC6" w14:textId="77777777" w:rsidR="00D31E3D" w:rsidRDefault="00000000">
      <w:pPr>
        <w:pStyle w:val="FirstParagraph"/>
      </w:pPr>
      <w:r>
        <w:t>The most developed United States evidence base for critical element recovery from mining legacies concerns coal-related materials and acid mine drainage rather than metalliferous tailings. Integrated flowsheets for rare earth element recovery from coal coarse refuse have been developed and tested, combining physical concentration with leaching and staged precipitation (Honaker et al., 2018; W. Zhang &amp; Honaker, 2018). Subsequent work has examined thermal activation combined with biologically generated ferric sulphate lixiviant, extending the approach to a broader suite of critical metals (W. Liu et al., 2026), and pilot-</w:t>
      </w:r>
      <w:r>
        <w:lastRenderedPageBreak/>
        <w:t>scale testing of lignite as an adsorbent has addressed the specific problem of concentrating rare earth elements from dilute leach solutions (Nawab &amp; Honaker, 2023). Regional resource evaluation has quantified rare earth and yttrium content across a large sample set from Gulf Coast coal, finding that concentrations are broadly comparable to those of the upper continental crust with localised enrichment, that extractability from lignite using a weak acid is high whereas extractability from coal ash is much lower, and that magnet-relevant elements account for the large majority of the contained value (Scanlon et al., 2026). That combination of findings is notable because it separates two properties that are often conflated: contained concentration and leachable fraction.</w:t>
      </w:r>
    </w:p>
    <w:p w14:paraId="1EC66629" w14:textId="77777777" w:rsidR="00D31E3D" w:rsidRDefault="00000000">
      <w:pPr>
        <w:pStyle w:val="BodyText"/>
      </w:pPr>
      <w:r>
        <w:t>Acid mine drainage and its precipitates constitute a parallel stream. Rare earth elements are concentrated in drainage waters and in the precipitates formed during treatment, and the sequence of precipitation provides a natural separation step. Sequential extraction of such precipitates has established how the elements are partitioned among the solid phases and therefore which fractions are accessible (Wang et al., 2021), and optimisation of oxalic acid precipitation has been examined through combined experimental and theoretical approaches (Wang et al., 2022). A case study in Colorado extended the analysis to hard-rock drainage and associated mine waste, comparing recovery behaviour across the solid and aqueous phases (Goodman et al., 2023). Economic assessment of the drainage route has been attempted using standard capital and operating cost estimation practice under multiple price and product scenarios, and represents one of the few economic analyses in this field to be conducted at a recognised estimating class and to test the sensitivity of the conclusion to price assumptions (Larochelle et al., 2021). The wider relevance of this stream to the tailings question is that drainage systems perform, at no capital cost, the leaching step that tailings reprocessing must pay for.</w:t>
      </w:r>
    </w:p>
    <w:p w14:paraId="3C49F475" w14:textId="77777777" w:rsidR="00D31E3D" w:rsidRDefault="00000000">
      <w:pPr>
        <w:pStyle w:val="Heading3"/>
      </w:pPr>
      <w:bookmarkStart w:id="18" w:name="what-the-endowment-evidence-supports"/>
      <w:bookmarkEnd w:id="17"/>
      <w:r>
        <w:t>4.6 What the endowment evidence supports</w:t>
      </w:r>
    </w:p>
    <w:p w14:paraId="7C3403DE" w14:textId="77777777" w:rsidR="00D31E3D" w:rsidRDefault="00000000">
      <w:pPr>
        <w:pStyle w:val="FirstParagraph"/>
      </w:pPr>
      <w:r>
        <w:t>Read together, the geochemical evidence supports a bounded conclusion. Specific element–deposit pairings are documented in United States mine waste with sufficient mineralogical detail to justify further evaluation, notably tellurium in porphyry copper tailings, germanium in zinc wastes, cobalt in sulphide tailings and rare earth elements in coal-related materials and drainage precipitates. Antimony has been characterised across mine waste settings in comparable detail, with attention to the geochemical, mineralogical and microbiological controls on its behaviour (Radková et al., 2023). What the evidence does not support is the aggregate claim that United States tailings constitute a large characterised reserve of critical minerals. The characterisation that exists is site-specific, was frequently designed for environmental purposes, and has not generally been extended to the sampling density and spatial modelling required for resource estimation.</w:t>
      </w:r>
    </w:p>
    <w:p w14:paraId="728553E8" w14:textId="77777777" w:rsidR="00D31E3D" w:rsidRDefault="00000000">
      <w:pPr>
        <w:pStyle w:val="BodyText"/>
      </w:pPr>
      <w:r>
        <w:t>Table 2 summarises the principal element–deposit pairings for which evidence exists, the nature of that evidence, and its main limitation. The pattern that emerges across the rows is that the strength of evidence declines sharply as the question moves from occurrence to deportment to recoverable tonnage, and that no row in the table is supported at the level of a defensible resource estimate for a United States facility. The table is confined to pairings for which primary characterisation evidence was located; it is not a comprehensive inventory of elements reported in mine waste.</w:t>
      </w:r>
    </w:p>
    <w:p w14:paraId="7FF0D9A6" w14:textId="77777777" w:rsidR="00D31E3D" w:rsidRDefault="00000000">
      <w:pPr>
        <w:pStyle w:val="BodyText"/>
      </w:pPr>
      <w:r>
        <w:rPr>
          <w:b/>
          <w:bCs/>
        </w:rPr>
        <w:lastRenderedPageBreak/>
        <w:t>Table 2.</w:t>
      </w:r>
      <w:r>
        <w:t xml:space="preserve"> Principal critical element and deposit-type pairings in mine tailings and related residues, with the nature and limitations of the supporting evidence.</w:t>
      </w:r>
    </w:p>
    <w:tbl>
      <w:tblPr>
        <w:tblStyle w:val="TableGrid"/>
        <w:tblW w:w="5000" w:type="pct"/>
        <w:tblLook w:val="0020" w:firstRow="1" w:lastRow="0" w:firstColumn="0" w:lastColumn="0" w:noHBand="0" w:noVBand="0"/>
      </w:tblPr>
      <w:tblGrid>
        <w:gridCol w:w="1463"/>
        <w:gridCol w:w="1886"/>
        <w:gridCol w:w="2239"/>
        <w:gridCol w:w="2272"/>
        <w:gridCol w:w="1716"/>
      </w:tblGrid>
      <w:tr w:rsidR="00D31E3D" w14:paraId="72D73CDE" w14:textId="77777777" w:rsidTr="00FE512B">
        <w:tc>
          <w:tcPr>
            <w:tcW w:w="0" w:type="auto"/>
          </w:tcPr>
          <w:p w14:paraId="55DAA492" w14:textId="77777777" w:rsidR="00D31E3D" w:rsidRDefault="00000000">
            <w:pPr>
              <w:pStyle w:val="Compact"/>
            </w:pPr>
            <w:r>
              <w:t>Element or group</w:t>
            </w:r>
          </w:p>
        </w:tc>
        <w:tc>
          <w:tcPr>
            <w:tcW w:w="0" w:type="auto"/>
          </w:tcPr>
          <w:p w14:paraId="3FE86B34" w14:textId="77777777" w:rsidR="00D31E3D" w:rsidRDefault="00000000">
            <w:pPr>
              <w:pStyle w:val="Compact"/>
            </w:pPr>
            <w:r>
              <w:t>Host residue type</w:t>
            </w:r>
          </w:p>
        </w:tc>
        <w:tc>
          <w:tcPr>
            <w:tcW w:w="0" w:type="auto"/>
          </w:tcPr>
          <w:p w14:paraId="52656E86" w14:textId="77777777" w:rsidR="00D31E3D" w:rsidRDefault="00000000">
            <w:pPr>
              <w:pStyle w:val="Compact"/>
            </w:pPr>
            <w:r>
              <w:t>Nature of evidence located</w:t>
            </w:r>
          </w:p>
        </w:tc>
        <w:tc>
          <w:tcPr>
            <w:tcW w:w="0" w:type="auto"/>
          </w:tcPr>
          <w:p w14:paraId="184DF335" w14:textId="77777777" w:rsidR="00D31E3D" w:rsidRDefault="00000000">
            <w:pPr>
              <w:pStyle w:val="Compact"/>
            </w:pPr>
            <w:r>
              <w:t>Principal limitation</w:t>
            </w:r>
          </w:p>
        </w:tc>
        <w:tc>
          <w:tcPr>
            <w:tcW w:w="0" w:type="auto"/>
          </w:tcPr>
          <w:p w14:paraId="0177FAA5" w14:textId="77777777" w:rsidR="00D31E3D" w:rsidRDefault="00000000">
            <w:pPr>
              <w:pStyle w:val="Compact"/>
            </w:pPr>
            <w:r>
              <w:t>Supporting references</w:t>
            </w:r>
          </w:p>
        </w:tc>
      </w:tr>
      <w:tr w:rsidR="00D31E3D" w14:paraId="20F63345" w14:textId="77777777" w:rsidTr="00FE512B">
        <w:tc>
          <w:tcPr>
            <w:tcW w:w="0" w:type="auto"/>
          </w:tcPr>
          <w:p w14:paraId="464701F1" w14:textId="77777777" w:rsidR="00D31E3D" w:rsidRDefault="00000000">
            <w:pPr>
              <w:pStyle w:val="Compact"/>
            </w:pPr>
            <w:r>
              <w:t>Tellurium</w:t>
            </w:r>
          </w:p>
        </w:tc>
        <w:tc>
          <w:tcPr>
            <w:tcW w:w="0" w:type="auto"/>
          </w:tcPr>
          <w:p w14:paraId="2D225225" w14:textId="77777777" w:rsidR="00D31E3D" w:rsidRDefault="00000000">
            <w:pPr>
              <w:pStyle w:val="Compact"/>
            </w:pPr>
            <w:r>
              <w:t>Porphyry copper tailings, United States and Chile</w:t>
            </w:r>
          </w:p>
        </w:tc>
        <w:tc>
          <w:tcPr>
            <w:tcW w:w="0" w:type="auto"/>
          </w:tcPr>
          <w:p w14:paraId="18B615E2" w14:textId="77777777" w:rsidR="00D31E3D" w:rsidRDefault="00000000">
            <w:pPr>
              <w:pStyle w:val="Compact"/>
            </w:pPr>
            <w:r>
              <w:t>Mineralogical identification of discrete telluride phases reporting to tailings at an operating mine</w:t>
            </w:r>
          </w:p>
        </w:tc>
        <w:tc>
          <w:tcPr>
            <w:tcW w:w="0" w:type="auto"/>
          </w:tcPr>
          <w:p w14:paraId="1C723AAC" w14:textId="77777777" w:rsidR="00D31E3D" w:rsidRDefault="00000000">
            <w:pPr>
              <w:pStyle w:val="Compact"/>
            </w:pPr>
            <w:r>
              <w:t>Occurrence documented; no resource estimate; competes with established anode slime route</w:t>
            </w:r>
          </w:p>
        </w:tc>
        <w:tc>
          <w:tcPr>
            <w:tcW w:w="0" w:type="auto"/>
          </w:tcPr>
          <w:p w14:paraId="65419B78" w14:textId="77777777" w:rsidR="00D31E3D" w:rsidRDefault="00000000">
            <w:pPr>
              <w:pStyle w:val="Compact"/>
            </w:pPr>
            <w:r>
              <w:t>McNulty &amp; Jowitt (2022); Piatak et al. (2025)</w:t>
            </w:r>
          </w:p>
        </w:tc>
      </w:tr>
      <w:tr w:rsidR="00D31E3D" w14:paraId="752E65AA" w14:textId="77777777" w:rsidTr="00FE512B">
        <w:tc>
          <w:tcPr>
            <w:tcW w:w="0" w:type="auto"/>
          </w:tcPr>
          <w:p w14:paraId="2019AE64" w14:textId="77777777" w:rsidR="00D31E3D" w:rsidRDefault="00000000">
            <w:pPr>
              <w:pStyle w:val="Compact"/>
            </w:pPr>
            <w:r>
              <w:t>Germanium</w:t>
            </w:r>
          </w:p>
        </w:tc>
        <w:tc>
          <w:tcPr>
            <w:tcW w:w="0" w:type="auto"/>
          </w:tcPr>
          <w:p w14:paraId="14440161" w14:textId="77777777" w:rsidR="00D31E3D" w:rsidRDefault="00000000">
            <w:pPr>
              <w:pStyle w:val="Compact"/>
            </w:pPr>
            <w:r>
              <w:t>Zinc and lead–zinc mine waste, Tri-State district</w:t>
            </w:r>
          </w:p>
        </w:tc>
        <w:tc>
          <w:tcPr>
            <w:tcW w:w="0" w:type="auto"/>
          </w:tcPr>
          <w:p w14:paraId="0FF5B1EB" w14:textId="77777777" w:rsidR="00D31E3D" w:rsidRDefault="00000000">
            <w:pPr>
              <w:pStyle w:val="Compact"/>
            </w:pPr>
            <w:r>
              <w:t>Deposit-scale substitution controls, site weathering study and non-destructive deportment method</w:t>
            </w:r>
          </w:p>
        </w:tc>
        <w:tc>
          <w:tcPr>
            <w:tcW w:w="0" w:type="auto"/>
          </w:tcPr>
          <w:p w14:paraId="5FB74961" w14:textId="77777777" w:rsidR="00D31E3D" w:rsidRDefault="00000000">
            <w:pPr>
              <w:pStyle w:val="Compact"/>
            </w:pPr>
            <w:r>
              <w:t>Redistribution during weathering not yet linked to a recovery flowsheet</w:t>
            </w:r>
          </w:p>
        </w:tc>
        <w:tc>
          <w:tcPr>
            <w:tcW w:w="0" w:type="auto"/>
          </w:tcPr>
          <w:p w14:paraId="1586F33F" w14:textId="77777777" w:rsidR="00D31E3D" w:rsidRDefault="00000000">
            <w:pPr>
              <w:pStyle w:val="Compact"/>
            </w:pPr>
            <w:r>
              <w:t>Hayes et al. (2023); Huston &amp; Bastrakov (2024); White et al. (2022)</w:t>
            </w:r>
          </w:p>
        </w:tc>
      </w:tr>
      <w:tr w:rsidR="00D31E3D" w14:paraId="3B00B754" w14:textId="77777777" w:rsidTr="00FE512B">
        <w:tc>
          <w:tcPr>
            <w:tcW w:w="0" w:type="auto"/>
          </w:tcPr>
          <w:p w14:paraId="0FFF2A4A" w14:textId="77777777" w:rsidR="00D31E3D" w:rsidRDefault="00000000">
            <w:pPr>
              <w:pStyle w:val="Compact"/>
            </w:pPr>
            <w:r>
              <w:t>Cobalt</w:t>
            </w:r>
          </w:p>
        </w:tc>
        <w:tc>
          <w:tcPr>
            <w:tcW w:w="0" w:type="auto"/>
          </w:tcPr>
          <w:p w14:paraId="4B06125A" w14:textId="77777777" w:rsidR="00D31E3D" w:rsidRDefault="00000000">
            <w:pPr>
              <w:pStyle w:val="Compact"/>
            </w:pPr>
            <w:r>
              <w:t>Sulphidic and pyrrhotite-rich tailings</w:t>
            </w:r>
          </w:p>
        </w:tc>
        <w:tc>
          <w:tcPr>
            <w:tcW w:w="0" w:type="auto"/>
          </w:tcPr>
          <w:p w14:paraId="42FAECBF" w14:textId="77777777" w:rsidR="00D31E3D" w:rsidRDefault="00000000">
            <w:pPr>
              <w:pStyle w:val="Compact"/>
            </w:pPr>
            <w:r>
              <w:t>Mineralogical characterisation and bench to mini-pilot bioleaching on real tailings</w:t>
            </w:r>
          </w:p>
        </w:tc>
        <w:tc>
          <w:tcPr>
            <w:tcW w:w="0" w:type="auto"/>
          </w:tcPr>
          <w:p w14:paraId="2F59445D" w14:textId="77777777" w:rsidR="00D31E3D" w:rsidRDefault="00000000">
            <w:pPr>
              <w:pStyle w:val="Compact"/>
            </w:pPr>
            <w:r>
              <w:t>Frequent arsenic association; recovery generates a residue requiring management</w:t>
            </w:r>
          </w:p>
        </w:tc>
        <w:tc>
          <w:tcPr>
            <w:tcW w:w="0" w:type="auto"/>
          </w:tcPr>
          <w:p w14:paraId="0EA0699F" w14:textId="77777777" w:rsidR="00D31E3D" w:rsidRDefault="00000000">
            <w:pPr>
              <w:pStyle w:val="Compact"/>
            </w:pPr>
            <w:r>
              <w:t>Cameron et al. (2021); Mäkinen et al. (2020); Teillaud et al. (2025); Ziwa et al. (2025)</w:t>
            </w:r>
          </w:p>
        </w:tc>
      </w:tr>
      <w:tr w:rsidR="00D31E3D" w14:paraId="3A858110" w14:textId="77777777" w:rsidTr="00FE512B">
        <w:tc>
          <w:tcPr>
            <w:tcW w:w="0" w:type="auto"/>
          </w:tcPr>
          <w:p w14:paraId="2585DEB2" w14:textId="77777777" w:rsidR="00D31E3D" w:rsidRDefault="00000000">
            <w:pPr>
              <w:pStyle w:val="Compact"/>
            </w:pPr>
            <w:r>
              <w:t>Rare earth elements</w:t>
            </w:r>
          </w:p>
        </w:tc>
        <w:tc>
          <w:tcPr>
            <w:tcW w:w="0" w:type="auto"/>
          </w:tcPr>
          <w:p w14:paraId="1BBD0997" w14:textId="77777777" w:rsidR="00D31E3D" w:rsidRDefault="00000000">
            <w:pPr>
              <w:pStyle w:val="Compact"/>
            </w:pPr>
            <w:r>
              <w:t>Coal coarse refuse, lignite, coal ash</w:t>
            </w:r>
          </w:p>
        </w:tc>
        <w:tc>
          <w:tcPr>
            <w:tcW w:w="0" w:type="auto"/>
          </w:tcPr>
          <w:p w14:paraId="3E259ECD" w14:textId="77777777" w:rsidR="00D31E3D" w:rsidRDefault="00000000">
            <w:pPr>
              <w:pStyle w:val="Compact"/>
            </w:pPr>
            <w:r>
              <w:t>Integrated flowsheet development, pilot adsorption testing, regional resource evaluation</w:t>
            </w:r>
          </w:p>
        </w:tc>
        <w:tc>
          <w:tcPr>
            <w:tcW w:w="0" w:type="auto"/>
          </w:tcPr>
          <w:p w14:paraId="4449FA1C" w14:textId="77777777" w:rsidR="00D31E3D" w:rsidRDefault="00000000">
            <w:pPr>
              <w:pStyle w:val="Compact"/>
            </w:pPr>
            <w:r>
              <w:t>High contained concentration does not imply extractability, which differs markedly between coal and ash</w:t>
            </w:r>
          </w:p>
        </w:tc>
        <w:tc>
          <w:tcPr>
            <w:tcW w:w="0" w:type="auto"/>
          </w:tcPr>
          <w:p w14:paraId="650CE3A1" w14:textId="77777777" w:rsidR="00D31E3D" w:rsidRDefault="00000000">
            <w:pPr>
              <w:pStyle w:val="Compact"/>
            </w:pPr>
            <w:r>
              <w:t>Honaker et al. (2018); Nawab &amp; Honaker (2023); Scanlon et al. (2026); W. Zhang &amp; Honaker (2018)</w:t>
            </w:r>
          </w:p>
        </w:tc>
      </w:tr>
      <w:tr w:rsidR="00D31E3D" w14:paraId="7325CDAA" w14:textId="77777777" w:rsidTr="00FE512B">
        <w:tc>
          <w:tcPr>
            <w:tcW w:w="0" w:type="auto"/>
          </w:tcPr>
          <w:p w14:paraId="2EB51A08" w14:textId="77777777" w:rsidR="00D31E3D" w:rsidRDefault="00000000">
            <w:pPr>
              <w:pStyle w:val="Compact"/>
            </w:pPr>
            <w:r>
              <w:t>Rare earth elements</w:t>
            </w:r>
          </w:p>
        </w:tc>
        <w:tc>
          <w:tcPr>
            <w:tcW w:w="0" w:type="auto"/>
          </w:tcPr>
          <w:p w14:paraId="74B468DD" w14:textId="77777777" w:rsidR="00D31E3D" w:rsidRDefault="00000000">
            <w:pPr>
              <w:pStyle w:val="Compact"/>
            </w:pPr>
            <w:r>
              <w:t>Acid mine drainage and treatment precipitates</w:t>
            </w:r>
          </w:p>
        </w:tc>
        <w:tc>
          <w:tcPr>
            <w:tcW w:w="0" w:type="auto"/>
          </w:tcPr>
          <w:p w14:paraId="4827DCD2" w14:textId="77777777" w:rsidR="00D31E3D" w:rsidRDefault="00000000">
            <w:pPr>
              <w:pStyle w:val="Compact"/>
            </w:pPr>
            <w:r>
              <w:t>Phase partitioning by sequential extraction, precipitation optimisation, class-level economic assessment</w:t>
            </w:r>
          </w:p>
        </w:tc>
        <w:tc>
          <w:tcPr>
            <w:tcW w:w="0" w:type="auto"/>
          </w:tcPr>
          <w:p w14:paraId="3C4F4BEA" w14:textId="77777777" w:rsidR="00D31E3D" w:rsidRDefault="00000000">
            <w:pPr>
              <w:pStyle w:val="Compact"/>
            </w:pPr>
            <w:r>
              <w:t>Feedstock is dispersed; economics depend on network aggregation and price scenario</w:t>
            </w:r>
          </w:p>
        </w:tc>
        <w:tc>
          <w:tcPr>
            <w:tcW w:w="0" w:type="auto"/>
          </w:tcPr>
          <w:p w14:paraId="492031DD" w14:textId="77777777" w:rsidR="00D31E3D" w:rsidRDefault="00000000">
            <w:pPr>
              <w:pStyle w:val="Compact"/>
            </w:pPr>
            <w:r>
              <w:t>Goodman et al. (2023); Larochelle et al. (2021); Wang et al. (2021, 2022)</w:t>
            </w:r>
          </w:p>
        </w:tc>
      </w:tr>
      <w:tr w:rsidR="00D31E3D" w14:paraId="3017ADE9" w14:textId="77777777" w:rsidTr="00FE512B">
        <w:tc>
          <w:tcPr>
            <w:tcW w:w="0" w:type="auto"/>
          </w:tcPr>
          <w:p w14:paraId="0C4FDF8F" w14:textId="77777777" w:rsidR="00D31E3D" w:rsidRDefault="00000000">
            <w:pPr>
              <w:pStyle w:val="Compact"/>
            </w:pPr>
            <w:r>
              <w:lastRenderedPageBreak/>
              <w:t>Antimony</w:t>
            </w:r>
          </w:p>
        </w:tc>
        <w:tc>
          <w:tcPr>
            <w:tcW w:w="0" w:type="auto"/>
          </w:tcPr>
          <w:p w14:paraId="6F401A88" w14:textId="77777777" w:rsidR="00D31E3D" w:rsidRDefault="00000000">
            <w:pPr>
              <w:pStyle w:val="Compact"/>
            </w:pPr>
            <w:r>
              <w:t>Mine wastes across multiple settings</w:t>
            </w:r>
          </w:p>
        </w:tc>
        <w:tc>
          <w:tcPr>
            <w:tcW w:w="0" w:type="auto"/>
          </w:tcPr>
          <w:p w14:paraId="0946CC58" w14:textId="77777777" w:rsidR="00D31E3D" w:rsidRDefault="00000000">
            <w:pPr>
              <w:pStyle w:val="Compact"/>
            </w:pPr>
            <w:r>
              <w:t>Integrated geochemical, mineralogical and microbiological characterisation</w:t>
            </w:r>
          </w:p>
        </w:tc>
        <w:tc>
          <w:tcPr>
            <w:tcW w:w="0" w:type="auto"/>
          </w:tcPr>
          <w:p w14:paraId="7C1A0609" w14:textId="77777777" w:rsidR="00D31E3D" w:rsidRDefault="00000000">
            <w:pPr>
              <w:pStyle w:val="Compact"/>
            </w:pPr>
            <w:r>
              <w:t>Characterisation oriented to mobility and risk rather than recovery</w:t>
            </w:r>
          </w:p>
        </w:tc>
        <w:tc>
          <w:tcPr>
            <w:tcW w:w="0" w:type="auto"/>
          </w:tcPr>
          <w:p w14:paraId="0D667EB5" w14:textId="77777777" w:rsidR="00D31E3D" w:rsidRDefault="00000000">
            <w:pPr>
              <w:pStyle w:val="Compact"/>
            </w:pPr>
            <w:r>
              <w:t>Radková et al. (2023)</w:t>
            </w:r>
          </w:p>
        </w:tc>
      </w:tr>
      <w:tr w:rsidR="00D31E3D" w14:paraId="5CA719A3" w14:textId="77777777" w:rsidTr="00FE512B">
        <w:tc>
          <w:tcPr>
            <w:tcW w:w="0" w:type="auto"/>
          </w:tcPr>
          <w:p w14:paraId="17779A6A" w14:textId="77777777" w:rsidR="00D31E3D" w:rsidRDefault="00000000">
            <w:pPr>
              <w:pStyle w:val="Compact"/>
            </w:pPr>
            <w:r>
              <w:t>Copper and cobalt</w:t>
            </w:r>
          </w:p>
        </w:tc>
        <w:tc>
          <w:tcPr>
            <w:tcW w:w="0" w:type="auto"/>
          </w:tcPr>
          <w:p w14:paraId="626B9505" w14:textId="77777777" w:rsidR="00D31E3D" w:rsidRDefault="00000000">
            <w:pPr>
              <w:pStyle w:val="Compact"/>
            </w:pPr>
            <w:r>
              <w:t>Oxidised and sulphide flotation tailings, Central Africa and Chile</w:t>
            </w:r>
          </w:p>
        </w:tc>
        <w:tc>
          <w:tcPr>
            <w:tcW w:w="0" w:type="auto"/>
          </w:tcPr>
          <w:p w14:paraId="5440C9B7" w14:textId="77777777" w:rsidR="00D31E3D" w:rsidRDefault="00000000">
            <w:pPr>
              <w:pStyle w:val="Compact"/>
            </w:pPr>
            <w:r>
              <w:t>Reprocessing route evaluation and stirred-tank bioleaching on real feed</w:t>
            </w:r>
          </w:p>
        </w:tc>
        <w:tc>
          <w:tcPr>
            <w:tcW w:w="0" w:type="auto"/>
          </w:tcPr>
          <w:p w14:paraId="548756B5" w14:textId="77777777" w:rsidR="00D31E3D" w:rsidRDefault="00000000">
            <w:pPr>
              <w:pStyle w:val="Compact"/>
            </w:pPr>
            <w:r>
              <w:t>Transferability to United States deposit types not demonstrated</w:t>
            </w:r>
          </w:p>
        </w:tc>
        <w:tc>
          <w:tcPr>
            <w:tcW w:w="0" w:type="auto"/>
          </w:tcPr>
          <w:p w14:paraId="671646CD" w14:textId="77777777" w:rsidR="00D31E3D" w:rsidRDefault="00000000">
            <w:pPr>
              <w:pStyle w:val="Compact"/>
            </w:pPr>
            <w:r>
              <w:t>Lutandula &amp; Maloba (2013); Shengo (2021); R. Zhang &amp; Schippers (2022)</w:t>
            </w:r>
          </w:p>
        </w:tc>
      </w:tr>
      <w:tr w:rsidR="00D31E3D" w14:paraId="535BA422" w14:textId="77777777" w:rsidTr="00FE512B">
        <w:tc>
          <w:tcPr>
            <w:tcW w:w="0" w:type="auto"/>
          </w:tcPr>
          <w:p w14:paraId="118F6306" w14:textId="77777777" w:rsidR="00D31E3D" w:rsidRDefault="00000000">
            <w:pPr>
              <w:pStyle w:val="Compact"/>
            </w:pPr>
            <w:r>
              <w:t>Tungsten</w:t>
            </w:r>
          </w:p>
        </w:tc>
        <w:tc>
          <w:tcPr>
            <w:tcW w:w="0" w:type="auto"/>
          </w:tcPr>
          <w:p w14:paraId="44D6AABB" w14:textId="77777777" w:rsidR="00D31E3D" w:rsidRDefault="00000000">
            <w:pPr>
              <w:pStyle w:val="Compact"/>
            </w:pPr>
            <w:r>
              <w:t>Tungsten processing tailings</w:t>
            </w:r>
          </w:p>
        </w:tc>
        <w:tc>
          <w:tcPr>
            <w:tcW w:w="0" w:type="auto"/>
          </w:tcPr>
          <w:p w14:paraId="7A60A1B2" w14:textId="77777777" w:rsidR="00D31E3D" w:rsidRDefault="00000000">
            <w:pPr>
              <w:pStyle w:val="Compact"/>
            </w:pPr>
            <w:r>
              <w:t>Review of loss mechanisms and reprocessing options</w:t>
            </w:r>
          </w:p>
        </w:tc>
        <w:tc>
          <w:tcPr>
            <w:tcW w:w="0" w:type="auto"/>
          </w:tcPr>
          <w:p w14:paraId="68281ABB" w14:textId="77777777" w:rsidR="00D31E3D" w:rsidRDefault="00000000">
            <w:pPr>
              <w:pStyle w:val="Compact"/>
            </w:pPr>
            <w:r>
              <w:t>Evidence base small; site-specific</w:t>
            </w:r>
          </w:p>
        </w:tc>
        <w:tc>
          <w:tcPr>
            <w:tcW w:w="0" w:type="auto"/>
          </w:tcPr>
          <w:p w14:paraId="65965584" w14:textId="77777777" w:rsidR="00D31E3D" w:rsidRDefault="00000000">
            <w:pPr>
              <w:pStyle w:val="Compact"/>
            </w:pPr>
            <w:r>
              <w:t>Msumange et al. (2023)</w:t>
            </w:r>
          </w:p>
        </w:tc>
      </w:tr>
      <w:tr w:rsidR="00D31E3D" w14:paraId="5B297A36" w14:textId="77777777" w:rsidTr="00FE512B">
        <w:tc>
          <w:tcPr>
            <w:tcW w:w="0" w:type="auto"/>
          </w:tcPr>
          <w:p w14:paraId="7DB49DDD" w14:textId="77777777" w:rsidR="00D31E3D" w:rsidRDefault="00000000">
            <w:pPr>
              <w:pStyle w:val="Compact"/>
            </w:pPr>
            <w:r>
              <w:t>Scandium</w:t>
            </w:r>
          </w:p>
        </w:tc>
        <w:tc>
          <w:tcPr>
            <w:tcW w:w="0" w:type="auto"/>
          </w:tcPr>
          <w:p w14:paraId="15192E9C" w14:textId="77777777" w:rsidR="00D31E3D" w:rsidRDefault="00000000">
            <w:pPr>
              <w:pStyle w:val="Compact"/>
            </w:pPr>
            <w:r>
              <w:t>Bauxite residue, used comparatively</w:t>
            </w:r>
          </w:p>
        </w:tc>
        <w:tc>
          <w:tcPr>
            <w:tcW w:w="0" w:type="auto"/>
          </w:tcPr>
          <w:p w14:paraId="021DCBF3" w14:textId="77777777" w:rsidR="00D31E3D" w:rsidRDefault="00000000">
            <w:pPr>
              <w:pStyle w:val="Compact"/>
            </w:pPr>
            <w:r>
              <w:t>Selective process steps demonstrated at laboratory scale</w:t>
            </w:r>
          </w:p>
        </w:tc>
        <w:tc>
          <w:tcPr>
            <w:tcW w:w="0" w:type="auto"/>
          </w:tcPr>
          <w:p w14:paraId="4C25E25F" w14:textId="77777777" w:rsidR="00D31E3D" w:rsidRDefault="00000000">
            <w:pPr>
              <w:pStyle w:val="Compact"/>
            </w:pPr>
            <w:r>
              <w:t>Residue type outside the primary scope of this review</w:t>
            </w:r>
          </w:p>
        </w:tc>
        <w:tc>
          <w:tcPr>
            <w:tcW w:w="0" w:type="auto"/>
          </w:tcPr>
          <w:p w14:paraId="646A4016" w14:textId="77777777" w:rsidR="00D31E3D" w:rsidRDefault="00000000">
            <w:pPr>
              <w:pStyle w:val="Compact"/>
            </w:pPr>
            <w:r>
              <w:t>Y. Liu &amp; Naidu (2014); Narayanan et al. (2018)</w:t>
            </w:r>
          </w:p>
        </w:tc>
      </w:tr>
    </w:tbl>
    <w:p w14:paraId="61424ADF" w14:textId="77777777" w:rsidR="00D31E3D" w:rsidRDefault="00000000">
      <w:pPr>
        <w:pStyle w:val="BodyText"/>
      </w:pPr>
      <w:r>
        <w:rPr>
          <w:i/>
          <w:iCs/>
        </w:rPr>
        <w:t>Note.</w:t>
      </w:r>
      <w:r>
        <w:t xml:space="preserve"> The table records pairings for which primary characterisation or process evidence was identified during searching and is not exhaustive. Absence of a pairing indicates that qualifying evidence was not located, not that the element is absent from the residue type concerned. ## 5. Resource Estimation and Characterisation: The Weakest Link in the Evidence Chain</w:t>
      </w:r>
    </w:p>
    <w:p w14:paraId="473F445F" w14:textId="77777777" w:rsidR="00D31E3D" w:rsidRDefault="00000000">
      <w:pPr>
        <w:pStyle w:val="Heading3"/>
      </w:pPr>
      <w:bookmarkStart w:id="19" w:name="Xbc128d4dfab3d275e857bf240a2e02537e3050d"/>
      <w:bookmarkEnd w:id="18"/>
      <w:r>
        <w:t>5.1 Sampling design and spatial heterogeneity</w:t>
      </w:r>
    </w:p>
    <w:p w14:paraId="612ED7E9" w14:textId="77777777" w:rsidR="00D31E3D" w:rsidRDefault="00000000">
      <w:pPr>
        <w:pStyle w:val="FirstParagraph"/>
      </w:pPr>
      <w:r>
        <w:t>Tailings storage facilities are not homogeneous. They are stratified deposits whose internal architecture records the operating history of the plant that produced them, including changes in ore source, grind size, reagent scheme and recovery efficiency, overlain by hydraulic sorting during deposition and by post-depositional weathering. Sampling that ignores this structure will produce estimates whose error cannot be quantified. Work directed specifically at this problem has proposed sampling protocols for the resource assessment of critical raw materials in tailings facilities, treating the impoundment as a body requiring designed investigation rather than opportunistic surface sampling (Blannin et al., 2022). Subsequent three-dimensional geostatistical modelling of a facility demonstrated the practical consequence, showing that resource potential and environmental characteristics vary systematically within the deposit and that both are misrepresented by aggregate figures (Blannin et al., 2023). Comparative analysis of sampling methodologies at an ilmenite tailings facility reached a convergent conclusion, finding that the choice of sampling approach materially affects the modelled distribution and therefore the resource inference drawn (Leskelä et al., 2025).</w:t>
      </w:r>
    </w:p>
    <w:p w14:paraId="5D1DF8F5" w14:textId="77777777" w:rsidR="00D31E3D" w:rsidRDefault="00000000">
      <w:pPr>
        <w:pStyle w:val="BodyText"/>
      </w:pPr>
      <w:r>
        <w:lastRenderedPageBreak/>
        <w:t>These three studies represent the methodological state of the art, and their convergence is notable given that they concern different commodities and facility types. Their implication for the wider literature is uncomfortable. The great majority of published concentration data for tailings derive from sampling designs that would not satisfy the requirements these studies identify, frequently comprising a small number of surface or shallow samples collected for a different purpose. Such data are informative about occurrence and uninformative about tonnage. Where reviews compile them into tables of grades by site, the compilation is not a resource inventory even when it is presented as one.</w:t>
      </w:r>
    </w:p>
    <w:p w14:paraId="61E4BDBF" w14:textId="77777777" w:rsidR="00D31E3D" w:rsidRDefault="00000000">
      <w:pPr>
        <w:pStyle w:val="Heading3"/>
      </w:pPr>
      <w:bookmarkStart w:id="20" w:name="X73ba5ed554af6b47e9e643fa418942ef0fcfe7a"/>
      <w:bookmarkEnd w:id="19"/>
      <w:r>
        <w:t>5.2 Mineralogical deportment and analytical practice</w:t>
      </w:r>
    </w:p>
    <w:p w14:paraId="1F503410" w14:textId="77777777" w:rsidR="00D31E3D" w:rsidRDefault="00000000">
      <w:pPr>
        <w:pStyle w:val="FirstParagraph"/>
      </w:pPr>
      <w:r>
        <w:t>Bulk geochemical assay is necessary but insufficient. The recoverable fraction of a contained element depends on which phases host it, how those phases are distributed by particle size, and whether they are liberated or locked within gangue. Automated mineralogy applied to flotation tailings, combined with spatial modelling of the resulting data, has demonstrated that these variables control recovery potential and that they vary within a single facility (Büttner et al., 2018). Hyperspectral characterisation offers a complementary capability for rapid assessment across large exposed surfaces and has been applied to geoenvironmental problems in mine waste (Fox et al., 2017). For elements that occur by substitution rather than as discrete minerals, the analytical problem is more severe: germanium within sphalerite cannot be characterised by the same techniques used for discrete telluride grains, and dedicated non-destructive approaches have been required (Hayes et al., 2023).</w:t>
      </w:r>
    </w:p>
    <w:p w14:paraId="62E9FDF6" w14:textId="77777777" w:rsidR="00D31E3D" w:rsidRDefault="00000000">
      <w:pPr>
        <w:pStyle w:val="BodyText"/>
      </w:pPr>
      <w:r>
        <w:t>The literature exhibits a systematic asymmetry here. Studies that report deportment tend to be conducted by research groups with access to advanced mineralogical facilities and tend to concern a small number of well-studied sites. Studies that report only bulk assay are far more numerous and provide most of the geographical coverage. Any synthesis therefore faces a trade-off between evidential quality and representativeness, and reviews that maximise coverage necessarily do so by admitting weaker evidence. This asymmetry is rarely acknowledged, and it is a plausible explanation for the persistent gap between the optimism of review articles and the caution of primary characterisation studies.</w:t>
      </w:r>
    </w:p>
    <w:p w14:paraId="45C0B064" w14:textId="77777777" w:rsidR="00D31E3D" w:rsidRDefault="00000000">
      <w:pPr>
        <w:pStyle w:val="Heading3"/>
      </w:pPr>
      <w:bookmarkStart w:id="21" w:name="X97220aaa0b8058329013f780825712141e77d10"/>
      <w:bookmarkEnd w:id="20"/>
      <w:r>
        <w:t>5.3 From measurement to resource: the reporting problem</w:t>
      </w:r>
    </w:p>
    <w:p w14:paraId="0C3BC6FF" w14:textId="77777777" w:rsidR="00D31E3D" w:rsidRDefault="00000000">
      <w:pPr>
        <w:pStyle w:val="FirstParagraph"/>
      </w:pPr>
      <w:r>
        <w:t>Primary mineral projects report resources and reserves under codified frameworks that require disclosure of sampling density, quality assurance and quality control procedures, geological confidence classification and the assumptions underlying economic extractability. No equivalent discipline is applied consistently to tailings. The consequence is that claims about tailings resources circulate in the scientific and policy literature without the accompanying qualifications that would attach to a comparable claim about an orebody. This is partly a legacy of the field’s origins in environmental science, where the object of study was contaminant inventory rather than economic resource, and partly a consequence of the absence of an agreed protocol, a gap the sampling and geostatistical literature is beginning to fill (Blannin et al., 2022, 2023; Leskelä et al., 2025).</w:t>
      </w:r>
    </w:p>
    <w:p w14:paraId="6C4DCFDE" w14:textId="77777777" w:rsidR="00D31E3D" w:rsidRDefault="00000000">
      <w:pPr>
        <w:pStyle w:val="BodyText"/>
      </w:pPr>
      <w:r>
        <w:lastRenderedPageBreak/>
        <w:t>The practical effect on national assessment is direct. Federal characterisation work in the United States is generating data at legacy and operating sites through coordinated protocols, and the value of that work depends on whether the resulting data are collected at a density and with a spatial design that will support resource modelling rather than only comparison of site chemistry (Piatak et al., 2025). Whether that condition is met will determine, more than any development in extractive metallurgy, how quickly a defensible national picture emerges. Table 3 sets out the methodological limitations that recur across the studies reviewed, the consequence of each for the inferences that can be drawn, and the studies in which the limitation is either exhibited or explicitly addressed. Taken together, the rows indicate that the weakest links in the evidence chain are located upstream, in characterisation and estimation, rather than in process chemistry, which is the part of the field that receives most attention.</w:t>
      </w:r>
    </w:p>
    <w:p w14:paraId="002C7070" w14:textId="77777777" w:rsidR="00D31E3D" w:rsidRDefault="00000000">
      <w:pPr>
        <w:pStyle w:val="BodyText"/>
      </w:pPr>
      <w:r>
        <w:rPr>
          <w:b/>
          <w:bCs/>
        </w:rPr>
        <w:t>Table 3.</w:t>
      </w:r>
      <w:r>
        <w:t xml:space="preserve"> Recurrent methodological limitations across the reviewed literature and their consequences for inference.</w:t>
      </w:r>
    </w:p>
    <w:tbl>
      <w:tblPr>
        <w:tblStyle w:val="TableGrid"/>
        <w:tblW w:w="5000" w:type="pct"/>
        <w:tblLook w:val="0020" w:firstRow="1" w:lastRow="0" w:firstColumn="0" w:lastColumn="0" w:noHBand="0" w:noVBand="0"/>
      </w:tblPr>
      <w:tblGrid>
        <w:gridCol w:w="2355"/>
        <w:gridCol w:w="2322"/>
        <w:gridCol w:w="2542"/>
        <w:gridCol w:w="2357"/>
      </w:tblGrid>
      <w:tr w:rsidR="00D31E3D" w14:paraId="33FA8D19" w14:textId="77777777" w:rsidTr="00FE512B">
        <w:tc>
          <w:tcPr>
            <w:tcW w:w="0" w:type="auto"/>
          </w:tcPr>
          <w:p w14:paraId="43E224AC" w14:textId="77777777" w:rsidR="00D31E3D" w:rsidRDefault="00000000">
            <w:pPr>
              <w:pStyle w:val="Compact"/>
            </w:pPr>
            <w:r>
              <w:t>Limitation</w:t>
            </w:r>
          </w:p>
        </w:tc>
        <w:tc>
          <w:tcPr>
            <w:tcW w:w="0" w:type="auto"/>
          </w:tcPr>
          <w:p w14:paraId="55A5A5DD" w14:textId="77777777" w:rsidR="00D31E3D" w:rsidRDefault="00000000">
            <w:pPr>
              <w:pStyle w:val="Compact"/>
            </w:pPr>
            <w:r>
              <w:t>Typical manifestation</w:t>
            </w:r>
          </w:p>
        </w:tc>
        <w:tc>
          <w:tcPr>
            <w:tcW w:w="0" w:type="auto"/>
          </w:tcPr>
          <w:p w14:paraId="4ED8ED2B" w14:textId="77777777" w:rsidR="00D31E3D" w:rsidRDefault="00000000">
            <w:pPr>
              <w:pStyle w:val="Compact"/>
            </w:pPr>
            <w:r>
              <w:t>Consequence for inference</w:t>
            </w:r>
          </w:p>
        </w:tc>
        <w:tc>
          <w:tcPr>
            <w:tcW w:w="0" w:type="auto"/>
          </w:tcPr>
          <w:p w14:paraId="730F7B4F" w14:textId="77777777" w:rsidR="00D31E3D" w:rsidRDefault="00000000">
            <w:pPr>
              <w:pStyle w:val="Compact"/>
            </w:pPr>
            <w:r>
              <w:t>Supporting references</w:t>
            </w:r>
          </w:p>
        </w:tc>
      </w:tr>
      <w:tr w:rsidR="00D31E3D" w14:paraId="4D9B7E3F" w14:textId="77777777" w:rsidTr="00FE512B">
        <w:tc>
          <w:tcPr>
            <w:tcW w:w="0" w:type="auto"/>
          </w:tcPr>
          <w:p w14:paraId="2E03B440" w14:textId="77777777" w:rsidR="00D31E3D" w:rsidRDefault="00000000">
            <w:pPr>
              <w:pStyle w:val="Compact"/>
            </w:pPr>
            <w:r>
              <w:t>Sampling design not matched to deposit heterogeneity</w:t>
            </w:r>
          </w:p>
        </w:tc>
        <w:tc>
          <w:tcPr>
            <w:tcW w:w="0" w:type="auto"/>
          </w:tcPr>
          <w:p w14:paraId="5F26CF9E" w14:textId="77777777" w:rsidR="00D31E3D" w:rsidRDefault="00000000">
            <w:pPr>
              <w:pStyle w:val="Compact"/>
            </w:pPr>
            <w:r>
              <w:t>Small numbers of surface or shallow samples; no stated spatial design</w:t>
            </w:r>
          </w:p>
        </w:tc>
        <w:tc>
          <w:tcPr>
            <w:tcW w:w="0" w:type="auto"/>
          </w:tcPr>
          <w:p w14:paraId="6EF7CE77" w14:textId="77777777" w:rsidR="00D31E3D" w:rsidRDefault="00000000">
            <w:pPr>
              <w:pStyle w:val="Compact"/>
            </w:pPr>
            <w:r>
              <w:t>Concentrations cannot be extrapolated to facility tonnage; error unquantifiable</w:t>
            </w:r>
          </w:p>
        </w:tc>
        <w:tc>
          <w:tcPr>
            <w:tcW w:w="0" w:type="auto"/>
          </w:tcPr>
          <w:p w14:paraId="33B8A4EA" w14:textId="77777777" w:rsidR="00D31E3D" w:rsidRDefault="00000000">
            <w:pPr>
              <w:pStyle w:val="Compact"/>
            </w:pPr>
            <w:r>
              <w:t>Blannin et al. (2022); Leskelä et al. (2025)</w:t>
            </w:r>
          </w:p>
        </w:tc>
      </w:tr>
      <w:tr w:rsidR="00D31E3D" w14:paraId="74C3B71B" w14:textId="77777777" w:rsidTr="00FE512B">
        <w:tc>
          <w:tcPr>
            <w:tcW w:w="0" w:type="auto"/>
          </w:tcPr>
          <w:p w14:paraId="61471D89" w14:textId="77777777" w:rsidR="00D31E3D" w:rsidRDefault="00000000">
            <w:pPr>
              <w:pStyle w:val="Compact"/>
            </w:pPr>
            <w:r>
              <w:t>Absence of geostatistical modelling</w:t>
            </w:r>
          </w:p>
        </w:tc>
        <w:tc>
          <w:tcPr>
            <w:tcW w:w="0" w:type="auto"/>
          </w:tcPr>
          <w:p w14:paraId="00450B22" w14:textId="77777777" w:rsidR="00D31E3D" w:rsidRDefault="00000000">
            <w:pPr>
              <w:pStyle w:val="Compact"/>
            </w:pPr>
            <w:r>
              <w:t>Aggregate mean grade reported for a whole facility</w:t>
            </w:r>
          </w:p>
        </w:tc>
        <w:tc>
          <w:tcPr>
            <w:tcW w:w="0" w:type="auto"/>
          </w:tcPr>
          <w:p w14:paraId="73C8BC37" w14:textId="77777777" w:rsidR="00D31E3D" w:rsidRDefault="00000000">
            <w:pPr>
              <w:pStyle w:val="Compact"/>
            </w:pPr>
            <w:r>
              <w:t>Internal variation in grade and environmental character is concealed</w:t>
            </w:r>
          </w:p>
        </w:tc>
        <w:tc>
          <w:tcPr>
            <w:tcW w:w="0" w:type="auto"/>
          </w:tcPr>
          <w:p w14:paraId="76E971E8" w14:textId="77777777" w:rsidR="00D31E3D" w:rsidRDefault="00000000">
            <w:pPr>
              <w:pStyle w:val="Compact"/>
            </w:pPr>
            <w:r>
              <w:t>Blannin et al. (2023); Leskelä et al. (2025)</w:t>
            </w:r>
          </w:p>
        </w:tc>
      </w:tr>
      <w:tr w:rsidR="00D31E3D" w14:paraId="20151D62" w14:textId="77777777" w:rsidTr="00FE512B">
        <w:tc>
          <w:tcPr>
            <w:tcW w:w="0" w:type="auto"/>
          </w:tcPr>
          <w:p w14:paraId="13548152" w14:textId="77777777" w:rsidR="00D31E3D" w:rsidRDefault="00000000">
            <w:pPr>
              <w:pStyle w:val="Compact"/>
            </w:pPr>
            <w:r>
              <w:t>Deportment inferred rather than measured</w:t>
            </w:r>
          </w:p>
        </w:tc>
        <w:tc>
          <w:tcPr>
            <w:tcW w:w="0" w:type="auto"/>
          </w:tcPr>
          <w:p w14:paraId="2BF1D9AB" w14:textId="77777777" w:rsidR="00D31E3D" w:rsidRDefault="00000000">
            <w:pPr>
              <w:pStyle w:val="Compact"/>
            </w:pPr>
            <w:r>
              <w:t>Recovery projected from bulk assay</w:t>
            </w:r>
          </w:p>
        </w:tc>
        <w:tc>
          <w:tcPr>
            <w:tcW w:w="0" w:type="auto"/>
          </w:tcPr>
          <w:p w14:paraId="78383568" w14:textId="77777777" w:rsidR="00D31E3D" w:rsidRDefault="00000000">
            <w:pPr>
              <w:pStyle w:val="Compact"/>
            </w:pPr>
            <w:r>
              <w:t>Recoverable fraction overstated where the element is locked or substituted</w:t>
            </w:r>
          </w:p>
        </w:tc>
        <w:tc>
          <w:tcPr>
            <w:tcW w:w="0" w:type="auto"/>
          </w:tcPr>
          <w:p w14:paraId="1F65D124" w14:textId="77777777" w:rsidR="00D31E3D" w:rsidRDefault="00000000">
            <w:pPr>
              <w:pStyle w:val="Compact"/>
            </w:pPr>
            <w:r>
              <w:t>Büttner et al. (2018); Hayes et al. (2023); Parbhakar-Fox &amp; Baumgartner (2023)</w:t>
            </w:r>
          </w:p>
        </w:tc>
      </w:tr>
      <w:tr w:rsidR="00D31E3D" w14:paraId="44773D75" w14:textId="77777777" w:rsidTr="00FE512B">
        <w:tc>
          <w:tcPr>
            <w:tcW w:w="0" w:type="auto"/>
          </w:tcPr>
          <w:p w14:paraId="65150121" w14:textId="77777777" w:rsidR="00D31E3D" w:rsidRDefault="00000000">
            <w:pPr>
              <w:pStyle w:val="Compact"/>
            </w:pPr>
            <w:r>
              <w:t>Laboratory scale without pilot confirmation</w:t>
            </w:r>
          </w:p>
        </w:tc>
        <w:tc>
          <w:tcPr>
            <w:tcW w:w="0" w:type="auto"/>
          </w:tcPr>
          <w:p w14:paraId="71D94898" w14:textId="77777777" w:rsidR="00D31E3D" w:rsidRDefault="00000000">
            <w:pPr>
              <w:pStyle w:val="Compact"/>
            </w:pPr>
            <w:r>
              <w:t>Batch tests on small masses of selected feed</w:t>
            </w:r>
          </w:p>
        </w:tc>
        <w:tc>
          <w:tcPr>
            <w:tcW w:w="0" w:type="auto"/>
          </w:tcPr>
          <w:p w14:paraId="37C2E7DB" w14:textId="77777777" w:rsidR="00D31E3D" w:rsidRDefault="00000000">
            <w:pPr>
              <w:pStyle w:val="Compact"/>
            </w:pPr>
            <w:r>
              <w:t>Reagent consumption, kinetics and impurity behaviour at scale remain unknown</w:t>
            </w:r>
          </w:p>
        </w:tc>
        <w:tc>
          <w:tcPr>
            <w:tcW w:w="0" w:type="auto"/>
          </w:tcPr>
          <w:p w14:paraId="4B45811E" w14:textId="77777777" w:rsidR="00D31E3D" w:rsidRDefault="00000000">
            <w:pPr>
              <w:pStyle w:val="Compact"/>
            </w:pPr>
            <w:r>
              <w:t>Crane &amp; Sapsford (2018); Peelman et al. (2018)</w:t>
            </w:r>
          </w:p>
        </w:tc>
      </w:tr>
      <w:tr w:rsidR="00D31E3D" w14:paraId="6FCA6C57" w14:textId="77777777" w:rsidTr="00FE512B">
        <w:tc>
          <w:tcPr>
            <w:tcW w:w="0" w:type="auto"/>
          </w:tcPr>
          <w:p w14:paraId="2D7D7803" w14:textId="77777777" w:rsidR="00D31E3D" w:rsidRDefault="00000000">
            <w:pPr>
              <w:pStyle w:val="Compact"/>
            </w:pPr>
            <w:r>
              <w:t>Feed not representative of stored material</w:t>
            </w:r>
          </w:p>
        </w:tc>
        <w:tc>
          <w:tcPr>
            <w:tcW w:w="0" w:type="auto"/>
          </w:tcPr>
          <w:p w14:paraId="4171E202" w14:textId="77777777" w:rsidR="00D31E3D" w:rsidRDefault="00000000">
            <w:pPr>
              <w:pStyle w:val="Compact"/>
            </w:pPr>
            <w:r>
              <w:t>Fresh plant tailings used as proxy for aged impoundment material</w:t>
            </w:r>
          </w:p>
        </w:tc>
        <w:tc>
          <w:tcPr>
            <w:tcW w:w="0" w:type="auto"/>
          </w:tcPr>
          <w:p w14:paraId="48F8352D" w14:textId="77777777" w:rsidR="00D31E3D" w:rsidRDefault="00000000">
            <w:pPr>
              <w:pStyle w:val="Compact"/>
            </w:pPr>
            <w:r>
              <w:t>Oxidation state and mineral surfaces differ; recovery not transferable</w:t>
            </w:r>
          </w:p>
        </w:tc>
        <w:tc>
          <w:tcPr>
            <w:tcW w:w="0" w:type="auto"/>
          </w:tcPr>
          <w:p w14:paraId="751CE001" w14:textId="77777777" w:rsidR="00D31E3D" w:rsidRDefault="00000000">
            <w:pPr>
              <w:pStyle w:val="Compact"/>
            </w:pPr>
            <w:r>
              <w:t>Dadzie et al. (2025); Teillaud et al. (2025)</w:t>
            </w:r>
          </w:p>
        </w:tc>
      </w:tr>
      <w:tr w:rsidR="00D31E3D" w14:paraId="6C58B38F" w14:textId="77777777" w:rsidTr="00FE512B">
        <w:tc>
          <w:tcPr>
            <w:tcW w:w="0" w:type="auto"/>
          </w:tcPr>
          <w:p w14:paraId="43AB27B0" w14:textId="77777777" w:rsidR="00D31E3D" w:rsidRDefault="00000000">
            <w:pPr>
              <w:pStyle w:val="Compact"/>
            </w:pPr>
            <w:r>
              <w:t>Deleterious elements omitted from assessment</w:t>
            </w:r>
          </w:p>
        </w:tc>
        <w:tc>
          <w:tcPr>
            <w:tcW w:w="0" w:type="auto"/>
          </w:tcPr>
          <w:p w14:paraId="181E5BF0" w14:textId="77777777" w:rsidR="00D31E3D" w:rsidRDefault="00000000">
            <w:pPr>
              <w:pStyle w:val="Compact"/>
            </w:pPr>
            <w:r>
              <w:t>Arsenic, antimony or radionuclide behaviour not reported</w:t>
            </w:r>
          </w:p>
        </w:tc>
        <w:tc>
          <w:tcPr>
            <w:tcW w:w="0" w:type="auto"/>
          </w:tcPr>
          <w:p w14:paraId="5FB9C739" w14:textId="77777777" w:rsidR="00D31E3D" w:rsidRDefault="00000000">
            <w:pPr>
              <w:pStyle w:val="Compact"/>
            </w:pPr>
            <w:r>
              <w:t>Residue management burden and permitting exposure understated</w:t>
            </w:r>
          </w:p>
        </w:tc>
        <w:tc>
          <w:tcPr>
            <w:tcW w:w="0" w:type="auto"/>
          </w:tcPr>
          <w:p w14:paraId="751CC905" w14:textId="77777777" w:rsidR="00D31E3D" w:rsidRDefault="00000000">
            <w:pPr>
              <w:pStyle w:val="Compact"/>
            </w:pPr>
            <w:r>
              <w:t>Radková et al. (2023); Teillaud et al. (2025)</w:t>
            </w:r>
          </w:p>
        </w:tc>
      </w:tr>
      <w:tr w:rsidR="00D31E3D" w14:paraId="361B2060" w14:textId="77777777" w:rsidTr="00FE512B">
        <w:tc>
          <w:tcPr>
            <w:tcW w:w="0" w:type="auto"/>
          </w:tcPr>
          <w:p w14:paraId="21ED60C6" w14:textId="77777777" w:rsidR="00D31E3D" w:rsidRDefault="00000000">
            <w:pPr>
              <w:pStyle w:val="Compact"/>
            </w:pPr>
            <w:r>
              <w:t xml:space="preserve">Economic </w:t>
            </w:r>
            <w:r>
              <w:lastRenderedPageBreak/>
              <w:t>assessment without estimating class or sensitivity analysis</w:t>
            </w:r>
          </w:p>
        </w:tc>
        <w:tc>
          <w:tcPr>
            <w:tcW w:w="0" w:type="auto"/>
          </w:tcPr>
          <w:p w14:paraId="2AA64E18" w14:textId="77777777" w:rsidR="00D31E3D" w:rsidRDefault="00000000">
            <w:pPr>
              <w:pStyle w:val="Compact"/>
            </w:pPr>
            <w:r>
              <w:lastRenderedPageBreak/>
              <w:t xml:space="preserve">Single-point cost </w:t>
            </w:r>
            <w:r>
              <w:lastRenderedPageBreak/>
              <w:t>estimate at unstated confidence</w:t>
            </w:r>
          </w:p>
        </w:tc>
        <w:tc>
          <w:tcPr>
            <w:tcW w:w="0" w:type="auto"/>
          </w:tcPr>
          <w:p w14:paraId="490EB11B" w14:textId="77777777" w:rsidR="00D31E3D" w:rsidRDefault="00000000">
            <w:pPr>
              <w:pStyle w:val="Compact"/>
            </w:pPr>
            <w:r>
              <w:lastRenderedPageBreak/>
              <w:t xml:space="preserve">Viability conclusion </w:t>
            </w:r>
            <w:r>
              <w:lastRenderedPageBreak/>
              <w:t>not robust to price or cost variation</w:t>
            </w:r>
          </w:p>
        </w:tc>
        <w:tc>
          <w:tcPr>
            <w:tcW w:w="0" w:type="auto"/>
          </w:tcPr>
          <w:p w14:paraId="53AD3019" w14:textId="77777777" w:rsidR="00D31E3D" w:rsidRDefault="00000000">
            <w:pPr>
              <w:pStyle w:val="Compact"/>
            </w:pPr>
            <w:r>
              <w:lastRenderedPageBreak/>
              <w:t xml:space="preserve">Larochelle et </w:t>
            </w:r>
            <w:r>
              <w:lastRenderedPageBreak/>
              <w:t>al. (2021); Marín et al. (2022)</w:t>
            </w:r>
          </w:p>
        </w:tc>
      </w:tr>
      <w:tr w:rsidR="00D31E3D" w14:paraId="50605534" w14:textId="77777777" w:rsidTr="00FE512B">
        <w:tc>
          <w:tcPr>
            <w:tcW w:w="0" w:type="auto"/>
          </w:tcPr>
          <w:p w14:paraId="49B5CEED" w14:textId="77777777" w:rsidR="00D31E3D" w:rsidRDefault="00000000">
            <w:pPr>
              <w:pStyle w:val="Compact"/>
            </w:pPr>
            <w:r>
              <w:lastRenderedPageBreak/>
              <w:t>System boundary excludes residue and closure</w:t>
            </w:r>
          </w:p>
        </w:tc>
        <w:tc>
          <w:tcPr>
            <w:tcW w:w="0" w:type="auto"/>
          </w:tcPr>
          <w:p w14:paraId="5ED041F2" w14:textId="77777777" w:rsidR="00D31E3D" w:rsidRDefault="00000000">
            <w:pPr>
              <w:pStyle w:val="Compact"/>
            </w:pPr>
            <w:r>
              <w:t>Life-cycle assessment stopping at product gate</w:t>
            </w:r>
          </w:p>
        </w:tc>
        <w:tc>
          <w:tcPr>
            <w:tcW w:w="0" w:type="auto"/>
          </w:tcPr>
          <w:p w14:paraId="767ED7AC" w14:textId="77777777" w:rsidR="00D31E3D" w:rsidRDefault="00000000">
            <w:pPr>
              <w:pStyle w:val="Compact"/>
            </w:pPr>
            <w:r>
              <w:t>Environmental benefit of reprocessing overstated</w:t>
            </w:r>
          </w:p>
        </w:tc>
        <w:tc>
          <w:tcPr>
            <w:tcW w:w="0" w:type="auto"/>
          </w:tcPr>
          <w:p w14:paraId="7B24DDDD" w14:textId="77777777" w:rsidR="00D31E3D" w:rsidRDefault="00000000">
            <w:pPr>
              <w:pStyle w:val="Compact"/>
            </w:pPr>
            <w:r>
              <w:t>Cairncross &amp; Tadie (2022); Guo et al. (2022)</w:t>
            </w:r>
          </w:p>
        </w:tc>
      </w:tr>
      <w:tr w:rsidR="00D31E3D" w14:paraId="2BBAA1ED" w14:textId="77777777" w:rsidTr="00FE512B">
        <w:tc>
          <w:tcPr>
            <w:tcW w:w="0" w:type="auto"/>
          </w:tcPr>
          <w:p w14:paraId="1AB197B7" w14:textId="77777777" w:rsidR="00D31E3D" w:rsidRDefault="00000000">
            <w:pPr>
              <w:pStyle w:val="Compact"/>
            </w:pPr>
            <w:r>
              <w:t>Geographical concentration of evidence</w:t>
            </w:r>
          </w:p>
        </w:tc>
        <w:tc>
          <w:tcPr>
            <w:tcW w:w="0" w:type="auto"/>
          </w:tcPr>
          <w:p w14:paraId="2A160992" w14:textId="77777777" w:rsidR="00D31E3D" w:rsidRDefault="00000000">
            <w:pPr>
              <w:pStyle w:val="Compact"/>
            </w:pPr>
            <w:r>
              <w:t>Case studies dominated by a small number of districts and countries</w:t>
            </w:r>
          </w:p>
        </w:tc>
        <w:tc>
          <w:tcPr>
            <w:tcW w:w="0" w:type="auto"/>
          </w:tcPr>
          <w:p w14:paraId="2A79E175" w14:textId="77777777" w:rsidR="00D31E3D" w:rsidRDefault="00000000">
            <w:pPr>
              <w:pStyle w:val="Compact"/>
            </w:pPr>
            <w:r>
              <w:t>Transferability to United States deposit types assumed rather than tested</w:t>
            </w:r>
          </w:p>
        </w:tc>
        <w:tc>
          <w:tcPr>
            <w:tcW w:w="0" w:type="auto"/>
          </w:tcPr>
          <w:p w14:paraId="20CB20EB" w14:textId="77777777" w:rsidR="00D31E3D" w:rsidRDefault="00000000">
            <w:pPr>
              <w:pStyle w:val="Compact"/>
            </w:pPr>
            <w:r>
              <w:t>Alcalde et al. (2018); Araya et al. (2020); Shengo (2021)</w:t>
            </w:r>
          </w:p>
        </w:tc>
      </w:tr>
    </w:tbl>
    <w:p w14:paraId="31E2D0AC" w14:textId="77777777" w:rsidR="00D31E3D" w:rsidRDefault="00000000">
      <w:pPr>
        <w:pStyle w:val="BodyText"/>
      </w:pPr>
      <w:r>
        <w:rPr>
          <w:i/>
          <w:iCs/>
        </w:rPr>
        <w:t>Note.</w:t>
      </w:r>
      <w:r>
        <w:t xml:space="preserve"> Inclusion of a study against a limitation indicates that the study either exhibits the limitation or explicitly examines it; the table does not rank individual studies by quality. ## 6. Recovery Technologies: Maturity, Performance and the Quality of the Evidence</w:t>
      </w:r>
    </w:p>
    <w:p w14:paraId="656C2C93" w14:textId="77777777" w:rsidR="00D31E3D" w:rsidRDefault="00000000">
      <w:pPr>
        <w:pStyle w:val="Heading3"/>
      </w:pPr>
      <w:bookmarkStart w:id="22" w:name="physical-preconcentration-and-flotation"/>
      <w:bookmarkEnd w:id="21"/>
      <w:r>
        <w:t>6.1 Physical preconcentration and flotation</w:t>
      </w:r>
    </w:p>
    <w:p w14:paraId="01F6F84B" w14:textId="77777777" w:rsidR="00D31E3D" w:rsidRDefault="00000000">
      <w:pPr>
        <w:pStyle w:val="FirstParagraph"/>
      </w:pPr>
      <w:r>
        <w:t>Flotation remains the default proposal for tailings reprocessing where target elements reside in sulphide phases, and the argument for it is straightforward: the material is already ground, so the dominant capital and energy burden of a conventional circuit is absent. Characterisation of sulphide flotation tailings for copper recovery has shown that residual copper is distributed across liberated sulphides, locked particles and oxidised phases in proportions that determine which recovery route is appropriate, and that the fine size distribution of the stored material creates its own difficulties (Dadzie et al., 2025). Reprocessing studies on oxidised ore tailings from Central African copper–cobalt operations have examined the routes available for recovering both metals from material in which conventional sulphide flotation is ineffective (Lutandula &amp; Maloba, 2013; Shengo, 2021).</w:t>
      </w:r>
    </w:p>
    <w:p w14:paraId="7AA01681" w14:textId="77777777" w:rsidR="00D31E3D" w:rsidRDefault="00000000">
      <w:pPr>
        <w:pStyle w:val="BodyText"/>
      </w:pPr>
      <w:r>
        <w:t>Two constraints recur. The first is oxidation. Tailings that have been stored for decades have weathered, and sulphide surfaces that would respond to conventional collectors have been altered; the response of aged material therefore differs from that of fresh plant tailings, which many studies use as the test feed. The second is particle size. Flotation efficiency declines at very fine sizes through reduced collision probability and increased entrainment of gangue, and much stored tailings material lies at or below the size at which conventional cells perform well.</w:t>
      </w:r>
    </w:p>
    <w:p w14:paraId="6A8C5B15" w14:textId="77777777" w:rsidR="00D31E3D" w:rsidRDefault="00000000">
      <w:pPr>
        <w:pStyle w:val="BodyText"/>
      </w:pPr>
      <w:r>
        <w:t xml:space="preserve">A distinct application of flotation deserves separate treatment because its objective is environmental rather than economic. Environmental desulphurisation removes sulphide minerals from tailings to produce a low-sulphur bulk residue with reduced acid generation potential and a small high-sulphur concentrate requiring managed disposal. The approach has been demonstrated on real tailings at operating scale conditions in Canada (El-bouazzaoui et al., 2022) and on historical tailings in Morocco (Nadeif et al., 2019). Its relevance to the resource question is that the sulphide concentrate produced is also the </w:t>
      </w:r>
      <w:r>
        <w:lastRenderedPageBreak/>
        <w:t>fraction in which many critical elements are concentrated, so a process justified on remediation grounds may generate a metallurgically attractive intermediate as a secondary consequence. This coupling is the most promising configuration identified in the reviewed literature, and it is notable that it arises from an environmental objective rather than a resource one.</w:t>
      </w:r>
    </w:p>
    <w:p w14:paraId="258F2E17" w14:textId="77777777" w:rsidR="00D31E3D" w:rsidRDefault="00000000">
      <w:pPr>
        <w:pStyle w:val="Heading3"/>
      </w:pPr>
      <w:bookmarkStart w:id="23" w:name="hydrometallurgical-routes"/>
      <w:bookmarkEnd w:id="22"/>
      <w:r>
        <w:t>6.2 Hydrometallurgical routes</w:t>
      </w:r>
    </w:p>
    <w:p w14:paraId="00E7ECB2" w14:textId="77777777" w:rsidR="00D31E3D" w:rsidRDefault="00000000">
      <w:pPr>
        <w:pStyle w:val="FirstParagraph"/>
      </w:pPr>
      <w:r>
        <w:t>Leaching addresses the elements that flotation cannot reach. Hydrometallurgical recovery of rare earth elements from mine tailings has been examined alongside electronic waste, allowing the two feed types to be compared under similar process assumptions and identifying where the low grade of tailings imposes a fundamentally different reagent burden (Peelman et al., 2018). Investigation of organic acids as lixiviants for legacy tailings has addressed the environmental cost of the reagent itself, examining the efficacy of greener alternatives for the dissolution of copper and arsenic and thereby confronting the fact that the deleterious element is mobilised along with the target (Crane &amp; Sapsford, 2018). Microwave-assisted roasting has been examined as a pretreatment that pairs sulphidic tailings with carbonate-bearing waste rock, exploiting the compatibility of two waste streams (Everaert et al., 2020). Copper recovery from drainage generated by tailings has been evaluated as a route that uses the acidity the material generates in situ (Ruiz-Sánchez et al., 2023).</w:t>
      </w:r>
    </w:p>
    <w:p w14:paraId="5C700EF3" w14:textId="77777777" w:rsidR="00D31E3D" w:rsidRDefault="00000000">
      <w:pPr>
        <w:pStyle w:val="BodyText"/>
      </w:pPr>
      <w:r>
        <w:t>The central difficulty for hydrometallurgy on tailings is stoichiometric rather than technical. Acid or reagent consumption is governed by the bulk mineralogy of the feed, principally by carbonate and reactive silicate content, whereas revenue is governed by the concentration of a target element that is typically present at trace levels. As grade falls, the ratio of reagent consumed to metal recovered rises, and the process approaches a threshold beyond which no improvement in extraction efficiency can render it viable. This relationship explains why preconcentration ahead of leaching appears in most credible flowsheets, and why proposals that leach whole tailings without preconcentration are treated with scepticism in the primary literature even where extraction percentages are high.</w:t>
      </w:r>
    </w:p>
    <w:p w14:paraId="51FA7983" w14:textId="77777777" w:rsidR="00D31E3D" w:rsidRDefault="00000000">
      <w:pPr>
        <w:pStyle w:val="Heading3"/>
      </w:pPr>
      <w:bookmarkStart w:id="24" w:name="biohydrometallurgy"/>
      <w:bookmarkEnd w:id="23"/>
      <w:r>
        <w:t>6.3 Biohydrometallurgy</w:t>
      </w:r>
    </w:p>
    <w:p w14:paraId="111477DA" w14:textId="77777777" w:rsidR="00D31E3D" w:rsidRDefault="00000000">
      <w:pPr>
        <w:pStyle w:val="FirstParagraph"/>
      </w:pPr>
      <w:r>
        <w:t>Bioleaching is the technology for which the tailings literature contains the most convincing progression from laboratory to intermediate scale. Cobalt bioleaching from sulphide mine tailings has been demonstrated in a mini-pilot configuration, a scale at which reagent regeneration, temperature control and solution chemistry begin to behave as they would in an operating circuit (Mäkinen et al., 2020). Stirred-tank bioleaching has been applied to cobalt- and copper-rich sulphidic tailings from a polymetallic district in Germany (R. Zhang et al., 2020), to copper and cobalt in Chilean tailings (R. Zhang &amp; Schippers, 2022), and to nickel and cobalt in pyrrhotite-rich tailings from Sudbury (Cameron et al., 2021). Copper bioleaching has been studied together with the subsequent use of the bioleached residue, addressing the question of what happens to the material after the target metal is removed (Chen et al., 2022).</w:t>
      </w:r>
    </w:p>
    <w:p w14:paraId="594690D4" w14:textId="77777777" w:rsidR="00D31E3D" w:rsidRDefault="00000000">
      <w:pPr>
        <w:pStyle w:val="BodyText"/>
      </w:pPr>
      <w:r>
        <w:lastRenderedPageBreak/>
        <w:t>The evidential strength of this body of work lies in its independence: several groups working on different feed materials in different countries report broadly consistent behaviour for cobalt and copper in sulphidic tailings. Its limitations are equally consistent. Bioleaching kinetics are slow relative to chemical leaching, which translates into large reactor volumes or long heap residence times and therefore into capital intensity that is rarely quantified in the same papers that report recoveries. Pyrrhotite-rich feeds consume oxygen and acid at rates that affect the energy balance. Solution management, particularly iron and arsenic control, is reported inconsistently. The literature establishes that bioleaching works on real tailings; it does not yet establish the conditions under which it pays.</w:t>
      </w:r>
    </w:p>
    <w:p w14:paraId="032EFC6C" w14:textId="77777777" w:rsidR="00D31E3D" w:rsidRDefault="00000000">
      <w:pPr>
        <w:pStyle w:val="Heading3"/>
      </w:pPr>
      <w:bookmarkStart w:id="25" w:name="Xcce687d1d552f287ab6b327780d7e26ef9a08e6"/>
      <w:bookmarkEnd w:id="24"/>
      <w:r>
        <w:t>6.4 Separation and recovery from dilute solutions</w:t>
      </w:r>
    </w:p>
    <w:p w14:paraId="3C9661D3" w14:textId="77777777" w:rsidR="00D31E3D" w:rsidRDefault="00000000">
      <w:pPr>
        <w:pStyle w:val="FirstParagraph"/>
      </w:pPr>
      <w:r>
        <w:t>Whatever the leaching route, tailings produce dilute and chemically complex pregnant solutions, and the separation problem is consequently more demanding than for primary concentrates. Adsorption using lignite has been tested at pilot scale specifically to address the concentration of rare earth elements from dilute leach solutions, an application in which the low unit cost of the adsorbent is central to the argument (Nawab &amp; Honaker, 2023). Staged precipitation has been developed for leachates generated from coal refuse, exploiting differences in precipitation behaviour to achieve partial separation without solvent extraction (W. Zhang &amp; Honaker, 2018), and integrated flowsheets combining these steps have been proposed and tested (Honaker et al., 2018). Optimisation of oxalic acid precipitation for drainage precipitates has been examined using combined experimental and computational approaches (Wang et al., 2022), informed by prior determination of how the elements are partitioned among solid phases (Wang et al., 2021). Biologically based selectivity offers an alternative: surface complexation modelling of rare earth adsorption onto bacterial surfaces bearing lanthanide binding tags has quantified the interaction that underlies engineered biosorbents (Chang et al., 2020).</w:t>
      </w:r>
    </w:p>
    <w:p w14:paraId="7033A408" w14:textId="77777777" w:rsidR="00D31E3D" w:rsidRDefault="00000000">
      <w:pPr>
        <w:pStyle w:val="BodyText"/>
      </w:pPr>
      <w:r>
        <w:t>Selectivity, rather than uptake capacity, is the binding constraint. Tailings leachates contain iron, aluminium, calcium and manganese at concentrations orders of magnitude above those of the target elements, and a sorbent or precipitant that does not discriminate against these will produce a product requiring extensive refining. Studies reporting uptake from single-element synthetic solutions provide limited evidence about performance on real matrices, and this distinction was applied as an appraisal criterion throughout the present review.</w:t>
      </w:r>
    </w:p>
    <w:p w14:paraId="0828C996" w14:textId="77777777" w:rsidR="00D31E3D" w:rsidRDefault="00000000">
      <w:pPr>
        <w:pStyle w:val="Heading3"/>
      </w:pPr>
      <w:bookmarkStart w:id="26" w:name="the-scale-gap"/>
      <w:bookmarkEnd w:id="25"/>
      <w:r>
        <w:t>6.5 The scale gap</w:t>
      </w:r>
    </w:p>
    <w:p w14:paraId="1FCA2A94" w14:textId="77777777" w:rsidR="00D31E3D" w:rsidRDefault="00000000">
      <w:pPr>
        <w:pStyle w:val="FirstParagraph"/>
      </w:pPr>
      <w:r>
        <w:t xml:space="preserve">The most consistent structural feature of the recovery literature is the concentration of evidence at laboratory scale. Bench studies are numerous; pilot studies are uncommon; demonstrations at operating scale on stored tailings are rare, and where reprocessing operates commercially it typically targets the primary commodity, most often gold or copper, rather than critical by-products. This distribution has a specific consequence for appraisal. The variables that determine commercial viability, namely reagent consumption at realistic solid loadings, water balance, impurity accumulation over recycle, residue characteristics and throughput stability, are precisely those that bench-scale work cannot </w:t>
      </w:r>
      <w:r>
        <w:lastRenderedPageBreak/>
        <w:t>resolve. Reviews that aggregate reported recovery percentages across studies therefore aggregate a quantity that is weakly predictive of the outcome that matters.</w:t>
      </w:r>
    </w:p>
    <w:p w14:paraId="29D03440" w14:textId="77777777" w:rsidR="00D31E3D" w:rsidRDefault="00000000">
      <w:pPr>
        <w:pStyle w:val="BodyText"/>
      </w:pPr>
      <w:r>
        <w:t>Table 4 compares the principal recovery routes on the dimensions relevant to that judgement. The pattern across the table is that maturity is inversely related to selectivity: the routes with the strongest demonstration record are those that recover bulk sulphide or base metals, while the routes capable of the selectivity that critical element recovery requires are those with the least evidence at scale.</w:t>
      </w:r>
    </w:p>
    <w:p w14:paraId="337155D7" w14:textId="77777777" w:rsidR="00D31E3D" w:rsidRDefault="00000000">
      <w:pPr>
        <w:pStyle w:val="BodyText"/>
      </w:pPr>
      <w:r>
        <w:rPr>
          <w:b/>
          <w:bCs/>
        </w:rPr>
        <w:t>Table 4.</w:t>
      </w:r>
      <w:r>
        <w:t xml:space="preserve"> Comparison of principal recovery routes for critical minerals in mine tailings.</w:t>
      </w:r>
    </w:p>
    <w:tbl>
      <w:tblPr>
        <w:tblStyle w:val="TableGrid"/>
        <w:tblW w:w="5000" w:type="pct"/>
        <w:tblLook w:val="0020" w:firstRow="1" w:lastRow="0" w:firstColumn="0" w:lastColumn="0" w:noHBand="0" w:noVBand="0"/>
      </w:tblPr>
      <w:tblGrid>
        <w:gridCol w:w="1880"/>
        <w:gridCol w:w="1376"/>
        <w:gridCol w:w="1846"/>
        <w:gridCol w:w="1565"/>
        <w:gridCol w:w="1523"/>
        <w:gridCol w:w="1386"/>
      </w:tblGrid>
      <w:tr w:rsidR="00D31E3D" w14:paraId="349B0286" w14:textId="77777777" w:rsidTr="00FE512B">
        <w:tc>
          <w:tcPr>
            <w:tcW w:w="0" w:type="auto"/>
          </w:tcPr>
          <w:p w14:paraId="1DF6E3BD" w14:textId="77777777" w:rsidR="00D31E3D" w:rsidRDefault="00000000">
            <w:pPr>
              <w:pStyle w:val="Compact"/>
            </w:pPr>
            <w:r>
              <w:t>Route</w:t>
            </w:r>
          </w:p>
        </w:tc>
        <w:tc>
          <w:tcPr>
            <w:tcW w:w="0" w:type="auto"/>
          </w:tcPr>
          <w:p w14:paraId="238B79D7" w14:textId="77777777" w:rsidR="00D31E3D" w:rsidRDefault="00000000">
            <w:pPr>
              <w:pStyle w:val="Compact"/>
            </w:pPr>
            <w:r>
              <w:t>Target elements addressed in the reviewed evidence</w:t>
            </w:r>
          </w:p>
        </w:tc>
        <w:tc>
          <w:tcPr>
            <w:tcW w:w="0" w:type="auto"/>
          </w:tcPr>
          <w:p w14:paraId="38CDFF14" w14:textId="77777777" w:rsidR="00D31E3D" w:rsidRDefault="00000000">
            <w:pPr>
              <w:pStyle w:val="Compact"/>
            </w:pPr>
            <w:r>
              <w:t>Highest scale reported in the reviewed evidence</w:t>
            </w:r>
          </w:p>
        </w:tc>
        <w:tc>
          <w:tcPr>
            <w:tcW w:w="0" w:type="auto"/>
          </w:tcPr>
          <w:p w14:paraId="51BF712A" w14:textId="77777777" w:rsidR="00D31E3D" w:rsidRDefault="00000000">
            <w:pPr>
              <w:pStyle w:val="Compact"/>
            </w:pPr>
            <w:r>
              <w:t>Principal advantage</w:t>
            </w:r>
          </w:p>
        </w:tc>
        <w:tc>
          <w:tcPr>
            <w:tcW w:w="0" w:type="auto"/>
          </w:tcPr>
          <w:p w14:paraId="38653C5D" w14:textId="77777777" w:rsidR="00D31E3D" w:rsidRDefault="00000000">
            <w:pPr>
              <w:pStyle w:val="Compact"/>
            </w:pPr>
            <w:r>
              <w:t>Principal constraint</w:t>
            </w:r>
          </w:p>
        </w:tc>
        <w:tc>
          <w:tcPr>
            <w:tcW w:w="0" w:type="auto"/>
          </w:tcPr>
          <w:p w14:paraId="1EC9890A" w14:textId="77777777" w:rsidR="00D31E3D" w:rsidRDefault="00000000">
            <w:pPr>
              <w:pStyle w:val="Compact"/>
            </w:pPr>
            <w:r>
              <w:t>Supporting references</w:t>
            </w:r>
          </w:p>
        </w:tc>
      </w:tr>
      <w:tr w:rsidR="00D31E3D" w14:paraId="48BA1004" w14:textId="77777777" w:rsidTr="00FE512B">
        <w:tc>
          <w:tcPr>
            <w:tcW w:w="0" w:type="auto"/>
          </w:tcPr>
          <w:p w14:paraId="39BCA9DE" w14:textId="77777777" w:rsidR="00D31E3D" w:rsidRDefault="00000000">
            <w:pPr>
              <w:pStyle w:val="Compact"/>
            </w:pPr>
            <w:r>
              <w:t>Froth flotation of residual sulphides</w:t>
            </w:r>
          </w:p>
        </w:tc>
        <w:tc>
          <w:tcPr>
            <w:tcW w:w="0" w:type="auto"/>
          </w:tcPr>
          <w:p w14:paraId="15CD85AA" w14:textId="77777777" w:rsidR="00D31E3D" w:rsidRDefault="00000000">
            <w:pPr>
              <w:pStyle w:val="Compact"/>
            </w:pPr>
            <w:r>
              <w:t>Copper, cobalt, associated by-product elements</w:t>
            </w:r>
          </w:p>
        </w:tc>
        <w:tc>
          <w:tcPr>
            <w:tcW w:w="0" w:type="auto"/>
          </w:tcPr>
          <w:p w14:paraId="088D8056" w14:textId="77777777" w:rsidR="00D31E3D" w:rsidRDefault="00000000">
            <w:pPr>
              <w:pStyle w:val="Compact"/>
            </w:pPr>
            <w:r>
              <w:t>Operating-scale conditions for environmental desulphurisation</w:t>
            </w:r>
          </w:p>
        </w:tc>
        <w:tc>
          <w:tcPr>
            <w:tcW w:w="0" w:type="auto"/>
          </w:tcPr>
          <w:p w14:paraId="378111D9" w14:textId="77777777" w:rsidR="00D31E3D" w:rsidRDefault="00000000">
            <w:pPr>
              <w:pStyle w:val="Compact"/>
            </w:pPr>
            <w:r>
              <w:t>Comminution already performed; established equipment</w:t>
            </w:r>
          </w:p>
        </w:tc>
        <w:tc>
          <w:tcPr>
            <w:tcW w:w="0" w:type="auto"/>
          </w:tcPr>
          <w:p w14:paraId="6D968AEB" w14:textId="77777777" w:rsidR="00D31E3D" w:rsidRDefault="00000000">
            <w:pPr>
              <w:pStyle w:val="Compact"/>
            </w:pPr>
            <w:r>
              <w:t>Oxidised surfaces and very fine particle size reduce efficiency</w:t>
            </w:r>
          </w:p>
        </w:tc>
        <w:tc>
          <w:tcPr>
            <w:tcW w:w="0" w:type="auto"/>
          </w:tcPr>
          <w:p w14:paraId="435C5873" w14:textId="77777777" w:rsidR="00D31E3D" w:rsidRDefault="00000000">
            <w:pPr>
              <w:pStyle w:val="Compact"/>
            </w:pPr>
            <w:r>
              <w:t>Dadzie et al. (2025); El-bouazzaoui et al. (2022); Nadeif et al. (2019)</w:t>
            </w:r>
          </w:p>
        </w:tc>
      </w:tr>
      <w:tr w:rsidR="00D31E3D" w14:paraId="3A5CC1E9" w14:textId="77777777" w:rsidTr="00FE512B">
        <w:tc>
          <w:tcPr>
            <w:tcW w:w="0" w:type="auto"/>
          </w:tcPr>
          <w:p w14:paraId="250533EF" w14:textId="77777777" w:rsidR="00D31E3D" w:rsidRDefault="00000000">
            <w:pPr>
              <w:pStyle w:val="Compact"/>
            </w:pPr>
            <w:r>
              <w:t>Gravity and magnetic preconcentration</w:t>
            </w:r>
          </w:p>
        </w:tc>
        <w:tc>
          <w:tcPr>
            <w:tcW w:w="0" w:type="auto"/>
          </w:tcPr>
          <w:p w14:paraId="53A6206E" w14:textId="77777777" w:rsidR="00D31E3D" w:rsidRDefault="00000000">
            <w:pPr>
              <w:pStyle w:val="Compact"/>
            </w:pPr>
            <w:r>
              <w:t>Heavy and magnetic accessory phases</w:t>
            </w:r>
          </w:p>
        </w:tc>
        <w:tc>
          <w:tcPr>
            <w:tcW w:w="0" w:type="auto"/>
          </w:tcPr>
          <w:p w14:paraId="2736F62D" w14:textId="77777777" w:rsidR="00D31E3D" w:rsidRDefault="00000000">
            <w:pPr>
              <w:pStyle w:val="Compact"/>
            </w:pPr>
            <w:r>
              <w:t>Laboratory to bench</w:t>
            </w:r>
          </w:p>
        </w:tc>
        <w:tc>
          <w:tcPr>
            <w:tcW w:w="0" w:type="auto"/>
          </w:tcPr>
          <w:p w14:paraId="028EEA80" w14:textId="77777777" w:rsidR="00D31E3D" w:rsidRDefault="00000000">
            <w:pPr>
              <w:pStyle w:val="Compact"/>
            </w:pPr>
            <w:r>
              <w:t>Low reagent demand; reduces mass to downstream stages</w:t>
            </w:r>
          </w:p>
        </w:tc>
        <w:tc>
          <w:tcPr>
            <w:tcW w:w="0" w:type="auto"/>
          </w:tcPr>
          <w:p w14:paraId="3FC6F549" w14:textId="77777777" w:rsidR="00D31E3D" w:rsidRDefault="00000000">
            <w:pPr>
              <w:pStyle w:val="Compact"/>
            </w:pPr>
            <w:r>
              <w:t>Ineffective where the target is finely disseminated or substituted</w:t>
            </w:r>
          </w:p>
        </w:tc>
        <w:tc>
          <w:tcPr>
            <w:tcW w:w="0" w:type="auto"/>
          </w:tcPr>
          <w:p w14:paraId="4EBCC19F" w14:textId="77777777" w:rsidR="00D31E3D" w:rsidRDefault="00000000">
            <w:pPr>
              <w:pStyle w:val="Compact"/>
            </w:pPr>
            <w:r>
              <w:t>Büttner et al. (2018); Msumange et al. (2023)</w:t>
            </w:r>
          </w:p>
        </w:tc>
      </w:tr>
      <w:tr w:rsidR="00D31E3D" w14:paraId="39F7F6F6" w14:textId="77777777" w:rsidTr="00FE512B">
        <w:tc>
          <w:tcPr>
            <w:tcW w:w="0" w:type="auto"/>
          </w:tcPr>
          <w:p w14:paraId="1387D69F" w14:textId="77777777" w:rsidR="00D31E3D" w:rsidRDefault="00000000">
            <w:pPr>
              <w:pStyle w:val="Compact"/>
            </w:pPr>
            <w:r>
              <w:t>Acid and organic acid leaching</w:t>
            </w:r>
          </w:p>
        </w:tc>
        <w:tc>
          <w:tcPr>
            <w:tcW w:w="0" w:type="auto"/>
          </w:tcPr>
          <w:p w14:paraId="5D415678" w14:textId="77777777" w:rsidR="00D31E3D" w:rsidRDefault="00000000">
            <w:pPr>
              <w:pStyle w:val="Compact"/>
            </w:pPr>
            <w:r>
              <w:t>Copper, arsenic, rare earth elements</w:t>
            </w:r>
          </w:p>
        </w:tc>
        <w:tc>
          <w:tcPr>
            <w:tcW w:w="0" w:type="auto"/>
          </w:tcPr>
          <w:p w14:paraId="2E9F2917" w14:textId="77777777" w:rsidR="00D31E3D" w:rsidRDefault="00000000">
            <w:pPr>
              <w:pStyle w:val="Compact"/>
            </w:pPr>
            <w:r>
              <w:t>Bench</w:t>
            </w:r>
          </w:p>
        </w:tc>
        <w:tc>
          <w:tcPr>
            <w:tcW w:w="0" w:type="auto"/>
          </w:tcPr>
          <w:p w14:paraId="2AF8159F" w14:textId="77777777" w:rsidR="00D31E3D" w:rsidRDefault="00000000">
            <w:pPr>
              <w:pStyle w:val="Compact"/>
            </w:pPr>
            <w:r>
              <w:t>Reaches elements locked to flotation</w:t>
            </w:r>
          </w:p>
        </w:tc>
        <w:tc>
          <w:tcPr>
            <w:tcW w:w="0" w:type="auto"/>
          </w:tcPr>
          <w:p w14:paraId="0A624C6E" w14:textId="77777777" w:rsidR="00D31E3D" w:rsidRDefault="00000000">
            <w:pPr>
              <w:pStyle w:val="Compact"/>
            </w:pPr>
            <w:r>
              <w:t>Reagent consumption governed by bulk mineralogy, not target grade</w:t>
            </w:r>
          </w:p>
        </w:tc>
        <w:tc>
          <w:tcPr>
            <w:tcW w:w="0" w:type="auto"/>
          </w:tcPr>
          <w:p w14:paraId="781ADF5D" w14:textId="77777777" w:rsidR="00D31E3D" w:rsidRDefault="00000000">
            <w:pPr>
              <w:pStyle w:val="Compact"/>
            </w:pPr>
            <w:r>
              <w:t>Crane &amp; Sapsford (2018); Peelman et al. (2018)</w:t>
            </w:r>
          </w:p>
        </w:tc>
      </w:tr>
      <w:tr w:rsidR="00D31E3D" w14:paraId="2BD664EB" w14:textId="77777777" w:rsidTr="00FE512B">
        <w:tc>
          <w:tcPr>
            <w:tcW w:w="0" w:type="auto"/>
          </w:tcPr>
          <w:p w14:paraId="78C9FEB9" w14:textId="77777777" w:rsidR="00D31E3D" w:rsidRDefault="00000000">
            <w:pPr>
              <w:pStyle w:val="Compact"/>
            </w:pPr>
            <w:r>
              <w:t>Thermal or microwave pretreatment with leaching</w:t>
            </w:r>
          </w:p>
        </w:tc>
        <w:tc>
          <w:tcPr>
            <w:tcW w:w="0" w:type="auto"/>
          </w:tcPr>
          <w:p w14:paraId="783E0AB8" w14:textId="77777777" w:rsidR="00D31E3D" w:rsidRDefault="00000000">
            <w:pPr>
              <w:pStyle w:val="Compact"/>
            </w:pPr>
            <w:r>
              <w:t>Base metals; rare earth elements from coal refuse</w:t>
            </w:r>
          </w:p>
        </w:tc>
        <w:tc>
          <w:tcPr>
            <w:tcW w:w="0" w:type="auto"/>
          </w:tcPr>
          <w:p w14:paraId="7F2E3D6F" w14:textId="77777777" w:rsidR="00D31E3D" w:rsidRDefault="00000000">
            <w:pPr>
              <w:pStyle w:val="Compact"/>
            </w:pPr>
            <w:r>
              <w:t>Bench to pilot for coal refuse</w:t>
            </w:r>
          </w:p>
        </w:tc>
        <w:tc>
          <w:tcPr>
            <w:tcW w:w="0" w:type="auto"/>
          </w:tcPr>
          <w:p w14:paraId="2BF7D0A0" w14:textId="77777777" w:rsidR="00D31E3D" w:rsidRDefault="00000000">
            <w:pPr>
              <w:pStyle w:val="Compact"/>
            </w:pPr>
            <w:r>
              <w:t>Alters refractory phases; can pair two waste streams</w:t>
            </w:r>
          </w:p>
        </w:tc>
        <w:tc>
          <w:tcPr>
            <w:tcW w:w="0" w:type="auto"/>
          </w:tcPr>
          <w:p w14:paraId="5D0B42FE" w14:textId="77777777" w:rsidR="00D31E3D" w:rsidRDefault="00000000">
            <w:pPr>
              <w:pStyle w:val="Compact"/>
            </w:pPr>
            <w:r>
              <w:t xml:space="preserve">Energy demand; scale-up of dielectric heating unproven </w:t>
            </w:r>
            <w:r>
              <w:lastRenderedPageBreak/>
              <w:t>for tailings</w:t>
            </w:r>
          </w:p>
        </w:tc>
        <w:tc>
          <w:tcPr>
            <w:tcW w:w="0" w:type="auto"/>
          </w:tcPr>
          <w:p w14:paraId="1416054F" w14:textId="77777777" w:rsidR="00D31E3D" w:rsidRDefault="00000000">
            <w:pPr>
              <w:pStyle w:val="Compact"/>
            </w:pPr>
            <w:r>
              <w:lastRenderedPageBreak/>
              <w:t>Everaert et al. (2020); W. Liu et al. (2026)</w:t>
            </w:r>
          </w:p>
        </w:tc>
      </w:tr>
      <w:tr w:rsidR="00D31E3D" w14:paraId="021E5B1B" w14:textId="77777777" w:rsidTr="00FE512B">
        <w:tc>
          <w:tcPr>
            <w:tcW w:w="0" w:type="auto"/>
          </w:tcPr>
          <w:p w14:paraId="5AEA4E35" w14:textId="77777777" w:rsidR="00D31E3D" w:rsidRDefault="00000000">
            <w:pPr>
              <w:pStyle w:val="Compact"/>
            </w:pPr>
            <w:r>
              <w:t>Bioleaching in stirred tanks</w:t>
            </w:r>
          </w:p>
        </w:tc>
        <w:tc>
          <w:tcPr>
            <w:tcW w:w="0" w:type="auto"/>
          </w:tcPr>
          <w:p w14:paraId="69C721FD" w14:textId="77777777" w:rsidR="00D31E3D" w:rsidRDefault="00000000">
            <w:pPr>
              <w:pStyle w:val="Compact"/>
            </w:pPr>
            <w:r>
              <w:t>Cobalt, copper, nickel</w:t>
            </w:r>
          </w:p>
        </w:tc>
        <w:tc>
          <w:tcPr>
            <w:tcW w:w="0" w:type="auto"/>
          </w:tcPr>
          <w:p w14:paraId="176FE5D7" w14:textId="77777777" w:rsidR="00D31E3D" w:rsidRDefault="00000000">
            <w:pPr>
              <w:pStyle w:val="Compact"/>
            </w:pPr>
            <w:r>
              <w:t>Mini-pilot and stirred-tank</w:t>
            </w:r>
          </w:p>
        </w:tc>
        <w:tc>
          <w:tcPr>
            <w:tcW w:w="0" w:type="auto"/>
          </w:tcPr>
          <w:p w14:paraId="3AD13768" w14:textId="77777777" w:rsidR="00D31E3D" w:rsidRDefault="00000000">
            <w:pPr>
              <w:pStyle w:val="Compact"/>
            </w:pPr>
            <w:r>
              <w:t>Mild conditions; demonstrated on real aged tailings by several groups</w:t>
            </w:r>
          </w:p>
        </w:tc>
        <w:tc>
          <w:tcPr>
            <w:tcW w:w="0" w:type="auto"/>
          </w:tcPr>
          <w:p w14:paraId="07476382" w14:textId="77777777" w:rsidR="00D31E3D" w:rsidRDefault="00000000">
            <w:pPr>
              <w:pStyle w:val="Compact"/>
            </w:pPr>
            <w:r>
              <w:t>Slow kinetics imply large reactor volume; solution and iron control</w:t>
            </w:r>
          </w:p>
        </w:tc>
        <w:tc>
          <w:tcPr>
            <w:tcW w:w="0" w:type="auto"/>
          </w:tcPr>
          <w:p w14:paraId="58C113B8" w14:textId="77777777" w:rsidR="00D31E3D" w:rsidRDefault="00000000">
            <w:pPr>
              <w:pStyle w:val="Compact"/>
            </w:pPr>
            <w:r>
              <w:t>Cameron et al. (2021); Mäkinen et al. (2020); R. Zhang et al. (2020); R. Zhang &amp; Schippers (2022)</w:t>
            </w:r>
          </w:p>
        </w:tc>
      </w:tr>
      <w:tr w:rsidR="00D31E3D" w14:paraId="3AB2316E" w14:textId="77777777" w:rsidTr="00FE512B">
        <w:tc>
          <w:tcPr>
            <w:tcW w:w="0" w:type="auto"/>
          </w:tcPr>
          <w:p w14:paraId="6199C571" w14:textId="77777777" w:rsidR="00D31E3D" w:rsidRDefault="00000000">
            <w:pPr>
              <w:pStyle w:val="Compact"/>
            </w:pPr>
            <w:r>
              <w:t>Adsorption and staged precipitation</w:t>
            </w:r>
          </w:p>
        </w:tc>
        <w:tc>
          <w:tcPr>
            <w:tcW w:w="0" w:type="auto"/>
          </w:tcPr>
          <w:p w14:paraId="63386774" w14:textId="77777777" w:rsidR="00D31E3D" w:rsidRDefault="00000000">
            <w:pPr>
              <w:pStyle w:val="Compact"/>
            </w:pPr>
            <w:r>
              <w:t>Rare earth elements</w:t>
            </w:r>
          </w:p>
        </w:tc>
        <w:tc>
          <w:tcPr>
            <w:tcW w:w="0" w:type="auto"/>
          </w:tcPr>
          <w:p w14:paraId="05E5B119" w14:textId="77777777" w:rsidR="00D31E3D" w:rsidRDefault="00000000">
            <w:pPr>
              <w:pStyle w:val="Compact"/>
            </w:pPr>
            <w:r>
              <w:t>Pilot for lignite adsorption</w:t>
            </w:r>
          </w:p>
        </w:tc>
        <w:tc>
          <w:tcPr>
            <w:tcW w:w="0" w:type="auto"/>
          </w:tcPr>
          <w:p w14:paraId="57C7CB65" w14:textId="77777777" w:rsidR="00D31E3D" w:rsidRDefault="00000000">
            <w:pPr>
              <w:pStyle w:val="Compact"/>
            </w:pPr>
            <w:r>
              <w:t>Handles dilute solutions; low-cost sorbent options</w:t>
            </w:r>
          </w:p>
        </w:tc>
        <w:tc>
          <w:tcPr>
            <w:tcW w:w="0" w:type="auto"/>
          </w:tcPr>
          <w:p w14:paraId="26D2CE30" w14:textId="77777777" w:rsidR="00D31E3D" w:rsidRDefault="00000000">
            <w:pPr>
              <w:pStyle w:val="Compact"/>
            </w:pPr>
            <w:r>
              <w:t>Selectivity against iron, aluminium and calcium is the limiting factor</w:t>
            </w:r>
          </w:p>
        </w:tc>
        <w:tc>
          <w:tcPr>
            <w:tcW w:w="0" w:type="auto"/>
          </w:tcPr>
          <w:p w14:paraId="003CE1E1" w14:textId="77777777" w:rsidR="00D31E3D" w:rsidRDefault="00000000">
            <w:pPr>
              <w:pStyle w:val="Compact"/>
            </w:pPr>
            <w:r>
              <w:t>Nawab &amp; Honaker (2023); Wang et al. (2021, 2022); W. Zhang &amp; Honaker (2018)</w:t>
            </w:r>
          </w:p>
        </w:tc>
      </w:tr>
      <w:tr w:rsidR="00D31E3D" w14:paraId="19681CD3" w14:textId="77777777" w:rsidTr="00FE512B">
        <w:tc>
          <w:tcPr>
            <w:tcW w:w="0" w:type="auto"/>
          </w:tcPr>
          <w:p w14:paraId="611F27BF" w14:textId="77777777" w:rsidR="00D31E3D" w:rsidRDefault="00000000">
            <w:pPr>
              <w:pStyle w:val="Compact"/>
            </w:pPr>
            <w:r>
              <w:t>Biologically templated selective separation</w:t>
            </w:r>
          </w:p>
        </w:tc>
        <w:tc>
          <w:tcPr>
            <w:tcW w:w="0" w:type="auto"/>
          </w:tcPr>
          <w:p w14:paraId="0344AA00" w14:textId="77777777" w:rsidR="00D31E3D" w:rsidRDefault="00000000">
            <w:pPr>
              <w:pStyle w:val="Compact"/>
            </w:pPr>
            <w:r>
              <w:t>Rare earth elements</w:t>
            </w:r>
          </w:p>
        </w:tc>
        <w:tc>
          <w:tcPr>
            <w:tcW w:w="0" w:type="auto"/>
          </w:tcPr>
          <w:p w14:paraId="7C3A6CC8" w14:textId="77777777" w:rsidR="00D31E3D" w:rsidRDefault="00000000">
            <w:pPr>
              <w:pStyle w:val="Compact"/>
            </w:pPr>
            <w:r>
              <w:t>Laboratory</w:t>
            </w:r>
          </w:p>
        </w:tc>
        <w:tc>
          <w:tcPr>
            <w:tcW w:w="0" w:type="auto"/>
          </w:tcPr>
          <w:p w14:paraId="686C29FF" w14:textId="77777777" w:rsidR="00D31E3D" w:rsidRDefault="00000000">
            <w:pPr>
              <w:pStyle w:val="Compact"/>
            </w:pPr>
            <w:r>
              <w:t>High intrinsic selectivity</w:t>
            </w:r>
          </w:p>
        </w:tc>
        <w:tc>
          <w:tcPr>
            <w:tcW w:w="0" w:type="auto"/>
          </w:tcPr>
          <w:p w14:paraId="1893F76D" w14:textId="77777777" w:rsidR="00D31E3D" w:rsidRDefault="00000000">
            <w:pPr>
              <w:pStyle w:val="Compact"/>
            </w:pPr>
            <w:r>
              <w:t>Performance on complex real matrices not established</w:t>
            </w:r>
          </w:p>
        </w:tc>
        <w:tc>
          <w:tcPr>
            <w:tcW w:w="0" w:type="auto"/>
          </w:tcPr>
          <w:p w14:paraId="7F87D7A0" w14:textId="77777777" w:rsidR="00D31E3D" w:rsidRDefault="00000000">
            <w:pPr>
              <w:pStyle w:val="Compact"/>
            </w:pPr>
            <w:r>
              <w:t>Chang et al. (2020)</w:t>
            </w:r>
          </w:p>
        </w:tc>
      </w:tr>
      <w:tr w:rsidR="00D31E3D" w14:paraId="794325E8" w14:textId="77777777" w:rsidTr="00FE512B">
        <w:tc>
          <w:tcPr>
            <w:tcW w:w="0" w:type="auto"/>
          </w:tcPr>
          <w:p w14:paraId="4A267C54" w14:textId="77777777" w:rsidR="00D31E3D" w:rsidRDefault="00000000">
            <w:pPr>
              <w:pStyle w:val="Compact"/>
            </w:pPr>
            <w:r>
              <w:t>Carbon mineralisation with metal recovery</w:t>
            </w:r>
          </w:p>
        </w:tc>
        <w:tc>
          <w:tcPr>
            <w:tcW w:w="0" w:type="auto"/>
          </w:tcPr>
          <w:p w14:paraId="417C8CC4" w14:textId="77777777" w:rsidR="00D31E3D" w:rsidRDefault="00000000">
            <w:pPr>
              <w:pStyle w:val="Compact"/>
            </w:pPr>
            <w:r>
              <w:t>Nickel, magnesium silicate carbonation</w:t>
            </w:r>
          </w:p>
        </w:tc>
        <w:tc>
          <w:tcPr>
            <w:tcW w:w="0" w:type="auto"/>
          </w:tcPr>
          <w:p w14:paraId="62310468" w14:textId="77777777" w:rsidR="00D31E3D" w:rsidRDefault="00000000">
            <w:pPr>
              <w:pStyle w:val="Compact"/>
            </w:pPr>
            <w:r>
              <w:t>Bench with integrated assessment</w:t>
            </w:r>
          </w:p>
        </w:tc>
        <w:tc>
          <w:tcPr>
            <w:tcW w:w="0" w:type="auto"/>
          </w:tcPr>
          <w:p w14:paraId="0D82F562" w14:textId="77777777" w:rsidR="00D31E3D" w:rsidRDefault="00000000">
            <w:pPr>
              <w:pStyle w:val="Compact"/>
            </w:pPr>
            <w:r>
              <w:t>Couples sequestration credit to metal revenue</w:t>
            </w:r>
          </w:p>
        </w:tc>
        <w:tc>
          <w:tcPr>
            <w:tcW w:w="0" w:type="auto"/>
          </w:tcPr>
          <w:p w14:paraId="740C5DC8" w14:textId="77777777" w:rsidR="00D31E3D" w:rsidRDefault="00000000">
            <w:pPr>
              <w:pStyle w:val="Compact"/>
            </w:pPr>
            <w:r>
              <w:t>Activation energy, reagent cost and verification requirements</w:t>
            </w:r>
          </w:p>
        </w:tc>
        <w:tc>
          <w:tcPr>
            <w:tcW w:w="0" w:type="auto"/>
          </w:tcPr>
          <w:p w14:paraId="1976AFCE" w14:textId="77777777" w:rsidR="00D31E3D" w:rsidRDefault="00000000">
            <w:pPr>
              <w:pStyle w:val="Compact"/>
            </w:pPr>
            <w:r>
              <w:t>Norouzpour et al. (2025); Ofori et al. (2025); Paulo et al. (2023); Power et al. (2020)</w:t>
            </w:r>
          </w:p>
        </w:tc>
      </w:tr>
    </w:tbl>
    <w:p w14:paraId="20123EB4" w14:textId="77777777" w:rsidR="00D31E3D" w:rsidRDefault="00000000">
      <w:pPr>
        <w:pStyle w:val="BodyText"/>
      </w:pPr>
      <w:r>
        <w:rPr>
          <w:i/>
          <w:iCs/>
        </w:rPr>
        <w:t>Note.</w:t>
      </w:r>
      <w:r>
        <w:t xml:space="preserve"> Scale designations describe the highest level reported in the sources cited in this review and are not general technology readiness classifications. Absence of a higher scale indicates that no qualifying evidence was located, not that a higher-scale demonstration does not exist. ## 7. Economic, Environmental and Engineering Constraints</w:t>
      </w:r>
    </w:p>
    <w:p w14:paraId="76FC37F5" w14:textId="77777777" w:rsidR="00D31E3D" w:rsidRDefault="00000000">
      <w:pPr>
        <w:pStyle w:val="Heading3"/>
      </w:pPr>
      <w:bookmarkStart w:id="27" w:name="X9c2cbfe967f8a400e5613ac35e9101802342302"/>
      <w:bookmarkEnd w:id="26"/>
      <w:r>
        <w:t>7.1 Cost structure and the economics of low-grade reprocessing</w:t>
      </w:r>
    </w:p>
    <w:p w14:paraId="44FBB787" w14:textId="77777777" w:rsidR="00D31E3D" w:rsidRDefault="00000000">
      <w:pPr>
        <w:pStyle w:val="FirstParagraph"/>
      </w:pPr>
      <w:r>
        <w:t xml:space="preserve">The economic argument for tailings reprocessing rests on avoided costs: no exploration, no overburden removal, no primary comminution. The counterargument rests on the same </w:t>
      </w:r>
      <w:r>
        <w:lastRenderedPageBreak/>
        <w:t>accounting logic applied to the revenue side, where grade is low, the target elements are often present at trace concentrations, and product specifications for critical minerals are demanding. Systematic attention to processing cost in this setting is limited. One approach has applied dimensional analysis to estimate processing costs for the recovery of valuable elements from tailings, deriving relationships that allow preliminary screening across facilities without full flowsheet design (Marín et al., 2022). Its value lies in enabling comparison; its limitation is that relationships derived from one operating environment carry assumptions about labour, energy and reagent prices that do not transfer without adjustment.</w:t>
      </w:r>
    </w:p>
    <w:p w14:paraId="07BC83E6" w14:textId="77777777" w:rsidR="00D31E3D" w:rsidRDefault="00000000">
      <w:pPr>
        <w:pStyle w:val="BodyText"/>
      </w:pPr>
      <w:r>
        <w:t>The most methodologically explicit economic assessment identified in this review concerns rare earth and critical mineral recovery from acid mine drainage rather than tailings, and its design is instructive. Costs were estimated at a stated confidence class, the analysis modelled several price scenarios spanning the range observed over a preceding decade, and it examined multiple product configurations from full elemental separation to a restricted magnet-element and critical-metal suite (Larochelle et al., 2021). It also addressed the aggregation problem directly, examining a network sourcing strategy in which dispersed feedstocks supply a central separation facility. That framing is relevant to tailings because it acknowledges that no single dispersed source supports a refinery, and that the economics are therefore regional rather than site-level.</w:t>
      </w:r>
    </w:p>
    <w:p w14:paraId="661CB777" w14:textId="77777777" w:rsidR="00D31E3D" w:rsidRDefault="00000000">
      <w:pPr>
        <w:pStyle w:val="BodyText"/>
      </w:pPr>
      <w:r>
        <w:t>Two systematic weaknesses characterise the wider economic literature. Sensitivity to by-product price is often absent or restricted to a narrow range, despite the fact that the commodities concerned have exhibited price movements of an order that dominates any plausible variation in processing cost. Residue management and closure obligations are frequently outside the boundary of the assessment, even though reprocessing generates a new residue whose disposal must be financed. The first weakness makes reported viability conclusions fragile; the second makes them incomplete in a direction that systematically favours the reprocessing case.</w:t>
      </w:r>
    </w:p>
    <w:p w14:paraId="76B730CF" w14:textId="77777777" w:rsidR="00D31E3D" w:rsidRDefault="00000000">
      <w:pPr>
        <w:pStyle w:val="Heading3"/>
      </w:pPr>
      <w:bookmarkStart w:id="28" w:name="life-cycle-and-environmental-trade-offs"/>
      <w:bookmarkEnd w:id="27"/>
      <w:r>
        <w:t>7.2 Life-cycle and environmental trade-offs</w:t>
      </w:r>
    </w:p>
    <w:p w14:paraId="6CD87A92" w14:textId="77777777" w:rsidR="00D31E3D" w:rsidRDefault="00000000">
      <w:pPr>
        <w:pStyle w:val="FirstParagraph"/>
      </w:pPr>
      <w:r>
        <w:t>Reprocessing is frequently presented as environmentally beneficial by construction, on the grounds that it substitutes for primary extraction and reduces a waste liability. Life-cycle evidence provides qualified support and identifies the conditions under which the benefit is realised. Assessment of tailings resource utilisation from a life-cycle perspective has argued that the environmental benefits of such utilisation have been underestimated in previous accounting, principally because avoided impacts associated with the displaced primary production and with long-term waste management were incompletely represented (Guo et al., 2022). Life-cycle assessment applied during process development for value recovery from gold tailings has demonstrated the complementary point, that the environmental profile of a recovery process is determined by design decisions taken early, and that assessment used as a design tool rather than as a retrospective audit changes those decisions (Cairncross &amp; Tadie, 2022).</w:t>
      </w:r>
    </w:p>
    <w:p w14:paraId="47E3192B" w14:textId="77777777" w:rsidR="00D31E3D" w:rsidRDefault="00000000">
      <w:pPr>
        <w:pStyle w:val="BodyText"/>
      </w:pPr>
      <w:r>
        <w:t xml:space="preserve">These two findings are not in conflict, but they are frequently cited as though the first licensed a general claim. The distinction that matters is the system boundary. Where the </w:t>
      </w:r>
      <w:r>
        <w:lastRenderedPageBreak/>
        <w:t>boundary includes the fate of the reprocessing residue, the reagents consumed, the energy source and the counterfactual management of the original facility, the benefit is conditional. Where it stops at the recovered product, the benefit is assured by construction. Given that reprocessing typically returns the great majority of the treated mass to storage in an altered physical and chemical state, boundary choice is not a technical detail.</w:t>
      </w:r>
    </w:p>
    <w:p w14:paraId="6E495046" w14:textId="77777777" w:rsidR="00D31E3D" w:rsidRDefault="00000000">
      <w:pPr>
        <w:pStyle w:val="BodyText"/>
      </w:pPr>
      <w:r>
        <w:t>The carbon mineralisation literature offers the clearest example of a genuine and quantifiable co-benefit, and also of the discipline required to claim it. Assessment of ultramafic tailings has established the capacity of such material to sequester carbon dioxide through carbonation (Power et al., 2020), geochemical modelling across several countries has examined how sequestration should be accounted and monitored (Paulo et al., 2023), a critical review has evaluated the activation methods proposed to accelerate otherwise slow reaction kinetics (Norouzpour et al., 2025), and integrated technical, economic and life-cycle assessment of a hydrothermal route on domestic nickel tailings has begun to quantify whether the combination is favourable (Ofori et al., 2025). The progression across these studies, from capacity to accounting to activation to integrated assessment, is the pattern that the metal recovery literature has not yet completed.</w:t>
      </w:r>
    </w:p>
    <w:p w14:paraId="0D997C7A" w14:textId="77777777" w:rsidR="00D31E3D" w:rsidRDefault="00000000">
      <w:pPr>
        <w:pStyle w:val="Heading3"/>
      </w:pPr>
      <w:bookmarkStart w:id="29" w:name="X32b888dd31a16052aa52f7adf25ec7e02afdcbe"/>
      <w:bookmarkEnd w:id="28"/>
      <w:r>
        <w:t>7.3 Geotechnical and residue-management consequences</w:t>
      </w:r>
    </w:p>
    <w:p w14:paraId="54490F4A" w14:textId="77777777" w:rsidR="00D31E3D" w:rsidRDefault="00000000">
      <w:pPr>
        <w:pStyle w:val="FirstParagraph"/>
      </w:pPr>
      <w:r>
        <w:t>Reprocessing a tailings storage facility is a large earthworks operation on a structure whose stability depends on its internal drainage, density and confining geometry. Disturbing that structure introduces risk. The global disclosure survey of tailings facilities documented the scale of the existing stability problem and identified relationships between construction method, age, height, volume and reported stability concerns (Franks et al., 2021). Forensic analysis of the Mount Polley failure demonstrated how a specific combination of foundation conditions and design assumptions produced a failure mechanism that had not been anticipated, and the analysis and the subsequent discussion of it illustrate that failure mechanisms remain contested even after detailed investigation (Zabolotnii et al., 2022). Reprocessing proposals rarely engage with this literature, and the reviewed sources contain little analysis of the geotechnical consequences of excavating, reslurrying and redepositing stored material.</w:t>
      </w:r>
    </w:p>
    <w:p w14:paraId="11DC61DA" w14:textId="77777777" w:rsidR="00D31E3D" w:rsidRDefault="00000000">
      <w:pPr>
        <w:pStyle w:val="BodyText"/>
      </w:pPr>
      <w:r>
        <w:t>There is, however, a constructive intersection. Filtered tailings deposited in dry stacks reduce the impoundment risk associated with conventional slurry deposition, and the technology has been examined for application at very high production rates (Cacciuttolo &amp; Atencio, 2023). A reprocessing operation that dewaters its residue and redeposits it as a filtered stack converts a legacy slurry impoundment into a lower-risk landform, and this risk reduction may constitute a larger share of the total value proposition than metal revenue. Environmental desulphurisation operates on the same logic in the chemical domain, reducing the acid generation potential of the bulk residue while concentrating sulphides, and therefore many trace elements, into a small managed fraction (El-bouazzaoui et al., 2022; Nadeif et al., 2019).</w:t>
      </w:r>
    </w:p>
    <w:p w14:paraId="4EA2A51D" w14:textId="77777777" w:rsidR="00D31E3D" w:rsidRDefault="00000000">
      <w:pPr>
        <w:pStyle w:val="Heading3"/>
      </w:pPr>
      <w:bookmarkStart w:id="30" w:name="co-products-and-revenue-stacking"/>
      <w:bookmarkEnd w:id="29"/>
      <w:r>
        <w:lastRenderedPageBreak/>
        <w:t>7.4 Co-products and revenue stacking</w:t>
      </w:r>
    </w:p>
    <w:p w14:paraId="50A516DC" w14:textId="77777777" w:rsidR="00D31E3D" w:rsidRDefault="00000000">
      <w:pPr>
        <w:pStyle w:val="FirstParagraph"/>
      </w:pPr>
      <w:r>
        <w:t>Where metal revenue alone is insufficient, the residual mineral matter itself may carry value. Alkali-activated materials produced from mine tailings have been reviewed in terms of synthesis routes, characterisation and performance, indicating that the bulk residue can serve as a precursor for construction materials (Adesina, 2025). Bioleached tailings residue has been examined for subsequent application, closing the material loop within a single study rather than treating residue disposal as an externality (Chen et al., 2022). The attraction of such configurations is that they convert the largest mass fraction into a product rather than a liability.</w:t>
      </w:r>
    </w:p>
    <w:p w14:paraId="686AE124" w14:textId="77777777" w:rsidR="00D31E3D" w:rsidRDefault="00000000">
      <w:pPr>
        <w:pStyle w:val="BodyText"/>
      </w:pPr>
      <w:r>
        <w:t>The constraint is economic geography. Construction materials have low unit value and high transport cost, so the market is local, and it must be large enough to absorb a mass flow that is orders of magnitude greater than the metal product. Many tailings facilities in the western United States are remote from the construction markets that would be required. Revenue stacking is therefore a site-specific rather than a general solution, and its inclusion in generic economic assessments without a demonstrated local market overstates viability. ## 8. Institutional Constraints Specific to the United States</w:t>
      </w:r>
    </w:p>
    <w:p w14:paraId="674C1F82" w14:textId="77777777" w:rsidR="00D31E3D" w:rsidRDefault="00000000">
      <w:pPr>
        <w:pStyle w:val="Heading3"/>
      </w:pPr>
      <w:bookmarkStart w:id="31" w:name="X990afb75a4f7714a0706e2a196819ceba420483"/>
      <w:bookmarkEnd w:id="30"/>
      <w:r>
        <w:t>8.1 Ownership, liability and the legacy-site problem</w:t>
      </w:r>
    </w:p>
    <w:p w14:paraId="6E619A9C" w14:textId="77777777" w:rsidR="00D31E3D" w:rsidRDefault="00000000">
      <w:pPr>
        <w:pStyle w:val="FirstParagraph"/>
      </w:pPr>
      <w:r>
        <w:t>The technical literature on tailings reprocessing generally proceeds as though access to the material were a solved problem. In the United States it is not. Mine waste at legacy sites may lie on federal, state, tribal or private land; the mineral estate may be severed from the surface estate; the entity that generated the waste may no longer exist; and the material may fall within a designated contaminated site subject to remedial authority. Entering such a site to recover value can expose the entrant to liability for pre-existing contamination, a structural deterrent that operates independently of the economics of recovery.</w:t>
      </w:r>
    </w:p>
    <w:p w14:paraId="31755174" w14:textId="77777777" w:rsidR="00D31E3D" w:rsidRDefault="00000000">
      <w:pPr>
        <w:pStyle w:val="BodyText"/>
      </w:pPr>
      <w:r>
        <w:t>Empirical legal and economic analysis of this problem has begun to appear. Examination of ownership of the minerals contained in polluted mine water has set out how property rights and institutional arrangements condition the recovery of rare earth elements from acid mine drainage, identifying the specific barriers that arise where the resource is contained in a waste stream that some party has an obligation to treat (Nguemgaing &amp; Collins, 2026). The analysis is directly transferable in structure to solid mine waste, where the same questions arise about who owns the contained metal, who bears liability for the residue after recovery, and whether recovery activity converts a passive legacy into an active operation for regulatory purposes. Federal scientific work has framed mine waste explicitly as a liability for the operator or, at legacy sites, for the taxpayer, and has positioned critical mineral recovery as potentially supporting remediation rather than competing with it (Piatak et al., 2025). That framing is analytically sound and does not by itself resolve the allocation of liability, which is the operative constraint.</w:t>
      </w:r>
    </w:p>
    <w:p w14:paraId="7CC28F80" w14:textId="77777777" w:rsidR="00D31E3D" w:rsidRDefault="00000000">
      <w:pPr>
        <w:pStyle w:val="BodyText"/>
      </w:pPr>
      <w:r>
        <w:t>The relative maturity of the United States drainage literature compared with its tailings literature is plausibly explained by this asymmetry. Drainage treatment is already occurring at many sites under existing obligations, so the marginal activity of recovering elements from the treatment residue does not create a new point of entry, whereas excavating a tailings impoundment does.</w:t>
      </w:r>
    </w:p>
    <w:p w14:paraId="4F0822D3" w14:textId="77777777" w:rsidR="00D31E3D" w:rsidRDefault="00000000">
      <w:pPr>
        <w:pStyle w:val="Heading3"/>
      </w:pPr>
      <w:bookmarkStart w:id="32" w:name="Xc6b10406a85d7cf9254f4aee947ac0847c5be2a"/>
      <w:bookmarkEnd w:id="31"/>
      <w:r>
        <w:lastRenderedPageBreak/>
        <w:t>8.2 Land status, tribal sovereignty and public acceptance</w:t>
      </w:r>
    </w:p>
    <w:p w14:paraId="062CE647" w14:textId="77777777" w:rsidR="00D31E3D" w:rsidRDefault="00000000">
      <w:pPr>
        <w:pStyle w:val="FirstParagraph"/>
      </w:pPr>
      <w:r>
        <w:t>Mineral development in the western United States frequently intersects with tribal lands, treaty rights and sites of cultural significance. Comparative case study analysis across lithium, copper, antimony, nickel and graphite projects has examined how critical minerals development interacts with Native American sovereignty, documenting the range of positions taken by tribal governments and communities and the mechanisms through which consultation succeeds or fails (Amoah et al., 2024). The evidence indicates that outcomes are not reducible to a single dimension of support or opposition, and that procedural factors, including the timing and form of engagement, materially affect them. Tailings reprocessing does not escape this domain. Legacy mine waste is frequently located in districts with long histories of contamination and of harm to nearby communities, and a proposal to disturb such material for commercial gain enters a context shaped by that history.</w:t>
      </w:r>
    </w:p>
    <w:p w14:paraId="038ADB4F" w14:textId="77777777" w:rsidR="00D31E3D" w:rsidRDefault="00000000">
      <w:pPr>
        <w:pStyle w:val="BodyText"/>
      </w:pPr>
      <w:r>
        <w:t>Evidence on general public attitudes has recently been strengthened. A discrete choice experiment examining public preferences for critical mineral mining in the United States quantified the attributes over which respondents trade off, providing a more structured basis for anticipating acceptance than the case study literature alone (Ajiga et al., 2026). The relevance to reprocessing is twofold. Proposals framed as remediation with resource recovery may be evaluated differently from proposals framed as mining, and the distinction is not merely rhetorical because the material outcomes differ. At the same time, the assumption that reprocessing is uncontroversial because the disturbance has already occurred is not supported by evidence and should not be relied upon in project planning.</w:t>
      </w:r>
    </w:p>
    <w:p w14:paraId="010C0AF1" w14:textId="77777777" w:rsidR="00D31E3D" w:rsidRDefault="00000000">
      <w:pPr>
        <w:pStyle w:val="Heading3"/>
      </w:pPr>
      <w:bookmarkStart w:id="33" w:name="X317229bbf26ec8b80a10d0e2e959f3f3576055a"/>
      <w:bookmarkEnd w:id="32"/>
      <w:r>
        <w:t>8.3 Policy instruments and the evidence they rest on</w:t>
      </w:r>
    </w:p>
    <w:p w14:paraId="460C7D97" w14:textId="77777777" w:rsidR="00D31E3D" w:rsidRDefault="00000000">
      <w:pPr>
        <w:pStyle w:val="FirstParagraph"/>
      </w:pPr>
      <w:r>
        <w:t>Federal policy has moved substantially toward supporting domestic critical mineral supply, including through the periodic designation of critical mineral commodities and the analytical apparatus supporting it (Nassar et al., 2025; U.S. Geological Survey, 2025), through continuing publication of commodity supply data (U.S. Geological Survey, 2026), and through funded scientific programmes for mapping and characterising mineral resources including those contained in mine waste (Piatak et al., 2025). The direction of this effort is consistent with the evidence reviewed here in one important respect: it prioritises characterisation, which is the binding constraint, over subsidy for recovery technology, which is not.</w:t>
      </w:r>
    </w:p>
    <w:p w14:paraId="683AF2FB" w14:textId="77777777" w:rsidR="00D31E3D" w:rsidRDefault="00000000">
      <w:pPr>
        <w:pStyle w:val="BodyText"/>
      </w:pPr>
      <w:r>
        <w:t xml:space="preserve">Where the policy literature is weaker is in connecting designation to deliverable supply. Designation as critical reflects modelled exposure to trade disruption and the economic consequences of that exposure (Nassar et al., 2020; Nassar et al., 2025). It does not indicate that a domestic source exists at a grade and in a form that can be economically recovered, nor that recovery could occur on a timescale relevant to the disruption modelled. Analysis of critical minerals in the United States context has noted the breadth of the gap between identified need and domestic productive capacity (Hammond &amp; Brady, 2022). For a commodity such as copper, where projections indicate a widening divergence between supply and demand with consequences extending beyond the mining sector (Simon et al., 2026), the contribution that reprocessing could make is bounded by the same constraints </w:t>
      </w:r>
      <w:r>
        <w:lastRenderedPageBreak/>
        <w:t>of grade, scale and lead time that apply to primary projects, and in some respects more tightly.</w:t>
      </w:r>
    </w:p>
    <w:p w14:paraId="3888666B" w14:textId="77777777" w:rsidR="00D31E3D" w:rsidRDefault="00000000">
      <w:pPr>
        <w:pStyle w:val="Heading2"/>
      </w:pPr>
      <w:bookmarkStart w:id="34" w:name="X271294b3474b60b614e50355731e27b5a26bb52"/>
      <w:bookmarkEnd w:id="2"/>
      <w:bookmarkEnd w:id="33"/>
      <w:r>
        <w:t>9. Integrated Synthesis: The Bounded Case for Tailings Reprocessing</w:t>
      </w:r>
    </w:p>
    <w:p w14:paraId="63CDEB8A" w14:textId="77777777" w:rsidR="00D31E3D" w:rsidRDefault="00000000">
      <w:pPr>
        <w:pStyle w:val="FirstParagraph"/>
      </w:pPr>
      <w:r>
        <w:t>The evidence reviewed supports a position that is neither dismissive nor promotional. Critical elements are demonstrably present in United States mine waste in phases that are in principle recoverable, and for a small number of element–deposit pairings the mineralogical evidence is strong. Recovery technologies exist that have been demonstrated on real tailings, and for cobalt and copper in sulphidic material several independent groups have reached consistent conclusions at intermediate scale. Environmental co-benefits are real where they have been assessed with adequate system boundaries, particularly in the coupling of sulphide removal to acid generation reduction and in carbon mineralisation in ultramafic residues.</w:t>
      </w:r>
    </w:p>
    <w:p w14:paraId="6DD1F0B6" w14:textId="77777777" w:rsidR="00D31E3D" w:rsidRDefault="00000000">
      <w:pPr>
        <w:pStyle w:val="BodyText"/>
      </w:pPr>
      <w:r>
        <w:t>Against this, three constraints operate jointly rather than independently, and their interaction is what determines the outcome. Characterisation adequate for resource estimation is largely absent, so the scale of the opportunity is unknown at every level above the individual well-studied site. Demonstrated recovery performance is concentrated at scales that cannot resolve the variables governing commercial viability. Institutional access, liability allocation and public acceptance determine whether a technically and economically feasible project can proceed at all, and these have received far less research attention than process chemistry. A project must satisfy all three conditions simultaneously. Because the literature examines them separately, the joint probability of satisfaction has not been estimated, and reviews that assess each condition favourably in isolation systematically overstate the aggregate prospect.</w:t>
      </w:r>
    </w:p>
    <w:p w14:paraId="2A0C5F51" w14:textId="77777777" w:rsidR="00D31E3D" w:rsidRDefault="00000000">
      <w:pPr>
        <w:pStyle w:val="BodyText"/>
      </w:pPr>
      <w:r>
        <w:t>Two configurations emerge from the evidence as more promising than generic reprocessing. The first is recovery integrated with an operating mine, where the tailings stream is fresh, characterisation data already exist from grade control and metallurgical accounting, the workforce and permits are in place, and the incremental decision is a circuit modification rather than a new project. The documented loss of tellurium to tailings at an operating porphyry copper mine is precisely such a case (Piatak et al., 2025). The second is recovery integrated with remediation, where the primary justification is risk reduction and metal revenue offsets cost. Environmental desulphurisation and the recovery of elements from drainage treatment residues both follow this logic (El-bouazzaoui et al., 2022; Larochelle et al., 2021). Standalone reprocessing of a legacy impoundment for critical minerals, which is the configuration most often invoked in policy discussion, is the least supported by the reviewed evidence.</w:t>
      </w:r>
    </w:p>
    <w:p w14:paraId="37B1812A" w14:textId="77777777" w:rsidR="00D31E3D" w:rsidRDefault="00000000">
      <w:pPr>
        <w:pStyle w:val="BodyText"/>
      </w:pPr>
      <w:r>
        <w:t>Table 5 sets out the principal research gaps identified, the reason current evidence is inadequate in each case, and the type of work required. The gaps are ordered by their position in the inference chain rather than by disciplinary field, reflecting the conclusion that constraints upstream of process development are currently the binding ones.</w:t>
      </w:r>
    </w:p>
    <w:p w14:paraId="2FB500D3" w14:textId="77777777" w:rsidR="00D31E3D" w:rsidRDefault="00000000">
      <w:pPr>
        <w:pStyle w:val="BodyText"/>
      </w:pPr>
      <w:r>
        <w:rPr>
          <w:b/>
          <w:bCs/>
        </w:rPr>
        <w:t>Table 5.</w:t>
      </w:r>
      <w:r>
        <w:t xml:space="preserve"> Principal research gaps, the inadequacy of current evidence, and the work required to address them.</w:t>
      </w:r>
    </w:p>
    <w:tbl>
      <w:tblPr>
        <w:tblStyle w:val="TableGrid"/>
        <w:tblW w:w="5000" w:type="pct"/>
        <w:tblLook w:val="0020" w:firstRow="1" w:lastRow="0" w:firstColumn="0" w:lastColumn="0" w:noHBand="0" w:noVBand="0"/>
      </w:tblPr>
      <w:tblGrid>
        <w:gridCol w:w="2301"/>
        <w:gridCol w:w="2396"/>
        <w:gridCol w:w="2927"/>
        <w:gridCol w:w="1952"/>
      </w:tblGrid>
      <w:tr w:rsidR="00D31E3D" w14:paraId="6CACD0BD" w14:textId="77777777" w:rsidTr="00FE512B">
        <w:tc>
          <w:tcPr>
            <w:tcW w:w="0" w:type="auto"/>
          </w:tcPr>
          <w:p w14:paraId="4DED6CF4" w14:textId="77777777" w:rsidR="00D31E3D" w:rsidRDefault="00000000">
            <w:pPr>
              <w:pStyle w:val="Compact"/>
            </w:pPr>
            <w:r>
              <w:lastRenderedPageBreak/>
              <w:t>Gap</w:t>
            </w:r>
          </w:p>
        </w:tc>
        <w:tc>
          <w:tcPr>
            <w:tcW w:w="0" w:type="auto"/>
          </w:tcPr>
          <w:p w14:paraId="28799F5D" w14:textId="77777777" w:rsidR="00D31E3D" w:rsidRDefault="00000000">
            <w:pPr>
              <w:pStyle w:val="Compact"/>
            </w:pPr>
            <w:r>
              <w:t>Why current evidence is inadequate</w:t>
            </w:r>
          </w:p>
        </w:tc>
        <w:tc>
          <w:tcPr>
            <w:tcW w:w="0" w:type="auto"/>
          </w:tcPr>
          <w:p w14:paraId="5CE37AA4" w14:textId="77777777" w:rsidR="00D31E3D" w:rsidRDefault="00000000">
            <w:pPr>
              <w:pStyle w:val="Compact"/>
            </w:pPr>
            <w:r>
              <w:t>Type of work required</w:t>
            </w:r>
          </w:p>
        </w:tc>
        <w:tc>
          <w:tcPr>
            <w:tcW w:w="0" w:type="auto"/>
          </w:tcPr>
          <w:p w14:paraId="1DE4C6D6" w14:textId="77777777" w:rsidR="00D31E3D" w:rsidRDefault="00000000">
            <w:pPr>
              <w:pStyle w:val="Compact"/>
            </w:pPr>
            <w:r>
              <w:t>Supporting references</w:t>
            </w:r>
          </w:p>
        </w:tc>
      </w:tr>
      <w:tr w:rsidR="00D31E3D" w14:paraId="424DF8FC" w14:textId="77777777" w:rsidTr="00FE512B">
        <w:tc>
          <w:tcPr>
            <w:tcW w:w="0" w:type="auto"/>
          </w:tcPr>
          <w:p w14:paraId="3CD0CA10" w14:textId="77777777" w:rsidR="00D31E3D" w:rsidRDefault="00000000">
            <w:pPr>
              <w:pStyle w:val="Compact"/>
            </w:pPr>
            <w:r>
              <w:t>Resource-grade characterisation of United States facilities</w:t>
            </w:r>
          </w:p>
        </w:tc>
        <w:tc>
          <w:tcPr>
            <w:tcW w:w="0" w:type="auto"/>
          </w:tcPr>
          <w:p w14:paraId="30E494C4" w14:textId="77777777" w:rsidR="00D31E3D" w:rsidRDefault="00000000">
            <w:pPr>
              <w:pStyle w:val="Compact"/>
            </w:pPr>
            <w:r>
              <w:t>Existing data derive largely from environmental sampling designs unsuited to tonnage estimation</w:t>
            </w:r>
          </w:p>
        </w:tc>
        <w:tc>
          <w:tcPr>
            <w:tcW w:w="0" w:type="auto"/>
          </w:tcPr>
          <w:p w14:paraId="4C2BEB95" w14:textId="77777777" w:rsidR="00D31E3D" w:rsidRDefault="00000000">
            <w:pPr>
              <w:pStyle w:val="Compact"/>
            </w:pPr>
            <w:r>
              <w:t>Designed sampling campaigns with depth coverage and geostatistical modelling at representative facilities</w:t>
            </w:r>
          </w:p>
        </w:tc>
        <w:tc>
          <w:tcPr>
            <w:tcW w:w="0" w:type="auto"/>
          </w:tcPr>
          <w:p w14:paraId="4BF99ECD" w14:textId="77777777" w:rsidR="00D31E3D" w:rsidRDefault="00000000">
            <w:pPr>
              <w:pStyle w:val="Compact"/>
            </w:pPr>
            <w:r>
              <w:t>Blannin et al. (2022, 2023); Leskelä et al. (2025); Piatak et al. (2025)</w:t>
            </w:r>
          </w:p>
        </w:tc>
      </w:tr>
      <w:tr w:rsidR="00D31E3D" w14:paraId="23DDF13A" w14:textId="77777777" w:rsidTr="00FE512B">
        <w:tc>
          <w:tcPr>
            <w:tcW w:w="0" w:type="auto"/>
          </w:tcPr>
          <w:p w14:paraId="4455C592" w14:textId="77777777" w:rsidR="00D31E3D" w:rsidRDefault="00000000">
            <w:pPr>
              <w:pStyle w:val="Compact"/>
            </w:pPr>
            <w:r>
              <w:t>Deportment data for target elements</w:t>
            </w:r>
          </w:p>
        </w:tc>
        <w:tc>
          <w:tcPr>
            <w:tcW w:w="0" w:type="auto"/>
          </w:tcPr>
          <w:p w14:paraId="29894CB4" w14:textId="77777777" w:rsidR="00D31E3D" w:rsidRDefault="00000000">
            <w:pPr>
              <w:pStyle w:val="Compact"/>
            </w:pPr>
            <w:r>
              <w:t>Recovery is projected from bulk assay in most studies</w:t>
            </w:r>
          </w:p>
        </w:tc>
        <w:tc>
          <w:tcPr>
            <w:tcW w:w="0" w:type="auto"/>
          </w:tcPr>
          <w:p w14:paraId="135066FE" w14:textId="77777777" w:rsidR="00D31E3D" w:rsidRDefault="00000000">
            <w:pPr>
              <w:pStyle w:val="Compact"/>
            </w:pPr>
            <w:r>
              <w:t>Systematic automated mineralogy and, for substituted elements, non-destructive speciation across size fractions</w:t>
            </w:r>
          </w:p>
        </w:tc>
        <w:tc>
          <w:tcPr>
            <w:tcW w:w="0" w:type="auto"/>
          </w:tcPr>
          <w:p w14:paraId="0E8BCA56" w14:textId="77777777" w:rsidR="00D31E3D" w:rsidRDefault="00000000">
            <w:pPr>
              <w:pStyle w:val="Compact"/>
            </w:pPr>
            <w:r>
              <w:t>Büttner et al. (2018); Hayes et al. (2023); White et al. (2022)</w:t>
            </w:r>
          </w:p>
        </w:tc>
      </w:tr>
      <w:tr w:rsidR="00D31E3D" w14:paraId="11A034B5" w14:textId="77777777" w:rsidTr="00FE512B">
        <w:tc>
          <w:tcPr>
            <w:tcW w:w="0" w:type="auto"/>
          </w:tcPr>
          <w:p w14:paraId="147C0973" w14:textId="77777777" w:rsidR="00D31E3D" w:rsidRDefault="00000000">
            <w:pPr>
              <w:pStyle w:val="Compact"/>
            </w:pPr>
            <w:r>
              <w:t>Behaviour of aged versus fresh feed</w:t>
            </w:r>
          </w:p>
        </w:tc>
        <w:tc>
          <w:tcPr>
            <w:tcW w:w="0" w:type="auto"/>
          </w:tcPr>
          <w:p w14:paraId="75835046" w14:textId="77777777" w:rsidR="00D31E3D" w:rsidRDefault="00000000">
            <w:pPr>
              <w:pStyle w:val="Compact"/>
            </w:pPr>
            <w:r>
              <w:t>Many process studies use fresh plant tailings as proxy for stored material</w:t>
            </w:r>
          </w:p>
        </w:tc>
        <w:tc>
          <w:tcPr>
            <w:tcW w:w="0" w:type="auto"/>
          </w:tcPr>
          <w:p w14:paraId="49AB82EB" w14:textId="77777777" w:rsidR="00D31E3D" w:rsidRDefault="00000000">
            <w:pPr>
              <w:pStyle w:val="Compact"/>
            </w:pPr>
            <w:r>
              <w:t>Paired process testing on aged impoundment material and contemporaneous plant tailings from the same operation</w:t>
            </w:r>
          </w:p>
        </w:tc>
        <w:tc>
          <w:tcPr>
            <w:tcW w:w="0" w:type="auto"/>
          </w:tcPr>
          <w:p w14:paraId="53CA4404" w14:textId="77777777" w:rsidR="00D31E3D" w:rsidRDefault="00000000">
            <w:pPr>
              <w:pStyle w:val="Compact"/>
            </w:pPr>
            <w:r>
              <w:t>Dadzie et al. (2025); Teillaud et al. (2025)</w:t>
            </w:r>
          </w:p>
        </w:tc>
      </w:tr>
      <w:tr w:rsidR="00D31E3D" w14:paraId="2AF631B2" w14:textId="77777777" w:rsidTr="00FE512B">
        <w:tc>
          <w:tcPr>
            <w:tcW w:w="0" w:type="auto"/>
          </w:tcPr>
          <w:p w14:paraId="4A12C2C5" w14:textId="77777777" w:rsidR="00D31E3D" w:rsidRDefault="00000000">
            <w:pPr>
              <w:pStyle w:val="Compact"/>
            </w:pPr>
            <w:r>
              <w:t>Independently reported pilot performance</w:t>
            </w:r>
          </w:p>
        </w:tc>
        <w:tc>
          <w:tcPr>
            <w:tcW w:w="0" w:type="auto"/>
          </w:tcPr>
          <w:p w14:paraId="4CC6D030" w14:textId="77777777" w:rsidR="00D31E3D" w:rsidRDefault="00000000">
            <w:pPr>
              <w:pStyle w:val="Compact"/>
            </w:pPr>
            <w:r>
              <w:t>Evidence concentrated at bench scale; reagent, water and impurity behaviour unresolved</w:t>
            </w:r>
          </w:p>
        </w:tc>
        <w:tc>
          <w:tcPr>
            <w:tcW w:w="0" w:type="auto"/>
          </w:tcPr>
          <w:p w14:paraId="022DAC5D" w14:textId="77777777" w:rsidR="00D31E3D" w:rsidRDefault="00000000">
            <w:pPr>
              <w:pStyle w:val="Compact"/>
            </w:pPr>
            <w:r>
              <w:t>Pilot campaigns with full mass balance, reagent consumption and residue characterisation, reported irrespective of outcome</w:t>
            </w:r>
          </w:p>
        </w:tc>
        <w:tc>
          <w:tcPr>
            <w:tcW w:w="0" w:type="auto"/>
          </w:tcPr>
          <w:p w14:paraId="2D3A26FB" w14:textId="77777777" w:rsidR="00D31E3D" w:rsidRDefault="00000000">
            <w:pPr>
              <w:pStyle w:val="Compact"/>
            </w:pPr>
            <w:r>
              <w:t>Cameron et al. (2021); Mäkinen et al. (2020)</w:t>
            </w:r>
          </w:p>
        </w:tc>
      </w:tr>
      <w:tr w:rsidR="00D31E3D" w14:paraId="69F11BFA" w14:textId="77777777" w:rsidTr="00FE512B">
        <w:tc>
          <w:tcPr>
            <w:tcW w:w="0" w:type="auto"/>
          </w:tcPr>
          <w:p w14:paraId="41DD4139" w14:textId="77777777" w:rsidR="00D31E3D" w:rsidRDefault="00000000">
            <w:pPr>
              <w:pStyle w:val="Compact"/>
            </w:pPr>
            <w:r>
              <w:t>Selectivity in real leachates</w:t>
            </w:r>
          </w:p>
        </w:tc>
        <w:tc>
          <w:tcPr>
            <w:tcW w:w="0" w:type="auto"/>
          </w:tcPr>
          <w:p w14:paraId="601BED17" w14:textId="77777777" w:rsidR="00D31E3D" w:rsidRDefault="00000000">
            <w:pPr>
              <w:pStyle w:val="Compact"/>
            </w:pPr>
            <w:r>
              <w:t>Sorbent and precipitant performance often established on simple or synthetic solutions</w:t>
            </w:r>
          </w:p>
        </w:tc>
        <w:tc>
          <w:tcPr>
            <w:tcW w:w="0" w:type="auto"/>
          </w:tcPr>
          <w:p w14:paraId="2A636CD7" w14:textId="77777777" w:rsidR="00D31E3D" w:rsidRDefault="00000000">
            <w:pPr>
              <w:pStyle w:val="Compact"/>
            </w:pPr>
            <w:r>
              <w:t>Comparative testing on real multi-element leachates with impurity accounting</w:t>
            </w:r>
          </w:p>
        </w:tc>
        <w:tc>
          <w:tcPr>
            <w:tcW w:w="0" w:type="auto"/>
          </w:tcPr>
          <w:p w14:paraId="435333A5" w14:textId="77777777" w:rsidR="00D31E3D" w:rsidRDefault="00000000">
            <w:pPr>
              <w:pStyle w:val="Compact"/>
            </w:pPr>
            <w:r>
              <w:t>Chang et al. (2020); Nawab &amp; Honaker (2023)</w:t>
            </w:r>
          </w:p>
        </w:tc>
      </w:tr>
      <w:tr w:rsidR="00D31E3D" w14:paraId="0390CEBE" w14:textId="77777777" w:rsidTr="00FE512B">
        <w:tc>
          <w:tcPr>
            <w:tcW w:w="0" w:type="auto"/>
          </w:tcPr>
          <w:p w14:paraId="61CB3A42" w14:textId="77777777" w:rsidR="00D31E3D" w:rsidRDefault="00000000">
            <w:pPr>
              <w:pStyle w:val="Compact"/>
            </w:pPr>
            <w:r>
              <w:t>Economic assessment with residue and closure inside the boundary</w:t>
            </w:r>
          </w:p>
        </w:tc>
        <w:tc>
          <w:tcPr>
            <w:tcW w:w="0" w:type="auto"/>
          </w:tcPr>
          <w:p w14:paraId="4C86DA28" w14:textId="77777777" w:rsidR="00D31E3D" w:rsidRDefault="00000000">
            <w:pPr>
              <w:pStyle w:val="Compact"/>
            </w:pPr>
            <w:r>
              <w:t>Assessments frequently omit the cost of managing the new residue</w:t>
            </w:r>
          </w:p>
        </w:tc>
        <w:tc>
          <w:tcPr>
            <w:tcW w:w="0" w:type="auto"/>
          </w:tcPr>
          <w:p w14:paraId="6C6C04C0" w14:textId="77777777" w:rsidR="00D31E3D" w:rsidRDefault="00000000">
            <w:pPr>
              <w:pStyle w:val="Compact"/>
            </w:pPr>
            <w:r>
              <w:t>Techno-economic analysis at stated estimating class with residue, closure and price sensitivity included</w:t>
            </w:r>
          </w:p>
        </w:tc>
        <w:tc>
          <w:tcPr>
            <w:tcW w:w="0" w:type="auto"/>
          </w:tcPr>
          <w:p w14:paraId="06FF19E3" w14:textId="77777777" w:rsidR="00D31E3D" w:rsidRDefault="00000000">
            <w:pPr>
              <w:pStyle w:val="Compact"/>
            </w:pPr>
            <w:r>
              <w:t>Larochelle et al. (2021); Marín et al. (2022)</w:t>
            </w:r>
          </w:p>
        </w:tc>
      </w:tr>
      <w:tr w:rsidR="00D31E3D" w14:paraId="474EF1DF" w14:textId="77777777" w:rsidTr="00FE512B">
        <w:tc>
          <w:tcPr>
            <w:tcW w:w="0" w:type="auto"/>
          </w:tcPr>
          <w:p w14:paraId="6558081E" w14:textId="77777777" w:rsidR="00D31E3D" w:rsidRDefault="00000000">
            <w:pPr>
              <w:pStyle w:val="Compact"/>
            </w:pPr>
            <w:r>
              <w:t>Geotechnical consequences of reprocessing</w:t>
            </w:r>
          </w:p>
        </w:tc>
        <w:tc>
          <w:tcPr>
            <w:tcW w:w="0" w:type="auto"/>
          </w:tcPr>
          <w:p w14:paraId="7D3C5078" w14:textId="77777777" w:rsidR="00D31E3D" w:rsidRDefault="00000000">
            <w:pPr>
              <w:pStyle w:val="Compact"/>
            </w:pPr>
            <w:r>
              <w:t>Excavation and redeposition of stored tailings is rarely analysed</w:t>
            </w:r>
          </w:p>
        </w:tc>
        <w:tc>
          <w:tcPr>
            <w:tcW w:w="0" w:type="auto"/>
          </w:tcPr>
          <w:p w14:paraId="0DE8092D" w14:textId="77777777" w:rsidR="00D31E3D" w:rsidRDefault="00000000">
            <w:pPr>
              <w:pStyle w:val="Compact"/>
            </w:pPr>
            <w:r>
              <w:t>Coupled geotechnical and process studies, including filtered redeposition options</w:t>
            </w:r>
          </w:p>
        </w:tc>
        <w:tc>
          <w:tcPr>
            <w:tcW w:w="0" w:type="auto"/>
          </w:tcPr>
          <w:p w14:paraId="19B4C74F" w14:textId="77777777" w:rsidR="00D31E3D" w:rsidRDefault="00000000">
            <w:pPr>
              <w:pStyle w:val="Compact"/>
            </w:pPr>
            <w:r>
              <w:t>Cacciuttolo &amp; Atencio (2023); Franks et al. (2021)</w:t>
            </w:r>
          </w:p>
        </w:tc>
      </w:tr>
      <w:tr w:rsidR="00D31E3D" w14:paraId="687B54B3" w14:textId="77777777" w:rsidTr="00FE512B">
        <w:tc>
          <w:tcPr>
            <w:tcW w:w="0" w:type="auto"/>
          </w:tcPr>
          <w:p w14:paraId="3AA1DF7D" w14:textId="77777777" w:rsidR="00D31E3D" w:rsidRDefault="00000000">
            <w:pPr>
              <w:pStyle w:val="Compact"/>
            </w:pPr>
            <w:r>
              <w:t>Liability, ownership and access</w:t>
            </w:r>
          </w:p>
        </w:tc>
        <w:tc>
          <w:tcPr>
            <w:tcW w:w="0" w:type="auto"/>
          </w:tcPr>
          <w:p w14:paraId="6F079254" w14:textId="77777777" w:rsidR="00D31E3D" w:rsidRDefault="00000000">
            <w:pPr>
              <w:pStyle w:val="Compact"/>
            </w:pPr>
            <w:r>
              <w:t xml:space="preserve">Analysis exists for mine water; solid </w:t>
            </w:r>
            <w:r>
              <w:lastRenderedPageBreak/>
              <w:t>waste equivalents are sparse</w:t>
            </w:r>
          </w:p>
        </w:tc>
        <w:tc>
          <w:tcPr>
            <w:tcW w:w="0" w:type="auto"/>
          </w:tcPr>
          <w:p w14:paraId="10858B24" w14:textId="77777777" w:rsidR="00D31E3D" w:rsidRDefault="00000000">
            <w:pPr>
              <w:pStyle w:val="Compact"/>
            </w:pPr>
            <w:r>
              <w:lastRenderedPageBreak/>
              <w:t xml:space="preserve">Empirical legal and institutional research on </w:t>
            </w:r>
            <w:r>
              <w:lastRenderedPageBreak/>
              <w:t>solid mine waste tenure and liability allocation</w:t>
            </w:r>
          </w:p>
        </w:tc>
        <w:tc>
          <w:tcPr>
            <w:tcW w:w="0" w:type="auto"/>
          </w:tcPr>
          <w:p w14:paraId="6E37A9D5" w14:textId="77777777" w:rsidR="00D31E3D" w:rsidRDefault="00000000">
            <w:pPr>
              <w:pStyle w:val="Compact"/>
            </w:pPr>
            <w:r>
              <w:lastRenderedPageBreak/>
              <w:t>Nguemgaing &amp; Collins (2026)</w:t>
            </w:r>
          </w:p>
        </w:tc>
      </w:tr>
      <w:tr w:rsidR="00D31E3D" w14:paraId="5C330989" w14:textId="77777777" w:rsidTr="00FE512B">
        <w:tc>
          <w:tcPr>
            <w:tcW w:w="0" w:type="auto"/>
          </w:tcPr>
          <w:p w14:paraId="5E6D4ED6" w14:textId="77777777" w:rsidR="00D31E3D" w:rsidRDefault="00000000">
            <w:pPr>
              <w:pStyle w:val="Compact"/>
            </w:pPr>
            <w:r>
              <w:t>Community engagement in reprocessing specifically</w:t>
            </w:r>
          </w:p>
        </w:tc>
        <w:tc>
          <w:tcPr>
            <w:tcW w:w="0" w:type="auto"/>
          </w:tcPr>
          <w:p w14:paraId="22765298" w14:textId="77777777" w:rsidR="00D31E3D" w:rsidRDefault="00000000">
            <w:pPr>
              <w:pStyle w:val="Compact"/>
            </w:pPr>
            <w:r>
              <w:t>Evidence concerns new mining projects rather than reprocessing of legacy sites</w:t>
            </w:r>
          </w:p>
        </w:tc>
        <w:tc>
          <w:tcPr>
            <w:tcW w:w="0" w:type="auto"/>
          </w:tcPr>
          <w:p w14:paraId="304B4572" w14:textId="77777777" w:rsidR="00D31E3D" w:rsidRDefault="00000000">
            <w:pPr>
              <w:pStyle w:val="Compact"/>
            </w:pPr>
            <w:r>
              <w:t>Studies distinguishing acceptance of remediation-led recovery from acceptance of mining</w:t>
            </w:r>
          </w:p>
        </w:tc>
        <w:tc>
          <w:tcPr>
            <w:tcW w:w="0" w:type="auto"/>
          </w:tcPr>
          <w:p w14:paraId="52B3F10B" w14:textId="77777777" w:rsidR="00D31E3D" w:rsidRDefault="00000000">
            <w:pPr>
              <w:pStyle w:val="Compact"/>
            </w:pPr>
            <w:r>
              <w:t>Ajiga et al. (2026); Amoah et al. (2024)</w:t>
            </w:r>
          </w:p>
        </w:tc>
      </w:tr>
    </w:tbl>
    <w:p w14:paraId="2D01C51B" w14:textId="77777777" w:rsidR="00D31E3D" w:rsidRDefault="00000000">
      <w:pPr>
        <w:pStyle w:val="BodyText"/>
      </w:pPr>
      <w:r>
        <w:rPr>
          <w:i/>
          <w:iCs/>
        </w:rPr>
        <w:t>Note.</w:t>
      </w:r>
      <w:r>
        <w:t xml:space="preserve"> The gaps listed are those for which the reviewed evidence provides a specific and demonstrable basis; the table is not a comprehensive research agenda for the field. ## 10. Future Directions</w:t>
      </w:r>
    </w:p>
    <w:p w14:paraId="37F36BB5" w14:textId="77777777" w:rsidR="00D31E3D" w:rsidRDefault="00000000">
      <w:pPr>
        <w:pStyle w:val="BodyText"/>
      </w:pPr>
      <w:r>
        <w:t>The priorities set out here are ordered by their capacity to change the conclusions that can currently be drawn, rather than by tractability or by the volume of existing activity in each area.</w:t>
      </w:r>
    </w:p>
    <w:p w14:paraId="1077E2DD" w14:textId="77777777" w:rsidR="00D31E3D" w:rsidRDefault="00000000">
      <w:pPr>
        <w:pStyle w:val="BodyText"/>
      </w:pPr>
      <w:r>
        <w:t>The first and most consequential priority is resource-grade characterisation of a defined set of United States tailings facilities. The unresolved problem is that no defensible estimate exists of how much of any critical element is contained in domestic tailings at grades and in forms that could support recovery. Current evidence is inadequate because the overwhelming majority of available data were generated to assess environmental risk, using shallow or opportunistic sampling that cannot be extrapolated to tonnage. The methodological requirements are established: designed sampling with vertical coverage across the depositional history, quality assurance and control comparable to that applied in primary exploration, and three-dimensional geostatistical modelling that reports uncertainty explicitly (Blannin et al., 2022, 2023; Leskelä et al., 2025). The appropriate scale is a purposive sample of facilities stratified by deposit type and operating era, rather than an attempt at national coverage, since the objective is to calibrate the relationship between deposit characteristics and endowment so that the wider population can be assessed by inference. Federal characterisation programmes are already generating relevant data, and the decisive question is whether their sampling design supports resource modelling or only site comparison (Piatak et al., 2025). Resolving this would convert the central claim of the field from an assertion into a testable quantity, and would allow policy to distinguish facilities worth investigating from those that are not.</w:t>
      </w:r>
    </w:p>
    <w:p w14:paraId="6246DF2C" w14:textId="77777777" w:rsidR="00D31E3D" w:rsidRDefault="00000000">
      <w:pPr>
        <w:pStyle w:val="BodyText"/>
      </w:pPr>
      <w:r>
        <w:t>The second priority is systematic determination of mineralogical deportment across size fractions for the element–deposit pairings identified as most promising. The unresolved problem is that recovery projections are made from bulk concentration, which is not predictive. Automated mineralogy combined with spatial modelling has demonstrated the value of such data where it has been collected (Büttner et al., 2018), and for elements present by substitution rather than as discrete phases, non-destructive speciation methods now exist (Hayes et al., 2023; White et al., 2022). The work required is not methodological development but systematic application, coupled to the sampling programmes described above so that deportment and spatial distribution are determined on the same material. The outcome measure is the proportion of contained element residing in phases amenable to a defined separation, which is the quantity that recovery projections actually require.</w:t>
      </w:r>
    </w:p>
    <w:p w14:paraId="53EC7F3D" w14:textId="77777777" w:rsidR="00D31E3D" w:rsidRDefault="00000000">
      <w:pPr>
        <w:pStyle w:val="BodyText"/>
      </w:pPr>
      <w:r>
        <w:lastRenderedPageBreak/>
        <w:t>The third priority is pilot-scale demonstration with complete and transparent reporting, including of unsuccessful campaigns. The unresolved problem is that the variables governing commercial viability, namely reagent consumption at realistic solids loading, water balance under recycle, impurity accumulation, throughput stability and residue characteristics, cannot be determined at bench scale. Bioleaching of cobalt and copper from sulphidic tailings is the strongest candidate for such demonstration because it has the most consistent intermediate-scale evidence base across independent groups (Cameron et al., 2021; Mäkinen et al., 2020; R. Zhang &amp; Schippers, 2022). Campaigns should use aged material recovered from actual impoundments rather than fresh plant tailings, should run for durations sufficient to establish steady-state solution chemistry, and should report full mass balances and reagent consumption alongside recovery. Publication of campaigns that fail to achieve target performance is essential, since the current record is subject to a selection effect that inflates apparent feasibility.</w:t>
      </w:r>
    </w:p>
    <w:p w14:paraId="32DA2259" w14:textId="77777777" w:rsidR="00D31E3D" w:rsidRDefault="00000000">
      <w:pPr>
        <w:pStyle w:val="BodyText"/>
      </w:pPr>
      <w:r>
        <w:t>The fourth priority is integrated techno-economic and environmental assessment with system boundaries that include the reprocessing residue, closure obligations and the counterfactual management of the original facility. The unresolved problem is that reported viability and reported environmental benefit are both sensitive to boundary choices that are frequently unstated. The methodological requirements are established practice in adjacent fields: assessment at a declared estimating class, price sensitivity across ranges observed historically for the commodities concerned, and life-cycle inventories with transparent allocation (Cairncross &amp; Tadie, 2022; Guo et al., 2022; Larochelle et al., 2021). Assessment should be conducted at regional rather than site scale where the product requires central separation capacity, following the network sourcing logic developed for dispersed drainage feedstocks. The outcome measures are the breakeven conditions rather than a single viability verdict, since breakeven conditions can be compared across sites and remain informative as prices move.</w:t>
      </w:r>
    </w:p>
    <w:p w14:paraId="75648C57" w14:textId="77777777" w:rsidR="00D31E3D" w:rsidRDefault="00000000">
      <w:pPr>
        <w:pStyle w:val="BodyText"/>
      </w:pPr>
      <w:r>
        <w:t>The fifth priority is empirical research on access, liability and acceptance for solid mine waste in the United States. The unresolved problem is that technically and economically feasible projects may be unable to proceed for reasons that the technical literature does not examine. Analysis of ownership and institutional barriers has been undertaken for minerals contained in mine water and provides a template (Nguemgaing &amp; Collins, 2026), while evidence on community and tribal engagement concerns new mining rather than reprocessing of existing waste (Ajiga et al., 2026; Amoah et al., 2024). Research should determine how tenure and liability apply to solid waste at legacy sites across land status categories, whether liability protections alter investment behaviour, and whether remediation-led recovery is evaluated differently by affected communities from conventional mining. This work is achievable on a shorter timescale than the characterisation programme and would inform the selection of facilities for it.</w:t>
      </w:r>
    </w:p>
    <w:p w14:paraId="2D68E7E8" w14:textId="77777777" w:rsidR="00D31E3D" w:rsidRDefault="00000000">
      <w:pPr>
        <w:pStyle w:val="BodyText"/>
      </w:pPr>
      <w:r>
        <w:t xml:space="preserve">Two longer-term directions follow from these. Coupling of critical element recovery to carbon mineralisation in ultramafic tailings warrants sustained investigation because it is the configuration in which a second revenue or credit stream is physically inherent in the material rather than dependent on a local market, although activation requirements, verification and monitoring must be resolved before the combination can be relied upon (Norouzpour et al., 2025; Ofori et al., 2025; Paulo et al., 2023). Design of new tailings </w:t>
      </w:r>
      <w:r>
        <w:lastRenderedPageBreak/>
        <w:t>facilities for eventual recovery, including segregation of streams by mineralogy and retention of metallurgical and grade control records in usable form, would remove at modest cost the characterisation problem that now dominates assessment of the existing stock, and follows directly from the geometallurgical argument that waste management decisions should be made across the life of the mine rather than at its end (Parbhakar-Fox &amp; Baumgartner, 2023).</w:t>
      </w:r>
    </w:p>
    <w:p w14:paraId="2C958454" w14:textId="77777777" w:rsidR="00D31E3D" w:rsidRDefault="00000000">
      <w:pPr>
        <w:pStyle w:val="Heading2"/>
      </w:pPr>
      <w:bookmarkStart w:id="35" w:name="conclusions"/>
      <w:bookmarkEnd w:id="34"/>
      <w:r>
        <w:t>11. Conclusions</w:t>
      </w:r>
    </w:p>
    <w:p w14:paraId="7F024435" w14:textId="77777777" w:rsidR="00D31E3D" w:rsidRDefault="00000000">
      <w:pPr>
        <w:pStyle w:val="FirstParagraph"/>
      </w:pPr>
      <w:r>
        <w:t>This review set out to establish what the available evidence supports regarding critical mineral recovery from mine tailings in the United States, to appraise the adequacy of the methods that generated that evidence, and to identify defensible priorities for further work. The principal conclusion is that the case for tailings as a contributor to national resource security is real but narrow, and that it is considerably narrower than the framing found in much of the review and policy literature.</w:t>
      </w:r>
    </w:p>
    <w:p w14:paraId="14FFA037" w14:textId="77777777" w:rsidR="00D31E3D" w:rsidRDefault="00000000">
      <w:pPr>
        <w:pStyle w:val="BodyText"/>
      </w:pPr>
      <w:r>
        <w:t>The endowment evidence is strongest where mineralogical characterisation has been carried out with sufficient care to identify the phases hosting the target element. Tellurium in porphyry copper tailings, germanium in zinc-related mine waste, cobalt in sulphidic and pyrrhotite-rich tailings, and rare earth elements in coal-related materials and drainage precipitates are each documented at a level that justifies further evaluation. These occurrences are demonstrations that critical elements were lost to waste; they are not, and are not presented by the primary authors as, resource estimates. The aggregate proposition that domestic tailings constitute a large characterised reserve is not supported by the evidence reviewed, principally because the sampling designs that generated most available data were not intended to support tonnage estimation and cannot be retrofitted to that purpose.</w:t>
      </w:r>
    </w:p>
    <w:p w14:paraId="2DB2144E" w14:textId="77777777" w:rsidR="00D31E3D" w:rsidRDefault="00000000">
      <w:pPr>
        <w:pStyle w:val="BodyText"/>
      </w:pPr>
      <w:r>
        <w:t>The recovery evidence establishes technical feasibility for several routes on real tailings material, with bioleaching of cobalt and copper from sulphidic feeds representing the most consistently replicated case across independent research groups. It does not establish commercial viability, because the evidence is concentrated at scales that cannot resolve the variables on which viability depends. The distinction between demonstrated extraction under laboratory conditions and demonstrated performance under operating conditions is the most important qualification to attach to the technical literature, and it is frequently absent when recovery percentages are compiled across studies.</w:t>
      </w:r>
    </w:p>
    <w:p w14:paraId="23C1C243" w14:textId="77777777" w:rsidR="00D31E3D" w:rsidRDefault="00000000">
      <w:pPr>
        <w:pStyle w:val="BodyText"/>
      </w:pPr>
      <w:r>
        <w:t>Economic and environmental conclusions are conditional on choices that are often left implicit. Reported viability is sensitive to by-product price assumptions and to whether the cost of managing the residue generated by reprocessing lies inside the assessment boundary. Reported environmental benefit is similarly sensitive to boundary definition, and is well founded where the boundary encompasses residue fate and the counterfactual management of the original facility. Where such discipline has been applied, genuine co-benefits are identifiable, particularly in the coupling of sulphide removal to reduced acid generation and in carbon mineralisation in ultramafic residues.</w:t>
      </w:r>
    </w:p>
    <w:p w14:paraId="5B465A95" w14:textId="77777777" w:rsidR="00D31E3D" w:rsidRDefault="00000000">
      <w:pPr>
        <w:pStyle w:val="BodyText"/>
      </w:pPr>
      <w:r>
        <w:lastRenderedPageBreak/>
        <w:t>Institutional constraints are not secondary to the technical question but co-determinate with it. Ownership, liability at legacy and contaminated sites, land status, and community and tribal acceptance each determine whether a feasible project can proceed, and they have received markedly less research attention than process chemistry. The relative maturity of United States work on recovery from mine drainage compared with solid tailings is consistent with the interpretation that institutional accessibility, rather than metallurgical difficulty, has shaped where progress has occurred.</w:t>
      </w:r>
    </w:p>
    <w:p w14:paraId="350DE297" w14:textId="77777777" w:rsidR="00D31E3D" w:rsidRDefault="00000000">
      <w:pPr>
        <w:pStyle w:val="BodyText"/>
      </w:pPr>
      <w:r>
        <w:t>The integrated conclusion is that tailings reprocessing should be understood as a targeted and site-selective supplement to primary supply and to remediation policy, most credible where it is integrated with an operating mine or with an existing remediation obligation, and least credible as standalone development of legacy impoundments for critical minerals. The broader significance of this synthesis is that the binding constraints on the field lie upstream of the technology that receives most attention. Progress depends primarily on characterisation adequate to estimate resources, on demonstration at scales that resolve viability, and on institutional research that establishes whether recovery can lawfully and acceptably proceed.</w:t>
      </w:r>
    </w:p>
    <w:p w14:paraId="70BA9A3D" w14:textId="77777777" w:rsidR="00D31E3D" w:rsidRDefault="00000000">
      <w:pPr>
        <w:pStyle w:val="Heading2"/>
      </w:pPr>
      <w:bookmarkStart w:id="36" w:name="limitations"/>
      <w:bookmarkEnd w:id="35"/>
      <w:r>
        <w:t>12. Limitations</w:t>
      </w:r>
    </w:p>
    <w:p w14:paraId="41BBF8C4" w14:textId="77777777" w:rsidR="00D31E3D" w:rsidRDefault="00000000">
      <w:pPr>
        <w:pStyle w:val="FirstParagraph"/>
      </w:pPr>
      <w:r>
        <w:t>This review is subject to the limitations intrinsic to a critical narrative design. Literature selection was purposive rather than exhaustive, and the judgements that determined which sources were included, how their quality was assessed and which themes were treated as central were exercised by a single interpretive process. Selection and interpretive bias cannot be excluded despite a transparent search strategy, explicit eligibility criteria and appraisal criteria matched to study type. A different reviewer applying the same protocol could reasonably construct a different emphasis, particularly in weighing process metallurgy against institutional analysis.</w:t>
      </w:r>
    </w:p>
    <w:p w14:paraId="6343528A" w14:textId="77777777" w:rsidR="00D31E3D" w:rsidRDefault="00000000">
      <w:pPr>
        <w:pStyle w:val="BodyText"/>
      </w:pPr>
      <w:r>
        <w:t>Access to subscription-based citation indexes was not available during preparation, and searching was therefore conducted in openly accessible scholarly databases, indexes and repositories together with institutional sources. Relevant material indexed only in subscription databases may not have been retrieved. Assessment was restricted to publications in English, which is a material restriction for this topic given the volume of relevant research published in Chinese, Spanish, Portuguese and Russian, and given that several of the largest tailings reprocessing programmes are located in countries where those languages predominate. Geographical representation in the retrieved evidence is uneven in a manner that compounds this restriction, with case study evidence concentrated in a small number of districts and countries and comparatively sparse for United States facilities, which is itself one of the findings reported.</w:t>
      </w:r>
    </w:p>
    <w:p w14:paraId="28C26215" w14:textId="77777777" w:rsidR="00D31E3D" w:rsidRDefault="00000000">
      <w:pPr>
        <w:pStyle w:val="BodyText"/>
      </w:pPr>
      <w:r>
        <w:t xml:space="preserve">Heterogeneity in the reviewed evidence prevented quantitative synthesis. Study designs, feed materials, analytical methods, reported outcome measures and system boundaries varied to a degree that precludes pooling, and no summary statistic could be computed that would be meaningful across the included work. Comparisons between studies are therefore qualitative and are stated with the qualifications that the differences in design require. </w:t>
      </w:r>
      <w:r>
        <w:lastRenderedPageBreak/>
        <w:t>Reported recovery performance, in particular, could not be compared directly across studies because feed characterisation, scale and reporting conventions differed.</w:t>
      </w:r>
    </w:p>
    <w:p w14:paraId="68EAC855" w14:textId="77777777" w:rsidR="006C0CA2" w:rsidRDefault="00000000">
      <w:pPr>
        <w:pStyle w:val="BodyText"/>
      </w:pPr>
      <w:r>
        <w:t xml:space="preserve">Several further constraints apply. Evidence bearing on commercial viability is scarce because operators do not generally publish process and cost data, so the economic conclusions rest on a small number of published assessments. Publication bias is likely to operate in favour of successful recovery campaigns, and its magnitude cannot be estimated from the available record. The field is developing rapidly, particularly in selective separation chemistry and in federal characterisation programmes, so conclusions drawn from evidence available to the stated search end date may be revised by subsequent work. Long-term evidence on the performance and stability of reprocessed and redeposited residues is largely absent, and inferences about closure outcomes are correspondingly tentative. Finally, this review draws conclusions for the United States setting, and its institutional analysis in particular should not be transferred to other jurisdictions without reassessment. </w:t>
      </w:r>
    </w:p>
    <w:p w14:paraId="54EFA441" w14:textId="77777777" w:rsidR="006C0CA2" w:rsidRDefault="006C0CA2" w:rsidP="006C0CA2">
      <w:pPr>
        <w:spacing w:after="0"/>
        <w:rPr>
          <w:rFonts w:ascii="Times New Roman" w:hAnsi="Times New Roman" w:cs="Times New Roman"/>
          <w:b/>
        </w:rPr>
      </w:pPr>
      <w:r w:rsidRPr="000839CE">
        <w:rPr>
          <w:rFonts w:ascii="Times New Roman" w:hAnsi="Times New Roman" w:cs="Times New Roman"/>
          <w:b/>
        </w:rPr>
        <w:t>Declaration of AI Use</w:t>
      </w:r>
    </w:p>
    <w:p w14:paraId="087D2EAE" w14:textId="77777777" w:rsidR="006C0CA2" w:rsidRDefault="006C0CA2" w:rsidP="006C0CA2">
      <w:pPr>
        <w:spacing w:after="0"/>
        <w:rPr>
          <w:rFonts w:ascii="Times New Roman" w:hAnsi="Times New Roman" w:cs="Times New Roman"/>
          <w:b/>
        </w:rPr>
      </w:pPr>
    </w:p>
    <w:p w14:paraId="45746D40" w14:textId="77777777" w:rsidR="006C0CA2" w:rsidRDefault="006C0CA2" w:rsidP="006C0CA2">
      <w:pPr>
        <w:spacing w:after="0"/>
        <w:rPr>
          <w:rFonts w:ascii="Times New Roman" w:hAnsi="Times New Roman" w:cs="Times New Roman"/>
          <w:b/>
        </w:rPr>
      </w:pPr>
    </w:p>
    <w:p w14:paraId="1E901841" w14:textId="77777777" w:rsidR="006C0CA2" w:rsidRDefault="006C0CA2" w:rsidP="006C0CA2">
      <w:pPr>
        <w:spacing w:after="0"/>
        <w:rPr>
          <w:rFonts w:ascii="Times New Roman" w:hAnsi="Times New Roman" w:cs="Times New Roman"/>
          <w:b/>
        </w:rPr>
      </w:pPr>
    </w:p>
    <w:p w14:paraId="18FF2D96" w14:textId="77777777" w:rsidR="006C0CA2" w:rsidRPr="002D08AC" w:rsidRDefault="006C0CA2" w:rsidP="006C0CA2">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4DA4756" w14:textId="77777777" w:rsidR="006C0CA2" w:rsidRDefault="006C0CA2">
      <w:pPr>
        <w:pStyle w:val="BodyText"/>
      </w:pPr>
    </w:p>
    <w:p w14:paraId="44399353" w14:textId="12145606" w:rsidR="00D31E3D" w:rsidRPr="006C0CA2" w:rsidRDefault="00000000">
      <w:pPr>
        <w:pStyle w:val="BodyText"/>
        <w:rPr>
          <w:b/>
          <w:bCs/>
        </w:rPr>
      </w:pPr>
      <w:r w:rsidRPr="006C0CA2">
        <w:rPr>
          <w:b/>
          <w:bCs/>
        </w:rPr>
        <w:t>References</w:t>
      </w:r>
    </w:p>
    <w:p w14:paraId="6FD5ACDE" w14:textId="77777777" w:rsidR="00D31E3D" w:rsidRDefault="00000000">
      <w:pPr>
        <w:pStyle w:val="BodyText"/>
      </w:pPr>
      <w:r>
        <w:t xml:space="preserve">Abbadi, A., &amp; Mucsi, G. (2024). A review on complex utilization of mine tailings: Recovery of rare earth elements and residue valorization. </w:t>
      </w:r>
      <w:r>
        <w:rPr>
          <w:i/>
          <w:iCs/>
        </w:rPr>
        <w:t>Journal of Environmental Chemical Engineering, 12</w:t>
      </w:r>
      <w:r>
        <w:t>(3), 113118. https://doi.org/10.1016/j.jece.2024.113118</w:t>
      </w:r>
    </w:p>
    <w:p w14:paraId="7355B90E" w14:textId="77777777" w:rsidR="00D31E3D" w:rsidRDefault="00000000">
      <w:pPr>
        <w:pStyle w:val="BodyText"/>
      </w:pPr>
      <w:r>
        <w:t xml:space="preserve">Adesina, A. (2025). Synthesis, characterization, and efficacy of alkali-activated materials from mine tailings: A review. </w:t>
      </w:r>
      <w:r>
        <w:rPr>
          <w:i/>
          <w:iCs/>
        </w:rPr>
        <w:t>Waste Management, 191</w:t>
      </w:r>
      <w:r>
        <w:t>, 23–46. https://doi.org/10.1016/j.wasman.2024.10.036</w:t>
      </w:r>
    </w:p>
    <w:p w14:paraId="3AA94A65" w14:textId="77777777" w:rsidR="00D31E3D" w:rsidRDefault="00000000">
      <w:pPr>
        <w:pStyle w:val="BodyText"/>
      </w:pPr>
      <w:r>
        <w:t xml:space="preserve">Ajiga, B., Awuah-Offei, K., &amp; Fikru, M. G. (2026). Public preferences for critical mineral mining in the U.S.: Evidence from a discrete choice experiment. </w:t>
      </w:r>
      <w:r>
        <w:rPr>
          <w:i/>
          <w:iCs/>
        </w:rPr>
        <w:t>The Extractive Industries and Society, 26</w:t>
      </w:r>
      <w:r>
        <w:t>, 101853. https://doi.org/10.1016/j.exis.2026.101853</w:t>
      </w:r>
    </w:p>
    <w:p w14:paraId="0B97C55C" w14:textId="77777777" w:rsidR="00D31E3D" w:rsidRDefault="00000000">
      <w:pPr>
        <w:pStyle w:val="BodyText"/>
      </w:pPr>
      <w:r>
        <w:t xml:space="preserve">Alcalde, J., Kelm, U., &amp; Vergara, D. (2018). Historical assessment of metal recovery potential from old mine tailings: A study case for porphyry copper tailings, Chile. </w:t>
      </w:r>
      <w:r>
        <w:rPr>
          <w:i/>
          <w:iCs/>
        </w:rPr>
        <w:t>Minerals Engineering, 127</w:t>
      </w:r>
      <w:r>
        <w:t>, 334–338. https://doi.org/10.1016/j.mineng.2018.04.022</w:t>
      </w:r>
    </w:p>
    <w:p w14:paraId="587B0488" w14:textId="77777777" w:rsidR="00D31E3D" w:rsidRDefault="00000000">
      <w:pPr>
        <w:pStyle w:val="BodyText"/>
      </w:pPr>
      <w:r>
        <w:t xml:space="preserve">Amoah, M., Sovacool, B. K., Mulvaney, D., Bazilian, M. D., Luarkie, R., &amp; Cardenas, D. (2024). Critical minerals mining and Native American sovereignty: Comparing case studies of lithium, copper, antimony, nickel and graphite mining in the United States. </w:t>
      </w:r>
      <w:r>
        <w:rPr>
          <w:i/>
          <w:iCs/>
        </w:rPr>
        <w:t>The Extractive Industries and Society, 20</w:t>
      </w:r>
      <w:r>
        <w:t>, 101557. https://doi.org/10.1016/j.exis.2024.101557</w:t>
      </w:r>
    </w:p>
    <w:p w14:paraId="0269B265" w14:textId="77777777" w:rsidR="00D31E3D" w:rsidRDefault="00000000">
      <w:pPr>
        <w:pStyle w:val="BodyText"/>
      </w:pPr>
      <w:r>
        <w:lastRenderedPageBreak/>
        <w:t xml:space="preserve">Araya, N., Kraslawski, A., &amp; Cisternas, L. A. (2020). Towards mine tailings valorization: Recovery of critical materials from Chilean mine tailings. </w:t>
      </w:r>
      <w:r>
        <w:rPr>
          <w:i/>
          <w:iCs/>
        </w:rPr>
        <w:t>Journal of Cleaner Production, 263</w:t>
      </w:r>
      <w:r>
        <w:t>, 121555. https://doi.org/10.1016/j.jclepro.2020.121555</w:t>
      </w:r>
    </w:p>
    <w:p w14:paraId="2BED9021" w14:textId="77777777" w:rsidR="00D31E3D" w:rsidRDefault="00000000">
      <w:pPr>
        <w:pStyle w:val="BodyText"/>
      </w:pPr>
      <w:r>
        <w:t xml:space="preserve">Baethge, C., Goldbeck-Wood, S., &amp; Mertens, S. (2019). SANRA—a scale for the quality assessment of narrative review articles. </w:t>
      </w:r>
      <w:r>
        <w:rPr>
          <w:i/>
          <w:iCs/>
        </w:rPr>
        <w:t>Research Integrity and Peer Review, 4</w:t>
      </w:r>
      <w:r>
        <w:t>(1), 5. https://doi.org/10.1186/s41073-019-0064-8</w:t>
      </w:r>
    </w:p>
    <w:p w14:paraId="53BF07BF" w14:textId="77777777" w:rsidR="00D31E3D" w:rsidRDefault="00000000">
      <w:pPr>
        <w:pStyle w:val="BodyText"/>
      </w:pPr>
      <w:r>
        <w:t xml:space="preserve">Blannin, R., Frenzel, M., Tolosana-Delgado, R., Büttner, P., &amp; Gutzmer, J. (2023). 3D geostatistical modelling of a tailings storage facility: Resource potential and environmental implications. </w:t>
      </w:r>
      <w:r>
        <w:rPr>
          <w:i/>
          <w:iCs/>
        </w:rPr>
        <w:t>Ore Geology Reviews, 154</w:t>
      </w:r>
      <w:r>
        <w:t>, 105337. https://doi.org/10.1016/j.oregeorev.2023.105337</w:t>
      </w:r>
    </w:p>
    <w:p w14:paraId="62991F59" w14:textId="77777777" w:rsidR="00D31E3D" w:rsidRDefault="00000000">
      <w:pPr>
        <w:pStyle w:val="BodyText"/>
      </w:pPr>
      <w:r>
        <w:t xml:space="preserve">Blannin, R., Frenzel, M., Tolosana-Delgado, R., &amp; Gutzmer, J. (2022). Towards a sampling protocol for the resource assessment of critical raw materials in tailings storage facilities. </w:t>
      </w:r>
      <w:r>
        <w:rPr>
          <w:i/>
          <w:iCs/>
        </w:rPr>
        <w:t>Journal of Geochemical Exploration, 236</w:t>
      </w:r>
      <w:r>
        <w:t>, 106974. https://doi.org/10.1016/j.gexplo.2022.106974</w:t>
      </w:r>
    </w:p>
    <w:p w14:paraId="275487EE" w14:textId="77777777" w:rsidR="00D31E3D" w:rsidRDefault="00000000">
      <w:pPr>
        <w:pStyle w:val="BodyText"/>
      </w:pPr>
      <w:r>
        <w:t xml:space="preserve">Bustamante, M. L., Gaustad, G., &amp; Alonso, E. (2018). Comparative analysis of supply risk-mitigation strategies for critical byproduct minerals: A case study of tellurium. </w:t>
      </w:r>
      <w:r>
        <w:rPr>
          <w:i/>
          <w:iCs/>
        </w:rPr>
        <w:t>Environmental Science &amp; Technology, 52</w:t>
      </w:r>
      <w:r>
        <w:t>(1), 11–21. https://doi.org/10.1021/acs.est.7b03963</w:t>
      </w:r>
    </w:p>
    <w:p w14:paraId="70EF6CD5" w14:textId="77777777" w:rsidR="00D31E3D" w:rsidRDefault="00000000">
      <w:pPr>
        <w:pStyle w:val="BodyText"/>
      </w:pPr>
      <w:r>
        <w:t xml:space="preserve">Büttner, P., Osbahr, I., Zimmermann, R., Leißner, T., Satge, L., &amp; Gutzmer, J. (2018). Recovery potential of flotation tailings assessed by spatial modelling of automated mineralogy data. </w:t>
      </w:r>
      <w:r>
        <w:rPr>
          <w:i/>
          <w:iCs/>
        </w:rPr>
        <w:t>Minerals Engineering, 116</w:t>
      </w:r>
      <w:r>
        <w:t>, 143–151. https://doi.org/10.1016/j.mineng.2017.09.008</w:t>
      </w:r>
    </w:p>
    <w:p w14:paraId="2C2F0A23" w14:textId="77777777" w:rsidR="00D31E3D" w:rsidRDefault="00000000">
      <w:pPr>
        <w:pStyle w:val="BodyText"/>
      </w:pPr>
      <w:r>
        <w:t xml:space="preserve">Cacciuttolo, C., &amp; Atencio, E. (2023). Dry stacking of filtered tailings for large-scale production rates over 100,000 metric tons per day: Envisioning the sustainable future of mine tailings storage facilities. </w:t>
      </w:r>
      <w:r>
        <w:rPr>
          <w:i/>
          <w:iCs/>
        </w:rPr>
        <w:t>Minerals, 13</w:t>
      </w:r>
      <w:r>
        <w:t>(11), 1445. https://doi.org/10.3390/min13111445</w:t>
      </w:r>
    </w:p>
    <w:p w14:paraId="23A4A3C7" w14:textId="77777777" w:rsidR="00D31E3D" w:rsidRDefault="00000000">
      <w:pPr>
        <w:pStyle w:val="BodyText"/>
      </w:pPr>
      <w:r>
        <w:t xml:space="preserve">Cairncross, K. H., &amp; Tadie, M. (2022). Life cycle assessment as a design consideration for process development for value recovery from gold mine tailings. </w:t>
      </w:r>
      <w:r>
        <w:rPr>
          <w:i/>
          <w:iCs/>
        </w:rPr>
        <w:t>Minerals Engineering, 183</w:t>
      </w:r>
      <w:r>
        <w:t>, 107588. https://doi.org/10.1016/j.mineng.2022.107588</w:t>
      </w:r>
    </w:p>
    <w:p w14:paraId="7E2BD292" w14:textId="77777777" w:rsidR="00D31E3D" w:rsidRDefault="00000000">
      <w:pPr>
        <w:pStyle w:val="BodyText"/>
      </w:pPr>
      <w:r>
        <w:t xml:space="preserve">Cameron, R. A., Lastra, R., Thibault, Y., Morin, L., &amp; Gould, W. D. (2021). Stirred-tank bioleaching of nickel and cobalt from pyrrhotite-rich tailings from Sudbury, Ontario. </w:t>
      </w:r>
      <w:r>
        <w:rPr>
          <w:i/>
          <w:iCs/>
        </w:rPr>
        <w:t>Hydrometallurgy, 204</w:t>
      </w:r>
      <w:r>
        <w:t>, 105592. https://doi.org/10.1016/j.hydromet.2021.105592</w:t>
      </w:r>
    </w:p>
    <w:p w14:paraId="723A1D9A" w14:textId="77777777" w:rsidR="00D31E3D" w:rsidRDefault="00000000">
      <w:pPr>
        <w:pStyle w:val="BodyText"/>
      </w:pPr>
      <w:r>
        <w:t xml:space="preserve">Chang, E., Brewer, A. W., Park, D. M., Jiao, Y., &amp; Lammers, L. N. (2020). Surface complexation model of rare earth element adsorption onto bacterial surfaces with lanthanide binding tags. </w:t>
      </w:r>
      <w:r>
        <w:rPr>
          <w:i/>
          <w:iCs/>
        </w:rPr>
        <w:t>Applied Geochemistry, 112</w:t>
      </w:r>
      <w:r>
        <w:t>, 104478. https://doi.org/10.1016/j.apgeochem.2019.104478</w:t>
      </w:r>
    </w:p>
    <w:p w14:paraId="3A8E92CF" w14:textId="77777777" w:rsidR="00D31E3D" w:rsidRDefault="00000000">
      <w:pPr>
        <w:pStyle w:val="BodyText"/>
      </w:pPr>
      <w:r>
        <w:t xml:space="preserve">Chen, W., Yin, S., Zhou, G., Li, Z., &amp; Song, Q. (2022). Copper recovery from tailings through bioleaching and further application of bioleached tailings residue: Comprehensive utilization of tailings. </w:t>
      </w:r>
      <w:r>
        <w:rPr>
          <w:i/>
          <w:iCs/>
        </w:rPr>
        <w:t>Journal of Cleaner Production, 332</w:t>
      </w:r>
      <w:r>
        <w:t>, 130129. https://doi.org/10.1016/j.jclepro.2021.130129</w:t>
      </w:r>
    </w:p>
    <w:p w14:paraId="0AA2DE67" w14:textId="77777777" w:rsidR="00D31E3D" w:rsidRDefault="00000000">
      <w:pPr>
        <w:pStyle w:val="BodyText"/>
      </w:pPr>
      <w:r>
        <w:lastRenderedPageBreak/>
        <w:t xml:space="preserve">Chowdhury, M. O. S., &amp; Talan, D. (2025). From waste to wealth: A circular economy approach to the sustainable recovery of rare earth elements and battery metals from mine tailings. </w:t>
      </w:r>
      <w:r>
        <w:rPr>
          <w:i/>
          <w:iCs/>
        </w:rPr>
        <w:t>Separations, 12</w:t>
      </w:r>
      <w:r>
        <w:t>(2), 52. https://doi.org/10.3390/separations12020052</w:t>
      </w:r>
    </w:p>
    <w:p w14:paraId="253AC8AC" w14:textId="77777777" w:rsidR="00D31E3D" w:rsidRDefault="00000000">
      <w:pPr>
        <w:pStyle w:val="BodyText"/>
      </w:pPr>
      <w:r>
        <w:t xml:space="preserve">Crane, R. A., &amp; Sapsford, D. J. (2018). Towards greener lixiviants in value recovery from mine wastes: Efficacy of organic acids for the dissolution of copper and arsenic from legacy mine tailings. </w:t>
      </w:r>
      <w:r>
        <w:rPr>
          <w:i/>
          <w:iCs/>
        </w:rPr>
        <w:t>Minerals, 8</w:t>
      </w:r>
      <w:r>
        <w:t>(9), 383. https://doi.org/10.3390/min8090383</w:t>
      </w:r>
    </w:p>
    <w:p w14:paraId="5B312B40" w14:textId="77777777" w:rsidR="00D31E3D" w:rsidRDefault="00000000">
      <w:pPr>
        <w:pStyle w:val="BodyText"/>
      </w:pPr>
      <w:r>
        <w:t xml:space="preserve">Dadzie, R. A., Zanin, M., Skinner, W., Addai-Mensah, J., Asamoah, R., &amp; Abaka-Wood, G. B. (2025). Reprocessing of sulphide flotation tailings for copper recovery: Characterisation. </w:t>
      </w:r>
      <w:r>
        <w:rPr>
          <w:i/>
          <w:iCs/>
        </w:rPr>
        <w:t>Minerals, 15</w:t>
      </w:r>
      <w:r>
        <w:t>(6), 649. https://doi.org/10.3390/min15060649</w:t>
      </w:r>
    </w:p>
    <w:p w14:paraId="08551C02" w14:textId="77777777" w:rsidR="00D31E3D" w:rsidRDefault="00000000">
      <w:pPr>
        <w:pStyle w:val="BodyText"/>
      </w:pPr>
      <w:r>
        <w:t xml:space="preserve">Dold, B. (2014). Evolution of acid mine drainage formation in sulphidic mine tailings. </w:t>
      </w:r>
      <w:r>
        <w:rPr>
          <w:i/>
          <w:iCs/>
        </w:rPr>
        <w:t>Minerals, 4</w:t>
      </w:r>
      <w:r>
        <w:t>(3), 621–641. https://doi.org/10.3390/min4030621</w:t>
      </w:r>
    </w:p>
    <w:p w14:paraId="44201F77" w14:textId="77777777" w:rsidR="00D31E3D" w:rsidRDefault="00000000">
      <w:pPr>
        <w:pStyle w:val="BodyText"/>
      </w:pPr>
      <w:r>
        <w:t xml:space="preserve">Dold, B. (2020). Sourcing of critical elements and industrial minerals from mine waste—The final evolutionary step back to sustainability of humankind? </w:t>
      </w:r>
      <w:r>
        <w:rPr>
          <w:i/>
          <w:iCs/>
        </w:rPr>
        <w:t>Journal of Geochemical Exploration, 219</w:t>
      </w:r>
      <w:r>
        <w:t>, 106638. https://doi.org/10.1016/j.gexplo.2020.106638</w:t>
      </w:r>
    </w:p>
    <w:p w14:paraId="1F63EE8D" w14:textId="77777777" w:rsidR="00D31E3D" w:rsidRDefault="00000000">
      <w:pPr>
        <w:pStyle w:val="BodyText"/>
      </w:pPr>
      <w:r>
        <w:t xml:space="preserve">El-bouazzaoui, A., Ait-khouia, Y., Chopard, A., Demers, I., &amp; Benzaazoua, M. (2022). Environmental desulfurization of mine tailings using froth flotation: The case of Amaruq Mine (Nunavut, Canada). </w:t>
      </w:r>
      <w:r>
        <w:rPr>
          <w:i/>
          <w:iCs/>
        </w:rPr>
        <w:t>Minerals Engineering, 187</w:t>
      </w:r>
      <w:r>
        <w:t>, 107762. https://doi.org/10.1016/j.mineng.2022.107762</w:t>
      </w:r>
    </w:p>
    <w:p w14:paraId="57C3544A" w14:textId="77777777" w:rsidR="00D31E3D" w:rsidRDefault="00000000">
      <w:pPr>
        <w:pStyle w:val="BodyText"/>
      </w:pPr>
      <w:r>
        <w:t xml:space="preserve">Everaert, M., Lemmens, V., Atia, T. A., &amp; Spooren, J. (2020). Sulfidic mine tailings and marl waste rock as compatible resources in a microwave-assisted roasting process. </w:t>
      </w:r>
      <w:r>
        <w:rPr>
          <w:i/>
          <w:iCs/>
        </w:rPr>
        <w:t>Journal of Cleaner Production, 274</w:t>
      </w:r>
      <w:r>
        <w:t>, 122628. https://doi.org/10.1016/j.jclepro.2020.122628</w:t>
      </w:r>
    </w:p>
    <w:p w14:paraId="7B857624" w14:textId="77777777" w:rsidR="00D31E3D" w:rsidRDefault="00000000">
      <w:pPr>
        <w:pStyle w:val="BodyText"/>
      </w:pPr>
      <w:r>
        <w:t xml:space="preserve">Fox, N., Parbhakar-Fox, A., Moltzen, J., Feig, S., Goemann, K., &amp; Huntington, J. (2017). Applications of hyperspectral mineralogy for geoenvironmental characterisation. </w:t>
      </w:r>
      <w:r>
        <w:rPr>
          <w:i/>
          <w:iCs/>
        </w:rPr>
        <w:t>Minerals Engineering, 107</w:t>
      </w:r>
      <w:r>
        <w:t>, 63–77. https://doi.org/10.1016/j.mineng.2016.11.008</w:t>
      </w:r>
    </w:p>
    <w:p w14:paraId="4A124C6C" w14:textId="77777777" w:rsidR="00D31E3D" w:rsidRDefault="00000000">
      <w:pPr>
        <w:pStyle w:val="BodyText"/>
      </w:pPr>
      <w:r>
        <w:t xml:space="preserve">Franks, D. M., Stringer, M., Torres-Cruz, L. A., Baker, E., Valenta, R., Thygesen, K., Matthews, A., Howchin, J., &amp; Barrie, S. (2021). Tailings facility disclosures reveal stability risks. </w:t>
      </w:r>
      <w:r>
        <w:rPr>
          <w:i/>
          <w:iCs/>
        </w:rPr>
        <w:t>Scientific Reports, 11</w:t>
      </w:r>
      <w:r>
        <w:t>(1), 5353. https://doi.org/10.1038/s41598-021-84897-0</w:t>
      </w:r>
    </w:p>
    <w:p w14:paraId="3B0AA320" w14:textId="77777777" w:rsidR="00D31E3D" w:rsidRDefault="00000000">
      <w:pPr>
        <w:pStyle w:val="BodyText"/>
      </w:pPr>
      <w:r>
        <w:t xml:space="preserve">Goodman, A. J., Bednar, A. J., &amp; Ranville, J. F. (2023). Rare earth element recovery in hard-rock acid mine drainage and mine waste: A case study in Idaho Springs, Colorado. </w:t>
      </w:r>
      <w:r>
        <w:rPr>
          <w:i/>
          <w:iCs/>
        </w:rPr>
        <w:t>Applied Geochemistry, 150</w:t>
      </w:r>
      <w:r>
        <w:t>, 105584. https://doi.org/10.1016/j.apgeochem.2023.105584</w:t>
      </w:r>
    </w:p>
    <w:p w14:paraId="2220DEF0" w14:textId="77777777" w:rsidR="00D31E3D" w:rsidRDefault="00000000">
      <w:pPr>
        <w:pStyle w:val="BodyText"/>
      </w:pPr>
      <w:r>
        <w:t xml:space="preserve">Graedel, T. E., Harper, E. M., Nassar, N. T., Nuss, P., &amp; Reck, B. K. (2015). Criticality of metals and metalloids. </w:t>
      </w:r>
      <w:r>
        <w:rPr>
          <w:i/>
          <w:iCs/>
        </w:rPr>
        <w:t>Proceedings of the National Academy of Sciences, 112</w:t>
      </w:r>
      <w:r>
        <w:t>(14), 4257–4262. https://doi.org/10.1073/pnas.1500415112</w:t>
      </w:r>
    </w:p>
    <w:p w14:paraId="62156EA2" w14:textId="77777777" w:rsidR="00D31E3D" w:rsidRDefault="00000000">
      <w:pPr>
        <w:pStyle w:val="BodyText"/>
      </w:pPr>
      <w:r>
        <w:t xml:space="preserve">Grant, M. J., &amp; Booth, A. (2009). A typology of reviews: An analysis of 14 review types and associated methodologies. </w:t>
      </w:r>
      <w:r>
        <w:rPr>
          <w:i/>
          <w:iCs/>
        </w:rPr>
        <w:t>Health Information &amp; Libraries Journal, 26</w:t>
      </w:r>
      <w:r>
        <w:t>(2), 91–108. https://doi.org/10.1111/j.1471-1842.2009.00848.x</w:t>
      </w:r>
    </w:p>
    <w:p w14:paraId="6B4227B2" w14:textId="77777777" w:rsidR="00D31E3D" w:rsidRDefault="00000000">
      <w:pPr>
        <w:pStyle w:val="BodyText"/>
      </w:pPr>
      <w:r>
        <w:lastRenderedPageBreak/>
        <w:t xml:space="preserve">Greenhalgh, T., Thorne, S., &amp; Malterud, K. (2018). Time to challenge the spurious hierarchy of systematic over narrative reviews? </w:t>
      </w:r>
      <w:r>
        <w:rPr>
          <w:i/>
          <w:iCs/>
        </w:rPr>
        <w:t>European Journal of Clinical Investigation, 48</w:t>
      </w:r>
      <w:r>
        <w:t>(6), e12931. https://doi.org/10.1111/eci.12931</w:t>
      </w:r>
    </w:p>
    <w:p w14:paraId="63F9D89D" w14:textId="77777777" w:rsidR="00D31E3D" w:rsidRDefault="00000000">
      <w:pPr>
        <w:pStyle w:val="BodyText"/>
      </w:pPr>
      <w:r>
        <w:t xml:space="preserve">Guo, D., Hou, H., Long, J., Guo, X., &amp; Xu, H. (2022). Underestimated environmental benefits of tailings resource utilization: Evidence from a life cycle perspective. </w:t>
      </w:r>
      <w:r>
        <w:rPr>
          <w:i/>
          <w:iCs/>
        </w:rPr>
        <w:t>Environmental Impact Assessment Review, 96</w:t>
      </w:r>
      <w:r>
        <w:t>, 106832. https://doi.org/10.1016/j.eiar.2022.106832</w:t>
      </w:r>
    </w:p>
    <w:p w14:paraId="02F7F01B" w14:textId="77777777" w:rsidR="00D31E3D" w:rsidRDefault="00000000">
      <w:pPr>
        <w:pStyle w:val="BodyText"/>
      </w:pPr>
      <w:r>
        <w:t xml:space="preserve">Hammond, D. R., &amp; Brady, T. F. (2022). Critical minerals for green energy transition: A United States perspective. </w:t>
      </w:r>
      <w:r>
        <w:rPr>
          <w:i/>
          <w:iCs/>
        </w:rPr>
        <w:t>International Journal of Mining, Reclamation and Environment, 36</w:t>
      </w:r>
      <w:r>
        <w:t>(9), 624–641. https://doi.org/10.1080/17480930.2022.2124788</w:t>
      </w:r>
    </w:p>
    <w:p w14:paraId="7CC2F2F4" w14:textId="77777777" w:rsidR="00D31E3D" w:rsidRDefault="00000000">
      <w:pPr>
        <w:pStyle w:val="BodyText"/>
      </w:pPr>
      <w:r>
        <w:t xml:space="preserve">Hayes, S. M., McAleer, R. J., Piatak, N. M., White, S. J. O., &amp; Seal, R. R. (2023). A novel non-destructive workflow for examining germanium and co-substituents in ZnS. </w:t>
      </w:r>
      <w:r>
        <w:rPr>
          <w:i/>
          <w:iCs/>
        </w:rPr>
        <w:t>Frontiers in Earth Science, 11</w:t>
      </w:r>
      <w:r>
        <w:t>, 939700. https://doi.org/10.3389/feart.2023.939700</w:t>
      </w:r>
    </w:p>
    <w:p w14:paraId="5DEF6EDB" w14:textId="77777777" w:rsidR="00D31E3D" w:rsidRDefault="00000000">
      <w:pPr>
        <w:pStyle w:val="BodyText"/>
      </w:pPr>
      <w:r>
        <w:t xml:space="preserve">Honaker, R. Q., Zhang, W., Yang, X., &amp; Rezaee, M. (2018). Conception of an integrated flowsheet for rare earth elements recovery from coal coarse refuse. </w:t>
      </w:r>
      <w:r>
        <w:rPr>
          <w:i/>
          <w:iCs/>
        </w:rPr>
        <w:t>Minerals Engineering, 122</w:t>
      </w:r>
      <w:r>
        <w:t>, 233–240. https://doi.org/10.1016/j.mineng.2018.04.005</w:t>
      </w:r>
    </w:p>
    <w:p w14:paraId="457CADD6" w14:textId="77777777" w:rsidR="00D31E3D" w:rsidRDefault="00000000">
      <w:pPr>
        <w:pStyle w:val="BodyText"/>
      </w:pPr>
      <w:r>
        <w:t xml:space="preserve">Hudson-Edwards, K. A., Jamieson, H. E., &amp; Lottermoser, B. G. (2011). Mine wastes: Past, present, future. </w:t>
      </w:r>
      <w:r>
        <w:rPr>
          <w:i/>
          <w:iCs/>
        </w:rPr>
        <w:t>Elements, 7</w:t>
      </w:r>
      <w:r>
        <w:t>(6), 375–380. https://doi.org/10.2113/gselements.7.6.375</w:t>
      </w:r>
    </w:p>
    <w:p w14:paraId="5B25C242" w14:textId="77777777" w:rsidR="00D31E3D" w:rsidRDefault="00000000">
      <w:pPr>
        <w:pStyle w:val="BodyText"/>
      </w:pPr>
      <w:r>
        <w:t xml:space="preserve">Hudson-Edwards, K. A., &amp; Marquis, E. (2026). Mining mine wastes for sustainable value creation. </w:t>
      </w:r>
      <w:r>
        <w:rPr>
          <w:i/>
          <w:iCs/>
        </w:rPr>
        <w:t>Nature Geoscience, 19</w:t>
      </w:r>
      <w:r>
        <w:t>(5), 490–492. https://doi.org/10.1038/s41561-026-01956-9</w:t>
      </w:r>
    </w:p>
    <w:p w14:paraId="529A3DCF" w14:textId="77777777" w:rsidR="00D31E3D" w:rsidRDefault="00000000">
      <w:pPr>
        <w:pStyle w:val="BodyText"/>
      </w:pPr>
      <w:r>
        <w:t xml:space="preserve">Huston, D. L., &amp; Bastrakov, E. (2024). Germanium, indium, gallium and cadmium in zinc ores: A mineral system approach. </w:t>
      </w:r>
      <w:r>
        <w:rPr>
          <w:i/>
          <w:iCs/>
        </w:rPr>
        <w:t>Australian Journal of Earth Sciences, 71</w:t>
      </w:r>
      <w:r>
        <w:t>(8), 1125–1155. https://doi.org/10.1080/08120099.2024.2423772</w:t>
      </w:r>
    </w:p>
    <w:p w14:paraId="02421441" w14:textId="77777777" w:rsidR="00D31E3D" w:rsidRDefault="00000000">
      <w:pPr>
        <w:pStyle w:val="BodyText"/>
      </w:pPr>
      <w:r>
        <w:t xml:space="preserve">Jamieson, H. E. (2011). Geochemistry and mineralogy of solid mine waste: Essential knowledge for predicting environmental impact. </w:t>
      </w:r>
      <w:r>
        <w:rPr>
          <w:i/>
          <w:iCs/>
        </w:rPr>
        <w:t>Elements, 7</w:t>
      </w:r>
      <w:r>
        <w:t>(6), 381–386. https://doi.org/10.2113/gselements.7.6.381</w:t>
      </w:r>
    </w:p>
    <w:p w14:paraId="3C0FC43A" w14:textId="77777777" w:rsidR="00D31E3D" w:rsidRDefault="00000000">
      <w:pPr>
        <w:pStyle w:val="BodyText"/>
      </w:pPr>
      <w:r>
        <w:t xml:space="preserve">Kinnunen, P. H.-M., &amp; Kaksonen, A. H. (2019). Towards circular economy in mining: Opportunities and bottlenecks for tailings valorization. </w:t>
      </w:r>
      <w:r>
        <w:rPr>
          <w:i/>
          <w:iCs/>
        </w:rPr>
        <w:t>Journal of Cleaner Production, 228</w:t>
      </w:r>
      <w:r>
        <w:t>, 153–160. https://doi.org/10.1016/j.jclepro.2019.04.171</w:t>
      </w:r>
    </w:p>
    <w:p w14:paraId="43E7AAE8" w14:textId="77777777" w:rsidR="00D31E3D" w:rsidRDefault="00000000">
      <w:pPr>
        <w:pStyle w:val="BodyText"/>
      </w:pPr>
      <w:r>
        <w:t xml:space="preserve">Larochelle, T., Noble, A., Ziemkiewicz, P., Hoffman, D., &amp; Constant, J. (2021). A fundamental economic assessment of recovering rare earth elements and critical minerals from acid mine drainage using a network sourcing strategy. </w:t>
      </w:r>
      <w:r>
        <w:rPr>
          <w:i/>
          <w:iCs/>
        </w:rPr>
        <w:t>Minerals, 11</w:t>
      </w:r>
      <w:r>
        <w:t>(11), 1298. https://doi.org/10.3390/min11111298</w:t>
      </w:r>
    </w:p>
    <w:p w14:paraId="29945BDA" w14:textId="77777777" w:rsidR="00D31E3D" w:rsidRDefault="00000000">
      <w:pPr>
        <w:pStyle w:val="BodyText"/>
      </w:pPr>
      <w:r>
        <w:t xml:space="preserve">Lèbre, É., Corder, G., &amp; Golev, A. (2017a). The role of the mining industry in a circular economy: A framework for resource management at the mine site level. </w:t>
      </w:r>
      <w:r>
        <w:rPr>
          <w:i/>
          <w:iCs/>
        </w:rPr>
        <w:t>Journal of Industrial Ecology, 21</w:t>
      </w:r>
      <w:r>
        <w:t>(3), 662–672. https://doi.org/10.1111/jiec.12596</w:t>
      </w:r>
    </w:p>
    <w:p w14:paraId="3B947E4E" w14:textId="77777777" w:rsidR="00D31E3D" w:rsidRDefault="00000000">
      <w:pPr>
        <w:pStyle w:val="BodyText"/>
      </w:pPr>
      <w:r>
        <w:lastRenderedPageBreak/>
        <w:t xml:space="preserve">Lèbre, É., Corder, G. D., &amp; Golev, A. (2017b). Sustainable practices in the management of mining waste: A focus on the mineral resource. </w:t>
      </w:r>
      <w:r>
        <w:rPr>
          <w:i/>
          <w:iCs/>
        </w:rPr>
        <w:t>Minerals Engineering, 107</w:t>
      </w:r>
      <w:r>
        <w:t>, 34–42. https://doi.org/10.1016/j.mineng.2016.12.004</w:t>
      </w:r>
    </w:p>
    <w:p w14:paraId="4ABE5472" w14:textId="77777777" w:rsidR="00D31E3D" w:rsidRDefault="00000000">
      <w:pPr>
        <w:pStyle w:val="BodyText"/>
      </w:pPr>
      <w:r>
        <w:t xml:space="preserve">Leskelä, T., Hokka, J., &amp; Karlsson, T. (2025). Geostatistical modelling of mine tailings and comparative analysis of sampling methodologies: A case study of the Otanmäki ilmenite tailings storage facility project. </w:t>
      </w:r>
      <w:r>
        <w:rPr>
          <w:i/>
          <w:iCs/>
        </w:rPr>
        <w:t>Journal of Geochemical Exploration, 274</w:t>
      </w:r>
      <w:r>
        <w:t>, 107759. https://doi.org/10.1016/j.gexplo.2025.107759</w:t>
      </w:r>
    </w:p>
    <w:p w14:paraId="02BA78A7" w14:textId="77777777" w:rsidR="00D31E3D" w:rsidRDefault="00000000">
      <w:pPr>
        <w:pStyle w:val="BodyText"/>
      </w:pPr>
      <w:r>
        <w:t xml:space="preserve">Liu, W., Honaker, R., &amp; Yang, X. (2026). Recovery of rare earth elements and critical metals from thermally activated coal refuse using ferric sulfate bio acid. </w:t>
      </w:r>
      <w:r>
        <w:rPr>
          <w:i/>
          <w:iCs/>
        </w:rPr>
        <w:t>Journal of Rare Earths, 44</w:t>
      </w:r>
      <w:r>
        <w:t>(3), 910–920. https://doi.org/10.1016/j.jre.2025.04.001</w:t>
      </w:r>
    </w:p>
    <w:p w14:paraId="46B34CF9" w14:textId="77777777" w:rsidR="00D31E3D" w:rsidRDefault="00000000">
      <w:pPr>
        <w:pStyle w:val="BodyText"/>
      </w:pPr>
      <w:r>
        <w:t xml:space="preserve">Liu, Y., &amp; Naidu, R. (2014). Hidden values in bauxite residue (red mud): Recovery of metals. </w:t>
      </w:r>
      <w:r>
        <w:rPr>
          <w:i/>
          <w:iCs/>
        </w:rPr>
        <w:t>Waste Management, 34</w:t>
      </w:r>
      <w:r>
        <w:t>(12), 2662–2673. https://doi.org/10.1016/j.wasman.2014.09.003</w:t>
      </w:r>
    </w:p>
    <w:p w14:paraId="679CD009" w14:textId="77777777" w:rsidR="00D31E3D" w:rsidRDefault="00000000">
      <w:pPr>
        <w:pStyle w:val="BodyText"/>
      </w:pPr>
      <w:r>
        <w:t xml:space="preserve">Lutandula, M. S., &amp; Maloba, B. (2013). Recovery of cobalt and copper through reprocessing of tailings from flotation of oxidised ores. </w:t>
      </w:r>
      <w:r>
        <w:rPr>
          <w:i/>
          <w:iCs/>
        </w:rPr>
        <w:t>Journal of Environmental Chemical Engineering, 1</w:t>
      </w:r>
      <w:r>
        <w:t>(4), 1085–1090. https://doi.org/10.1016/j.jece.2013.08.025</w:t>
      </w:r>
    </w:p>
    <w:p w14:paraId="05E5E97A" w14:textId="77777777" w:rsidR="00D31E3D" w:rsidRDefault="00000000">
      <w:pPr>
        <w:pStyle w:val="BodyText"/>
      </w:pPr>
      <w:r>
        <w:t xml:space="preserve">Mäkinen, J., Salo, M., Khoshkhoo, M., Sundkvist, J.-E., &amp; Kinnunen, P. (2020). Bioleaching of cobalt from sulfide mining tailings: A mini-pilot study. </w:t>
      </w:r>
      <w:r>
        <w:rPr>
          <w:i/>
          <w:iCs/>
        </w:rPr>
        <w:t>Hydrometallurgy, 196</w:t>
      </w:r>
      <w:r>
        <w:t>, 105418. https://doi.org/10.1016/j.hydromet.2020.105418</w:t>
      </w:r>
    </w:p>
    <w:p w14:paraId="603A98A1" w14:textId="77777777" w:rsidR="00D31E3D" w:rsidRDefault="00000000">
      <w:pPr>
        <w:pStyle w:val="BodyText"/>
      </w:pPr>
      <w:r>
        <w:t xml:space="preserve">Marín, O. A., Kraslawski, A., &amp; Cisternas, L. A. (2022). Estimating processing cost for the recovery of valuable elements from mine tailings using dimensional analysis. </w:t>
      </w:r>
      <w:r>
        <w:rPr>
          <w:i/>
          <w:iCs/>
        </w:rPr>
        <w:t>Minerals Engineering, 184</w:t>
      </w:r>
      <w:r>
        <w:t>, 107629. https://doi.org/10.1016/j.mineng.2022.107629</w:t>
      </w:r>
    </w:p>
    <w:p w14:paraId="42FE31E1" w14:textId="77777777" w:rsidR="00D31E3D" w:rsidRDefault="00000000">
      <w:pPr>
        <w:pStyle w:val="BodyText"/>
      </w:pPr>
      <w:r>
        <w:t xml:space="preserve">McNulty, B. A., &amp; Jowitt, S. M. (2022). Byproduct critical metal supply and demand and implications for the energy transition: A case study of tellurium supply and CdTe PV demand. </w:t>
      </w:r>
      <w:r>
        <w:rPr>
          <w:i/>
          <w:iCs/>
        </w:rPr>
        <w:t>Renewable and Sustainable Energy Reviews, 168</w:t>
      </w:r>
      <w:r>
        <w:t>, 112838. https://doi.org/10.1016/j.rser.2022.112838</w:t>
      </w:r>
    </w:p>
    <w:p w14:paraId="2CCC52F7" w14:textId="77777777" w:rsidR="00D31E3D" w:rsidRDefault="00000000">
      <w:pPr>
        <w:pStyle w:val="BodyText"/>
      </w:pPr>
      <w:r>
        <w:t xml:space="preserve">Msumange, D. A., Msumange, J. A., Bru, K., &amp; Bourgeois, F. (2023). Tungsten tailings issues and reprocessing solutions. </w:t>
      </w:r>
      <w:r>
        <w:rPr>
          <w:i/>
          <w:iCs/>
        </w:rPr>
        <w:t>Minerals and Mineral Materials, 2</w:t>
      </w:r>
      <w:r>
        <w:t>(4). https://doi.org/10.20517/mmm.2023.21</w:t>
      </w:r>
    </w:p>
    <w:p w14:paraId="3597997C" w14:textId="77777777" w:rsidR="00D31E3D" w:rsidRDefault="00000000">
      <w:pPr>
        <w:pStyle w:val="BodyText"/>
      </w:pPr>
      <w:r>
        <w:t xml:space="preserve">Nadeif, A., Taha, Y., Bouzahzah, H., Hakkou, R., &amp; Benzaazoua, M. (2019). Desulfurization of the old tailings at the Au-Ag-Cu Tiouit mine (Anti-Atlas Morocco). </w:t>
      </w:r>
      <w:r>
        <w:rPr>
          <w:i/>
          <w:iCs/>
        </w:rPr>
        <w:t>Minerals, 9</w:t>
      </w:r>
      <w:r>
        <w:t>(7), 401. https://doi.org/10.3390/min9070401</w:t>
      </w:r>
    </w:p>
    <w:p w14:paraId="13E7F607" w14:textId="77777777" w:rsidR="00D31E3D" w:rsidRDefault="00000000">
      <w:pPr>
        <w:pStyle w:val="BodyText"/>
      </w:pPr>
      <w:r>
        <w:t xml:space="preserve">Narayanan, R. P., Kazantzis, N. K., &amp; Emmert, M. H. (2018). Selective process steps for the recovery of scandium from Jamaican bauxite residue (red mud). </w:t>
      </w:r>
      <w:r>
        <w:rPr>
          <w:i/>
          <w:iCs/>
        </w:rPr>
        <w:t>ACS Sustainable Chemistry &amp; Engineering, 6</w:t>
      </w:r>
      <w:r>
        <w:t>(1), 1478–1488. https://doi.org/10.1021/acssuschemeng.7b03968</w:t>
      </w:r>
    </w:p>
    <w:p w14:paraId="44D62510" w14:textId="77777777" w:rsidR="00D31E3D" w:rsidRDefault="00000000">
      <w:pPr>
        <w:pStyle w:val="BodyText"/>
      </w:pPr>
      <w:r>
        <w:t xml:space="preserve">Nassar, N. T., Brainard, J., Gulley, A., Manley, R., Matos, G., Lederer, G., Bird, L. R., Pineault, D., Alonso, E., Gambogi, J., &amp; Fortier, S. M. (2020). Evaluating the mineral commodity supply risk of the U.S. manufacturing sector. </w:t>
      </w:r>
      <w:r>
        <w:rPr>
          <w:i/>
          <w:iCs/>
        </w:rPr>
        <w:t>Science Advances, 6</w:t>
      </w:r>
      <w:r>
        <w:t>(8), eaay8647. https://doi.org/10.1126/sciadv.aay8647</w:t>
      </w:r>
    </w:p>
    <w:p w14:paraId="6658AB54" w14:textId="77777777" w:rsidR="00D31E3D" w:rsidRDefault="00000000">
      <w:pPr>
        <w:pStyle w:val="BodyText"/>
      </w:pPr>
      <w:r>
        <w:lastRenderedPageBreak/>
        <w:t xml:space="preserve">Nassar, N. T., Graedel, T. E., &amp; Harper, E. M. (2015). By-product metals are technologically essential but have problematic supply. </w:t>
      </w:r>
      <w:r>
        <w:rPr>
          <w:i/>
          <w:iCs/>
        </w:rPr>
        <w:t>Science Advances, 1</w:t>
      </w:r>
      <w:r>
        <w:t>(3), e1400180. https://doi.org/10.1126/sciadv.1400180</w:t>
      </w:r>
    </w:p>
    <w:p w14:paraId="72B1B185" w14:textId="77777777" w:rsidR="00D31E3D" w:rsidRDefault="00000000">
      <w:pPr>
        <w:pStyle w:val="BodyText"/>
      </w:pPr>
      <w:r>
        <w:t xml:space="preserve">Nassar, N. T., Pineault, D., Allen, S. M., McCaffrey, D. M., Padilla, A. J., Brainard, J. L., Bayani, M., Shojaeddini, E., Ryter, J. W., Lincoln, S., &amp; Alonso, E. (2025). </w:t>
      </w:r>
      <w:r>
        <w:rPr>
          <w:i/>
          <w:iCs/>
        </w:rPr>
        <w:t>Methodology and technical input for the 2025 U.S. list of critical minerals—Assessing the potential effects of mineral commodity supply chain disruptions on the U.S. economy</w:t>
      </w:r>
      <w:r>
        <w:t xml:space="preserve"> (Open-File Report 2025–1047). U.S. Geological Survey. https://doi.org/10.3133/ofr20251047</w:t>
      </w:r>
    </w:p>
    <w:p w14:paraId="25F42CC3" w14:textId="77777777" w:rsidR="00D31E3D" w:rsidRDefault="00000000">
      <w:pPr>
        <w:pStyle w:val="BodyText"/>
      </w:pPr>
      <w:r>
        <w:t xml:space="preserve">Nawab, A., &amp; Honaker, R. (2023). Pilot scale testing of lignite adsorption capability and the benefits for the recovery of rare earth elements from dilute leach solutions. </w:t>
      </w:r>
      <w:r>
        <w:rPr>
          <w:i/>
          <w:iCs/>
        </w:rPr>
        <w:t>Minerals, 13</w:t>
      </w:r>
      <w:r>
        <w:t>(7), 921. https://doi.org/10.3390/min13070921</w:t>
      </w:r>
    </w:p>
    <w:p w14:paraId="2365E89E" w14:textId="77777777" w:rsidR="00D31E3D" w:rsidRDefault="00000000">
      <w:pPr>
        <w:pStyle w:val="BodyText"/>
      </w:pPr>
      <w:r>
        <w:t xml:space="preserve">Nguemgaing, H. F., &amp; Collins, A. R. (2026). Who owns the minerals in polluted mine water? Property rights and institutional barriers to rare earth elements recovery from acid mine drainage. </w:t>
      </w:r>
      <w:r>
        <w:rPr>
          <w:i/>
          <w:iCs/>
        </w:rPr>
        <w:t>Resources Policy, 115</w:t>
      </w:r>
      <w:r>
        <w:t>, 105876. https://doi.org/10.1016/j.resourpol.2026.105876</w:t>
      </w:r>
    </w:p>
    <w:p w14:paraId="1799BC95" w14:textId="77777777" w:rsidR="00D31E3D" w:rsidRDefault="00000000">
      <w:pPr>
        <w:pStyle w:val="BodyText"/>
      </w:pPr>
      <w:r>
        <w:t xml:space="preserve">Norouzpour, M., Santos, R. M., &amp; Chiang, Y. W. (2025). Activation methods for enhancing CO2 mineralization via mine tailings—A critical review. </w:t>
      </w:r>
      <w:r>
        <w:rPr>
          <w:i/>
          <w:iCs/>
        </w:rPr>
        <w:t>Carbon Capture Science &amp; Technology, 15</w:t>
      </w:r>
      <w:r>
        <w:t>, 100430. https://doi.org/10.1016/j.ccst.2025.100430</w:t>
      </w:r>
    </w:p>
    <w:p w14:paraId="7FE46908" w14:textId="77777777" w:rsidR="00D31E3D" w:rsidRDefault="00000000">
      <w:pPr>
        <w:pStyle w:val="BodyText"/>
      </w:pPr>
      <w:r>
        <w:t xml:space="preserve">Ofori, K. A., Hanson, W., Huang, K., Amankwaa, V., Handler, R., Stacey, D., &amp; Pan, L. (2025). Technical feasibility, technoeconomic, and life cycle assessment of CO2 sequestration using domestic nickel mine tailings: A direct ex-situ hydrothermal approach. </w:t>
      </w:r>
      <w:r>
        <w:rPr>
          <w:i/>
          <w:iCs/>
        </w:rPr>
        <w:t>Journal of Cleaner Production, 532</w:t>
      </w:r>
      <w:r>
        <w:t>, 146957. https://doi.org/10.1016/j.jclepro.2025.146957</w:t>
      </w:r>
    </w:p>
    <w:p w14:paraId="789E4DFD" w14:textId="77777777" w:rsidR="00D31E3D" w:rsidRDefault="00000000">
      <w:pPr>
        <w:pStyle w:val="BodyText"/>
      </w:pPr>
      <w:r>
        <w:t xml:space="preserve">Parbhakar-Fox, A., &amp; Baumgartner, R. (2023). Action versus reaction: How geometallurgy can improve mine waste management across the life-of-mine. </w:t>
      </w:r>
      <w:r>
        <w:rPr>
          <w:i/>
          <w:iCs/>
        </w:rPr>
        <w:t>Elements, 19</w:t>
      </w:r>
      <w:r>
        <w:t>(6), 371–376. https://doi.org/10.2138/gselements.19.6.371</w:t>
      </w:r>
    </w:p>
    <w:p w14:paraId="6C22ED4D" w14:textId="77777777" w:rsidR="00D31E3D" w:rsidRDefault="00000000">
      <w:pPr>
        <w:pStyle w:val="BodyText"/>
      </w:pPr>
      <w:r>
        <w:t xml:space="preserve">Paulo, C., Power, I. M., Zeyen, N., Wang, B., &amp; Wilson, S. (2023). Geochemical modeling of CO2 sequestration in ultramafic mine wastes from Australia, Canada, and South Africa: Implications for carbon accounting and monitoring. </w:t>
      </w:r>
      <w:r>
        <w:rPr>
          <w:i/>
          <w:iCs/>
        </w:rPr>
        <w:t>Applied Geochemistry, 152</w:t>
      </w:r>
      <w:r>
        <w:t>, 105630. https://doi.org/10.1016/j.apgeochem.2023.105630</w:t>
      </w:r>
    </w:p>
    <w:p w14:paraId="12F68FB2" w14:textId="77777777" w:rsidR="00D31E3D" w:rsidRDefault="00000000">
      <w:pPr>
        <w:pStyle w:val="BodyText"/>
      </w:pPr>
      <w:r>
        <w:t xml:space="preserve">Peelman, S., Kooijman, D., Sietsma, J., &amp; Yang, Y. (2018). Hydrometallurgical recovery of rare earth elements from mine tailings and WEEE. </w:t>
      </w:r>
      <w:r>
        <w:rPr>
          <w:i/>
          <w:iCs/>
        </w:rPr>
        <w:t>Journal of Sustainable Metallurgy, 4</w:t>
      </w:r>
      <w:r>
        <w:t>(3), 367–377. https://doi.org/10.1007/s40831-018-0178-0</w:t>
      </w:r>
    </w:p>
    <w:p w14:paraId="17F368B9" w14:textId="77777777" w:rsidR="00D31E3D" w:rsidRDefault="00000000">
      <w:pPr>
        <w:pStyle w:val="BodyText"/>
      </w:pPr>
      <w:r>
        <w:t xml:space="preserve">Piatak, N. M., White, S. J., Hayes, S. M., &amp; Seal, R. R., II. (2025). </w:t>
      </w:r>
      <w:r>
        <w:rPr>
          <w:i/>
          <w:iCs/>
        </w:rPr>
        <w:t>Critical minerals in mine waste</w:t>
      </w:r>
      <w:r>
        <w:t xml:space="preserve"> (Fact Sheet 2025–3026). U.S. Geological Survey. https://doi.org/10.3133/fs20253026</w:t>
      </w:r>
    </w:p>
    <w:p w14:paraId="70053880" w14:textId="77777777" w:rsidR="00D31E3D" w:rsidRDefault="00000000">
      <w:pPr>
        <w:pStyle w:val="BodyText"/>
      </w:pPr>
      <w:r>
        <w:t xml:space="preserve">Power, I. M., Dipple, G. M., Bradshaw, P. M. D., &amp; Harrison, A. L. (2020). Prospects for CO2 mineralization and enhanced weathering of ultramafic mine tailings from the Baptiste nickel deposit in British Columbia, Canada. </w:t>
      </w:r>
      <w:r>
        <w:rPr>
          <w:i/>
          <w:iCs/>
        </w:rPr>
        <w:t>International Journal of Greenhouse Gas Control, 94</w:t>
      </w:r>
      <w:r>
        <w:t>, 102895. https://doi.org/10.1016/j.ijggc.2019.102895</w:t>
      </w:r>
    </w:p>
    <w:p w14:paraId="135588A7" w14:textId="77777777" w:rsidR="00D31E3D" w:rsidRDefault="00000000">
      <w:pPr>
        <w:pStyle w:val="BodyText"/>
      </w:pPr>
      <w:r>
        <w:lastRenderedPageBreak/>
        <w:t xml:space="preserve">Radková, A. B., Jamieson, H. E., Campbell, K. M., &amp; Hudson-Edwards, K. A. (2023). Antimony in mine wastes: Geochemistry, mineralogy, and microbiology. </w:t>
      </w:r>
      <w:r>
        <w:rPr>
          <w:i/>
          <w:iCs/>
        </w:rPr>
        <w:t>Economic Geology, 118</w:t>
      </w:r>
      <w:r>
        <w:t>(3), 621–637. https://doi.org/10.5382/econgeo.4937</w:t>
      </w:r>
    </w:p>
    <w:p w14:paraId="536835C6" w14:textId="77777777" w:rsidR="00D31E3D" w:rsidRDefault="00000000">
      <w:pPr>
        <w:pStyle w:val="BodyText"/>
      </w:pPr>
      <w:r>
        <w:t xml:space="preserve">Ruiz-Sánchez, A., Juárez Tapia, J. C., &amp; Lapidus, G. T. (2023). Evaluation of acid mine drainage (AMD) from tailings and their valorization by copper recovery. </w:t>
      </w:r>
      <w:r>
        <w:rPr>
          <w:i/>
          <w:iCs/>
        </w:rPr>
        <w:t>Minerals Engineering, 191</w:t>
      </w:r>
      <w:r>
        <w:t>, 107979. https://doi.org/10.1016/j.mineng.2022.107979</w:t>
      </w:r>
    </w:p>
    <w:p w14:paraId="5FE3D53A" w14:textId="77777777" w:rsidR="00D31E3D" w:rsidRDefault="00000000">
      <w:pPr>
        <w:pStyle w:val="BodyText"/>
      </w:pPr>
      <w:r>
        <w:t xml:space="preserve">Sarker, S. K., Haque, N., Bhuiyan, M., Bruckard, W., &amp; Pramanik, B. K. (2022). Recovery of strategically important critical minerals from mine tailings. </w:t>
      </w:r>
      <w:r>
        <w:rPr>
          <w:i/>
          <w:iCs/>
        </w:rPr>
        <w:t>Journal of Environmental Chemical Engineering, 10</w:t>
      </w:r>
      <w:r>
        <w:t>(3), 107622. https://doi.org/10.1016/j.jece.2022.107622</w:t>
      </w:r>
    </w:p>
    <w:p w14:paraId="42780C47" w14:textId="77777777" w:rsidR="00D31E3D" w:rsidRDefault="00000000">
      <w:pPr>
        <w:pStyle w:val="BodyText"/>
      </w:pPr>
      <w:r>
        <w:t xml:space="preserve">Scanlon, B. R., Reedy, R. C., Elliott, B. A., Hower, J. C., Kyle, J. R., Locmelis, M., Theaker, N., &amp; Warwick, P. D. (2026). Rare earth element potential in coal and coal ash in the U.S. Gulf Coast. </w:t>
      </w:r>
      <w:r>
        <w:rPr>
          <w:i/>
          <w:iCs/>
        </w:rPr>
        <w:t>International Journal of Coal Science &amp; Technology, 13</w:t>
      </w:r>
      <w:r>
        <w:t>(1), 28. https://doi.org/10.1007/s40789-026-00872-y</w:t>
      </w:r>
    </w:p>
    <w:p w14:paraId="127BE373" w14:textId="77777777" w:rsidR="00D31E3D" w:rsidRDefault="00000000">
      <w:pPr>
        <w:pStyle w:val="BodyText"/>
      </w:pPr>
      <w:r>
        <w:t xml:space="preserve">Shengo, L. M. (2021). Potentially exploitable reprocessing routes for recovering copper and cobalt retained in flotation tailings. </w:t>
      </w:r>
      <w:r>
        <w:rPr>
          <w:i/>
          <w:iCs/>
        </w:rPr>
        <w:t>Journal of Sustainable Metallurgy, 7</w:t>
      </w:r>
      <w:r>
        <w:t>(1), 60–77. https://doi.org/10.1007/s40831-020-00325-z</w:t>
      </w:r>
    </w:p>
    <w:p w14:paraId="35D17C95" w14:textId="77777777" w:rsidR="00D31E3D" w:rsidRDefault="00000000">
      <w:pPr>
        <w:pStyle w:val="BodyText"/>
      </w:pPr>
      <w:r>
        <w:t xml:space="preserve">Simon, A. C., Cathles, L. M., Wood, D., &amp; Bazilian, M. (2026). The widening gap between copper supply and demand will have an impact on economic development and energy futures. </w:t>
      </w:r>
      <w:r>
        <w:rPr>
          <w:i/>
          <w:iCs/>
        </w:rPr>
        <w:t>Energy Research &amp; Social Science, 133</w:t>
      </w:r>
      <w:r>
        <w:t>, 104581. https://doi.org/10.1016/j.erss.2026.104581</w:t>
      </w:r>
    </w:p>
    <w:p w14:paraId="40A536BF" w14:textId="77777777" w:rsidR="00D31E3D" w:rsidRDefault="00000000">
      <w:pPr>
        <w:pStyle w:val="BodyText"/>
      </w:pPr>
      <w:r>
        <w:t xml:space="preserve">Sukhera, J. (2022). Narrative reviews: Flexible, rigorous, and practical. </w:t>
      </w:r>
      <w:r>
        <w:rPr>
          <w:i/>
          <w:iCs/>
        </w:rPr>
        <w:t>Journal of Graduate Medical Education, 14</w:t>
      </w:r>
      <w:r>
        <w:t>(4), 414–417. https://doi.org/10.4300/JGME-D-22-00480.1</w:t>
      </w:r>
    </w:p>
    <w:p w14:paraId="1D321654" w14:textId="77777777" w:rsidR="00D31E3D" w:rsidRDefault="00000000">
      <w:pPr>
        <w:pStyle w:val="BodyText"/>
      </w:pPr>
      <w:r>
        <w:t xml:space="preserve">Tayebi-Khorami, M., Edraki, M., Corder, G., &amp; Golev, A. (2019). Re-thinking mining waste through an integrative approach led by circular economy aspirations. </w:t>
      </w:r>
      <w:r>
        <w:rPr>
          <w:i/>
          <w:iCs/>
        </w:rPr>
        <w:t>Minerals, 9</w:t>
      </w:r>
      <w:r>
        <w:t>(5), 286. https://doi.org/10.3390/min9050286</w:t>
      </w:r>
    </w:p>
    <w:p w14:paraId="258F5F4C" w14:textId="77777777" w:rsidR="00D31E3D" w:rsidRDefault="00000000">
      <w:pPr>
        <w:pStyle w:val="BodyText"/>
      </w:pPr>
      <w:r>
        <w:t xml:space="preserve">Teillaud, S., Coudert, L., Ait-Khouia, Y., Benzaazoua, M., Guittonny, M., Laubie, B., &amp; Simonnot, M.-O. (2025). Challenges associated with the recovery of Co- and As-bearing minerals from aged mine tailings. </w:t>
      </w:r>
      <w:r>
        <w:rPr>
          <w:i/>
          <w:iCs/>
        </w:rPr>
        <w:t>Minerals Engineering, 222</w:t>
      </w:r>
      <w:r>
        <w:t>, 109167. https://doi.org/10.1016/j.mineng.2024.109167</w:t>
      </w:r>
    </w:p>
    <w:p w14:paraId="0847A4BB" w14:textId="77777777" w:rsidR="00D31E3D" w:rsidRDefault="00000000">
      <w:pPr>
        <w:pStyle w:val="BodyText"/>
      </w:pPr>
      <w:r>
        <w:t xml:space="preserve">U.S. Geological Survey. (2025). Final 2025 list of critical minerals. </w:t>
      </w:r>
      <w:r>
        <w:rPr>
          <w:i/>
          <w:iCs/>
        </w:rPr>
        <w:t>Federal Register, 90</w:t>
      </w:r>
      <w:r>
        <w:t>(214), 50494–50497. https://www.federalregister.gov/documents/2025/11/07/2025-19813/final-2025-list-of-critical-minerals</w:t>
      </w:r>
    </w:p>
    <w:p w14:paraId="3F873D4D" w14:textId="77777777" w:rsidR="00D31E3D" w:rsidRDefault="00000000">
      <w:pPr>
        <w:pStyle w:val="BodyText"/>
      </w:pPr>
      <w:r>
        <w:t xml:space="preserve">U.S. Geological Survey. (2026). </w:t>
      </w:r>
      <w:r>
        <w:rPr>
          <w:i/>
          <w:iCs/>
        </w:rPr>
        <w:t>Mineral commodity summaries 2026</w:t>
      </w:r>
      <w:r>
        <w:t>. https://doi.org/10.3133/mcs2026</w:t>
      </w:r>
    </w:p>
    <w:p w14:paraId="4247829F" w14:textId="77777777" w:rsidR="00D31E3D" w:rsidRDefault="00000000">
      <w:pPr>
        <w:pStyle w:val="BodyText"/>
      </w:pPr>
      <w:r>
        <w:t xml:space="preserve">Vitti, C., &amp; Arnold, B. J. (2022). The reprocessing and revalorization of critical minerals in mine tailings. </w:t>
      </w:r>
      <w:r>
        <w:rPr>
          <w:i/>
          <w:iCs/>
        </w:rPr>
        <w:t>Mining, Metallurgy &amp; Exploration, 39</w:t>
      </w:r>
      <w:r>
        <w:t>(1), 49–54. https://doi.org/10.1007/s42461-021-00524-6</w:t>
      </w:r>
    </w:p>
    <w:p w14:paraId="4C6AEAD2" w14:textId="77777777" w:rsidR="00D31E3D" w:rsidRDefault="00000000">
      <w:pPr>
        <w:pStyle w:val="BodyText"/>
      </w:pPr>
      <w:r>
        <w:lastRenderedPageBreak/>
        <w:t xml:space="preserve">Wang, Y., Noble, A., Vass, C., &amp; Ziemkiewicz, P. (2021). Speciation of rare earth elements in acid mine drainage precipitates by sequential extraction. </w:t>
      </w:r>
      <w:r>
        <w:rPr>
          <w:i/>
          <w:iCs/>
        </w:rPr>
        <w:t>Minerals Engineering, 168</w:t>
      </w:r>
      <w:r>
        <w:t>, 106827. https://doi.org/10.1016/j.mineng.2021.106827</w:t>
      </w:r>
    </w:p>
    <w:p w14:paraId="3CBF6B0F" w14:textId="77777777" w:rsidR="00D31E3D" w:rsidRDefault="00000000">
      <w:pPr>
        <w:pStyle w:val="BodyText"/>
      </w:pPr>
      <w:r>
        <w:t xml:space="preserve">Wang, Y., Ziemkiewicz, P., &amp; Noble, A. (2022). A hybrid experimental and theoretical approach to optimize recovery of rare earth elements from acid mine drainage precipitates by oxalic acid precipitation. </w:t>
      </w:r>
      <w:r>
        <w:rPr>
          <w:i/>
          <w:iCs/>
        </w:rPr>
        <w:t>Minerals, 12</w:t>
      </w:r>
      <w:r>
        <w:t>(2), 236. https://doi.org/10.3390/min12020236</w:t>
      </w:r>
    </w:p>
    <w:p w14:paraId="167AE017" w14:textId="77777777" w:rsidR="00D31E3D" w:rsidRDefault="00000000">
      <w:pPr>
        <w:pStyle w:val="BodyText"/>
      </w:pPr>
      <w:r>
        <w:t xml:space="preserve">White, S. J. O., Piatak, N. M., McAleer, R. J., Hayes, S. M., Seal, R. R., Schaider, L. A., &amp; Shine, J. P. (2022). Germanium redistribution during weathering of Zn mine wastes: Implications for environmental mobility and recovery of a critical mineral. </w:t>
      </w:r>
      <w:r>
        <w:rPr>
          <w:i/>
          <w:iCs/>
        </w:rPr>
        <w:t>Applied Geochemistry, 143</w:t>
      </w:r>
      <w:r>
        <w:t>, 105341. https://doi.org/10.1016/j.apgeochem.2022.105341</w:t>
      </w:r>
    </w:p>
    <w:p w14:paraId="02F38A55" w14:textId="77777777" w:rsidR="00D31E3D" w:rsidRDefault="00000000">
      <w:pPr>
        <w:pStyle w:val="BodyText"/>
      </w:pPr>
      <w:r>
        <w:t xml:space="preserve">Zabolotnii, E., Morgenstern, N. R., &amp; Wilson, G. W. (2022). Mechanism of failure of the Mount Polley tailings storage facility. </w:t>
      </w:r>
      <w:r>
        <w:rPr>
          <w:i/>
          <w:iCs/>
        </w:rPr>
        <w:t>Canadian Geotechnical Journal, 59</w:t>
      </w:r>
      <w:r>
        <w:t>(8), 1503–1518. https://doi.org/10.1139/cgj-2021-0036</w:t>
      </w:r>
    </w:p>
    <w:p w14:paraId="540E864A" w14:textId="77777777" w:rsidR="00D31E3D" w:rsidRDefault="00000000">
      <w:pPr>
        <w:pStyle w:val="BodyText"/>
      </w:pPr>
      <w:r>
        <w:t xml:space="preserve">Zhang, R., Hedrich, S., Römer, F., Goldmann, D., &amp; Schippers, A. (2020). Bioleaching of cobalt from Cu/Co-rich sulfidic mine tailings from the polymetallic Rammelsberg mine, Germany. </w:t>
      </w:r>
      <w:r>
        <w:rPr>
          <w:i/>
          <w:iCs/>
        </w:rPr>
        <w:t>Hydrometallurgy, 197</w:t>
      </w:r>
      <w:r>
        <w:t>, 105443. https://doi.org/10.1016/j.hydromet.2020.105443</w:t>
      </w:r>
    </w:p>
    <w:p w14:paraId="4C42B38E" w14:textId="77777777" w:rsidR="00D31E3D" w:rsidRDefault="00000000">
      <w:pPr>
        <w:pStyle w:val="BodyText"/>
      </w:pPr>
      <w:r>
        <w:t xml:space="preserve">Zhang, R., &amp; Schippers, A. (2022). Stirred-tank bioleaching of copper and cobalt from mine tailings in Chile. </w:t>
      </w:r>
      <w:r>
        <w:rPr>
          <w:i/>
          <w:iCs/>
        </w:rPr>
        <w:t>Minerals Engineering, 180</w:t>
      </w:r>
      <w:r>
        <w:t>, 107514. https://doi.org/10.1016/j.mineng.2022.107514</w:t>
      </w:r>
    </w:p>
    <w:p w14:paraId="35EF23EE" w14:textId="77777777" w:rsidR="00D31E3D" w:rsidRDefault="00000000">
      <w:pPr>
        <w:pStyle w:val="BodyText"/>
      </w:pPr>
      <w:r>
        <w:t xml:space="preserve">Zhang, W., &amp; Honaker, R. Q. (2018). Rare earth elements recovery using staged precipitation from a leachate generated from coarse coal refuse. </w:t>
      </w:r>
      <w:r>
        <w:rPr>
          <w:i/>
          <w:iCs/>
        </w:rPr>
        <w:t>International Journal of Coal Geology, 195</w:t>
      </w:r>
      <w:r>
        <w:t>, 189–199. https://doi.org/10.1016/j.coal.2018.06.008</w:t>
      </w:r>
    </w:p>
    <w:p w14:paraId="32423708" w14:textId="77777777" w:rsidR="00D31E3D" w:rsidRDefault="00000000">
      <w:pPr>
        <w:pStyle w:val="BodyText"/>
      </w:pPr>
      <w:r>
        <w:t xml:space="preserve">Ziwa, G., Crane, R., &amp; Hudson-Edwards, K. A. (2025). Geochemistry and mineralogy of cobalt in mine wastes: Examples from Cobalt, Canada and Cornwall, England. </w:t>
      </w:r>
      <w:r>
        <w:rPr>
          <w:i/>
          <w:iCs/>
        </w:rPr>
        <w:t>Frontiers in Geochemistry, 3</w:t>
      </w:r>
      <w:r>
        <w:t>, 1543695. https://doi.org/10.3389/fgeoc.2025.1543695</w:t>
      </w:r>
      <w:bookmarkEnd w:id="0"/>
      <w:bookmarkEnd w:id="36"/>
    </w:p>
    <w:sectPr w:rsidR="00D31E3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1D8E8" w14:textId="77777777" w:rsidR="00F2192E" w:rsidRDefault="00F2192E">
      <w:pPr>
        <w:spacing w:after="0"/>
      </w:pPr>
      <w:r>
        <w:separator/>
      </w:r>
    </w:p>
  </w:endnote>
  <w:endnote w:type="continuationSeparator" w:id="0">
    <w:p w14:paraId="5AA9E1AE" w14:textId="77777777" w:rsidR="00F2192E" w:rsidRDefault="00F219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0AF05" w14:textId="77777777" w:rsidR="00EB3843" w:rsidRDefault="00EB38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F1BDE" w14:textId="77777777" w:rsidR="00EB3843" w:rsidRDefault="00EB38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5288" w14:textId="77777777" w:rsidR="00EB3843" w:rsidRDefault="00EB3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FAE1D" w14:textId="77777777" w:rsidR="00F2192E" w:rsidRDefault="00F2192E">
      <w:r>
        <w:separator/>
      </w:r>
    </w:p>
  </w:footnote>
  <w:footnote w:type="continuationSeparator" w:id="0">
    <w:p w14:paraId="42D9C491" w14:textId="77777777" w:rsidR="00F2192E" w:rsidRDefault="00F21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64B8" w14:textId="6BA65D4E" w:rsidR="00EB3843" w:rsidRDefault="00EB3843">
    <w:pPr>
      <w:pStyle w:val="Header"/>
    </w:pPr>
    <w:r>
      <w:rPr>
        <w:noProof/>
      </w:rPr>
      <w:pict w14:anchorId="19FF21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274766" o:spid="_x0000_s1026" type="#_x0000_t136" style="position:absolute;margin-left:0;margin-top:0;width:586.55pt;height:73.3pt;rotation:315;z-index:-251655168;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FBFC" w14:textId="47FCCDDC" w:rsidR="00EB3843" w:rsidRDefault="00EB3843">
    <w:pPr>
      <w:pStyle w:val="Header"/>
    </w:pPr>
    <w:r>
      <w:rPr>
        <w:noProof/>
      </w:rPr>
      <w:pict w14:anchorId="3BCD24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274767" o:spid="_x0000_s1027" type="#_x0000_t136" style="position:absolute;margin-left:0;margin-top:0;width:586.55pt;height:73.3pt;rotation:315;z-index:-251653120;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D890E" w14:textId="1B1DD843" w:rsidR="00EB3843" w:rsidRDefault="00EB3843">
    <w:pPr>
      <w:pStyle w:val="Header"/>
    </w:pPr>
    <w:r>
      <w:rPr>
        <w:noProof/>
      </w:rPr>
      <w:pict w14:anchorId="74F5F7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274765" o:spid="_x0000_s1025" type="#_x0000_t136" style="position:absolute;margin-left:0;margin-top:0;width:586.55pt;height:73.3pt;rotation:315;z-index:-251657216;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1A421D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337267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1E3D"/>
    <w:rsid w:val="000713F0"/>
    <w:rsid w:val="006C0CA2"/>
    <w:rsid w:val="008471DA"/>
    <w:rsid w:val="008C200B"/>
    <w:rsid w:val="0090649C"/>
    <w:rsid w:val="00CA0CF3"/>
    <w:rsid w:val="00D31E3D"/>
    <w:rsid w:val="00EB3843"/>
    <w:rsid w:val="00F2192E"/>
    <w:rsid w:val="00FE512B"/>
  </w:rsids>
  <m:mathPr>
    <m:mathFont m:val="Cambria Math"/>
    <m:brkBin m:val="before"/>
    <m:brkBinSub m:val="--"/>
    <m:smallFrac m:val="0"/>
    <m:dispDef/>
    <m:lMargin m:val="0"/>
    <m:rMargin m:val="0"/>
    <m:defJc m:val="centerGroup"/>
    <m:wrapRight/>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DBB34"/>
  <w15:docId w15:val="{AE5E2665-B7B9-43CE-A352-2C2FCB89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FE512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B3843"/>
    <w:pPr>
      <w:tabs>
        <w:tab w:val="center" w:pos="4513"/>
        <w:tab w:val="right" w:pos="9026"/>
      </w:tabs>
      <w:spacing w:after="0"/>
    </w:pPr>
  </w:style>
  <w:style w:type="character" w:customStyle="1" w:styleId="HeaderChar">
    <w:name w:val="Header Char"/>
    <w:basedOn w:val="DefaultParagraphFont"/>
    <w:link w:val="Header"/>
    <w:rsid w:val="00EB3843"/>
  </w:style>
  <w:style w:type="paragraph" w:styleId="Footer">
    <w:name w:val="footer"/>
    <w:basedOn w:val="Normal"/>
    <w:link w:val="FooterChar"/>
    <w:rsid w:val="00EB3843"/>
    <w:pPr>
      <w:tabs>
        <w:tab w:val="center" w:pos="4513"/>
        <w:tab w:val="right" w:pos="9026"/>
      </w:tabs>
      <w:spacing w:after="0"/>
    </w:pPr>
  </w:style>
  <w:style w:type="character" w:customStyle="1" w:styleId="FooterChar">
    <w:name w:val="Footer Char"/>
    <w:basedOn w:val="DefaultParagraphFont"/>
    <w:link w:val="Footer"/>
    <w:rsid w:val="00EB3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40</Pages>
  <Words>18135</Words>
  <Characters>103375</Characters>
  <Application>Microsoft Office Word</Application>
  <DocSecurity>0</DocSecurity>
  <Lines>861</Lines>
  <Paragraphs>242</Paragraphs>
  <ScaleCrop>false</ScaleCrop>
  <Company>HP</Company>
  <LinksUpToDate>false</LinksUpToDate>
  <CharactersWithSpaces>121268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SDI 1166</cp:lastModifiedBy>
  <cp:revision>5</cp:revision>
  <dcterms:created xsi:type="dcterms:W3CDTF">2026-08-23T13:52:00Z</dcterms:created>
  <dcterms:modified xsi:type="dcterms:W3CDTF">2026-08-24T11:26:00Z</dcterms:modified>
</cp:coreProperties>
</file>