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8647" w14:textId="77777777" w:rsidR="00697D84" w:rsidRPr="00697D84" w:rsidRDefault="00697D84" w:rsidP="00697D84">
      <w:pPr>
        <w:spacing w:before="880" w:after="360"/>
        <w:jc w:val="center"/>
        <w:rPr>
          <w:b/>
          <w:bCs/>
          <w:i/>
          <w:iCs/>
          <w:color w:val="1F4E79"/>
          <w:sz w:val="40"/>
          <w:u w:val="single"/>
        </w:rPr>
      </w:pPr>
      <w:r w:rsidRPr="00697D84">
        <w:rPr>
          <w:b/>
          <w:bCs/>
          <w:i/>
          <w:iCs/>
          <w:color w:val="1F4E79"/>
          <w:sz w:val="40"/>
          <w:u w:val="single"/>
        </w:rPr>
        <w:t>Review Article</w:t>
      </w:r>
    </w:p>
    <w:p w14:paraId="40DAE521" w14:textId="3207F421" w:rsidR="004734E5" w:rsidRDefault="00000000" w:rsidP="00DD10DB">
      <w:pPr>
        <w:spacing w:before="880" w:after="360"/>
        <w:jc w:val="center"/>
      </w:pPr>
      <w:r>
        <w:rPr>
          <w:b/>
          <w:color w:val="1F4E79"/>
          <w:sz w:val="40"/>
        </w:rPr>
        <w:t>Reproductive Adaptation of Cattle to Climate Change</w:t>
      </w:r>
      <w:r w:rsidR="00DD10DB">
        <w:rPr>
          <w:b/>
          <w:color w:val="1F4E79"/>
          <w:sz w:val="40"/>
        </w:rPr>
        <w:t xml:space="preserve">: </w:t>
      </w:r>
      <w:r w:rsidRPr="00DD10DB">
        <w:rPr>
          <w:b/>
          <w:color w:val="1F4E79"/>
          <w:sz w:val="40"/>
        </w:rPr>
        <w:t>Mechanisms, Genetic Capacity and Management Trade-offs</w:t>
      </w:r>
    </w:p>
    <w:p w14:paraId="28950A9E" w14:textId="77777777" w:rsidR="004734E5" w:rsidRDefault="00000000">
      <w:pPr>
        <w:pStyle w:val="Heading1"/>
      </w:pPr>
      <w:r>
        <w:rPr>
          <w:b w:val="0"/>
        </w:rPr>
        <w:t>Abstract</w:t>
      </w:r>
    </w:p>
    <w:p w14:paraId="78C50AE3" w14:textId="77777777" w:rsidR="004734E5" w:rsidRDefault="00000000">
      <w:pPr>
        <w:pStyle w:val="BodyText"/>
      </w:pPr>
      <w:r>
        <w:t>Climate change is increasing the frequency, duration and nocturnal persistence of thermal stress in cattle production systems, while also altering water availability, forage quality, disease pressure and the reliability of seasonal breeding environments. Reproductive adaptation therefore cannot be reduced to heat tolerance alone. It is the capacity of females, males, embryos and production systems to maintain acceptable fertility under changing climatic exposure without creating disproportionate costs in animal welfare, resource use or genetic diversity. This critical narrative review synthesises evidence published from 1 January 1987 to 30 May 2026, identified through live searches of PubMed/MEDLINE, PubMed Central, Crossref-linked scholarly records, open scholarly web indexes, citation chaining and authoritative institutional sources. The evidence indicates that reproductive failure under heat load is generated by interacting systemic, cellular and management pathways. In females, altered neuroendocrine signalling, impaired follicular steroidogenesis, oxidative and mitochondrial injury to oocytes, reduced uterine receptivity and early embryonic loss create both immediate and carry-over effects. In bulls, disrupted scrotal thermoregulation produces delayed deterioration in spermatogenesis, chromatin integrity and fertilising competence that routine semen assessment may underestimate. Genetic variation in thermoregulation and fertility reaction norms is substantial, but selection for thermal resilience is constrained by antagonisms with production, incomplete phenotyping and genotype-by-environment interaction. Cooling, shade, altered breeding calendars, nutritional support, timed breeding and embryo transfer can reduce losses, yet their effectiveness depends on climatic severity, infrastructure, water and energy availability, and the biological stage protected. The strongest adaptation strategy is therefore layered: climate-responsive management should be combined with reproductive technologies, robust phenotyping and breeding goals that protect fertility, longevity and welfare. Evidence remains weakest for long-term reproductive outcomes in beef and extensive systems, male-mediated transmission of heat damage, cross-generational effects, and the economic and environmental performance of integrated adaptation packages.</w:t>
      </w:r>
    </w:p>
    <w:p w14:paraId="3A3FAF36" w14:textId="77777777" w:rsidR="004734E5" w:rsidRDefault="00000000">
      <w:pPr>
        <w:spacing w:before="80" w:after="200"/>
      </w:pPr>
      <w:r>
        <w:rPr>
          <w:b/>
        </w:rPr>
        <w:t xml:space="preserve">Keywords: </w:t>
      </w:r>
      <w:r>
        <w:t>thermal stress; fertility; oocyte competence; embryonic survival; bull semen; thermotolerance; genomic selection; climate-smart livestock</w:t>
      </w:r>
    </w:p>
    <w:p w14:paraId="38317120" w14:textId="77777777" w:rsidR="004734E5" w:rsidRDefault="00000000">
      <w:r>
        <w:br w:type="page"/>
      </w:r>
    </w:p>
    <w:p w14:paraId="5BCDAF8A" w14:textId="77777777" w:rsidR="004734E5" w:rsidRDefault="00000000">
      <w:pPr>
        <w:pStyle w:val="Heading1"/>
      </w:pPr>
      <w:r>
        <w:rPr>
          <w:b w:val="0"/>
        </w:rPr>
        <w:lastRenderedPageBreak/>
        <w:t>1. Introduction</w:t>
      </w:r>
    </w:p>
    <w:p w14:paraId="7CD435F1" w14:textId="77777777" w:rsidR="004734E5" w:rsidRDefault="00000000">
      <w:pPr>
        <w:pStyle w:val="BodyText"/>
      </w:pPr>
      <w:r>
        <w:t>Reproduction is one of the least buffered biological functions in cattle because it is not required for the immediate survival of the individual and is therefore readily downregulated when thermal, nutritional or disease challenges compete for limited physiological resources. Climate change intensifies this vulnerability by increasing mean temperatures, the frequency of heatwaves and the occurrence of hot nights that restrict recovery from daytime heat load. It also acts indirectly through drought, declining forage quality, altered water availability, emerging pathogens and greater variability in the timing of seasonal feed supply. Assessments of climate impacts on livestock consequently identify reproductive performance as a central determinant of system resilience, particularly where calving intervals, replacement rates and genetic progress depend on reliable conception and pregnancy maintenance (Intergovernmental Panel on Climate Change [IPCC], 2022; Shephard &amp; Maloney, 2023).</w:t>
      </w:r>
    </w:p>
    <w:p w14:paraId="74266592" w14:textId="77777777" w:rsidR="004734E5" w:rsidRDefault="00000000">
      <w:pPr>
        <w:pStyle w:val="BodyText"/>
      </w:pPr>
      <w:r>
        <w:t>The dominant literature has used the temperature-humidity index (THI) to relate environmental exposure to physiological and productive responses. THI is useful because it provides a common, inexpensive index, but its reproductive interpretation is less straightforward than its use for milk yield. Fertility can be affected by heat accumulated before oestrus, during follicular growth, around insemination, in the first week of embryonic development, or during late gestation. Wind speed, solar radiation, night-time cooling, coat characteristics, metabolic heat production and access to shade can modify the same nominal THI. A single threshold therefore cannot define reproductive risk across breeds, production systems or physiological stages (Liu et al., 2019; Schüller et al., 2014; Shephard &amp; Maloney, 2023).</w:t>
      </w:r>
    </w:p>
    <w:p w14:paraId="0013782C" w14:textId="77777777" w:rsidR="004734E5" w:rsidRDefault="00000000">
      <w:pPr>
        <w:pStyle w:val="BodyText"/>
      </w:pPr>
      <w:r>
        <w:t>The biological pathways are also distributed across both sexes and across generations. In cows, heat load can suppress behavioural expression of oestrus, alter gonadotrophin and steroid patterns, damage growing follicles, compromise oocyte competence, change the uterine environment and increase early embryonic loss. In bulls, elevated testicular temperature impairs spermatogenesis and sperm chromatin, but the decline in semen quality often appears weeks after the original heat event. Heat exposure during late gestation can additionally affect placental function, calf growth, lactation and future performance of daughters. These time lags create a mismatch between the timing of exposure, detection and intervention, and they explain why apparently adequate cooling during insemination may fail to restore fertility fully (Castro et al., 2026; Hansen, 2019; Ouellet et al., 2021; Rahman et al., 2018).</w:t>
      </w:r>
    </w:p>
    <w:p w14:paraId="05F5D348" w14:textId="77777777" w:rsidR="004734E5" w:rsidRDefault="00000000">
      <w:pPr>
        <w:pStyle w:val="BodyText"/>
      </w:pPr>
      <w:r>
        <w:t>Adaptation is used inconsistently in this field. Acclimation describes reversible phenotypic adjustment within an animal, such as increased sweating, altered respiration and behavioural shade seeking. Genetic adaptation refers to inherited differences in thermal tolerance and reproductive robustness, including breed-level traits and segregating variants such as the SLICK hair locus. Planned adaptation includes housing, cooling, shade, reproductive scheduling, nutritional support, assisted reproduction and breeding programmes. These processes overlap, but they operate over different timescales and can impose different costs. High-producing animals may dissipate heat less effectively because of greater metabolic heat generation, whereas more heat-tolerant genotypes may not match their production under temperate conditions. The relevant outcome is therefore not maximal heat tolerance in isolation, but sustained reproductive efficiency within an economically and ecologically viable production system (Cartwright et al., 2023; Habimana et al., 2023; Ravagnolo et al., 2000).</w:t>
      </w:r>
    </w:p>
    <w:p w14:paraId="42B7137A" w14:textId="77777777" w:rsidR="004734E5" w:rsidRDefault="00000000">
      <w:pPr>
        <w:pStyle w:val="BodyText"/>
      </w:pPr>
      <w:r>
        <w:t xml:space="preserve">Recent reviews have clarified individual components of heat-stress physiology, female fertility, bull semen, genetic selection and nutritional mitigation. Yet much of this literature remains compartmentalised by sex, tissue, production trait or intervention. Reviews focused on dairy cows often treat male fertility as an independent problem, while genetic studies may use milk-yield reaction norms as proxies for thermal resilience without directly measuring reproduction. Management studies </w:t>
      </w:r>
      <w:r>
        <w:lastRenderedPageBreak/>
        <w:t>frequently demonstrate short-term physiological cooling but do not establish whether benefits persist through conception, pregnancy and replacement performance. Conversely, assisted reproductive technologies can bypass sensitive stages without reducing the environmental heat load experienced by the animal. A critical synthesis is therefore needed to connect mechanisms with stage-specific interventions and to evaluate trade-offs between genetic, technological and ecological routes to adaptation (Gupta et al., 2025; Hansen, 2026; Wolfenson &amp; Roth, 2019).</w:t>
      </w:r>
    </w:p>
    <w:p w14:paraId="0472F7CC" w14:textId="77777777" w:rsidR="004734E5" w:rsidRDefault="00000000">
      <w:pPr>
        <w:pStyle w:val="Heading2"/>
      </w:pPr>
      <w:r>
        <w:rPr>
          <w:b w:val="0"/>
        </w:rPr>
        <w:t>1.1 Scope, Research Gap and Objectives</w:t>
      </w:r>
    </w:p>
    <w:p w14:paraId="49991185" w14:textId="77777777" w:rsidR="004734E5" w:rsidRDefault="00000000">
      <w:pPr>
        <w:pStyle w:val="BodyText"/>
      </w:pPr>
      <w:r>
        <w:t>This review examines reproductive adaptation of domestic cattle to climate change across dairy, beef and dual-purpose systems, with heat stress as the principal direct exposure and with associated changes in feed, water and production environments considered where they modify reproductive risk. The scope includes female and male reproductive physiology, embryo and fetal development, genetic and breed-level adaptation, management, reproductive technologies and precision monitoring. It excludes a general treatment of milk production, growth or disease except where these processes materially influence fertility.</w:t>
      </w:r>
    </w:p>
    <w:p w14:paraId="1041EEF1" w14:textId="77777777" w:rsidR="004734E5" w:rsidRDefault="00000000">
      <w:pPr>
        <w:pStyle w:val="BodyText"/>
      </w:pPr>
      <w:r>
        <w:t>The central gap is the absence of an integrated, stage-specific account that distinguishes biological acclimation from inherited thermotolerance and from planned management, while also evaluating the resource and selection trade-offs created by each approach. The objectives are to identify the most defensible mechanisms linking climatic exposure to reproductive outcomes, compare the strength and limitations of evidence across sexes and developmental stages, evaluate genetic and management options as complementary rather than competing strategies, and define research priorities for reproductive resilience under increasingly variable climates.</w:t>
      </w:r>
    </w:p>
    <w:p w14:paraId="4C783BF0" w14:textId="77777777" w:rsidR="004734E5" w:rsidRDefault="00000000">
      <w:pPr>
        <w:pStyle w:val="Heading1"/>
      </w:pPr>
      <w:r>
        <w:rPr>
          <w:b w:val="0"/>
        </w:rPr>
        <w:t>2. Methods for Literature Selection</w:t>
      </w:r>
    </w:p>
    <w:p w14:paraId="3BA03C5B" w14:textId="77777777" w:rsidR="004734E5" w:rsidRDefault="00000000">
      <w:pPr>
        <w:pStyle w:val="Heading2"/>
      </w:pPr>
      <w:r>
        <w:rPr>
          <w:b w:val="0"/>
        </w:rPr>
        <w:t>2.1 Review Design and Rationale</w:t>
      </w:r>
    </w:p>
    <w:p w14:paraId="0D38448E" w14:textId="77777777" w:rsidR="004734E5" w:rsidRDefault="00000000">
      <w:pPr>
        <w:pStyle w:val="BodyText"/>
      </w:pPr>
      <w:r>
        <w:t>A critical narrative review was selected because the question spans experimental physiology, epidemiology, quantitative genetics, animal breeding, reproductive biotechnology and production-system adaptation. These literatures use heterogeneous exposures, outcomes and designs that do not support a single pooled effect estimate. The review nevertheless followed explicit search, eligibility, appraisal and citation-audit procedures. Narrative synthesis was guided by the principles of transparent question framing, reasoned source selection, critical comparison and balanced representation of uncertainty described by Green et al. (2006), and manuscript quality was checked against the SANRA domains for narrative reviews (Baethge et al., 2019).</w:t>
      </w:r>
    </w:p>
    <w:p w14:paraId="42AAB8BA" w14:textId="77777777" w:rsidR="004734E5" w:rsidRDefault="00000000">
      <w:pPr>
        <w:pStyle w:val="Heading2"/>
      </w:pPr>
      <w:r>
        <w:rPr>
          <w:b w:val="0"/>
        </w:rPr>
        <w:t>2.2 Information Sources</w:t>
      </w:r>
    </w:p>
    <w:p w14:paraId="2A7D99CE" w14:textId="77777777" w:rsidR="004734E5" w:rsidRDefault="00000000">
      <w:pPr>
        <w:pStyle w:val="BodyText"/>
      </w:pPr>
      <w:r>
        <w:t>Live searches were conducted in PubMed/MEDLINE and PubMed Central, supplemented by Crossref-linked metadata, open scholarly web indexes and official article landing pages used for bibliographic and DOI verification. Backward and forward citation searching was performed from recent high-quality reviews and influential primary studies. Authoritative institutional evidence was sought from the Intergovernmental Panel on Climate Change and the World Bank for climate-risk and livestock-system context. Subscription databases that were not directly accessible were not represented as searched.</w:t>
      </w:r>
    </w:p>
    <w:p w14:paraId="2F822C55" w14:textId="77777777" w:rsidR="004734E5" w:rsidRDefault="00000000">
      <w:pPr>
        <w:pStyle w:val="Heading2"/>
      </w:pPr>
      <w:r>
        <w:rPr>
          <w:b w:val="0"/>
        </w:rPr>
        <w:t>2.3 Search Strategy and Search Period</w:t>
      </w:r>
    </w:p>
    <w:p w14:paraId="2FEB9112" w14:textId="77777777" w:rsidR="004734E5" w:rsidRDefault="00000000">
      <w:pPr>
        <w:pStyle w:val="BodyText"/>
      </w:pPr>
      <w:r>
        <w:t xml:space="preserve">Searches covered 1 January 1987 to 30 May 2026. The principal concept set combined cattle terms with climate exposure and reproductive outcomes: (cattle OR bovine OR dairy OR beef) AND (climate </w:t>
      </w:r>
      <w:r>
        <w:lastRenderedPageBreak/>
        <w:t>change OR heat stress OR thermal stress OR temperature-humidity index) AND (fertility OR reproduction OR oocyte OR follicle OR embryo OR pregnancy OR semen OR sperm). Adaptation-focused searches added (thermotolerance OR acclimation OR cooling OR shade OR silvopastoral OR nutrition OR genomic selection OR SLICK OR embryo transfer OR oestrus detection). Additional targeted searches paired female, male, embryonic, fetal, genetic and management terms with specific outcomes such as conception, pregnancy loss, semen quality, chromatin integrity, reaction norm and genotype-by-environment interaction. Searches were iteratively refined to capture foundational studies and recent corrective evidence.</w:t>
      </w:r>
    </w:p>
    <w:p w14:paraId="7B29315C" w14:textId="77777777" w:rsidR="004734E5" w:rsidRDefault="00000000">
      <w:pPr>
        <w:pStyle w:val="Heading2"/>
      </w:pPr>
      <w:r>
        <w:rPr>
          <w:b w:val="0"/>
        </w:rPr>
        <w:t>2.4 Eligibility Criteria</w:t>
      </w:r>
    </w:p>
    <w:p w14:paraId="76577DBF" w14:textId="77777777" w:rsidR="004734E5" w:rsidRDefault="00000000">
      <w:pPr>
        <w:pStyle w:val="BodyText"/>
      </w:pPr>
      <w:r>
        <w:t>Eligible sources were English-language peer-reviewed original studies, rigorous reviews and methodological papers directly addressing climate-related reproductive responses or adaptation in cattle. Studies of other ruminants were considered only when they clarified a mechanism not adequately resolved in cattle and were not used as primary evidence for cattle outcomes. Institutional reports were included for climate and implementation context. Evidence was prioritised when exposure was quantified, reproductive outcomes were biologically meaningful, methods and comparators were transparent, and the article could be verified through an authoritative bibliographic source. Conference abstracts, promotional material, unverifiable records, retracted articles and studies lacking sufficient relevance to reproduction were excluded.</w:t>
      </w:r>
    </w:p>
    <w:p w14:paraId="157FF4D0" w14:textId="77777777" w:rsidR="004734E5" w:rsidRDefault="00000000">
      <w:pPr>
        <w:pStyle w:val="Heading2"/>
      </w:pPr>
      <w:r>
        <w:rPr>
          <w:b w:val="0"/>
        </w:rPr>
        <w:t>2.5 Screening, Duplicate Handling and Study Selection</w:t>
      </w:r>
    </w:p>
    <w:p w14:paraId="68DF7CBE" w14:textId="77777777" w:rsidR="004734E5" w:rsidRDefault="00000000">
      <w:pPr>
        <w:pStyle w:val="BodyText"/>
      </w:pPr>
      <w:r>
        <w:t>Titles and abstracts were assessed for relevance to reproductive mechanisms, fertility outcomes or adaptation strategies, followed by full-text or authoritative abstract review where accessible. Duplicate records were identified through DOI, title, authorship, year and PubMed identifier. Where multiple reports described overlapping work, the most complete source was retained and companion reports were used only when they contributed distinct outcomes. Sources whose bibliographic identity or DOI could not be confirmed were excluded. No record counts are reported because the purpose was critical thematic synthesis rather than an exhaustive systematic inventory.</w:t>
      </w:r>
    </w:p>
    <w:p w14:paraId="60C1732B" w14:textId="77777777" w:rsidR="004734E5" w:rsidRDefault="00000000">
      <w:pPr>
        <w:pStyle w:val="Heading2"/>
      </w:pPr>
      <w:r>
        <w:rPr>
          <w:b w:val="0"/>
        </w:rPr>
        <w:t>2.6 Critical Appraisal and Evidence Synthesis</w:t>
      </w:r>
    </w:p>
    <w:p w14:paraId="786C12E8" w14:textId="77777777" w:rsidR="004734E5" w:rsidRDefault="00000000">
      <w:pPr>
        <w:pStyle w:val="BodyText"/>
      </w:pPr>
      <w:r>
        <w:t>Evidence was appraised according to design suitability, exposure measurement, sample size, controls, treatment of feed-intake effects and confounding, biological timing, reproductive end-point validity, statistical adequacy, replication and external validity. Particular weight was given to studies separating direct thermal effects from reduced intake, tracking delayed or carry-over responses, and testing fertility rather than relying solely on surrogate physiological measures. Themes were developed around exposure assessment, female and male vulnerability, genetic capacity, management and reproductive technologies. Conflicting findings were interpreted in relation to breed, production level, climatic context, timing of exposure and methodological limitations rather than resolved by citation frequency alone.</w:t>
      </w:r>
    </w:p>
    <w:p w14:paraId="651E49C3" w14:textId="77777777" w:rsidR="004734E5" w:rsidRDefault="00000000">
      <w:pPr>
        <w:pStyle w:val="Heading1"/>
      </w:pPr>
      <w:r>
        <w:rPr>
          <w:b w:val="0"/>
        </w:rPr>
        <w:t>3. Climate Exposure as a Reproductive Stressor</w:t>
      </w:r>
    </w:p>
    <w:p w14:paraId="5600A4DD" w14:textId="77777777" w:rsidR="004734E5" w:rsidRDefault="00000000">
      <w:pPr>
        <w:pStyle w:val="Heading2"/>
      </w:pPr>
      <w:r>
        <w:rPr>
          <w:b w:val="0"/>
        </w:rPr>
        <w:t>3.1 Heat Load, Acclimation and the Limits of Environmental Indices</w:t>
      </w:r>
    </w:p>
    <w:p w14:paraId="71C1A91E" w14:textId="77777777" w:rsidR="004734E5" w:rsidRDefault="00000000">
      <w:pPr>
        <w:pStyle w:val="BodyText"/>
      </w:pPr>
      <w:r>
        <w:t xml:space="preserve">Cattle maintain core temperature through a hierarchy of behavioural, respiratory, cutaneous and circulatory responses. As ambient temperature and humidity rise, the gradient for sensible heat loss narrows and evaporative cooling becomes progressively more important. Shade seeking, reduced activity, increased standing, higher respiration and peripheral vasodilation can stabilise body temperature for a period, but these responses redirect time and energy away from feeding, rumination </w:t>
      </w:r>
      <w:r>
        <w:lastRenderedPageBreak/>
        <w:t>and reproduction. Once accumulated heat exceeds dissipative capacity, hyperthermia, dehydration, oxidative stress and endocrine redistribution develop. The response is influenced by coat length and colour, sweating capacity, body size, lactation level, health status and previous acclimation, so the same weather event can produce markedly different internal heat loads (Mishra, 2021; Shephard &amp; Maloney, 2023).</w:t>
      </w:r>
    </w:p>
    <w:p w14:paraId="2D81E740" w14:textId="77777777" w:rsidR="004734E5" w:rsidRDefault="00000000">
      <w:pPr>
        <w:pStyle w:val="BodyText"/>
      </w:pPr>
      <w:r>
        <w:t>THI remains the most common exposure metric because temperature and humidity are widely available. Its simplicity has enabled large-scale genetic and epidemiological analyses, yet it omits solar radiation, air movement, ground temperature and night-time recovery. It also assumes that environmental exposure outside the animal is a satisfactory proxy for tissue temperature. That assumption is most problematic for reproduction, where ovarian, uterine and testicular microenvironments may respond differently from rectal temperature, and where damage may result from the duration and sequence of exposure rather than the daily maximum. Reproductive thresholds derived from one region should therefore be treated as context-specific response points, not universal biological constants (Liu et al., 2019; Ravagnolo et al., 2000; Schüller et al., 2014).</w:t>
      </w:r>
    </w:p>
    <w:p w14:paraId="6B9145C2" w14:textId="77777777" w:rsidR="004734E5" w:rsidRDefault="00000000">
      <w:pPr>
        <w:pStyle w:val="BodyText"/>
      </w:pPr>
      <w:r>
        <w:t>Reduced feed intake is a major component of the heat-stress phenotype, but pair-feeding experiments show that it does not explain the whole reproductive response. Heat redistributes blood flow towards the skin, alters glucose and lipid metabolism, activates cellular stress pathways and changes inflammatory and endocrine signalling. These direct effects can reduce follicular competence and embryonic survival even when nutrient intake is controlled. At the herd level, the direct and indirect pathways are difficult to separate because heat also affects lameness, mastitis, body condition and the labour required for oestrus detection. Adaptation must therefore address internal thermal load and the secondary production-system disruptions that amplify reproductive failure (Hansen, 2019; Wolfenson &amp; Roth, 2019).</w:t>
      </w:r>
    </w:p>
    <w:p w14:paraId="3F2E1691" w14:textId="77777777" w:rsidR="004734E5" w:rsidRDefault="00000000">
      <w:pPr>
        <w:pStyle w:val="Heading2"/>
      </w:pPr>
      <w:r>
        <w:rPr>
          <w:b w:val="0"/>
        </w:rPr>
        <w:t>3.2 Heterogeneity by System, Genotype, Sex and Life Stage</w:t>
      </w:r>
    </w:p>
    <w:p w14:paraId="66249283" w14:textId="77777777" w:rsidR="004734E5" w:rsidRDefault="00000000">
      <w:pPr>
        <w:pStyle w:val="BodyText"/>
      </w:pPr>
      <w:r>
        <w:t xml:space="preserve">Dairy cattle receive disproportionate attention because high milk output generates metabolic heat and because insemination and pregnancy outcomes are recorded routinely. Beef and extensive systems can appear less vulnerable, yet animals at pasture are more exposed to solar radiation, walking distance, water constraints and seasonal forage deficits. Their reproductive losses may be detected only as delayed calving, lower weaning rates or failed breeding seasons. In tropical and subtropical systems, locally adapted </w:t>
      </w:r>
      <w:r>
        <w:rPr>
          <w:i/>
        </w:rPr>
        <w:t>Bos indicus</w:t>
      </w:r>
      <w:r>
        <w:t xml:space="preserve"> and composite cattle often show lower physiological heat load than </w:t>
      </w:r>
      <w:r>
        <w:rPr>
          <w:i/>
        </w:rPr>
        <w:t>Bos taurus</w:t>
      </w:r>
      <w:r>
        <w:t xml:space="preserve"> dairy breeds, but resilience varies within breeds and depends on the production target. Crossbreeding can combine thermoregulation with productivity, although it also creates heterogeneous management requirements and complicates genetic evaluation (Baena et al., 2019; McManus et al., 2026).</w:t>
      </w:r>
    </w:p>
    <w:p w14:paraId="2415A3A1" w14:textId="77777777" w:rsidR="004734E5" w:rsidRDefault="00000000">
      <w:pPr>
        <w:pStyle w:val="BodyText"/>
      </w:pPr>
      <w:r>
        <w:t>The exposure window is equally important. A brief heat event around insemination may affect sperm transport and the early embryo, while sustained exposure across several follicular waves can produce a longer seasonal decline. Bulls may remain subfertile after weather conditions improve because damaged germ-cell cohorts take time to appear in the ejaculate. Late-gestation heat can influence the dam, placenta and calf, changing the reproductive trajectory of the next generation.</w:t>
      </w:r>
    </w:p>
    <w:p w14:paraId="6D330A83" w14:textId="77777777" w:rsidR="004734E5" w:rsidRDefault="00000000">
      <w:pPr>
        <w:pStyle w:val="BodyText"/>
      </w:pPr>
      <w:r>
        <w:t xml:space="preserve">Climate change also modifies fertility through pathways that are not captured by thermal indices. Drought can reduce pasture quantity, increase walking distance between feed and water, and concentrate animals around limited resources. Variable rainfall can change the timing of nutritional recovery relative to breeding, while warmer and wetter conditions may alter vector, parasite and pathogen exposure. These indirect effects can intensify negative energy balance, inflammation and pregnancy loss, or they can obscure the attribution of a reproductive decline to heat. A herd that </w:t>
      </w:r>
      <w:r>
        <w:lastRenderedPageBreak/>
        <w:t>maintains body temperature through shade but enters the breeding season in poor condition has not achieved reproductive adaptation. Conversely, improved forage planning can protect fertility even when it does not change THI. Climate-risk assessment should therefore combine meteorological exposure with body condition, feed and water security, disease indicators and reproductive stage (Gerber &amp; Germer, 2024; IPCC, 2022).</w:t>
      </w:r>
    </w:p>
    <w:p w14:paraId="5A27382D" w14:textId="77777777" w:rsidR="004734E5" w:rsidRDefault="00000000">
      <w:pPr>
        <w:pStyle w:val="BodyText"/>
      </w:pPr>
      <w:r>
        <w:t>The distribution of risk within a herd is rarely uniform. Primiparous cows must allocate nutrients to continuing growth, high-yielding mature cows generate more metabolic heat, and older animals may have reduced capacity to recover from disease or heat. Heifers often show lower internal heat production but can still experience oocyte and uterine effects. Bulls, dry cows and replacements may receive less cooling because infrastructure is prioritised for the lactating group, creating hidden reproductive bottlenecks. Table 1 summarises these interacting stressors and shows why adaptation cannot be evaluated through a single climatic index or a single reproductive end point.</w:t>
      </w:r>
    </w:p>
    <w:p w14:paraId="2DA30877" w14:textId="77777777" w:rsidR="004734E5" w:rsidRDefault="00000000">
      <w:pPr>
        <w:pStyle w:val="TableCaption"/>
        <w:keepNext/>
      </w:pPr>
      <w:r>
        <w:rPr>
          <w:b/>
        </w:rPr>
        <w:t xml:space="preserve">Table 1. </w:t>
      </w:r>
      <w:r>
        <w:t>Climate-related stressors, reproductive pathways and interpretive constraints</w:t>
      </w:r>
    </w:p>
    <w:tbl>
      <w:tblPr>
        <w:tblStyle w:val="TableGrid"/>
        <w:tblW w:w="5000" w:type="pct"/>
        <w:jc w:val="center"/>
        <w:tblLook w:val="04A0" w:firstRow="1" w:lastRow="0" w:firstColumn="1" w:lastColumn="0" w:noHBand="0" w:noVBand="1"/>
      </w:tblPr>
      <w:tblGrid>
        <w:gridCol w:w="1741"/>
        <w:gridCol w:w="2120"/>
        <w:gridCol w:w="2021"/>
        <w:gridCol w:w="2132"/>
        <w:gridCol w:w="1882"/>
      </w:tblGrid>
      <w:tr w:rsidR="004734E5" w14:paraId="5316AF20" w14:textId="77777777" w:rsidTr="00DD10DB">
        <w:trPr>
          <w:tblHeader/>
          <w:jc w:val="center"/>
        </w:trPr>
        <w:tc>
          <w:tcPr>
            <w:tcW w:w="880" w:type="pct"/>
            <w:shd w:val="clear" w:color="auto" w:fill="1F4E79"/>
            <w:tcMar>
              <w:top w:w="100" w:type="dxa"/>
              <w:left w:w="95" w:type="dxa"/>
              <w:bottom w:w="100" w:type="dxa"/>
              <w:right w:w="95" w:type="dxa"/>
            </w:tcMar>
            <w:vAlign w:val="center"/>
          </w:tcPr>
          <w:p w14:paraId="62888935" w14:textId="77777777" w:rsidR="004734E5" w:rsidRDefault="00000000">
            <w:pPr>
              <w:spacing w:after="0"/>
              <w:jc w:val="center"/>
            </w:pPr>
            <w:r>
              <w:rPr>
                <w:b/>
                <w:color w:val="FFFFFF"/>
                <w:sz w:val="16"/>
              </w:rPr>
              <w:t>Exposure or system feature</w:t>
            </w:r>
          </w:p>
        </w:tc>
        <w:tc>
          <w:tcPr>
            <w:tcW w:w="1071" w:type="pct"/>
            <w:shd w:val="clear" w:color="auto" w:fill="1F4E79"/>
            <w:tcMar>
              <w:top w:w="100" w:type="dxa"/>
              <w:left w:w="95" w:type="dxa"/>
              <w:bottom w:w="100" w:type="dxa"/>
              <w:right w:w="95" w:type="dxa"/>
            </w:tcMar>
            <w:vAlign w:val="center"/>
          </w:tcPr>
          <w:p w14:paraId="2B049723" w14:textId="77777777" w:rsidR="004734E5" w:rsidRDefault="00000000">
            <w:pPr>
              <w:spacing w:after="0"/>
              <w:jc w:val="center"/>
            </w:pPr>
            <w:r>
              <w:rPr>
                <w:b/>
                <w:color w:val="FFFFFF"/>
                <w:sz w:val="16"/>
              </w:rPr>
              <w:t>Principal reproductive pathway</w:t>
            </w:r>
          </w:p>
        </w:tc>
        <w:tc>
          <w:tcPr>
            <w:tcW w:w="1021" w:type="pct"/>
            <w:shd w:val="clear" w:color="auto" w:fill="1F4E79"/>
            <w:tcMar>
              <w:top w:w="100" w:type="dxa"/>
              <w:left w:w="95" w:type="dxa"/>
              <w:bottom w:w="100" w:type="dxa"/>
              <w:right w:w="95" w:type="dxa"/>
            </w:tcMar>
            <w:vAlign w:val="center"/>
          </w:tcPr>
          <w:p w14:paraId="6A26EE3B" w14:textId="77777777" w:rsidR="004734E5" w:rsidRDefault="00000000">
            <w:pPr>
              <w:spacing w:after="0"/>
              <w:jc w:val="center"/>
            </w:pPr>
            <w:r>
              <w:rPr>
                <w:b/>
                <w:color w:val="FFFFFF"/>
                <w:sz w:val="16"/>
              </w:rPr>
              <w:t>Observable response</w:t>
            </w:r>
          </w:p>
        </w:tc>
        <w:tc>
          <w:tcPr>
            <w:tcW w:w="1077" w:type="pct"/>
            <w:shd w:val="clear" w:color="auto" w:fill="1F4E79"/>
            <w:tcMar>
              <w:top w:w="100" w:type="dxa"/>
              <w:left w:w="95" w:type="dxa"/>
              <w:bottom w:w="100" w:type="dxa"/>
              <w:right w:w="95" w:type="dxa"/>
            </w:tcMar>
            <w:vAlign w:val="center"/>
          </w:tcPr>
          <w:p w14:paraId="728E4970" w14:textId="77777777" w:rsidR="004734E5" w:rsidRDefault="00000000">
            <w:pPr>
              <w:spacing w:after="0"/>
              <w:jc w:val="center"/>
            </w:pPr>
            <w:r>
              <w:rPr>
                <w:b/>
                <w:color w:val="FFFFFF"/>
                <w:sz w:val="16"/>
              </w:rPr>
              <w:t>Critical limitation in interpretation</w:t>
            </w:r>
          </w:p>
        </w:tc>
        <w:tc>
          <w:tcPr>
            <w:tcW w:w="951" w:type="pct"/>
            <w:shd w:val="clear" w:color="auto" w:fill="1F4E79"/>
            <w:tcMar>
              <w:top w:w="100" w:type="dxa"/>
              <w:left w:w="95" w:type="dxa"/>
              <w:bottom w:w="100" w:type="dxa"/>
              <w:right w:w="95" w:type="dxa"/>
            </w:tcMar>
            <w:vAlign w:val="center"/>
          </w:tcPr>
          <w:p w14:paraId="57A43F21" w14:textId="77777777" w:rsidR="004734E5" w:rsidRDefault="00000000">
            <w:pPr>
              <w:spacing w:after="0"/>
              <w:jc w:val="center"/>
            </w:pPr>
            <w:r>
              <w:rPr>
                <w:b/>
                <w:color w:val="FFFFFF"/>
                <w:sz w:val="16"/>
              </w:rPr>
              <w:t>Supporting references</w:t>
            </w:r>
          </w:p>
        </w:tc>
      </w:tr>
      <w:tr w:rsidR="004734E5" w14:paraId="678D5B90" w14:textId="77777777" w:rsidTr="00DD10DB">
        <w:trPr>
          <w:cantSplit/>
          <w:jc w:val="center"/>
        </w:trPr>
        <w:tc>
          <w:tcPr>
            <w:tcW w:w="880" w:type="pct"/>
            <w:tcMar>
              <w:top w:w="100" w:type="dxa"/>
              <w:left w:w="95" w:type="dxa"/>
              <w:bottom w:w="100" w:type="dxa"/>
              <w:right w:w="95" w:type="dxa"/>
            </w:tcMar>
            <w:vAlign w:val="center"/>
          </w:tcPr>
          <w:p w14:paraId="28494C2C" w14:textId="77777777" w:rsidR="004734E5" w:rsidRDefault="00000000">
            <w:pPr>
              <w:spacing w:after="0" w:line="240" w:lineRule="auto"/>
            </w:pPr>
            <w:r>
              <w:rPr>
                <w:sz w:val="16"/>
              </w:rPr>
              <w:t>High daytime temperature and humidity</w:t>
            </w:r>
          </w:p>
        </w:tc>
        <w:tc>
          <w:tcPr>
            <w:tcW w:w="1071" w:type="pct"/>
            <w:tcMar>
              <w:top w:w="100" w:type="dxa"/>
              <w:left w:w="95" w:type="dxa"/>
              <w:bottom w:w="100" w:type="dxa"/>
              <w:right w:w="95" w:type="dxa"/>
            </w:tcMar>
            <w:vAlign w:val="center"/>
          </w:tcPr>
          <w:p w14:paraId="1EFBFCE4" w14:textId="77777777" w:rsidR="004734E5" w:rsidRDefault="00000000">
            <w:pPr>
              <w:spacing w:after="0" w:line="240" w:lineRule="auto"/>
            </w:pPr>
            <w:r>
              <w:rPr>
                <w:sz w:val="16"/>
              </w:rPr>
              <w:t>Impaired sensible and evaporative heat loss; hyperthermia; endocrine and oxidative stress</w:t>
            </w:r>
          </w:p>
        </w:tc>
        <w:tc>
          <w:tcPr>
            <w:tcW w:w="1021" w:type="pct"/>
            <w:tcMar>
              <w:top w:w="100" w:type="dxa"/>
              <w:left w:w="95" w:type="dxa"/>
              <w:bottom w:w="100" w:type="dxa"/>
              <w:right w:w="95" w:type="dxa"/>
            </w:tcMar>
            <w:vAlign w:val="center"/>
          </w:tcPr>
          <w:p w14:paraId="4421868D" w14:textId="77777777" w:rsidR="004734E5" w:rsidRDefault="00000000">
            <w:pPr>
              <w:spacing w:after="0" w:line="240" w:lineRule="auto"/>
            </w:pPr>
            <w:r>
              <w:rPr>
                <w:sz w:val="16"/>
              </w:rPr>
              <w:t>Reduced oestrus expression, conception and embryo survival; poorer semen quality after a lag</w:t>
            </w:r>
          </w:p>
        </w:tc>
        <w:tc>
          <w:tcPr>
            <w:tcW w:w="1077" w:type="pct"/>
            <w:tcMar>
              <w:top w:w="100" w:type="dxa"/>
              <w:left w:w="95" w:type="dxa"/>
              <w:bottom w:w="100" w:type="dxa"/>
              <w:right w:w="95" w:type="dxa"/>
            </w:tcMar>
            <w:vAlign w:val="center"/>
          </w:tcPr>
          <w:p w14:paraId="5533B340" w14:textId="77777777" w:rsidR="004734E5" w:rsidRDefault="00000000">
            <w:pPr>
              <w:spacing w:after="0" w:line="240" w:lineRule="auto"/>
            </w:pPr>
            <w:r>
              <w:rPr>
                <w:sz w:val="16"/>
              </w:rPr>
              <w:t>External THI does not fully represent internal or organ-specific heat load</w:t>
            </w:r>
          </w:p>
        </w:tc>
        <w:tc>
          <w:tcPr>
            <w:tcW w:w="951" w:type="pct"/>
            <w:tcMar>
              <w:top w:w="100" w:type="dxa"/>
              <w:left w:w="95" w:type="dxa"/>
              <w:bottom w:w="100" w:type="dxa"/>
              <w:right w:w="95" w:type="dxa"/>
            </w:tcMar>
            <w:vAlign w:val="center"/>
          </w:tcPr>
          <w:p w14:paraId="3B708AE6" w14:textId="77777777" w:rsidR="004734E5" w:rsidRDefault="00000000">
            <w:pPr>
              <w:spacing w:after="0" w:line="240" w:lineRule="auto"/>
            </w:pPr>
            <w:r>
              <w:rPr>
                <w:sz w:val="16"/>
              </w:rPr>
              <w:t>Liu et al. (2019); Shephard and Maloney (2023); Wolfenson and Roth (2019)</w:t>
            </w:r>
          </w:p>
        </w:tc>
      </w:tr>
      <w:tr w:rsidR="004734E5" w14:paraId="4217ABFE" w14:textId="77777777" w:rsidTr="00DD10DB">
        <w:trPr>
          <w:cantSplit/>
          <w:jc w:val="center"/>
        </w:trPr>
        <w:tc>
          <w:tcPr>
            <w:tcW w:w="880" w:type="pct"/>
            <w:tcMar>
              <w:top w:w="100" w:type="dxa"/>
              <w:left w:w="95" w:type="dxa"/>
              <w:bottom w:w="100" w:type="dxa"/>
              <w:right w:w="95" w:type="dxa"/>
            </w:tcMar>
            <w:vAlign w:val="center"/>
          </w:tcPr>
          <w:p w14:paraId="34FEA47D" w14:textId="77777777" w:rsidR="004734E5" w:rsidRDefault="00000000">
            <w:pPr>
              <w:spacing w:after="0" w:line="240" w:lineRule="auto"/>
            </w:pPr>
            <w:r>
              <w:rPr>
                <w:sz w:val="16"/>
              </w:rPr>
              <w:t>Hot nights and cumulative heat</w:t>
            </w:r>
          </w:p>
        </w:tc>
        <w:tc>
          <w:tcPr>
            <w:tcW w:w="1071" w:type="pct"/>
            <w:tcMar>
              <w:top w:w="100" w:type="dxa"/>
              <w:left w:w="95" w:type="dxa"/>
              <w:bottom w:w="100" w:type="dxa"/>
              <w:right w:w="95" w:type="dxa"/>
            </w:tcMar>
            <w:vAlign w:val="center"/>
          </w:tcPr>
          <w:p w14:paraId="27F92EF2" w14:textId="77777777" w:rsidR="004734E5" w:rsidRDefault="00000000">
            <w:pPr>
              <w:spacing w:after="0" w:line="240" w:lineRule="auto"/>
            </w:pPr>
            <w:r>
              <w:rPr>
                <w:sz w:val="16"/>
              </w:rPr>
              <w:t>Insufficient recovery; sustained elevation of body temperature across sensitive windows</w:t>
            </w:r>
          </w:p>
        </w:tc>
        <w:tc>
          <w:tcPr>
            <w:tcW w:w="1021" w:type="pct"/>
            <w:tcMar>
              <w:top w:w="100" w:type="dxa"/>
              <w:left w:w="95" w:type="dxa"/>
              <w:bottom w:w="100" w:type="dxa"/>
              <w:right w:w="95" w:type="dxa"/>
            </w:tcMar>
            <w:vAlign w:val="center"/>
          </w:tcPr>
          <w:p w14:paraId="1D8AC418" w14:textId="77777777" w:rsidR="004734E5" w:rsidRDefault="00000000">
            <w:pPr>
              <w:spacing w:after="0" w:line="240" w:lineRule="auto"/>
            </w:pPr>
            <w:r>
              <w:rPr>
                <w:sz w:val="16"/>
              </w:rPr>
              <w:t>Carry-over effects across follicular waves, gestation or spermatogenic cycles</w:t>
            </w:r>
          </w:p>
        </w:tc>
        <w:tc>
          <w:tcPr>
            <w:tcW w:w="1077" w:type="pct"/>
            <w:tcMar>
              <w:top w:w="100" w:type="dxa"/>
              <w:left w:w="95" w:type="dxa"/>
              <w:bottom w:w="100" w:type="dxa"/>
              <w:right w:w="95" w:type="dxa"/>
            </w:tcMar>
            <w:vAlign w:val="center"/>
          </w:tcPr>
          <w:p w14:paraId="6F919FD0" w14:textId="77777777" w:rsidR="004734E5" w:rsidRDefault="00000000">
            <w:pPr>
              <w:spacing w:after="0" w:line="240" w:lineRule="auto"/>
            </w:pPr>
            <w:r>
              <w:rPr>
                <w:sz w:val="16"/>
              </w:rPr>
              <w:t>Daily maximum indices can underestimate duration and recovery failure</w:t>
            </w:r>
          </w:p>
        </w:tc>
        <w:tc>
          <w:tcPr>
            <w:tcW w:w="951" w:type="pct"/>
            <w:tcMar>
              <w:top w:w="100" w:type="dxa"/>
              <w:left w:w="95" w:type="dxa"/>
              <w:bottom w:w="100" w:type="dxa"/>
              <w:right w:w="95" w:type="dxa"/>
            </w:tcMar>
            <w:vAlign w:val="center"/>
          </w:tcPr>
          <w:p w14:paraId="40ACD943" w14:textId="77777777" w:rsidR="004734E5" w:rsidRDefault="00000000">
            <w:pPr>
              <w:spacing w:after="0" w:line="240" w:lineRule="auto"/>
            </w:pPr>
            <w:r>
              <w:rPr>
                <w:sz w:val="16"/>
              </w:rPr>
              <w:t>Castro et al. (2026); Hansen (2019); Rahman et al. (2018)</w:t>
            </w:r>
          </w:p>
        </w:tc>
      </w:tr>
      <w:tr w:rsidR="004734E5" w14:paraId="253B628E" w14:textId="77777777" w:rsidTr="00DD10DB">
        <w:trPr>
          <w:cantSplit/>
          <w:jc w:val="center"/>
        </w:trPr>
        <w:tc>
          <w:tcPr>
            <w:tcW w:w="880" w:type="pct"/>
            <w:tcMar>
              <w:top w:w="100" w:type="dxa"/>
              <w:left w:w="95" w:type="dxa"/>
              <w:bottom w:w="100" w:type="dxa"/>
              <w:right w:w="95" w:type="dxa"/>
            </w:tcMar>
            <w:vAlign w:val="center"/>
          </w:tcPr>
          <w:p w14:paraId="212E0225" w14:textId="77777777" w:rsidR="004734E5" w:rsidRDefault="00000000">
            <w:pPr>
              <w:spacing w:after="0" w:line="240" w:lineRule="auto"/>
            </w:pPr>
            <w:r>
              <w:rPr>
                <w:sz w:val="16"/>
              </w:rPr>
              <w:t>Solar radiation and unshaded pasture</w:t>
            </w:r>
          </w:p>
        </w:tc>
        <w:tc>
          <w:tcPr>
            <w:tcW w:w="1071" w:type="pct"/>
            <w:tcMar>
              <w:top w:w="100" w:type="dxa"/>
              <w:left w:w="95" w:type="dxa"/>
              <w:bottom w:w="100" w:type="dxa"/>
              <w:right w:w="95" w:type="dxa"/>
            </w:tcMar>
            <w:vAlign w:val="center"/>
          </w:tcPr>
          <w:p w14:paraId="7D151B3B" w14:textId="77777777" w:rsidR="004734E5" w:rsidRDefault="00000000">
            <w:pPr>
              <w:spacing w:after="0" w:line="240" w:lineRule="auto"/>
            </w:pPr>
            <w:r>
              <w:rPr>
                <w:sz w:val="16"/>
              </w:rPr>
              <w:t>Radiant heat gain; behavioural competition for shade and water</w:t>
            </w:r>
          </w:p>
        </w:tc>
        <w:tc>
          <w:tcPr>
            <w:tcW w:w="1021" w:type="pct"/>
            <w:tcMar>
              <w:top w:w="100" w:type="dxa"/>
              <w:left w:w="95" w:type="dxa"/>
              <w:bottom w:w="100" w:type="dxa"/>
              <w:right w:w="95" w:type="dxa"/>
            </w:tcMar>
            <w:vAlign w:val="center"/>
          </w:tcPr>
          <w:p w14:paraId="2DC2A5D0" w14:textId="77777777" w:rsidR="004734E5" w:rsidRDefault="00000000">
            <w:pPr>
              <w:spacing w:after="0" w:line="240" w:lineRule="auto"/>
            </w:pPr>
            <w:r>
              <w:rPr>
                <w:sz w:val="16"/>
              </w:rPr>
              <w:t>Higher respiration and surface temperature; possible reduced grazing and reproductive activity</w:t>
            </w:r>
          </w:p>
        </w:tc>
        <w:tc>
          <w:tcPr>
            <w:tcW w:w="1077" w:type="pct"/>
            <w:tcMar>
              <w:top w:w="100" w:type="dxa"/>
              <w:left w:w="95" w:type="dxa"/>
              <w:bottom w:w="100" w:type="dxa"/>
              <w:right w:w="95" w:type="dxa"/>
            </w:tcMar>
            <w:vAlign w:val="center"/>
          </w:tcPr>
          <w:p w14:paraId="1F5FEE50" w14:textId="77777777" w:rsidR="004734E5" w:rsidRDefault="00000000">
            <w:pPr>
              <w:spacing w:after="0" w:line="240" w:lineRule="auto"/>
            </w:pPr>
            <w:r>
              <w:rPr>
                <w:sz w:val="16"/>
              </w:rPr>
              <w:t>Physiological cooling does not automatically establish a fertility benefit</w:t>
            </w:r>
          </w:p>
        </w:tc>
        <w:tc>
          <w:tcPr>
            <w:tcW w:w="951" w:type="pct"/>
            <w:tcMar>
              <w:top w:w="100" w:type="dxa"/>
              <w:left w:w="95" w:type="dxa"/>
              <w:bottom w:w="100" w:type="dxa"/>
              <w:right w:w="95" w:type="dxa"/>
            </w:tcMar>
            <w:vAlign w:val="center"/>
          </w:tcPr>
          <w:p w14:paraId="3E462D0F" w14:textId="77777777" w:rsidR="004734E5" w:rsidRDefault="00000000">
            <w:pPr>
              <w:spacing w:after="0" w:line="240" w:lineRule="auto"/>
            </w:pPr>
            <w:r>
              <w:rPr>
                <w:sz w:val="16"/>
              </w:rPr>
              <w:t>McManus et al. (2026); Veissier et al. (2018)</w:t>
            </w:r>
          </w:p>
        </w:tc>
      </w:tr>
      <w:tr w:rsidR="004734E5" w14:paraId="003BC0FC" w14:textId="77777777" w:rsidTr="00DD10DB">
        <w:trPr>
          <w:cantSplit/>
          <w:jc w:val="center"/>
        </w:trPr>
        <w:tc>
          <w:tcPr>
            <w:tcW w:w="880" w:type="pct"/>
            <w:tcMar>
              <w:top w:w="100" w:type="dxa"/>
              <w:left w:w="95" w:type="dxa"/>
              <w:bottom w:w="100" w:type="dxa"/>
              <w:right w:w="95" w:type="dxa"/>
            </w:tcMar>
            <w:vAlign w:val="center"/>
          </w:tcPr>
          <w:p w14:paraId="7240ADB6" w14:textId="77777777" w:rsidR="004734E5" w:rsidRDefault="00000000">
            <w:pPr>
              <w:spacing w:after="0" w:line="240" w:lineRule="auto"/>
            </w:pPr>
            <w:r>
              <w:rPr>
                <w:sz w:val="16"/>
              </w:rPr>
              <w:t>Drought and declining forage quality</w:t>
            </w:r>
          </w:p>
        </w:tc>
        <w:tc>
          <w:tcPr>
            <w:tcW w:w="1071" w:type="pct"/>
            <w:tcMar>
              <w:top w:w="100" w:type="dxa"/>
              <w:left w:w="95" w:type="dxa"/>
              <w:bottom w:w="100" w:type="dxa"/>
              <w:right w:w="95" w:type="dxa"/>
            </w:tcMar>
            <w:vAlign w:val="center"/>
          </w:tcPr>
          <w:p w14:paraId="36550DF0" w14:textId="77777777" w:rsidR="004734E5" w:rsidRDefault="00000000">
            <w:pPr>
              <w:spacing w:after="0" w:line="240" w:lineRule="auto"/>
            </w:pPr>
            <w:r>
              <w:rPr>
                <w:sz w:val="16"/>
              </w:rPr>
              <w:t>Negative energy balance, micronutrient constraints and altered metabolic signals</w:t>
            </w:r>
          </w:p>
        </w:tc>
        <w:tc>
          <w:tcPr>
            <w:tcW w:w="1021" w:type="pct"/>
            <w:tcMar>
              <w:top w:w="100" w:type="dxa"/>
              <w:left w:w="95" w:type="dxa"/>
              <w:bottom w:w="100" w:type="dxa"/>
              <w:right w:w="95" w:type="dxa"/>
            </w:tcMar>
            <w:vAlign w:val="center"/>
          </w:tcPr>
          <w:p w14:paraId="78047C89" w14:textId="77777777" w:rsidR="004734E5" w:rsidRDefault="00000000">
            <w:pPr>
              <w:spacing w:after="0" w:line="240" w:lineRule="auto"/>
            </w:pPr>
            <w:r>
              <w:rPr>
                <w:sz w:val="16"/>
              </w:rPr>
              <w:t>Delayed cyclicity, poorer body condition and reduced pregnancy probability</w:t>
            </w:r>
          </w:p>
        </w:tc>
        <w:tc>
          <w:tcPr>
            <w:tcW w:w="1077" w:type="pct"/>
            <w:tcMar>
              <w:top w:w="100" w:type="dxa"/>
              <w:left w:w="95" w:type="dxa"/>
              <w:bottom w:w="100" w:type="dxa"/>
              <w:right w:w="95" w:type="dxa"/>
            </w:tcMar>
            <w:vAlign w:val="center"/>
          </w:tcPr>
          <w:p w14:paraId="5F2A977E" w14:textId="77777777" w:rsidR="004734E5" w:rsidRDefault="00000000">
            <w:pPr>
              <w:spacing w:after="0" w:line="240" w:lineRule="auto"/>
            </w:pPr>
            <w:r>
              <w:rPr>
                <w:sz w:val="16"/>
              </w:rPr>
              <w:t>Climate, nutrition and management effects are often confounded</w:t>
            </w:r>
          </w:p>
        </w:tc>
        <w:tc>
          <w:tcPr>
            <w:tcW w:w="951" w:type="pct"/>
            <w:tcMar>
              <w:top w:w="100" w:type="dxa"/>
              <w:left w:w="95" w:type="dxa"/>
              <w:bottom w:w="100" w:type="dxa"/>
              <w:right w:w="95" w:type="dxa"/>
            </w:tcMar>
            <w:vAlign w:val="center"/>
          </w:tcPr>
          <w:p w14:paraId="0002A334" w14:textId="77777777" w:rsidR="004734E5" w:rsidRDefault="00000000">
            <w:pPr>
              <w:spacing w:after="0" w:line="240" w:lineRule="auto"/>
            </w:pPr>
            <w:r>
              <w:rPr>
                <w:sz w:val="16"/>
              </w:rPr>
              <w:t>Gerber and Germer (2024); Min et al. (2019)</w:t>
            </w:r>
          </w:p>
        </w:tc>
      </w:tr>
      <w:tr w:rsidR="004734E5" w14:paraId="2CFC65C6" w14:textId="77777777" w:rsidTr="00DD10DB">
        <w:trPr>
          <w:cantSplit/>
          <w:jc w:val="center"/>
        </w:trPr>
        <w:tc>
          <w:tcPr>
            <w:tcW w:w="880" w:type="pct"/>
            <w:tcMar>
              <w:top w:w="100" w:type="dxa"/>
              <w:left w:w="95" w:type="dxa"/>
              <w:bottom w:w="100" w:type="dxa"/>
              <w:right w:w="95" w:type="dxa"/>
            </w:tcMar>
            <w:vAlign w:val="center"/>
          </w:tcPr>
          <w:p w14:paraId="0F6734C8" w14:textId="77777777" w:rsidR="004734E5" w:rsidRDefault="00000000">
            <w:pPr>
              <w:spacing w:after="0" w:line="240" w:lineRule="auto"/>
            </w:pPr>
            <w:r>
              <w:rPr>
                <w:sz w:val="16"/>
              </w:rPr>
              <w:t>High-producing dairy genotype</w:t>
            </w:r>
          </w:p>
        </w:tc>
        <w:tc>
          <w:tcPr>
            <w:tcW w:w="1071" w:type="pct"/>
            <w:tcMar>
              <w:top w:w="100" w:type="dxa"/>
              <w:left w:w="95" w:type="dxa"/>
              <w:bottom w:w="100" w:type="dxa"/>
              <w:right w:w="95" w:type="dxa"/>
            </w:tcMar>
            <w:vAlign w:val="center"/>
          </w:tcPr>
          <w:p w14:paraId="05608492" w14:textId="77777777" w:rsidR="004734E5" w:rsidRDefault="00000000">
            <w:pPr>
              <w:spacing w:after="0" w:line="240" w:lineRule="auto"/>
            </w:pPr>
            <w:r>
              <w:rPr>
                <w:sz w:val="16"/>
              </w:rPr>
              <w:t>Greater metabolic heat production and narrower thermal margin</w:t>
            </w:r>
          </w:p>
        </w:tc>
        <w:tc>
          <w:tcPr>
            <w:tcW w:w="1021" w:type="pct"/>
            <w:tcMar>
              <w:top w:w="100" w:type="dxa"/>
              <w:left w:w="95" w:type="dxa"/>
              <w:bottom w:w="100" w:type="dxa"/>
              <w:right w:w="95" w:type="dxa"/>
            </w:tcMar>
            <w:vAlign w:val="center"/>
          </w:tcPr>
          <w:p w14:paraId="62CA885D" w14:textId="77777777" w:rsidR="004734E5" w:rsidRDefault="00000000">
            <w:pPr>
              <w:spacing w:after="0" w:line="240" w:lineRule="auto"/>
            </w:pPr>
            <w:r>
              <w:rPr>
                <w:sz w:val="16"/>
              </w:rPr>
              <w:t>Earlier decline in performance and fertility as heat load rises</w:t>
            </w:r>
          </w:p>
        </w:tc>
        <w:tc>
          <w:tcPr>
            <w:tcW w:w="1077" w:type="pct"/>
            <w:tcMar>
              <w:top w:w="100" w:type="dxa"/>
              <w:left w:w="95" w:type="dxa"/>
              <w:bottom w:w="100" w:type="dxa"/>
              <w:right w:w="95" w:type="dxa"/>
            </w:tcMar>
            <w:vAlign w:val="center"/>
          </w:tcPr>
          <w:p w14:paraId="0EDE41E3" w14:textId="77777777" w:rsidR="004734E5" w:rsidRDefault="00000000">
            <w:pPr>
              <w:spacing w:after="0" w:line="240" w:lineRule="auto"/>
            </w:pPr>
            <w:r>
              <w:rPr>
                <w:sz w:val="16"/>
              </w:rPr>
              <w:t>Production level, parity and health can confound genotype comparisons</w:t>
            </w:r>
          </w:p>
        </w:tc>
        <w:tc>
          <w:tcPr>
            <w:tcW w:w="951" w:type="pct"/>
            <w:tcMar>
              <w:top w:w="100" w:type="dxa"/>
              <w:left w:w="95" w:type="dxa"/>
              <w:bottom w:w="100" w:type="dxa"/>
              <w:right w:w="95" w:type="dxa"/>
            </w:tcMar>
            <w:vAlign w:val="center"/>
          </w:tcPr>
          <w:p w14:paraId="7F925CBB" w14:textId="77777777" w:rsidR="004734E5" w:rsidRDefault="00000000">
            <w:pPr>
              <w:spacing w:after="0" w:line="240" w:lineRule="auto"/>
            </w:pPr>
            <w:r>
              <w:rPr>
                <w:sz w:val="16"/>
              </w:rPr>
              <w:t>Cartwright et al. (2023); Ravagnolo et al. (2000)</w:t>
            </w:r>
          </w:p>
        </w:tc>
      </w:tr>
      <w:tr w:rsidR="004734E5" w14:paraId="19D249FE" w14:textId="77777777" w:rsidTr="00DD10DB">
        <w:trPr>
          <w:cantSplit/>
          <w:jc w:val="center"/>
        </w:trPr>
        <w:tc>
          <w:tcPr>
            <w:tcW w:w="880" w:type="pct"/>
            <w:tcMar>
              <w:top w:w="100" w:type="dxa"/>
              <w:left w:w="95" w:type="dxa"/>
              <w:bottom w:w="100" w:type="dxa"/>
              <w:right w:w="95" w:type="dxa"/>
            </w:tcMar>
            <w:vAlign w:val="center"/>
          </w:tcPr>
          <w:p w14:paraId="69D92FE0" w14:textId="77777777" w:rsidR="004734E5" w:rsidRDefault="00000000">
            <w:pPr>
              <w:spacing w:after="0" w:line="240" w:lineRule="auto"/>
            </w:pPr>
            <w:r>
              <w:rPr>
                <w:sz w:val="16"/>
              </w:rPr>
              <w:t>Adapted breed or thermotolerant allele</w:t>
            </w:r>
          </w:p>
        </w:tc>
        <w:tc>
          <w:tcPr>
            <w:tcW w:w="1071" w:type="pct"/>
            <w:tcMar>
              <w:top w:w="100" w:type="dxa"/>
              <w:left w:w="95" w:type="dxa"/>
              <w:bottom w:w="100" w:type="dxa"/>
              <w:right w:w="95" w:type="dxa"/>
            </w:tcMar>
            <w:vAlign w:val="center"/>
          </w:tcPr>
          <w:p w14:paraId="4C0E8123" w14:textId="77777777" w:rsidR="004734E5" w:rsidRDefault="00000000">
            <w:pPr>
              <w:spacing w:after="0" w:line="240" w:lineRule="auto"/>
            </w:pPr>
            <w:r>
              <w:rPr>
                <w:sz w:val="16"/>
              </w:rPr>
              <w:t>Improved sweating, coat characteristics or lower physiological heat load</w:t>
            </w:r>
          </w:p>
        </w:tc>
        <w:tc>
          <w:tcPr>
            <w:tcW w:w="1021" w:type="pct"/>
            <w:tcMar>
              <w:top w:w="100" w:type="dxa"/>
              <w:left w:w="95" w:type="dxa"/>
              <w:bottom w:w="100" w:type="dxa"/>
              <w:right w:w="95" w:type="dxa"/>
            </w:tcMar>
            <w:vAlign w:val="center"/>
          </w:tcPr>
          <w:p w14:paraId="637CF09B" w14:textId="77777777" w:rsidR="004734E5" w:rsidRDefault="00000000">
            <w:pPr>
              <w:spacing w:after="0" w:line="240" w:lineRule="auto"/>
            </w:pPr>
            <w:r>
              <w:rPr>
                <w:sz w:val="16"/>
              </w:rPr>
              <w:t>Better maintenance of thermal status and potentially fertility</w:t>
            </w:r>
          </w:p>
        </w:tc>
        <w:tc>
          <w:tcPr>
            <w:tcW w:w="1077" w:type="pct"/>
            <w:tcMar>
              <w:top w:w="100" w:type="dxa"/>
              <w:left w:w="95" w:type="dxa"/>
              <w:bottom w:w="100" w:type="dxa"/>
              <w:right w:w="95" w:type="dxa"/>
            </w:tcMar>
            <w:vAlign w:val="center"/>
          </w:tcPr>
          <w:p w14:paraId="4B2762CB" w14:textId="77777777" w:rsidR="004734E5" w:rsidRDefault="00000000">
            <w:pPr>
              <w:spacing w:after="0" w:line="240" w:lineRule="auto"/>
            </w:pPr>
            <w:r>
              <w:rPr>
                <w:sz w:val="16"/>
              </w:rPr>
              <w:t>Benefits may vary across environments and may involve production trade-offs</w:t>
            </w:r>
          </w:p>
        </w:tc>
        <w:tc>
          <w:tcPr>
            <w:tcW w:w="951" w:type="pct"/>
            <w:tcMar>
              <w:top w:w="100" w:type="dxa"/>
              <w:left w:w="95" w:type="dxa"/>
              <w:bottom w:w="100" w:type="dxa"/>
              <w:right w:w="95" w:type="dxa"/>
            </w:tcMar>
            <w:vAlign w:val="center"/>
          </w:tcPr>
          <w:p w14:paraId="4105E295" w14:textId="77777777" w:rsidR="004734E5" w:rsidRDefault="00000000">
            <w:pPr>
              <w:spacing w:after="0" w:line="240" w:lineRule="auto"/>
            </w:pPr>
            <w:r>
              <w:rPr>
                <w:sz w:val="16"/>
              </w:rPr>
              <w:t>Dikmen et al. (2014); Landaeta-Hernández et al. (2021); Oloo et al. (2024)</w:t>
            </w:r>
          </w:p>
        </w:tc>
      </w:tr>
    </w:tbl>
    <w:p w14:paraId="336D6346"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068651A5" w14:textId="77777777" w:rsidR="004734E5" w:rsidRDefault="00000000">
      <w:pPr>
        <w:pStyle w:val="Heading1"/>
      </w:pPr>
      <w:r>
        <w:rPr>
          <w:b w:val="0"/>
        </w:rPr>
        <w:t>4. Female Reproductive Adaptation</w:t>
      </w:r>
    </w:p>
    <w:p w14:paraId="69F6D8EB" w14:textId="77777777" w:rsidR="004734E5" w:rsidRDefault="00000000">
      <w:pPr>
        <w:pStyle w:val="Heading2"/>
      </w:pPr>
      <w:r>
        <w:rPr>
          <w:b w:val="0"/>
        </w:rPr>
        <w:t>4.1 Neuroendocrine Regulation, Oestrus and Ovulation</w:t>
      </w:r>
    </w:p>
    <w:p w14:paraId="3DEC8F21" w14:textId="77777777" w:rsidR="004734E5" w:rsidRDefault="00000000">
      <w:pPr>
        <w:pStyle w:val="BodyText"/>
      </w:pPr>
      <w:r>
        <w:t xml:space="preserve">Female fertility is influenced before conception through changes in the hypothalamic-pituitary-ovarian axis and through the behavioural detectability of oestrus. Heat-stressed cows often reduce locomotion and mounting activity, while greater standing and altered feeding can obscure behavioural signals used by visual or activity-based detection. Endocrine findings are less uniform. Changes in luteinising hormone pulse patterns, oestradiol production and progesterone have been reported, but </w:t>
      </w:r>
      <w:r>
        <w:lastRenderedPageBreak/>
        <w:t>their magnitude depends on whether cows are acutely or chronically exposed, whether feed intake is controlled and whether animals are sampled at comparable stages of the cycle. The most defensible conclusion is not that one hormone is consistently suppressed, but that thermal and metabolic stress destabilise the timing and coordination required for ovulation, fertilisation and luteal support (De Rensis et al., 2015; Wolfenson et al., 2000).</w:t>
      </w:r>
    </w:p>
    <w:p w14:paraId="373BC413" w14:textId="77777777" w:rsidR="004734E5" w:rsidRDefault="00000000">
      <w:pPr>
        <w:pStyle w:val="BodyText"/>
      </w:pPr>
      <w:r>
        <w:t>The practical consequence is a dual failure of biology and detection. Even when ovulation occurs, shorter or weaker oestrus can reduce insemination efficiency. Timed artificial insemination can remove reliance on behavioural detection, but it cannot reverse damaged oocytes, uterine changes or hyperthermia around conception. Automated systems improve observation frequency and can identify deviations from individual baselines, yet validation under heat stress is essential because panting, reduced walking and altered rumination may change sensor signatures independently of oestrus. Technologies trained in temperate herds may therefore misclassify heat-related behaviour in tropical or pasture systems (Mayo et al., 2019; Sankarganesh et al., 2026).</w:t>
      </w:r>
    </w:p>
    <w:p w14:paraId="0ADDD3A3" w14:textId="77777777" w:rsidR="004734E5" w:rsidRDefault="00000000">
      <w:pPr>
        <w:pStyle w:val="BodyText"/>
      </w:pPr>
      <w:r>
        <w:t>Progesterone deserves particular caution because both low and atypical concentrations have been associated with summer infertility, but the causal direction is not always clear. Heat can impair corpus-luteum function, while poor follicular development can produce a weaker luteal structure after ovulation. Reduced intake and hepatic blood flow can also alter hormone clearance. A single progesterone measurement therefore cannot distinguish ovarian failure from altered metabolism or an embryo that has already failed. Serial profiles tied to ovulation and pregnancy diagnosis provide stronger inference. This illustrates a broader methodological problem: endocrine markers are often treated as outcomes when they may be mediators, consequences or merely correlates of the reproductive event being studied (De Rensis et al., 2015; Wolfenson &amp; Roth, 2019).</w:t>
      </w:r>
    </w:p>
    <w:p w14:paraId="7B0CD9AC" w14:textId="77777777" w:rsidR="004734E5" w:rsidRDefault="00000000">
      <w:pPr>
        <w:pStyle w:val="Heading2"/>
      </w:pPr>
      <w:r>
        <w:rPr>
          <w:b w:val="0"/>
        </w:rPr>
        <w:t>4.2 Follicular Development and Oocyte Competence</w:t>
      </w:r>
    </w:p>
    <w:p w14:paraId="370783EF" w14:textId="77777777" w:rsidR="004734E5" w:rsidRDefault="00000000">
      <w:pPr>
        <w:pStyle w:val="BodyText"/>
      </w:pPr>
      <w:r>
        <w:t>The ovarian follicle is a central site of delayed reproductive injury. Follicular development extends over weeks, so heat exposure can affect granulosa and theca-cell function, steroidogenesis, blood flow and the biochemical environment in which the oocyte completes growth. Studies of seasonal heat stress and controlled challenge indicate that oocytes recovered after exposure can show reduced developmental competence even when fertilisation and culture occur under controlled laboratory conditions. This carry-over effect explains why fertility may remain depressed after weather improves and why cooling only at insemination can be too late (Roth, 2008, 2017).</w:t>
      </w:r>
    </w:p>
    <w:p w14:paraId="365D49C2" w14:textId="77777777" w:rsidR="004734E5" w:rsidRDefault="00000000">
      <w:pPr>
        <w:pStyle w:val="BodyText"/>
      </w:pPr>
      <w:r>
        <w:t>At the cellular level, heat stress increases reactive oxygen species, disrupts mitochondrial function, impairs cytoskeletal organisation and can induce endoplasmic-reticulum stress. The oocyte is especially vulnerable because it relies on maternally stored transcripts and organelles to support early development before embryonic genome activation. In vitro models consistently demonstrate thermal sensitivity, but the severity of laboratory heat shocks can exceed or simplify field exposure. Their value lies in identifying mechanisms and stage differences, not in providing direct estimates of herd-level loss (Held-Hoelker et al., 2025; Paes et al., 2016; Sakatani, 2017).</w:t>
      </w:r>
    </w:p>
    <w:p w14:paraId="33E35A77" w14:textId="77777777" w:rsidR="004734E5" w:rsidRDefault="00000000">
      <w:pPr>
        <w:pStyle w:val="BodyText"/>
      </w:pPr>
      <w:r>
        <w:t>Recent controlled work has strengthened the link between whole-animal heat challenge and ovarian outcomes. Kanzawa et al. (2026) reported changes in oocyte yield and quality and impaired early cleavage following a controlled heat challenge, while separating some intake-related effects through pair feeding. The small experimental sample and artificial heat-blanket model limit generalisability, but the design demonstrates that ovarian and embryo-production responses are not merely correlations with hot seasons. The wider literature nevertheless remains heterogeneous because studies differ in follicle aspiration schedules, oocyte grading, thermal dose and whether cows are lactating, non-lactating or heifers.</w:t>
      </w:r>
    </w:p>
    <w:p w14:paraId="3412498B" w14:textId="77777777" w:rsidR="004734E5" w:rsidRDefault="00000000">
      <w:pPr>
        <w:pStyle w:val="BodyText"/>
      </w:pPr>
      <w:r>
        <w:lastRenderedPageBreak/>
        <w:t>Follicular damage also creates a problem for evaluating recovery. A cow may return to normothermia within hours, while the follicle destined to ovulate days later has already experienced altered growth. Seasonal studies can consequently attribute poor competence to current weather even when the causal exposure occurred in a preceding follicular wave. Experimental studies can define timing more precisely, but repeated aspiration and synchronisation protocols may themselves alter follicular dynamics. Future work should model thermal history over biologically meaningful intervals and should report both the number and developmental competence of recovered oocytes. Yield alone may increase after altered follicle recruitment while embryo output falls, leading to an erroneous impression of ovarian resilience (Castro et al., 2026; Roth, 2017).</w:t>
      </w:r>
    </w:p>
    <w:p w14:paraId="3C9C29D2" w14:textId="77777777" w:rsidR="004734E5" w:rsidRDefault="00000000">
      <w:pPr>
        <w:pStyle w:val="Heading2"/>
      </w:pPr>
      <w:r>
        <w:rPr>
          <w:b w:val="0"/>
        </w:rPr>
        <w:t>4.3 Embryonic Survival, Uterine Function and Pregnancy Establishment</w:t>
      </w:r>
    </w:p>
    <w:p w14:paraId="4DFD2C56" w14:textId="77777777" w:rsidR="004734E5" w:rsidRDefault="00000000">
      <w:pPr>
        <w:pStyle w:val="BodyText"/>
      </w:pPr>
      <w:r>
        <w:t>The early embryo is highly sensitive to elevated temperature before it develops stronger cellular defences. Classic in vivo work showed that bovine embryos acquire greater resistance as development proceeds, supporting the use of embryo transfer to bypass the most vulnerable preimplantation stages (Ealy et al., 1993). In vitro studies identify oxidative stress, apoptosis, mitochondrial dysfunction and impaired developmental progression as recurrent mechanisms. Heat shock can also alter interferon-tau expression, a signal required for maternal recognition of pregnancy, although the direction and biological significance of this response depend on developmental stage and experimental conditions (Hickman et al., 2013; Sakatani et al., 2004).</w:t>
      </w:r>
    </w:p>
    <w:p w14:paraId="049AD149" w14:textId="77777777" w:rsidR="004734E5" w:rsidRDefault="00000000">
      <w:pPr>
        <w:pStyle w:val="BodyText"/>
      </w:pPr>
      <w:r>
        <w:t>The maternal environment remains important even when a competent embryo is transferred. Heat can alter endometrial function, uterine blood flow and the endocrine support of pregnancy. Kawano et al. (2022) linked summer heat exposure with changes in the endometrial epidermal growth factor profile and fertility, suggesting that uterine receptivity is a distinct target rather than a passive background to embryo damage. Field studies also show that conception depends on heat during multiple periods before and after breeding, not solely on the day of insemination (Morton et al., 2007; Schüller et al., 2014).</w:t>
      </w:r>
    </w:p>
    <w:p w14:paraId="425BA287" w14:textId="77777777" w:rsidR="004734E5" w:rsidRDefault="00000000">
      <w:pPr>
        <w:pStyle w:val="BodyText"/>
      </w:pPr>
      <w:r>
        <w:t>Pregnancy-associated glycoproteins and progesterone measurements provide evidence that early losses contribute to seasonal infertility, but estimates vary because pregnancy is diagnosed at different times and because fertilisation failure cannot always be distinguished from embryonic mortality. Nanas et al. (2021) observed altered early pregnancy outcomes during summer heat stress, while phenotypically thermotolerant cows in related work showed differences in physiological response without complete protection of fertility (Nanas et al., 2020). These findings caution against defining a cow as adapted solely from rectal temperature or respiration rate. True reproductive resilience requires maintenance of conception and pregnancy, not only lower acute heat load.</w:t>
      </w:r>
    </w:p>
    <w:p w14:paraId="5076FA0C" w14:textId="77777777" w:rsidR="004734E5" w:rsidRDefault="00000000">
      <w:pPr>
        <w:pStyle w:val="BodyText"/>
      </w:pPr>
      <w:r>
        <w:t>The timing of exposure around the oestrous cycle further complicates causal attribution. Heat during the periovulatory period can affect the final maturation of the oocyte and the oviductal environment, while exposure in the preceding weeks can damage the follicle from which that oocyte emerged. Abdel Aziz et al. (2022) demonstrated that heat during critical cycle windows was associated with pregnancy establishment in embryo-recipient heifers. The embryo-recipient design helps isolate maternal effects, but local climate, management and small cohorts constrain transportability. Across studies, the consistent message is that adaptation must protect a sequence of reproductive windows rather than a single breeding event.</w:t>
      </w:r>
    </w:p>
    <w:p w14:paraId="7F637280" w14:textId="77777777" w:rsidR="004734E5" w:rsidRDefault="00000000">
      <w:pPr>
        <w:pStyle w:val="BodyText"/>
      </w:pPr>
      <w:r>
        <w:t xml:space="preserve">Pregnancy diagnosis strategy can materially change the apparent effect size. A study diagnosing pregnancy once at 40 or 60 days combines failure of fertilisation, early embryonic death and later loss into one outcome. Repeated ultrasonography and biochemical markers can separate some stages, but the assays have their own variability and can be influenced by conceptus size or placental function. </w:t>
      </w:r>
      <w:r>
        <w:lastRenderedPageBreak/>
        <w:t>Studies should therefore report the denominator at each stage, the timing of heat exposure and the interval from breeding to loss. This is especially important when comparing artificial insemination with embryo transfer, because the technologies begin with different probabilities of fertilisation and early development (Hansen, 2019; Nanas et al., 2021).</w:t>
      </w:r>
    </w:p>
    <w:p w14:paraId="252C9808" w14:textId="77777777" w:rsidR="004734E5" w:rsidRDefault="00000000">
      <w:pPr>
        <w:pStyle w:val="Heading2"/>
      </w:pPr>
      <w:r>
        <w:rPr>
          <w:b w:val="0"/>
        </w:rPr>
        <w:t>4.4 Late Gestation and Intergenerational Consequences</w:t>
      </w:r>
    </w:p>
    <w:p w14:paraId="3AD12460" w14:textId="77777777" w:rsidR="004734E5" w:rsidRDefault="00000000">
      <w:pPr>
        <w:pStyle w:val="BodyText"/>
      </w:pPr>
      <w:r>
        <w:t>Heat stress during late gestation has effects that extend beyond the current pregnancy. Dry cows exposed to heat can show altered placental development, shorter gestation, lower calf birth weight and reduced performance in the subsequent lactation. Daughters exposed in utero may also display altered survival, growth and future productivity, indicating that maternal thermal environment can influence herd replacement efficiency. The evidence is strongest in intensively managed dairy cattle from subtropical environments, where cooling interventions can be contrasted with persistent heat exposure (Ouellet et al., 2020, 2021).</w:t>
      </w:r>
    </w:p>
    <w:p w14:paraId="046D5CEE" w14:textId="77777777" w:rsidR="004734E5" w:rsidRDefault="00000000">
      <w:pPr>
        <w:pStyle w:val="BodyText"/>
      </w:pPr>
      <w:r>
        <w:t>These studies broaden the definition of reproductive adaptation. A strategy that maintains pregnancy but produces compromised replacements is not fully adaptive. Conversely, dry-period cooling may yield benefits after calving that are missed when trials end at parturition. Rodríguez-Godina et al. (2024) linked dry-period heat stress with subsequent reproductive and production outcomes, although field designs remain susceptible to seasonal confounding. Longitudinal studies following female and male offspring to breeding age are uncommon, and molecular evidence of epigenetic programming should not be interpreted as proof of transgenerational inheritance. At present, intergenerational effects are plausible and increasingly supported, whereas stable effects beyond directly exposed generations remain uncertain.</w:t>
      </w:r>
    </w:p>
    <w:p w14:paraId="7292D912" w14:textId="77777777" w:rsidR="004734E5" w:rsidRDefault="00000000">
      <w:pPr>
        <w:pStyle w:val="BodyText"/>
      </w:pPr>
      <w:r>
        <w:t>Late gestation also exposes a management asymmetry. Dry cows are commonly housed separately from the high-producing group and may receive less ventilation or sprinkling because they are not generating saleable milk. This allocation can be economically short-sighted when placental function, calf viability and the next lactation are considered. Reproductive adaptation plans should map cooling and shade across all animal classes, including close-up cows and replacements, and should evaluate the marginal value of protecting each class over more than one production cycle (Ouellet et al., 2020).</w:t>
      </w:r>
    </w:p>
    <w:p w14:paraId="069E73BD" w14:textId="77777777" w:rsidR="004734E5" w:rsidRDefault="00000000">
      <w:pPr>
        <w:pStyle w:val="BodyText"/>
      </w:pPr>
      <w:r>
        <w:t>Table 2 integrates stage-specific female vulnerabilities with the adaptation leverage available at each point. It illustrates that interventions become less substitutable as the reproductive process advances: timed insemination can address detection, but only cooling, resilient genetics or assisted reproduction can reduce damage already present in gametes and embryos.</w:t>
      </w:r>
    </w:p>
    <w:p w14:paraId="07CAD83B" w14:textId="77777777" w:rsidR="004734E5" w:rsidRDefault="00000000">
      <w:pPr>
        <w:pStyle w:val="TableCaption"/>
        <w:keepNext/>
      </w:pPr>
      <w:r>
        <w:rPr>
          <w:b/>
        </w:rPr>
        <w:t xml:space="preserve">Table 2. </w:t>
      </w:r>
      <w:r>
        <w:t>Stage-specific female reproductive vulnerability and adaptation leverage</w:t>
      </w:r>
    </w:p>
    <w:tbl>
      <w:tblPr>
        <w:tblStyle w:val="TableGrid"/>
        <w:tblW w:w="5000" w:type="pct"/>
        <w:jc w:val="center"/>
        <w:tblLook w:val="04A0" w:firstRow="1" w:lastRow="0" w:firstColumn="1" w:lastColumn="0" w:noHBand="0" w:noVBand="1"/>
      </w:tblPr>
      <w:tblGrid>
        <w:gridCol w:w="1463"/>
        <w:gridCol w:w="2258"/>
        <w:gridCol w:w="1993"/>
        <w:gridCol w:w="2300"/>
        <w:gridCol w:w="1882"/>
      </w:tblGrid>
      <w:tr w:rsidR="004734E5" w14:paraId="547B9786" w14:textId="77777777" w:rsidTr="00DD10DB">
        <w:trPr>
          <w:tblHeader/>
          <w:jc w:val="center"/>
        </w:trPr>
        <w:tc>
          <w:tcPr>
            <w:tcW w:w="739" w:type="pct"/>
            <w:shd w:val="clear" w:color="auto" w:fill="1F4E79"/>
            <w:tcMar>
              <w:top w:w="100" w:type="dxa"/>
              <w:left w:w="95" w:type="dxa"/>
              <w:bottom w:w="100" w:type="dxa"/>
              <w:right w:w="95" w:type="dxa"/>
            </w:tcMar>
            <w:vAlign w:val="center"/>
          </w:tcPr>
          <w:p w14:paraId="0BD5F640" w14:textId="77777777" w:rsidR="004734E5" w:rsidRDefault="00000000">
            <w:pPr>
              <w:spacing w:after="0"/>
              <w:jc w:val="center"/>
            </w:pPr>
            <w:r>
              <w:rPr>
                <w:b/>
                <w:color w:val="FFFFFF"/>
                <w:sz w:val="16"/>
              </w:rPr>
              <w:t>Female stage</w:t>
            </w:r>
          </w:p>
        </w:tc>
        <w:tc>
          <w:tcPr>
            <w:tcW w:w="1141" w:type="pct"/>
            <w:shd w:val="clear" w:color="auto" w:fill="1F4E79"/>
            <w:tcMar>
              <w:top w:w="100" w:type="dxa"/>
              <w:left w:w="95" w:type="dxa"/>
              <w:bottom w:w="100" w:type="dxa"/>
              <w:right w:w="95" w:type="dxa"/>
            </w:tcMar>
            <w:vAlign w:val="center"/>
          </w:tcPr>
          <w:p w14:paraId="2A54AC2D" w14:textId="77777777" w:rsidR="004734E5" w:rsidRDefault="00000000">
            <w:pPr>
              <w:spacing w:after="0"/>
              <w:jc w:val="center"/>
            </w:pPr>
            <w:r>
              <w:rPr>
                <w:b/>
                <w:color w:val="FFFFFF"/>
                <w:sz w:val="16"/>
              </w:rPr>
              <w:t>Main heat-sensitive processes</w:t>
            </w:r>
          </w:p>
        </w:tc>
        <w:tc>
          <w:tcPr>
            <w:tcW w:w="1007" w:type="pct"/>
            <w:shd w:val="clear" w:color="auto" w:fill="1F4E79"/>
            <w:tcMar>
              <w:top w:w="100" w:type="dxa"/>
              <w:left w:w="95" w:type="dxa"/>
              <w:bottom w:w="100" w:type="dxa"/>
              <w:right w:w="95" w:type="dxa"/>
            </w:tcMar>
            <w:vAlign w:val="center"/>
          </w:tcPr>
          <w:p w14:paraId="0D5DF34C" w14:textId="77777777" w:rsidR="004734E5" w:rsidRDefault="00000000">
            <w:pPr>
              <w:spacing w:after="0"/>
              <w:jc w:val="center"/>
            </w:pPr>
            <w:r>
              <w:rPr>
                <w:b/>
                <w:color w:val="FFFFFF"/>
                <w:sz w:val="16"/>
              </w:rPr>
              <w:t>Likely reproductive consequence</w:t>
            </w:r>
          </w:p>
        </w:tc>
        <w:tc>
          <w:tcPr>
            <w:tcW w:w="1162" w:type="pct"/>
            <w:shd w:val="clear" w:color="auto" w:fill="1F4E79"/>
            <w:tcMar>
              <w:top w:w="100" w:type="dxa"/>
              <w:left w:w="95" w:type="dxa"/>
              <w:bottom w:w="100" w:type="dxa"/>
              <w:right w:w="95" w:type="dxa"/>
            </w:tcMar>
            <w:vAlign w:val="center"/>
          </w:tcPr>
          <w:p w14:paraId="684B5FE2" w14:textId="77777777" w:rsidR="004734E5" w:rsidRDefault="00000000">
            <w:pPr>
              <w:spacing w:after="0"/>
              <w:jc w:val="center"/>
            </w:pPr>
            <w:r>
              <w:rPr>
                <w:b/>
                <w:color w:val="FFFFFF"/>
                <w:sz w:val="16"/>
              </w:rPr>
              <w:t>Most relevant adaptation leverage</w:t>
            </w:r>
          </w:p>
        </w:tc>
        <w:tc>
          <w:tcPr>
            <w:tcW w:w="951" w:type="pct"/>
            <w:shd w:val="clear" w:color="auto" w:fill="1F4E79"/>
            <w:tcMar>
              <w:top w:w="100" w:type="dxa"/>
              <w:left w:w="95" w:type="dxa"/>
              <w:bottom w:w="100" w:type="dxa"/>
              <w:right w:w="95" w:type="dxa"/>
            </w:tcMar>
            <w:vAlign w:val="center"/>
          </w:tcPr>
          <w:p w14:paraId="2EAA4090" w14:textId="77777777" w:rsidR="004734E5" w:rsidRDefault="00000000">
            <w:pPr>
              <w:spacing w:after="0"/>
              <w:jc w:val="center"/>
            </w:pPr>
            <w:r>
              <w:rPr>
                <w:b/>
                <w:color w:val="FFFFFF"/>
                <w:sz w:val="16"/>
              </w:rPr>
              <w:t>Supporting references</w:t>
            </w:r>
          </w:p>
        </w:tc>
      </w:tr>
      <w:tr w:rsidR="004734E5" w14:paraId="452F0B68" w14:textId="77777777" w:rsidTr="00DD10DB">
        <w:trPr>
          <w:cantSplit/>
          <w:jc w:val="center"/>
        </w:trPr>
        <w:tc>
          <w:tcPr>
            <w:tcW w:w="739" w:type="pct"/>
            <w:tcMar>
              <w:top w:w="100" w:type="dxa"/>
              <w:left w:w="95" w:type="dxa"/>
              <w:bottom w:w="100" w:type="dxa"/>
              <w:right w:w="95" w:type="dxa"/>
            </w:tcMar>
            <w:vAlign w:val="center"/>
          </w:tcPr>
          <w:p w14:paraId="2470C6E6" w14:textId="77777777" w:rsidR="004734E5" w:rsidRDefault="00000000">
            <w:pPr>
              <w:spacing w:after="0" w:line="240" w:lineRule="auto"/>
            </w:pPr>
            <w:r>
              <w:rPr>
                <w:sz w:val="16"/>
              </w:rPr>
              <w:t>Oestrus and ovulation</w:t>
            </w:r>
          </w:p>
        </w:tc>
        <w:tc>
          <w:tcPr>
            <w:tcW w:w="1141" w:type="pct"/>
            <w:tcMar>
              <w:top w:w="100" w:type="dxa"/>
              <w:left w:w="95" w:type="dxa"/>
              <w:bottom w:w="100" w:type="dxa"/>
              <w:right w:w="95" w:type="dxa"/>
            </w:tcMar>
            <w:vAlign w:val="center"/>
          </w:tcPr>
          <w:p w14:paraId="158B2984" w14:textId="77777777" w:rsidR="004734E5" w:rsidRDefault="00000000">
            <w:pPr>
              <w:spacing w:after="0" w:line="240" w:lineRule="auto"/>
            </w:pPr>
            <w:r>
              <w:rPr>
                <w:sz w:val="16"/>
              </w:rPr>
              <w:t>Behavioural suppression; altered endocrine coordination; reduced activity</w:t>
            </w:r>
          </w:p>
        </w:tc>
        <w:tc>
          <w:tcPr>
            <w:tcW w:w="1007" w:type="pct"/>
            <w:tcMar>
              <w:top w:w="100" w:type="dxa"/>
              <w:left w:w="95" w:type="dxa"/>
              <w:bottom w:w="100" w:type="dxa"/>
              <w:right w:w="95" w:type="dxa"/>
            </w:tcMar>
            <w:vAlign w:val="center"/>
          </w:tcPr>
          <w:p w14:paraId="16C47D21" w14:textId="77777777" w:rsidR="004734E5" w:rsidRDefault="00000000">
            <w:pPr>
              <w:spacing w:after="0" w:line="240" w:lineRule="auto"/>
            </w:pPr>
            <w:r>
              <w:rPr>
                <w:sz w:val="16"/>
              </w:rPr>
              <w:t>Missed or mistimed insemination; variable ovulatory success</w:t>
            </w:r>
          </w:p>
        </w:tc>
        <w:tc>
          <w:tcPr>
            <w:tcW w:w="1162" w:type="pct"/>
            <w:tcMar>
              <w:top w:w="100" w:type="dxa"/>
              <w:left w:w="95" w:type="dxa"/>
              <w:bottom w:w="100" w:type="dxa"/>
              <w:right w:w="95" w:type="dxa"/>
            </w:tcMar>
            <w:vAlign w:val="center"/>
          </w:tcPr>
          <w:p w14:paraId="0B011C1B" w14:textId="77777777" w:rsidR="004734E5" w:rsidRDefault="00000000">
            <w:pPr>
              <w:spacing w:after="0" w:line="240" w:lineRule="auto"/>
            </w:pPr>
            <w:r>
              <w:rPr>
                <w:sz w:val="16"/>
              </w:rPr>
              <w:t>Cooling, individualised sensor baselines and timed AI</w:t>
            </w:r>
          </w:p>
        </w:tc>
        <w:tc>
          <w:tcPr>
            <w:tcW w:w="951" w:type="pct"/>
            <w:tcMar>
              <w:top w:w="100" w:type="dxa"/>
              <w:left w:w="95" w:type="dxa"/>
              <w:bottom w:w="100" w:type="dxa"/>
              <w:right w:w="95" w:type="dxa"/>
            </w:tcMar>
            <w:vAlign w:val="center"/>
          </w:tcPr>
          <w:p w14:paraId="449FE55D" w14:textId="77777777" w:rsidR="004734E5" w:rsidRDefault="00000000">
            <w:pPr>
              <w:spacing w:after="0" w:line="240" w:lineRule="auto"/>
            </w:pPr>
            <w:r>
              <w:rPr>
                <w:sz w:val="16"/>
              </w:rPr>
              <w:t>De Rensis et al. (2015); Mayo et al. (2019); Wolfenson et al. (2000)</w:t>
            </w:r>
          </w:p>
        </w:tc>
      </w:tr>
      <w:tr w:rsidR="004734E5" w14:paraId="0053A49F" w14:textId="77777777" w:rsidTr="00DD10DB">
        <w:trPr>
          <w:cantSplit/>
          <w:jc w:val="center"/>
        </w:trPr>
        <w:tc>
          <w:tcPr>
            <w:tcW w:w="739" w:type="pct"/>
            <w:tcMar>
              <w:top w:w="100" w:type="dxa"/>
              <w:left w:w="95" w:type="dxa"/>
              <w:bottom w:w="100" w:type="dxa"/>
              <w:right w:w="95" w:type="dxa"/>
            </w:tcMar>
            <w:vAlign w:val="center"/>
          </w:tcPr>
          <w:p w14:paraId="38D580D4" w14:textId="77777777" w:rsidR="004734E5" w:rsidRDefault="00000000">
            <w:pPr>
              <w:spacing w:after="0" w:line="240" w:lineRule="auto"/>
            </w:pPr>
            <w:r>
              <w:rPr>
                <w:sz w:val="16"/>
              </w:rPr>
              <w:t>Follicular growth</w:t>
            </w:r>
          </w:p>
        </w:tc>
        <w:tc>
          <w:tcPr>
            <w:tcW w:w="1141" w:type="pct"/>
            <w:tcMar>
              <w:top w:w="100" w:type="dxa"/>
              <w:left w:w="95" w:type="dxa"/>
              <w:bottom w:w="100" w:type="dxa"/>
              <w:right w:w="95" w:type="dxa"/>
            </w:tcMar>
            <w:vAlign w:val="center"/>
          </w:tcPr>
          <w:p w14:paraId="71BC1C01" w14:textId="77777777" w:rsidR="004734E5" w:rsidRDefault="00000000">
            <w:pPr>
              <w:spacing w:after="0" w:line="240" w:lineRule="auto"/>
            </w:pPr>
            <w:r>
              <w:rPr>
                <w:sz w:val="16"/>
              </w:rPr>
              <w:t>Steroidogenic disruption; altered perfusion; oxidative and metabolic stress</w:t>
            </w:r>
          </w:p>
        </w:tc>
        <w:tc>
          <w:tcPr>
            <w:tcW w:w="1007" w:type="pct"/>
            <w:tcMar>
              <w:top w:w="100" w:type="dxa"/>
              <w:left w:w="95" w:type="dxa"/>
              <w:bottom w:w="100" w:type="dxa"/>
              <w:right w:w="95" w:type="dxa"/>
            </w:tcMar>
            <w:vAlign w:val="center"/>
          </w:tcPr>
          <w:p w14:paraId="588B4E25" w14:textId="77777777" w:rsidR="004734E5" w:rsidRDefault="00000000">
            <w:pPr>
              <w:spacing w:after="0" w:line="240" w:lineRule="auto"/>
            </w:pPr>
            <w:r>
              <w:rPr>
                <w:sz w:val="16"/>
              </w:rPr>
              <w:t>Carry-over reduction in oocyte competence across later cycles</w:t>
            </w:r>
          </w:p>
        </w:tc>
        <w:tc>
          <w:tcPr>
            <w:tcW w:w="1162" w:type="pct"/>
            <w:tcMar>
              <w:top w:w="100" w:type="dxa"/>
              <w:left w:w="95" w:type="dxa"/>
              <w:bottom w:w="100" w:type="dxa"/>
              <w:right w:w="95" w:type="dxa"/>
            </w:tcMar>
            <w:vAlign w:val="center"/>
          </w:tcPr>
          <w:p w14:paraId="7341BDFA" w14:textId="77777777" w:rsidR="004734E5" w:rsidRDefault="00000000">
            <w:pPr>
              <w:spacing w:after="0" w:line="240" w:lineRule="auto"/>
            </w:pPr>
            <w:r>
              <w:rPr>
                <w:sz w:val="16"/>
              </w:rPr>
              <w:t>Sustained cooling before breeding; thermotolerant genetics; strategic scheduling</w:t>
            </w:r>
          </w:p>
        </w:tc>
        <w:tc>
          <w:tcPr>
            <w:tcW w:w="951" w:type="pct"/>
            <w:tcMar>
              <w:top w:w="100" w:type="dxa"/>
              <w:left w:w="95" w:type="dxa"/>
              <w:bottom w:w="100" w:type="dxa"/>
              <w:right w:w="95" w:type="dxa"/>
            </w:tcMar>
            <w:vAlign w:val="center"/>
          </w:tcPr>
          <w:p w14:paraId="3C22062C" w14:textId="77777777" w:rsidR="004734E5" w:rsidRDefault="00000000">
            <w:pPr>
              <w:spacing w:after="0" w:line="240" w:lineRule="auto"/>
            </w:pPr>
            <w:r>
              <w:rPr>
                <w:sz w:val="16"/>
              </w:rPr>
              <w:t>Kanzawa et al. (2026); Roth (2008, 2017)</w:t>
            </w:r>
          </w:p>
        </w:tc>
      </w:tr>
      <w:tr w:rsidR="004734E5" w14:paraId="10E444AC" w14:textId="77777777" w:rsidTr="00DD10DB">
        <w:trPr>
          <w:cantSplit/>
          <w:jc w:val="center"/>
        </w:trPr>
        <w:tc>
          <w:tcPr>
            <w:tcW w:w="739" w:type="pct"/>
            <w:tcMar>
              <w:top w:w="100" w:type="dxa"/>
              <w:left w:w="95" w:type="dxa"/>
              <w:bottom w:w="100" w:type="dxa"/>
              <w:right w:w="95" w:type="dxa"/>
            </w:tcMar>
            <w:vAlign w:val="center"/>
          </w:tcPr>
          <w:p w14:paraId="23DF2B0D" w14:textId="77777777" w:rsidR="004734E5" w:rsidRDefault="00000000">
            <w:pPr>
              <w:spacing w:after="0" w:line="240" w:lineRule="auto"/>
            </w:pPr>
            <w:r>
              <w:rPr>
                <w:sz w:val="16"/>
              </w:rPr>
              <w:t>Oocyte maturation</w:t>
            </w:r>
          </w:p>
        </w:tc>
        <w:tc>
          <w:tcPr>
            <w:tcW w:w="1141" w:type="pct"/>
            <w:tcMar>
              <w:top w:w="100" w:type="dxa"/>
              <w:left w:w="95" w:type="dxa"/>
              <w:bottom w:w="100" w:type="dxa"/>
              <w:right w:w="95" w:type="dxa"/>
            </w:tcMar>
            <w:vAlign w:val="center"/>
          </w:tcPr>
          <w:p w14:paraId="4383498C" w14:textId="77777777" w:rsidR="004734E5" w:rsidRDefault="00000000">
            <w:pPr>
              <w:spacing w:after="0" w:line="240" w:lineRule="auto"/>
            </w:pPr>
            <w:r>
              <w:rPr>
                <w:sz w:val="16"/>
              </w:rPr>
              <w:t>Mitochondrial dysfunction; ROS; cytoskeletal and endoplasmic-reticulum stress</w:t>
            </w:r>
          </w:p>
        </w:tc>
        <w:tc>
          <w:tcPr>
            <w:tcW w:w="1007" w:type="pct"/>
            <w:tcMar>
              <w:top w:w="100" w:type="dxa"/>
              <w:left w:w="95" w:type="dxa"/>
              <w:bottom w:w="100" w:type="dxa"/>
              <w:right w:w="95" w:type="dxa"/>
            </w:tcMar>
            <w:vAlign w:val="center"/>
          </w:tcPr>
          <w:p w14:paraId="1EA94E16" w14:textId="77777777" w:rsidR="004734E5" w:rsidRDefault="00000000">
            <w:pPr>
              <w:spacing w:after="0" w:line="240" w:lineRule="auto"/>
            </w:pPr>
            <w:r>
              <w:rPr>
                <w:sz w:val="16"/>
              </w:rPr>
              <w:t>Reduced fertilisation and cleavage competence</w:t>
            </w:r>
          </w:p>
        </w:tc>
        <w:tc>
          <w:tcPr>
            <w:tcW w:w="1162" w:type="pct"/>
            <w:tcMar>
              <w:top w:w="100" w:type="dxa"/>
              <w:left w:w="95" w:type="dxa"/>
              <w:bottom w:w="100" w:type="dxa"/>
              <w:right w:w="95" w:type="dxa"/>
            </w:tcMar>
            <w:vAlign w:val="center"/>
          </w:tcPr>
          <w:p w14:paraId="60256DBE" w14:textId="77777777" w:rsidR="004734E5" w:rsidRDefault="00000000">
            <w:pPr>
              <w:spacing w:after="0" w:line="240" w:lineRule="auto"/>
            </w:pPr>
            <w:r>
              <w:rPr>
                <w:sz w:val="16"/>
              </w:rPr>
              <w:t>Avoid peak heat exposure; optimise ovum pick-up and in vitro handling</w:t>
            </w:r>
          </w:p>
        </w:tc>
        <w:tc>
          <w:tcPr>
            <w:tcW w:w="951" w:type="pct"/>
            <w:tcMar>
              <w:top w:w="100" w:type="dxa"/>
              <w:left w:w="95" w:type="dxa"/>
              <w:bottom w:w="100" w:type="dxa"/>
              <w:right w:w="95" w:type="dxa"/>
            </w:tcMar>
            <w:vAlign w:val="center"/>
          </w:tcPr>
          <w:p w14:paraId="16F0045E" w14:textId="77777777" w:rsidR="004734E5" w:rsidRDefault="00000000">
            <w:pPr>
              <w:spacing w:after="0" w:line="240" w:lineRule="auto"/>
            </w:pPr>
            <w:r>
              <w:rPr>
                <w:sz w:val="16"/>
              </w:rPr>
              <w:t>Held-Hoelker et al. (2025); Paes et al. (2016)</w:t>
            </w:r>
          </w:p>
        </w:tc>
      </w:tr>
      <w:tr w:rsidR="004734E5" w14:paraId="79F07B42" w14:textId="77777777" w:rsidTr="00DD10DB">
        <w:trPr>
          <w:cantSplit/>
          <w:jc w:val="center"/>
        </w:trPr>
        <w:tc>
          <w:tcPr>
            <w:tcW w:w="739" w:type="pct"/>
            <w:tcMar>
              <w:top w:w="100" w:type="dxa"/>
              <w:left w:w="95" w:type="dxa"/>
              <w:bottom w:w="100" w:type="dxa"/>
              <w:right w:w="95" w:type="dxa"/>
            </w:tcMar>
            <w:vAlign w:val="center"/>
          </w:tcPr>
          <w:p w14:paraId="202B28A4" w14:textId="77777777" w:rsidR="004734E5" w:rsidRDefault="00000000">
            <w:pPr>
              <w:spacing w:after="0" w:line="240" w:lineRule="auto"/>
            </w:pPr>
            <w:r>
              <w:rPr>
                <w:sz w:val="16"/>
              </w:rPr>
              <w:t>Preimplantation embryo</w:t>
            </w:r>
          </w:p>
        </w:tc>
        <w:tc>
          <w:tcPr>
            <w:tcW w:w="1141" w:type="pct"/>
            <w:tcMar>
              <w:top w:w="100" w:type="dxa"/>
              <w:left w:w="95" w:type="dxa"/>
              <w:bottom w:w="100" w:type="dxa"/>
              <w:right w:w="95" w:type="dxa"/>
            </w:tcMar>
            <w:vAlign w:val="center"/>
          </w:tcPr>
          <w:p w14:paraId="32C2F139" w14:textId="77777777" w:rsidR="004734E5" w:rsidRDefault="00000000">
            <w:pPr>
              <w:spacing w:after="0" w:line="240" w:lineRule="auto"/>
            </w:pPr>
            <w:r>
              <w:rPr>
                <w:sz w:val="16"/>
              </w:rPr>
              <w:t>Oxidative injury, apoptosis and weak early thermotolerance</w:t>
            </w:r>
          </w:p>
        </w:tc>
        <w:tc>
          <w:tcPr>
            <w:tcW w:w="1007" w:type="pct"/>
            <w:tcMar>
              <w:top w:w="100" w:type="dxa"/>
              <w:left w:w="95" w:type="dxa"/>
              <w:bottom w:w="100" w:type="dxa"/>
              <w:right w:w="95" w:type="dxa"/>
            </w:tcMar>
            <w:vAlign w:val="center"/>
          </w:tcPr>
          <w:p w14:paraId="7BACE2C8" w14:textId="77777777" w:rsidR="004734E5" w:rsidRDefault="00000000">
            <w:pPr>
              <w:spacing w:after="0" w:line="240" w:lineRule="auto"/>
            </w:pPr>
            <w:r>
              <w:rPr>
                <w:sz w:val="16"/>
              </w:rPr>
              <w:t>Developmental arrest or early embryonic loss</w:t>
            </w:r>
          </w:p>
        </w:tc>
        <w:tc>
          <w:tcPr>
            <w:tcW w:w="1162" w:type="pct"/>
            <w:tcMar>
              <w:top w:w="100" w:type="dxa"/>
              <w:left w:w="95" w:type="dxa"/>
              <w:bottom w:w="100" w:type="dxa"/>
              <w:right w:w="95" w:type="dxa"/>
            </w:tcMar>
            <w:vAlign w:val="center"/>
          </w:tcPr>
          <w:p w14:paraId="32851302" w14:textId="77777777" w:rsidR="004734E5" w:rsidRDefault="00000000">
            <w:pPr>
              <w:spacing w:after="0" w:line="240" w:lineRule="auto"/>
            </w:pPr>
            <w:r>
              <w:rPr>
                <w:sz w:val="16"/>
              </w:rPr>
              <w:t>ET with developmentally advanced embryos; maternal cooling</w:t>
            </w:r>
          </w:p>
        </w:tc>
        <w:tc>
          <w:tcPr>
            <w:tcW w:w="951" w:type="pct"/>
            <w:tcMar>
              <w:top w:w="100" w:type="dxa"/>
              <w:left w:w="95" w:type="dxa"/>
              <w:bottom w:w="100" w:type="dxa"/>
              <w:right w:w="95" w:type="dxa"/>
            </w:tcMar>
            <w:vAlign w:val="center"/>
          </w:tcPr>
          <w:p w14:paraId="36371369" w14:textId="77777777" w:rsidR="004734E5" w:rsidRDefault="00000000">
            <w:pPr>
              <w:spacing w:after="0" w:line="240" w:lineRule="auto"/>
            </w:pPr>
            <w:r>
              <w:rPr>
                <w:sz w:val="16"/>
              </w:rPr>
              <w:t>Ealy et al. (1993); Sakatani et al. (2004); Sakatani (2017)</w:t>
            </w:r>
          </w:p>
        </w:tc>
      </w:tr>
      <w:tr w:rsidR="004734E5" w14:paraId="308B90AD" w14:textId="77777777" w:rsidTr="00DD10DB">
        <w:trPr>
          <w:cantSplit/>
          <w:jc w:val="center"/>
        </w:trPr>
        <w:tc>
          <w:tcPr>
            <w:tcW w:w="739" w:type="pct"/>
            <w:tcMar>
              <w:top w:w="100" w:type="dxa"/>
              <w:left w:w="95" w:type="dxa"/>
              <w:bottom w:w="100" w:type="dxa"/>
              <w:right w:w="95" w:type="dxa"/>
            </w:tcMar>
            <w:vAlign w:val="center"/>
          </w:tcPr>
          <w:p w14:paraId="19B58432" w14:textId="77777777" w:rsidR="004734E5" w:rsidRDefault="00000000">
            <w:pPr>
              <w:spacing w:after="0" w:line="240" w:lineRule="auto"/>
            </w:pPr>
            <w:r>
              <w:rPr>
                <w:sz w:val="16"/>
              </w:rPr>
              <w:lastRenderedPageBreak/>
              <w:t>Uterus and pregnancy recognition</w:t>
            </w:r>
          </w:p>
        </w:tc>
        <w:tc>
          <w:tcPr>
            <w:tcW w:w="1141" w:type="pct"/>
            <w:tcMar>
              <w:top w:w="100" w:type="dxa"/>
              <w:left w:w="95" w:type="dxa"/>
              <w:bottom w:w="100" w:type="dxa"/>
              <w:right w:w="95" w:type="dxa"/>
            </w:tcMar>
            <w:vAlign w:val="center"/>
          </w:tcPr>
          <w:p w14:paraId="639D3752" w14:textId="77777777" w:rsidR="004734E5" w:rsidRDefault="00000000">
            <w:pPr>
              <w:spacing w:after="0" w:line="240" w:lineRule="auto"/>
            </w:pPr>
            <w:r>
              <w:rPr>
                <w:sz w:val="16"/>
              </w:rPr>
              <w:t>Altered receptivity, blood flow and pregnancy signalling</w:t>
            </w:r>
          </w:p>
        </w:tc>
        <w:tc>
          <w:tcPr>
            <w:tcW w:w="1007" w:type="pct"/>
            <w:tcMar>
              <w:top w:w="100" w:type="dxa"/>
              <w:left w:w="95" w:type="dxa"/>
              <w:bottom w:w="100" w:type="dxa"/>
              <w:right w:w="95" w:type="dxa"/>
            </w:tcMar>
            <w:vAlign w:val="center"/>
          </w:tcPr>
          <w:p w14:paraId="216037BB" w14:textId="77777777" w:rsidR="004734E5" w:rsidRDefault="00000000">
            <w:pPr>
              <w:spacing w:after="0" w:line="240" w:lineRule="auto"/>
            </w:pPr>
            <w:r>
              <w:rPr>
                <w:sz w:val="16"/>
              </w:rPr>
              <w:t>Reduced establishment or maintenance of pregnancy</w:t>
            </w:r>
          </w:p>
        </w:tc>
        <w:tc>
          <w:tcPr>
            <w:tcW w:w="1162" w:type="pct"/>
            <w:tcMar>
              <w:top w:w="100" w:type="dxa"/>
              <w:left w:w="95" w:type="dxa"/>
              <w:bottom w:w="100" w:type="dxa"/>
              <w:right w:w="95" w:type="dxa"/>
            </w:tcMar>
            <w:vAlign w:val="center"/>
          </w:tcPr>
          <w:p w14:paraId="0346CCD7" w14:textId="77777777" w:rsidR="004734E5" w:rsidRDefault="00000000">
            <w:pPr>
              <w:spacing w:after="0" w:line="240" w:lineRule="auto"/>
            </w:pPr>
            <w:r>
              <w:rPr>
                <w:sz w:val="16"/>
              </w:rPr>
              <w:t>Cooling before and after breeding; recipient selection and monitoring</w:t>
            </w:r>
          </w:p>
        </w:tc>
        <w:tc>
          <w:tcPr>
            <w:tcW w:w="951" w:type="pct"/>
            <w:tcMar>
              <w:top w:w="100" w:type="dxa"/>
              <w:left w:w="95" w:type="dxa"/>
              <w:bottom w:w="100" w:type="dxa"/>
              <w:right w:w="95" w:type="dxa"/>
            </w:tcMar>
            <w:vAlign w:val="center"/>
          </w:tcPr>
          <w:p w14:paraId="4E2D07A8" w14:textId="77777777" w:rsidR="004734E5" w:rsidRDefault="00000000">
            <w:pPr>
              <w:spacing w:after="0" w:line="240" w:lineRule="auto"/>
            </w:pPr>
            <w:r>
              <w:rPr>
                <w:sz w:val="16"/>
              </w:rPr>
              <w:t>Abdel Aziz et al. (2022); Kawano et al. (2022); Nanas et al. (2021)</w:t>
            </w:r>
          </w:p>
        </w:tc>
      </w:tr>
      <w:tr w:rsidR="004734E5" w14:paraId="6E2AB0D4" w14:textId="77777777" w:rsidTr="00DD10DB">
        <w:trPr>
          <w:cantSplit/>
          <w:jc w:val="center"/>
        </w:trPr>
        <w:tc>
          <w:tcPr>
            <w:tcW w:w="739" w:type="pct"/>
            <w:tcMar>
              <w:top w:w="100" w:type="dxa"/>
              <w:left w:w="95" w:type="dxa"/>
              <w:bottom w:w="100" w:type="dxa"/>
              <w:right w:w="95" w:type="dxa"/>
            </w:tcMar>
            <w:vAlign w:val="center"/>
          </w:tcPr>
          <w:p w14:paraId="753A02C1" w14:textId="77777777" w:rsidR="004734E5" w:rsidRDefault="00000000">
            <w:pPr>
              <w:spacing w:after="0" w:line="240" w:lineRule="auto"/>
            </w:pPr>
            <w:r>
              <w:rPr>
                <w:sz w:val="16"/>
              </w:rPr>
              <w:t>Late gestation</w:t>
            </w:r>
          </w:p>
        </w:tc>
        <w:tc>
          <w:tcPr>
            <w:tcW w:w="1141" w:type="pct"/>
            <w:tcMar>
              <w:top w:w="100" w:type="dxa"/>
              <w:left w:w="95" w:type="dxa"/>
              <w:bottom w:w="100" w:type="dxa"/>
              <w:right w:w="95" w:type="dxa"/>
            </w:tcMar>
            <w:vAlign w:val="center"/>
          </w:tcPr>
          <w:p w14:paraId="4D889202" w14:textId="77777777" w:rsidR="004734E5" w:rsidRDefault="00000000">
            <w:pPr>
              <w:spacing w:after="0" w:line="240" w:lineRule="auto"/>
            </w:pPr>
            <w:r>
              <w:rPr>
                <w:sz w:val="16"/>
              </w:rPr>
              <w:t>Placental and fetal growth effects; altered dam metabolism</w:t>
            </w:r>
          </w:p>
        </w:tc>
        <w:tc>
          <w:tcPr>
            <w:tcW w:w="1007" w:type="pct"/>
            <w:tcMar>
              <w:top w:w="100" w:type="dxa"/>
              <w:left w:w="95" w:type="dxa"/>
              <w:bottom w:w="100" w:type="dxa"/>
              <w:right w:w="95" w:type="dxa"/>
            </w:tcMar>
            <w:vAlign w:val="center"/>
          </w:tcPr>
          <w:p w14:paraId="0B564626" w14:textId="77777777" w:rsidR="004734E5" w:rsidRDefault="00000000">
            <w:pPr>
              <w:spacing w:after="0" w:line="240" w:lineRule="auto"/>
            </w:pPr>
            <w:r>
              <w:rPr>
                <w:sz w:val="16"/>
              </w:rPr>
              <w:t>Compromised calf viability and future replacement performance</w:t>
            </w:r>
          </w:p>
        </w:tc>
        <w:tc>
          <w:tcPr>
            <w:tcW w:w="1162" w:type="pct"/>
            <w:tcMar>
              <w:top w:w="100" w:type="dxa"/>
              <w:left w:w="95" w:type="dxa"/>
              <w:bottom w:w="100" w:type="dxa"/>
              <w:right w:w="95" w:type="dxa"/>
            </w:tcMar>
            <w:vAlign w:val="center"/>
          </w:tcPr>
          <w:p w14:paraId="07CDD71B" w14:textId="77777777" w:rsidR="004734E5" w:rsidRDefault="00000000">
            <w:pPr>
              <w:spacing w:after="0" w:line="240" w:lineRule="auto"/>
            </w:pPr>
            <w:r>
              <w:rPr>
                <w:sz w:val="16"/>
              </w:rPr>
              <w:t>Dry-period cooling, shade, water access and longitudinal calf management</w:t>
            </w:r>
          </w:p>
        </w:tc>
        <w:tc>
          <w:tcPr>
            <w:tcW w:w="951" w:type="pct"/>
            <w:tcMar>
              <w:top w:w="100" w:type="dxa"/>
              <w:left w:w="95" w:type="dxa"/>
              <w:bottom w:w="100" w:type="dxa"/>
              <w:right w:w="95" w:type="dxa"/>
            </w:tcMar>
            <w:vAlign w:val="center"/>
          </w:tcPr>
          <w:p w14:paraId="7EC1DC3B" w14:textId="77777777" w:rsidR="004734E5" w:rsidRDefault="00000000">
            <w:pPr>
              <w:spacing w:after="0" w:line="240" w:lineRule="auto"/>
            </w:pPr>
            <w:r>
              <w:rPr>
                <w:sz w:val="16"/>
              </w:rPr>
              <w:t>Ouellet et al. (2020, 2021); Rodríguez-Godina et al. (2024)</w:t>
            </w:r>
          </w:p>
        </w:tc>
      </w:tr>
    </w:tbl>
    <w:p w14:paraId="76CE9658"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6E6AAC5F" w14:textId="77777777" w:rsidR="004734E5" w:rsidRDefault="00000000">
      <w:pPr>
        <w:pStyle w:val="Heading1"/>
      </w:pPr>
      <w:r>
        <w:rPr>
          <w:b w:val="0"/>
        </w:rPr>
        <w:t>5. Male Reproductive Adaptation</w:t>
      </w:r>
    </w:p>
    <w:p w14:paraId="0D63A2D7" w14:textId="77777777" w:rsidR="004734E5" w:rsidRDefault="00000000">
      <w:pPr>
        <w:pStyle w:val="Heading2"/>
      </w:pPr>
      <w:r>
        <w:rPr>
          <w:b w:val="0"/>
        </w:rPr>
        <w:t>5.1 Testicular Thermoregulation and Delayed Spermatogenic Injury</w:t>
      </w:r>
    </w:p>
    <w:p w14:paraId="426ABBFE" w14:textId="77777777" w:rsidR="004734E5" w:rsidRDefault="00000000">
      <w:pPr>
        <w:pStyle w:val="BodyText"/>
      </w:pPr>
      <w:r>
        <w:t>Normal spermatogenesis requires testicular temperature below core body temperature. Bulls achieve this through scrotal position, a counter-current vascular heat exchanger, sweating and regulation of blood flow. Whole-body heat, high solar load or local insulation can overwhelm these mechanisms. Experimental scrotal insulation has repeatedly reduced semen quality, confirming a direct thermal pathway independent of female fertility or insemination management (Brito et al., 2003; Kastelic et al., 1996).</w:t>
      </w:r>
    </w:p>
    <w:p w14:paraId="13BAC75C" w14:textId="77777777" w:rsidR="004734E5" w:rsidRDefault="00000000">
      <w:pPr>
        <w:pStyle w:val="BodyText"/>
      </w:pPr>
      <w:r>
        <w:t>Damage is stage dependent and delayed. Germ cells exposed during spermatogenesis do not appear immediately in the ejaculate, so semen collected soon after a heat event may look acceptable while later collections deteriorate. Recovery similarly requires the affected cell cohorts to pass through the reproductive tract. This lag can extend the reproductive effect of a short heatwave into a subsequent breeding period. Seasonal correlations between environmental temperature and semen quality were recognised decades ago, but modern studies show that averages conceal substantial bull-to-bull variation (Netherton et al., 2022; Parkinson, 1987).</w:t>
      </w:r>
    </w:p>
    <w:p w14:paraId="7F7EBDDB" w14:textId="77777777" w:rsidR="004734E5" w:rsidRDefault="00000000">
      <w:pPr>
        <w:pStyle w:val="BodyText"/>
      </w:pPr>
      <w:r>
        <w:t>Whole-body heating and scrotal models are informative but not interchangeable. Scrotal insulation isolates local testicular effects, whereas natural heat stress also changes hydration, feed intake, endocrine function and behaviour. Shahat et al. (2021) showed that different heating models increased scrotal temperature and reduced sperm quality, but the pattern of response differed. Translational interpretation therefore requires attention to thermal dose, anatomical site and the interval between exposure and semen evaluation.</w:t>
      </w:r>
    </w:p>
    <w:p w14:paraId="3C46658F" w14:textId="77777777" w:rsidR="004734E5" w:rsidRDefault="00000000">
      <w:pPr>
        <w:pStyle w:val="Heading2"/>
      </w:pPr>
      <w:r>
        <w:rPr>
          <w:b w:val="0"/>
        </w:rPr>
        <w:t>5.2 Semen Phenotypes, Hidden Damage and Bull-specific Resilience</w:t>
      </w:r>
    </w:p>
    <w:p w14:paraId="73B2E11C" w14:textId="77777777" w:rsidR="004734E5" w:rsidRDefault="00000000">
      <w:pPr>
        <w:pStyle w:val="BodyText"/>
      </w:pPr>
      <w:r>
        <w:t>Conventional semen evaluation measures concentration, motility and morphology, yet fertility can decline through oxidative damage, membrane instability or chromatin fragmentation that is not fully captured by routine thresholds. Heat-sensitive spermatozoa have limited cytoplasmic antioxidant capacity, and oxidative stress can impair mitochondrial function and DNA integrity. In vitro evidence links damaged bovine sperm with poorer embryo development and embryo DNA integrity, although laboratory assays vary in their ability to predict field fertility (Bittner et al., 2018; Simões et al., 2013).</w:t>
      </w:r>
    </w:p>
    <w:p w14:paraId="3072D7EC" w14:textId="77777777" w:rsidR="004734E5" w:rsidRDefault="00000000">
      <w:pPr>
        <w:pStyle w:val="BodyText"/>
      </w:pPr>
      <w:r>
        <w:t xml:space="preserve">The existence of heat-sensitive and heat-tolerant bulls creates both a risk and an opportunity. Netherton et al. (2022) found repeatable seasonal differences in semen quality among bulls, suggesting that selection or differential deployment could reduce risk. Yet classification requires repeated measurements across seasons and should include fertility-linked endpoints rather than a single semen trait. Artificial insemination centres can buffer environmental exposure through housing and collection management, but globally distributed semen may originate from bulls exposed under different climatic </w:t>
      </w:r>
      <w:r>
        <w:lastRenderedPageBreak/>
        <w:t>conditions. Natural-service herds face additional uncertainty because serving capacity, libido and pasture heat load are less frequently monitored.</w:t>
      </w:r>
    </w:p>
    <w:p w14:paraId="40D2502D" w14:textId="77777777" w:rsidR="004734E5" w:rsidRDefault="00000000">
      <w:pPr>
        <w:pStyle w:val="BodyText"/>
      </w:pPr>
      <w:r>
        <w:t>Male adaptation has received less investment than female management despite the potential for one bull or semen batch to affect many pregnancies. A climate-resilient breeding programme should therefore treat bull thermal history as part of semen quality assurance and should recognise the delayed risk window.</w:t>
      </w:r>
    </w:p>
    <w:p w14:paraId="5F5AA736" w14:textId="77777777" w:rsidR="004734E5" w:rsidRDefault="00000000">
      <w:pPr>
        <w:pStyle w:val="BodyText"/>
      </w:pPr>
      <w:r>
        <w:t>Bull-level resilience may reflect both avoidance of testicular heating and resistance of germ cells to oxidative damage. These mechanisms should not be conflated. A bull that maintains a lower scrotal temperature under field conditions may benefit from anatomy, coat, behaviour or shade use, whereas another may experience similar heating but recover semen quality more rapidly. Selection and management decisions need repeated paired measurements of exposure and response to distinguish these phenotypes. Otherwise, apparent tolerance may simply indicate that an animal encountered less heat. The distinction is particularly important for genomic studies, where misclassified exposure weakens estimated genetic differences (Netherton et al., 2022; Rahman et al., 2018).</w:t>
      </w:r>
    </w:p>
    <w:p w14:paraId="33CDACCB" w14:textId="77777777" w:rsidR="004734E5" w:rsidRDefault="00000000">
      <w:pPr>
        <w:pStyle w:val="BodyText"/>
      </w:pPr>
      <w:r>
        <w:t>Semen cryopreservation adds another layer. Frozen semen collected before a hot season can buffer immediate supply, but thermal injury before collection may be preserved rather than corrected by freezing. Laboratory selection of motile sperm can remove visibly compromised cells while leaving subtler chromatin damage. Fertility auditing should therefore connect collection date, environmental history, laboratory quality and field conception. For natural service, rotating bulls or reducing mating load may lower risk, but these practices have limited value if all bulls share the same heat exposure and no post-heat examination is performed. Table 3 identifies monitoring indicators and the interpretive cautions needed to avoid false reassurance after acute heat exposure.</w:t>
      </w:r>
    </w:p>
    <w:p w14:paraId="746AA9FB" w14:textId="77777777" w:rsidR="004734E5" w:rsidRDefault="00000000">
      <w:pPr>
        <w:pStyle w:val="TableCaption"/>
        <w:keepNext/>
      </w:pPr>
      <w:r>
        <w:rPr>
          <w:b/>
        </w:rPr>
        <w:t xml:space="preserve">Table 3. </w:t>
      </w:r>
      <w:r>
        <w:t>Indicators of heat-related male reproductive risk and their interpretation</w:t>
      </w:r>
    </w:p>
    <w:tbl>
      <w:tblPr>
        <w:tblStyle w:val="TableGrid"/>
        <w:tblW w:w="5000" w:type="pct"/>
        <w:jc w:val="center"/>
        <w:tblLook w:val="04A0" w:firstRow="1" w:lastRow="0" w:firstColumn="1" w:lastColumn="0" w:noHBand="0" w:noVBand="1"/>
      </w:tblPr>
      <w:tblGrid>
        <w:gridCol w:w="1646"/>
        <w:gridCol w:w="2062"/>
        <w:gridCol w:w="1979"/>
        <w:gridCol w:w="2341"/>
        <w:gridCol w:w="1868"/>
      </w:tblGrid>
      <w:tr w:rsidR="004734E5" w14:paraId="7690369B" w14:textId="77777777" w:rsidTr="00DD10DB">
        <w:trPr>
          <w:tblHeader/>
          <w:jc w:val="center"/>
        </w:trPr>
        <w:tc>
          <w:tcPr>
            <w:tcW w:w="831" w:type="pct"/>
            <w:shd w:val="clear" w:color="auto" w:fill="1F4E79"/>
            <w:tcMar>
              <w:top w:w="100" w:type="dxa"/>
              <w:left w:w="95" w:type="dxa"/>
              <w:bottom w:w="100" w:type="dxa"/>
              <w:right w:w="95" w:type="dxa"/>
            </w:tcMar>
            <w:vAlign w:val="center"/>
          </w:tcPr>
          <w:p w14:paraId="3B07F1E7" w14:textId="77777777" w:rsidR="004734E5" w:rsidRDefault="00000000">
            <w:pPr>
              <w:spacing w:after="0"/>
              <w:jc w:val="center"/>
            </w:pPr>
            <w:r>
              <w:rPr>
                <w:b/>
                <w:color w:val="FFFFFF"/>
                <w:sz w:val="16"/>
              </w:rPr>
              <w:t>Male indicator</w:t>
            </w:r>
          </w:p>
        </w:tc>
        <w:tc>
          <w:tcPr>
            <w:tcW w:w="1042" w:type="pct"/>
            <w:shd w:val="clear" w:color="auto" w:fill="1F4E79"/>
            <w:tcMar>
              <w:top w:w="100" w:type="dxa"/>
              <w:left w:w="95" w:type="dxa"/>
              <w:bottom w:w="100" w:type="dxa"/>
              <w:right w:w="95" w:type="dxa"/>
            </w:tcMar>
            <w:vAlign w:val="center"/>
          </w:tcPr>
          <w:p w14:paraId="3AD7FE2A" w14:textId="77777777" w:rsidR="004734E5" w:rsidRDefault="00000000">
            <w:pPr>
              <w:spacing w:after="0"/>
              <w:jc w:val="center"/>
            </w:pPr>
            <w:r>
              <w:rPr>
                <w:b/>
                <w:color w:val="FFFFFF"/>
                <w:sz w:val="16"/>
              </w:rPr>
              <w:t>What it captures</w:t>
            </w:r>
          </w:p>
        </w:tc>
        <w:tc>
          <w:tcPr>
            <w:tcW w:w="1000" w:type="pct"/>
            <w:shd w:val="clear" w:color="auto" w:fill="1F4E79"/>
            <w:tcMar>
              <w:top w:w="100" w:type="dxa"/>
              <w:left w:w="95" w:type="dxa"/>
              <w:bottom w:w="100" w:type="dxa"/>
              <w:right w:w="95" w:type="dxa"/>
            </w:tcMar>
            <w:vAlign w:val="center"/>
          </w:tcPr>
          <w:p w14:paraId="0B3E6388" w14:textId="77777777" w:rsidR="004734E5" w:rsidRDefault="00000000">
            <w:pPr>
              <w:spacing w:after="0"/>
              <w:jc w:val="center"/>
            </w:pPr>
            <w:r>
              <w:rPr>
                <w:b/>
                <w:color w:val="FFFFFF"/>
                <w:sz w:val="16"/>
              </w:rPr>
              <w:t>Expected timing after heat exposure</w:t>
            </w:r>
          </w:p>
        </w:tc>
        <w:tc>
          <w:tcPr>
            <w:tcW w:w="1183" w:type="pct"/>
            <w:shd w:val="clear" w:color="auto" w:fill="1F4E79"/>
            <w:tcMar>
              <w:top w:w="100" w:type="dxa"/>
              <w:left w:w="95" w:type="dxa"/>
              <w:bottom w:w="100" w:type="dxa"/>
              <w:right w:w="95" w:type="dxa"/>
            </w:tcMar>
            <w:vAlign w:val="center"/>
          </w:tcPr>
          <w:p w14:paraId="737D1CD0" w14:textId="77777777" w:rsidR="004734E5" w:rsidRDefault="00000000">
            <w:pPr>
              <w:spacing w:after="0"/>
              <w:jc w:val="center"/>
            </w:pPr>
            <w:r>
              <w:rPr>
                <w:b/>
                <w:color w:val="FFFFFF"/>
                <w:sz w:val="16"/>
              </w:rPr>
              <w:t>Interpretive caution</w:t>
            </w:r>
          </w:p>
        </w:tc>
        <w:tc>
          <w:tcPr>
            <w:tcW w:w="944" w:type="pct"/>
            <w:shd w:val="clear" w:color="auto" w:fill="1F4E79"/>
            <w:tcMar>
              <w:top w:w="100" w:type="dxa"/>
              <w:left w:w="95" w:type="dxa"/>
              <w:bottom w:w="100" w:type="dxa"/>
              <w:right w:w="95" w:type="dxa"/>
            </w:tcMar>
            <w:vAlign w:val="center"/>
          </w:tcPr>
          <w:p w14:paraId="21C7518C" w14:textId="77777777" w:rsidR="004734E5" w:rsidRDefault="00000000">
            <w:pPr>
              <w:spacing w:after="0"/>
              <w:jc w:val="center"/>
            </w:pPr>
            <w:r>
              <w:rPr>
                <w:b/>
                <w:color w:val="FFFFFF"/>
                <w:sz w:val="16"/>
              </w:rPr>
              <w:t>Supporting references</w:t>
            </w:r>
          </w:p>
        </w:tc>
      </w:tr>
      <w:tr w:rsidR="004734E5" w14:paraId="208F5A7A" w14:textId="77777777" w:rsidTr="00DD10DB">
        <w:trPr>
          <w:cantSplit/>
          <w:jc w:val="center"/>
        </w:trPr>
        <w:tc>
          <w:tcPr>
            <w:tcW w:w="831" w:type="pct"/>
            <w:tcMar>
              <w:top w:w="100" w:type="dxa"/>
              <w:left w:w="95" w:type="dxa"/>
              <w:bottom w:w="100" w:type="dxa"/>
              <w:right w:w="95" w:type="dxa"/>
            </w:tcMar>
            <w:vAlign w:val="center"/>
          </w:tcPr>
          <w:p w14:paraId="158BD4D8" w14:textId="77777777" w:rsidR="004734E5" w:rsidRDefault="00000000">
            <w:pPr>
              <w:spacing w:after="0" w:line="240" w:lineRule="auto"/>
            </w:pPr>
            <w:r>
              <w:rPr>
                <w:sz w:val="16"/>
              </w:rPr>
              <w:t>Scrotal or testicular temperature</w:t>
            </w:r>
          </w:p>
        </w:tc>
        <w:tc>
          <w:tcPr>
            <w:tcW w:w="1042" w:type="pct"/>
            <w:tcMar>
              <w:top w:w="100" w:type="dxa"/>
              <w:left w:w="95" w:type="dxa"/>
              <w:bottom w:w="100" w:type="dxa"/>
              <w:right w:w="95" w:type="dxa"/>
            </w:tcMar>
            <w:vAlign w:val="center"/>
          </w:tcPr>
          <w:p w14:paraId="307111C0" w14:textId="77777777" w:rsidR="004734E5" w:rsidRDefault="00000000">
            <w:pPr>
              <w:spacing w:after="0" w:line="240" w:lineRule="auto"/>
            </w:pPr>
            <w:r>
              <w:rPr>
                <w:sz w:val="16"/>
              </w:rPr>
              <w:t>Failure of local thermoregulation and immediate tissue heat load</w:t>
            </w:r>
          </w:p>
        </w:tc>
        <w:tc>
          <w:tcPr>
            <w:tcW w:w="1000" w:type="pct"/>
            <w:tcMar>
              <w:top w:w="100" w:type="dxa"/>
              <w:left w:w="95" w:type="dxa"/>
              <w:bottom w:w="100" w:type="dxa"/>
              <w:right w:w="95" w:type="dxa"/>
            </w:tcMar>
            <w:vAlign w:val="center"/>
          </w:tcPr>
          <w:p w14:paraId="7CC2BDD3" w14:textId="77777777" w:rsidR="004734E5" w:rsidRDefault="00000000">
            <w:pPr>
              <w:spacing w:after="0" w:line="240" w:lineRule="auto"/>
            </w:pPr>
            <w:r>
              <w:rPr>
                <w:sz w:val="16"/>
              </w:rPr>
              <w:t>During exposure</w:t>
            </w:r>
          </w:p>
        </w:tc>
        <w:tc>
          <w:tcPr>
            <w:tcW w:w="1183" w:type="pct"/>
            <w:tcMar>
              <w:top w:w="100" w:type="dxa"/>
              <w:left w:w="95" w:type="dxa"/>
              <w:bottom w:w="100" w:type="dxa"/>
              <w:right w:w="95" w:type="dxa"/>
            </w:tcMar>
            <w:vAlign w:val="center"/>
          </w:tcPr>
          <w:p w14:paraId="55F94801" w14:textId="77777777" w:rsidR="004734E5" w:rsidRDefault="00000000">
            <w:pPr>
              <w:spacing w:after="0" w:line="240" w:lineRule="auto"/>
            </w:pPr>
            <w:r>
              <w:rPr>
                <w:sz w:val="16"/>
              </w:rPr>
              <w:t>Thresholds depend on measurement site, airflow and handling</w:t>
            </w:r>
          </w:p>
        </w:tc>
        <w:tc>
          <w:tcPr>
            <w:tcW w:w="944" w:type="pct"/>
            <w:tcMar>
              <w:top w:w="100" w:type="dxa"/>
              <w:left w:w="95" w:type="dxa"/>
              <w:bottom w:w="100" w:type="dxa"/>
              <w:right w:w="95" w:type="dxa"/>
            </w:tcMar>
            <w:vAlign w:val="center"/>
          </w:tcPr>
          <w:p w14:paraId="574C2E0C" w14:textId="77777777" w:rsidR="004734E5" w:rsidRDefault="00000000">
            <w:pPr>
              <w:spacing w:after="0" w:line="240" w:lineRule="auto"/>
            </w:pPr>
            <w:r>
              <w:rPr>
                <w:sz w:val="16"/>
              </w:rPr>
              <w:t>Kastelic et al. (1996); Shahat et al. (2021)</w:t>
            </w:r>
          </w:p>
        </w:tc>
      </w:tr>
      <w:tr w:rsidR="004734E5" w14:paraId="505E35AC" w14:textId="77777777" w:rsidTr="00DD10DB">
        <w:trPr>
          <w:cantSplit/>
          <w:jc w:val="center"/>
        </w:trPr>
        <w:tc>
          <w:tcPr>
            <w:tcW w:w="831" w:type="pct"/>
            <w:tcMar>
              <w:top w:w="100" w:type="dxa"/>
              <w:left w:w="95" w:type="dxa"/>
              <w:bottom w:w="100" w:type="dxa"/>
              <w:right w:w="95" w:type="dxa"/>
            </w:tcMar>
            <w:vAlign w:val="center"/>
          </w:tcPr>
          <w:p w14:paraId="368EC52D" w14:textId="77777777" w:rsidR="004734E5" w:rsidRDefault="00000000">
            <w:pPr>
              <w:spacing w:after="0" w:line="240" w:lineRule="auto"/>
            </w:pPr>
            <w:r>
              <w:rPr>
                <w:sz w:val="16"/>
              </w:rPr>
              <w:t>Motility and morphology</w:t>
            </w:r>
          </w:p>
        </w:tc>
        <w:tc>
          <w:tcPr>
            <w:tcW w:w="1042" w:type="pct"/>
            <w:tcMar>
              <w:top w:w="100" w:type="dxa"/>
              <w:left w:w="95" w:type="dxa"/>
              <w:bottom w:w="100" w:type="dxa"/>
              <w:right w:w="95" w:type="dxa"/>
            </w:tcMar>
            <w:vAlign w:val="center"/>
          </w:tcPr>
          <w:p w14:paraId="1E2F146F" w14:textId="77777777" w:rsidR="004734E5" w:rsidRDefault="00000000">
            <w:pPr>
              <w:spacing w:after="0" w:line="240" w:lineRule="auto"/>
            </w:pPr>
            <w:r>
              <w:rPr>
                <w:sz w:val="16"/>
              </w:rPr>
              <w:t>Gross functional and structural semen changes</w:t>
            </w:r>
          </w:p>
        </w:tc>
        <w:tc>
          <w:tcPr>
            <w:tcW w:w="1000" w:type="pct"/>
            <w:tcMar>
              <w:top w:w="100" w:type="dxa"/>
              <w:left w:w="95" w:type="dxa"/>
              <w:bottom w:w="100" w:type="dxa"/>
              <w:right w:w="95" w:type="dxa"/>
            </w:tcMar>
            <w:vAlign w:val="center"/>
          </w:tcPr>
          <w:p w14:paraId="0F2FABF0" w14:textId="77777777" w:rsidR="004734E5" w:rsidRDefault="00000000">
            <w:pPr>
              <w:spacing w:after="0" w:line="240" w:lineRule="auto"/>
            </w:pPr>
            <w:r>
              <w:rPr>
                <w:sz w:val="16"/>
              </w:rPr>
              <w:t>Often delayed for days to weeks</w:t>
            </w:r>
          </w:p>
        </w:tc>
        <w:tc>
          <w:tcPr>
            <w:tcW w:w="1183" w:type="pct"/>
            <w:tcMar>
              <w:top w:w="100" w:type="dxa"/>
              <w:left w:w="95" w:type="dxa"/>
              <w:bottom w:w="100" w:type="dxa"/>
              <w:right w:w="95" w:type="dxa"/>
            </w:tcMar>
            <w:vAlign w:val="center"/>
          </w:tcPr>
          <w:p w14:paraId="32E3BFD9" w14:textId="77777777" w:rsidR="004734E5" w:rsidRDefault="00000000">
            <w:pPr>
              <w:spacing w:after="0" w:line="240" w:lineRule="auto"/>
            </w:pPr>
            <w:r>
              <w:rPr>
                <w:sz w:val="16"/>
              </w:rPr>
              <w:t>Normal early collections can precede later deterioration</w:t>
            </w:r>
          </w:p>
        </w:tc>
        <w:tc>
          <w:tcPr>
            <w:tcW w:w="944" w:type="pct"/>
            <w:tcMar>
              <w:top w:w="100" w:type="dxa"/>
              <w:left w:w="95" w:type="dxa"/>
              <w:bottom w:w="100" w:type="dxa"/>
              <w:right w:w="95" w:type="dxa"/>
            </w:tcMar>
            <w:vAlign w:val="center"/>
          </w:tcPr>
          <w:p w14:paraId="6643C15F" w14:textId="77777777" w:rsidR="004734E5" w:rsidRDefault="00000000">
            <w:pPr>
              <w:spacing w:after="0" w:line="240" w:lineRule="auto"/>
            </w:pPr>
            <w:r>
              <w:rPr>
                <w:sz w:val="16"/>
              </w:rPr>
              <w:t>Garcia-Oliveros et al. (2020); Parkinson (1987)</w:t>
            </w:r>
          </w:p>
        </w:tc>
      </w:tr>
      <w:tr w:rsidR="004734E5" w14:paraId="5C0A30A3" w14:textId="77777777" w:rsidTr="00DD10DB">
        <w:trPr>
          <w:cantSplit/>
          <w:jc w:val="center"/>
        </w:trPr>
        <w:tc>
          <w:tcPr>
            <w:tcW w:w="831" w:type="pct"/>
            <w:tcMar>
              <w:top w:w="100" w:type="dxa"/>
              <w:left w:w="95" w:type="dxa"/>
              <w:bottom w:w="100" w:type="dxa"/>
              <w:right w:w="95" w:type="dxa"/>
            </w:tcMar>
            <w:vAlign w:val="center"/>
          </w:tcPr>
          <w:p w14:paraId="493DF15C" w14:textId="77777777" w:rsidR="004734E5" w:rsidRDefault="00000000">
            <w:pPr>
              <w:spacing w:after="0" w:line="240" w:lineRule="auto"/>
            </w:pPr>
            <w:r>
              <w:rPr>
                <w:sz w:val="16"/>
              </w:rPr>
              <w:t>Sperm DNA or chromatin integrity</w:t>
            </w:r>
          </w:p>
        </w:tc>
        <w:tc>
          <w:tcPr>
            <w:tcW w:w="1042" w:type="pct"/>
            <w:tcMar>
              <w:top w:w="100" w:type="dxa"/>
              <w:left w:w="95" w:type="dxa"/>
              <w:bottom w:w="100" w:type="dxa"/>
              <w:right w:w="95" w:type="dxa"/>
            </w:tcMar>
            <w:vAlign w:val="center"/>
          </w:tcPr>
          <w:p w14:paraId="68612325" w14:textId="77777777" w:rsidR="004734E5" w:rsidRDefault="00000000">
            <w:pPr>
              <w:spacing w:after="0" w:line="240" w:lineRule="auto"/>
            </w:pPr>
            <w:r>
              <w:rPr>
                <w:sz w:val="16"/>
              </w:rPr>
              <w:t>Oxidative and packaging damage relevant to embryo development</w:t>
            </w:r>
          </w:p>
        </w:tc>
        <w:tc>
          <w:tcPr>
            <w:tcW w:w="1000" w:type="pct"/>
            <w:tcMar>
              <w:top w:w="100" w:type="dxa"/>
              <w:left w:w="95" w:type="dxa"/>
              <w:bottom w:w="100" w:type="dxa"/>
              <w:right w:w="95" w:type="dxa"/>
            </w:tcMar>
            <w:vAlign w:val="center"/>
          </w:tcPr>
          <w:p w14:paraId="718E42A4" w14:textId="77777777" w:rsidR="004734E5" w:rsidRDefault="00000000">
            <w:pPr>
              <w:spacing w:after="0" w:line="240" w:lineRule="auto"/>
            </w:pPr>
            <w:r>
              <w:rPr>
                <w:sz w:val="16"/>
              </w:rPr>
              <w:t>Can emerge after damaged germ cells reach the ejaculate</w:t>
            </w:r>
          </w:p>
        </w:tc>
        <w:tc>
          <w:tcPr>
            <w:tcW w:w="1183" w:type="pct"/>
            <w:tcMar>
              <w:top w:w="100" w:type="dxa"/>
              <w:left w:w="95" w:type="dxa"/>
              <w:bottom w:w="100" w:type="dxa"/>
              <w:right w:w="95" w:type="dxa"/>
            </w:tcMar>
            <w:vAlign w:val="center"/>
          </w:tcPr>
          <w:p w14:paraId="799F859C" w14:textId="77777777" w:rsidR="004734E5" w:rsidRDefault="00000000">
            <w:pPr>
              <w:spacing w:after="0" w:line="240" w:lineRule="auto"/>
            </w:pPr>
            <w:r>
              <w:rPr>
                <w:sz w:val="16"/>
              </w:rPr>
              <w:t>Assays are not fully standardised and field prediction varies</w:t>
            </w:r>
          </w:p>
        </w:tc>
        <w:tc>
          <w:tcPr>
            <w:tcW w:w="944" w:type="pct"/>
            <w:tcMar>
              <w:top w:w="100" w:type="dxa"/>
              <w:left w:w="95" w:type="dxa"/>
              <w:bottom w:w="100" w:type="dxa"/>
              <w:right w:w="95" w:type="dxa"/>
            </w:tcMar>
            <w:vAlign w:val="center"/>
          </w:tcPr>
          <w:p w14:paraId="77D5B192" w14:textId="77777777" w:rsidR="004734E5" w:rsidRDefault="00000000">
            <w:pPr>
              <w:spacing w:after="0" w:line="240" w:lineRule="auto"/>
            </w:pPr>
            <w:r>
              <w:rPr>
                <w:sz w:val="16"/>
              </w:rPr>
              <w:t>Bittner et al. (2018); Simões et al. (2013)</w:t>
            </w:r>
          </w:p>
        </w:tc>
      </w:tr>
      <w:tr w:rsidR="004734E5" w14:paraId="0798343A" w14:textId="77777777" w:rsidTr="00DD10DB">
        <w:trPr>
          <w:cantSplit/>
          <w:jc w:val="center"/>
        </w:trPr>
        <w:tc>
          <w:tcPr>
            <w:tcW w:w="831" w:type="pct"/>
            <w:tcMar>
              <w:top w:w="100" w:type="dxa"/>
              <w:left w:w="95" w:type="dxa"/>
              <w:bottom w:w="100" w:type="dxa"/>
              <w:right w:w="95" w:type="dxa"/>
            </w:tcMar>
            <w:vAlign w:val="center"/>
          </w:tcPr>
          <w:p w14:paraId="0DF8CE23" w14:textId="77777777" w:rsidR="004734E5" w:rsidRDefault="00000000">
            <w:pPr>
              <w:spacing w:after="0" w:line="240" w:lineRule="auto"/>
            </w:pPr>
            <w:r>
              <w:rPr>
                <w:sz w:val="16"/>
              </w:rPr>
              <w:t>Repeated seasonal semen profile</w:t>
            </w:r>
          </w:p>
        </w:tc>
        <w:tc>
          <w:tcPr>
            <w:tcW w:w="1042" w:type="pct"/>
            <w:tcMar>
              <w:top w:w="100" w:type="dxa"/>
              <w:left w:w="95" w:type="dxa"/>
              <w:bottom w:w="100" w:type="dxa"/>
              <w:right w:w="95" w:type="dxa"/>
            </w:tcMar>
            <w:vAlign w:val="center"/>
          </w:tcPr>
          <w:p w14:paraId="1D08BDEE" w14:textId="77777777" w:rsidR="004734E5" w:rsidRDefault="00000000">
            <w:pPr>
              <w:spacing w:after="0" w:line="240" w:lineRule="auto"/>
            </w:pPr>
            <w:r>
              <w:rPr>
                <w:sz w:val="16"/>
              </w:rPr>
              <w:t>Bull-specific sensitivity, recovery and consistency</w:t>
            </w:r>
          </w:p>
        </w:tc>
        <w:tc>
          <w:tcPr>
            <w:tcW w:w="1000" w:type="pct"/>
            <w:tcMar>
              <w:top w:w="100" w:type="dxa"/>
              <w:left w:w="95" w:type="dxa"/>
              <w:bottom w:w="100" w:type="dxa"/>
              <w:right w:w="95" w:type="dxa"/>
            </w:tcMar>
            <w:vAlign w:val="center"/>
          </w:tcPr>
          <w:p w14:paraId="736B0330" w14:textId="77777777" w:rsidR="004734E5" w:rsidRDefault="00000000">
            <w:pPr>
              <w:spacing w:after="0" w:line="240" w:lineRule="auto"/>
            </w:pPr>
            <w:r>
              <w:rPr>
                <w:sz w:val="16"/>
              </w:rPr>
              <w:t>Across hot and cool periods</w:t>
            </w:r>
          </w:p>
        </w:tc>
        <w:tc>
          <w:tcPr>
            <w:tcW w:w="1183" w:type="pct"/>
            <w:tcMar>
              <w:top w:w="100" w:type="dxa"/>
              <w:left w:w="95" w:type="dxa"/>
              <w:bottom w:w="100" w:type="dxa"/>
              <w:right w:w="95" w:type="dxa"/>
            </w:tcMar>
            <w:vAlign w:val="center"/>
          </w:tcPr>
          <w:p w14:paraId="6B663D53" w14:textId="77777777" w:rsidR="004734E5" w:rsidRDefault="00000000">
            <w:pPr>
              <w:spacing w:after="0" w:line="240" w:lineRule="auto"/>
            </w:pPr>
            <w:r>
              <w:rPr>
                <w:sz w:val="16"/>
              </w:rPr>
              <w:t>Requires multiple collections and comparable laboratory conditions</w:t>
            </w:r>
          </w:p>
        </w:tc>
        <w:tc>
          <w:tcPr>
            <w:tcW w:w="944" w:type="pct"/>
            <w:tcMar>
              <w:top w:w="100" w:type="dxa"/>
              <w:left w:w="95" w:type="dxa"/>
              <w:bottom w:w="100" w:type="dxa"/>
              <w:right w:w="95" w:type="dxa"/>
            </w:tcMar>
            <w:vAlign w:val="center"/>
          </w:tcPr>
          <w:p w14:paraId="4C4B80C7" w14:textId="77777777" w:rsidR="004734E5" w:rsidRDefault="00000000">
            <w:pPr>
              <w:spacing w:after="0" w:line="240" w:lineRule="auto"/>
            </w:pPr>
            <w:r>
              <w:rPr>
                <w:sz w:val="16"/>
              </w:rPr>
              <w:t>Netherton et al. (2022)</w:t>
            </w:r>
          </w:p>
        </w:tc>
      </w:tr>
      <w:tr w:rsidR="004734E5" w14:paraId="03425874" w14:textId="77777777" w:rsidTr="00DD10DB">
        <w:trPr>
          <w:cantSplit/>
          <w:jc w:val="center"/>
        </w:trPr>
        <w:tc>
          <w:tcPr>
            <w:tcW w:w="831" w:type="pct"/>
            <w:tcMar>
              <w:top w:w="100" w:type="dxa"/>
              <w:left w:w="95" w:type="dxa"/>
              <w:bottom w:w="100" w:type="dxa"/>
              <w:right w:w="95" w:type="dxa"/>
            </w:tcMar>
            <w:vAlign w:val="center"/>
          </w:tcPr>
          <w:p w14:paraId="7518580E" w14:textId="77777777" w:rsidR="004734E5" w:rsidRDefault="00000000">
            <w:pPr>
              <w:spacing w:after="0" w:line="240" w:lineRule="auto"/>
            </w:pPr>
            <w:r>
              <w:rPr>
                <w:sz w:val="16"/>
              </w:rPr>
              <w:t>Natural-service fertility</w:t>
            </w:r>
          </w:p>
        </w:tc>
        <w:tc>
          <w:tcPr>
            <w:tcW w:w="1042" w:type="pct"/>
            <w:tcMar>
              <w:top w:w="100" w:type="dxa"/>
              <w:left w:w="95" w:type="dxa"/>
              <w:bottom w:w="100" w:type="dxa"/>
              <w:right w:w="95" w:type="dxa"/>
            </w:tcMar>
            <w:vAlign w:val="center"/>
          </w:tcPr>
          <w:p w14:paraId="41F6F9C3" w14:textId="77777777" w:rsidR="004734E5" w:rsidRDefault="00000000">
            <w:pPr>
              <w:spacing w:after="0" w:line="240" w:lineRule="auto"/>
            </w:pPr>
            <w:r>
              <w:rPr>
                <w:sz w:val="16"/>
              </w:rPr>
              <w:t>Integrated libido, serving capacity, semen quality and female context</w:t>
            </w:r>
          </w:p>
        </w:tc>
        <w:tc>
          <w:tcPr>
            <w:tcW w:w="1000" w:type="pct"/>
            <w:tcMar>
              <w:top w:w="100" w:type="dxa"/>
              <w:left w:w="95" w:type="dxa"/>
              <w:bottom w:w="100" w:type="dxa"/>
              <w:right w:w="95" w:type="dxa"/>
            </w:tcMar>
            <w:vAlign w:val="center"/>
          </w:tcPr>
          <w:p w14:paraId="3AD87E3D" w14:textId="77777777" w:rsidR="004734E5" w:rsidRDefault="00000000">
            <w:pPr>
              <w:spacing w:after="0" w:line="240" w:lineRule="auto"/>
            </w:pPr>
            <w:r>
              <w:rPr>
                <w:sz w:val="16"/>
              </w:rPr>
              <w:t>Breeding-season and post-season outcomes</w:t>
            </w:r>
          </w:p>
        </w:tc>
        <w:tc>
          <w:tcPr>
            <w:tcW w:w="1183" w:type="pct"/>
            <w:tcMar>
              <w:top w:w="100" w:type="dxa"/>
              <w:left w:w="95" w:type="dxa"/>
              <w:bottom w:w="100" w:type="dxa"/>
              <w:right w:w="95" w:type="dxa"/>
            </w:tcMar>
            <w:vAlign w:val="center"/>
          </w:tcPr>
          <w:p w14:paraId="1E6FC02E" w14:textId="77777777" w:rsidR="004734E5" w:rsidRDefault="00000000">
            <w:pPr>
              <w:spacing w:after="0" w:line="240" w:lineRule="auto"/>
            </w:pPr>
            <w:r>
              <w:rPr>
                <w:sz w:val="16"/>
              </w:rPr>
              <w:t>Female fertility and herd management confound bull attribution</w:t>
            </w:r>
          </w:p>
        </w:tc>
        <w:tc>
          <w:tcPr>
            <w:tcW w:w="944" w:type="pct"/>
            <w:tcMar>
              <w:top w:w="100" w:type="dxa"/>
              <w:left w:w="95" w:type="dxa"/>
              <w:bottom w:w="100" w:type="dxa"/>
              <w:right w:w="95" w:type="dxa"/>
            </w:tcMar>
            <w:vAlign w:val="center"/>
          </w:tcPr>
          <w:p w14:paraId="402C6C45" w14:textId="77777777" w:rsidR="004734E5" w:rsidRDefault="00000000">
            <w:pPr>
              <w:spacing w:after="0" w:line="240" w:lineRule="auto"/>
            </w:pPr>
            <w:r>
              <w:rPr>
                <w:sz w:val="16"/>
              </w:rPr>
              <w:t>Rahman et al. (2018); Garcia-Oliveros et al. (2020)</w:t>
            </w:r>
          </w:p>
        </w:tc>
      </w:tr>
    </w:tbl>
    <w:p w14:paraId="23481543"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1F646AE2" w14:textId="77777777" w:rsidR="004734E5" w:rsidRDefault="00000000">
      <w:pPr>
        <w:pStyle w:val="Heading1"/>
      </w:pPr>
      <w:r>
        <w:rPr>
          <w:b w:val="0"/>
        </w:rPr>
        <w:lastRenderedPageBreak/>
        <w:t>6. Genetic and Evolutionary Routes to Thermotolerant Fertility</w:t>
      </w:r>
    </w:p>
    <w:p w14:paraId="6A652BC7" w14:textId="77777777" w:rsidR="004734E5" w:rsidRDefault="00000000">
      <w:pPr>
        <w:pStyle w:val="Heading2"/>
      </w:pPr>
      <w:r>
        <w:rPr>
          <w:b w:val="0"/>
        </w:rPr>
        <w:t>6.1 Breed Differences and Crossbreeding</w:t>
      </w:r>
    </w:p>
    <w:p w14:paraId="464D5CAA" w14:textId="77777777" w:rsidR="004734E5" w:rsidRDefault="00000000">
      <w:pPr>
        <w:pStyle w:val="BodyText"/>
      </w:pPr>
      <w:r>
        <w:t xml:space="preserve">Cattle populations differ in coat characteristics, sweating, skin structure, metabolic heat production and behavioural responses. </w:t>
      </w:r>
      <w:r>
        <w:rPr>
          <w:i/>
        </w:rPr>
        <w:t>Bos indicus</w:t>
      </w:r>
      <w:r>
        <w:t xml:space="preserve"> breeds and tropically adapted composites often maintain lower body temperature than specialised </w:t>
      </w:r>
      <w:r>
        <w:rPr>
          <w:i/>
        </w:rPr>
        <w:t>Bos taurus</w:t>
      </w:r>
      <w:r>
        <w:t xml:space="preserve"> dairy cattle under the same heat load. These differences support crossbreeding and breed substitution as long-term adaptation strategies, particularly in low-input tropical systems. Yet breed comparisons can be confounded by production level, previous acclimation and management. Lower heat production may reflect lower output as well as superior heat dissipation, so the relevant comparison is reproductive efficiency per unit of resource and across the full annual environment, not thermal physiology alone (Baena et al., 2019; McManus et al., 2026).</w:t>
      </w:r>
    </w:p>
    <w:p w14:paraId="20E8CAC3" w14:textId="77777777" w:rsidR="004734E5" w:rsidRDefault="00000000">
      <w:pPr>
        <w:pStyle w:val="BodyText"/>
      </w:pPr>
      <w:r>
        <w:t>Crossbreeding can introduce thermotolerance while retaining heterosis for fertility and survival, but the optimum breed composition is context dependent. In regions with cooler seasons or high-quality feeding, excessive emphasis on heat tolerance can reduce potential production. In extensive systems, adapted maternal lines may provide greater value through calving regularity, longevity and lower replacement cost. Evidence from crossbred dairy cattle indicates genetic variation in physiological indicators of heat tolerance, but routine recording of direct reproductive reaction norms remains limited (Oloo et al., 2024).</w:t>
      </w:r>
    </w:p>
    <w:p w14:paraId="1DB76EFD" w14:textId="77777777" w:rsidR="004734E5" w:rsidRDefault="00000000">
      <w:pPr>
        <w:pStyle w:val="Heading2"/>
      </w:pPr>
      <w:r>
        <w:rPr>
          <w:b w:val="0"/>
        </w:rPr>
        <w:t>6.2 Major Genes, Genomic Selection and Reaction Norms</w:t>
      </w:r>
    </w:p>
    <w:p w14:paraId="212992B7" w14:textId="77777777" w:rsidR="004734E5" w:rsidRDefault="00000000">
      <w:pPr>
        <w:pStyle w:val="BodyText"/>
      </w:pPr>
      <w:r>
        <w:t>The SLICK hair locus provides one of the clearest examples of a major thermotolerance allele transferred from tropically adapted cattle into dairy populations. Holstein cows carrying the allele have shown improved regulation of body temperature under heat, and calves and heifers carrying SLICK1 have demonstrated altered physiological responses across hot environments (Carmickle et al., 2022; Dikmen et al., 2014). Studies in Criollo Limonero cattle similarly support the thermal advantage of slick hair (Landaeta-Hernández et al., 2021). The fertility effect is biologically plausible, but direct evidence remains less extensive than evidence for body temperature and production. Introgression should therefore be evaluated for reproductive outcomes, linked traits and performance across multiple climates.</w:t>
      </w:r>
    </w:p>
    <w:p w14:paraId="52EE2FCD" w14:textId="77777777" w:rsidR="004734E5" w:rsidRDefault="00000000">
      <w:pPr>
        <w:pStyle w:val="BodyText"/>
      </w:pPr>
      <w:r>
        <w:t>Polygenic selection uses repeated performance records linked to environmental gradients. Reaction-norm models estimate how an animal’s genetic expression changes as THI rises, allowing selection for both favourable production and a flatter decline under heat. Genomic selection can accelerate progress, and proof-of-concept work has shown that heat-tolerance breeding values are feasible (Garner et al., 2016; Ravagnolo et al., 2000). The principal limitation is phenotype definition. Milk records are abundant, whereas conception, pregnancy loss, semen quality and physiological measurements are sparse or affected by management decisions. Selection based only on production response may not improve reproductive resilience and could reward animals whose milk yield is maintained at the cost of body condition or fertility.</w:t>
      </w:r>
    </w:p>
    <w:p w14:paraId="16ACA397" w14:textId="77777777" w:rsidR="004734E5" w:rsidRDefault="00000000">
      <w:pPr>
        <w:pStyle w:val="BodyText"/>
      </w:pPr>
      <w:r>
        <w:t>Recent fertility-specific analyses address this gap. Ojo et al. (2025) found genetic variation in the effect of heat stress on fertility traits in Dutch dairy cows, and Bolormaa et al. (2026) reported genetic and genomic variation in Australian Holstein fertility responses to THI. These studies support the feasibility of direct selection, but effect sizes, thresholds and trait definitions differ among populations. Genomic predictions are unlikely to transfer perfectly across countries because weather patterns, management, ancestry and recording systems differ. International evaluation therefore requires harmonised environmental descriptors and validation in the target production system.</w:t>
      </w:r>
    </w:p>
    <w:p w14:paraId="780CA2B5" w14:textId="77777777" w:rsidR="004734E5" w:rsidRDefault="00000000">
      <w:pPr>
        <w:pStyle w:val="Heading2"/>
      </w:pPr>
      <w:r>
        <w:rPr>
          <w:b w:val="0"/>
        </w:rPr>
        <w:lastRenderedPageBreak/>
        <w:t>6.3 Production-Fertility Trade-offs and Genotype-by-Environment Interaction</w:t>
      </w:r>
    </w:p>
    <w:p w14:paraId="17CAE534" w14:textId="77777777" w:rsidR="004734E5" w:rsidRDefault="00000000">
      <w:pPr>
        <w:pStyle w:val="BodyText"/>
      </w:pPr>
      <w:r>
        <w:t>Thermal resilience is not independent of other breeding goals. Selection for higher output has increased metabolic heat production and may have narrowed the margin between heat generation and dissipation. Fertility has also historically been antagonistic to intensive selection for milk yield. Vinet et al. (2024) showed that THI changes the balance between production and fertility, highlighting that the optimum genotype depends on environmental exposure. A breeding objective that ignores climate may overvalue animals performing well under mild conditions and undervalue robust cows whose advantage appears only during heat.</w:t>
      </w:r>
    </w:p>
    <w:p w14:paraId="5DC7C1A6" w14:textId="77777777" w:rsidR="004734E5" w:rsidRDefault="00000000">
      <w:pPr>
        <w:pStyle w:val="BodyText"/>
      </w:pPr>
      <w:r>
        <w:t>Genotype-by-environment interaction is therefore central. Fertility rankings may change across production environments, seasons or climatic regions, as demonstrated in New Zealand dairy cattle and in analyses of heat exposure during gestation and postpartum (Craig et al., 2018; Menéndez-Buxadera et al., 2020). This does not imply that every region needs a separate breed. It does mean that breeding values should include environmental sensitivity and that nucleus herds must represent the climates in which descendants will be used. Genomic diversity should also be protected because future climatic combinations and disease pressures cannot be predicted precisely.</w:t>
      </w:r>
    </w:p>
    <w:p w14:paraId="535CDB44" w14:textId="77777777" w:rsidR="004734E5" w:rsidRDefault="00000000">
      <w:pPr>
        <w:pStyle w:val="BodyText"/>
      </w:pPr>
      <w:r>
        <w:t>A further concern is that management can mask or distort genetic evaluation. Intensive cooling may reduce variation in heat exposure so effectively that thermotolerant animals have little opportunity to express an advantage. In poorly cooled herds, extreme stress may overwhelm all genotypes and compress differences at the low end of performance. Selective treatment of valuable cows can also create non-random environmental exposure. Reaction-norm analyses should incorporate cooling, housing, parity and production level where possible, and breeding programmes should retain validation herds spanning realistic management intensities (Habimana et al., 2023).</w:t>
      </w:r>
    </w:p>
    <w:p w14:paraId="2C549100" w14:textId="77777777" w:rsidR="004734E5" w:rsidRDefault="00000000">
      <w:pPr>
        <w:pStyle w:val="BodyText"/>
      </w:pPr>
      <w:r>
        <w:t>Table 4 compares breeding routes. Major-gene introgression offers a visible and potentially rapid thermal phenotype, whereas polygenic selection can distribute gain across traits but depends on high-quality records. Crossbreeding offers heterosis and adaptation in the near term but can complicate uniform management. No route is sufficient without phenotyping fertility under realistic heat exposure.</w:t>
      </w:r>
    </w:p>
    <w:p w14:paraId="434B89E9" w14:textId="77777777" w:rsidR="004734E5" w:rsidRDefault="00000000">
      <w:pPr>
        <w:pStyle w:val="TableCaption"/>
        <w:keepNext/>
      </w:pPr>
      <w:r>
        <w:rPr>
          <w:b/>
        </w:rPr>
        <w:t xml:space="preserve">Table 4. </w:t>
      </w:r>
      <w:r>
        <w:t>Genetic routes to reproductive resilience under heat stress</w:t>
      </w:r>
    </w:p>
    <w:tbl>
      <w:tblPr>
        <w:tblStyle w:val="TableGrid"/>
        <w:tblW w:w="5000" w:type="pct"/>
        <w:jc w:val="center"/>
        <w:tblLook w:val="04A0" w:firstRow="1" w:lastRow="0" w:firstColumn="1" w:lastColumn="0" w:noHBand="0" w:noVBand="1"/>
      </w:tblPr>
      <w:tblGrid>
        <w:gridCol w:w="1725"/>
        <w:gridCol w:w="2205"/>
        <w:gridCol w:w="2191"/>
        <w:gridCol w:w="1839"/>
        <w:gridCol w:w="1936"/>
      </w:tblGrid>
      <w:tr w:rsidR="004734E5" w14:paraId="33C7A9A7" w14:textId="77777777" w:rsidTr="00DD10DB">
        <w:trPr>
          <w:tblHeader/>
          <w:jc w:val="center"/>
        </w:trPr>
        <w:tc>
          <w:tcPr>
            <w:tcW w:w="872" w:type="pct"/>
            <w:shd w:val="clear" w:color="auto" w:fill="1F4E79"/>
            <w:tcMar>
              <w:top w:w="100" w:type="dxa"/>
              <w:left w:w="95" w:type="dxa"/>
              <w:bottom w:w="100" w:type="dxa"/>
              <w:right w:w="95" w:type="dxa"/>
            </w:tcMar>
            <w:vAlign w:val="center"/>
          </w:tcPr>
          <w:p w14:paraId="43F6927A" w14:textId="77777777" w:rsidR="004734E5" w:rsidRDefault="00000000">
            <w:pPr>
              <w:spacing w:after="0"/>
              <w:jc w:val="center"/>
            </w:pPr>
            <w:r>
              <w:rPr>
                <w:b/>
                <w:color w:val="FFFFFF"/>
                <w:sz w:val="16"/>
              </w:rPr>
              <w:t>Breeding route</w:t>
            </w:r>
          </w:p>
        </w:tc>
        <w:tc>
          <w:tcPr>
            <w:tcW w:w="1114" w:type="pct"/>
            <w:shd w:val="clear" w:color="auto" w:fill="1F4E79"/>
            <w:tcMar>
              <w:top w:w="100" w:type="dxa"/>
              <w:left w:w="95" w:type="dxa"/>
              <w:bottom w:w="100" w:type="dxa"/>
              <w:right w:w="95" w:type="dxa"/>
            </w:tcMar>
            <w:vAlign w:val="center"/>
          </w:tcPr>
          <w:p w14:paraId="655E1C33" w14:textId="77777777" w:rsidR="004734E5" w:rsidRDefault="00000000">
            <w:pPr>
              <w:spacing w:after="0"/>
              <w:jc w:val="center"/>
            </w:pPr>
            <w:r>
              <w:rPr>
                <w:b/>
                <w:color w:val="FFFFFF"/>
                <w:sz w:val="16"/>
              </w:rPr>
              <w:t>Potential reproductive advantage</w:t>
            </w:r>
          </w:p>
        </w:tc>
        <w:tc>
          <w:tcPr>
            <w:tcW w:w="1107" w:type="pct"/>
            <w:shd w:val="clear" w:color="auto" w:fill="1F4E79"/>
            <w:tcMar>
              <w:top w:w="100" w:type="dxa"/>
              <w:left w:w="95" w:type="dxa"/>
              <w:bottom w:w="100" w:type="dxa"/>
              <w:right w:w="95" w:type="dxa"/>
            </w:tcMar>
            <w:vAlign w:val="center"/>
          </w:tcPr>
          <w:p w14:paraId="666CAE1C" w14:textId="77777777" w:rsidR="004734E5" w:rsidRDefault="00000000">
            <w:pPr>
              <w:spacing w:after="0"/>
              <w:jc w:val="center"/>
            </w:pPr>
            <w:r>
              <w:rPr>
                <w:b/>
                <w:color w:val="FFFFFF"/>
                <w:sz w:val="16"/>
              </w:rPr>
              <w:t>Principal trade-off or risk</w:t>
            </w:r>
          </w:p>
        </w:tc>
        <w:tc>
          <w:tcPr>
            <w:tcW w:w="929" w:type="pct"/>
            <w:shd w:val="clear" w:color="auto" w:fill="1F4E79"/>
            <w:tcMar>
              <w:top w:w="100" w:type="dxa"/>
              <w:left w:w="95" w:type="dxa"/>
              <w:bottom w:w="100" w:type="dxa"/>
              <w:right w:w="95" w:type="dxa"/>
            </w:tcMar>
            <w:vAlign w:val="center"/>
          </w:tcPr>
          <w:p w14:paraId="7260635A" w14:textId="77777777" w:rsidR="004734E5" w:rsidRDefault="00000000">
            <w:pPr>
              <w:spacing w:after="0"/>
              <w:jc w:val="center"/>
            </w:pPr>
            <w:r>
              <w:rPr>
                <w:b/>
                <w:color w:val="FFFFFF"/>
                <w:sz w:val="16"/>
              </w:rPr>
              <w:t>Current readiness</w:t>
            </w:r>
          </w:p>
        </w:tc>
        <w:tc>
          <w:tcPr>
            <w:tcW w:w="979" w:type="pct"/>
            <w:shd w:val="clear" w:color="auto" w:fill="1F4E79"/>
            <w:tcMar>
              <w:top w:w="100" w:type="dxa"/>
              <w:left w:w="95" w:type="dxa"/>
              <w:bottom w:w="100" w:type="dxa"/>
              <w:right w:w="95" w:type="dxa"/>
            </w:tcMar>
            <w:vAlign w:val="center"/>
          </w:tcPr>
          <w:p w14:paraId="76D06535" w14:textId="77777777" w:rsidR="004734E5" w:rsidRDefault="00000000">
            <w:pPr>
              <w:spacing w:after="0"/>
              <w:jc w:val="center"/>
            </w:pPr>
            <w:r>
              <w:rPr>
                <w:b/>
                <w:color w:val="FFFFFF"/>
                <w:sz w:val="16"/>
              </w:rPr>
              <w:t>Supporting references</w:t>
            </w:r>
          </w:p>
        </w:tc>
      </w:tr>
      <w:tr w:rsidR="004734E5" w14:paraId="01484769" w14:textId="77777777" w:rsidTr="00DD10DB">
        <w:trPr>
          <w:cantSplit/>
          <w:jc w:val="center"/>
        </w:trPr>
        <w:tc>
          <w:tcPr>
            <w:tcW w:w="872" w:type="pct"/>
            <w:tcMar>
              <w:top w:w="100" w:type="dxa"/>
              <w:left w:w="95" w:type="dxa"/>
              <w:bottom w:w="100" w:type="dxa"/>
              <w:right w:w="95" w:type="dxa"/>
            </w:tcMar>
            <w:vAlign w:val="center"/>
          </w:tcPr>
          <w:p w14:paraId="0DC427D7" w14:textId="77777777" w:rsidR="004734E5" w:rsidRDefault="00000000">
            <w:pPr>
              <w:spacing w:after="0" w:line="240" w:lineRule="auto"/>
            </w:pPr>
            <w:r>
              <w:rPr>
                <w:sz w:val="16"/>
              </w:rPr>
              <w:t>Use of adapted breeds</w:t>
            </w:r>
          </w:p>
        </w:tc>
        <w:tc>
          <w:tcPr>
            <w:tcW w:w="1114" w:type="pct"/>
            <w:tcMar>
              <w:top w:w="100" w:type="dxa"/>
              <w:left w:w="95" w:type="dxa"/>
              <w:bottom w:w="100" w:type="dxa"/>
              <w:right w:w="95" w:type="dxa"/>
            </w:tcMar>
            <w:vAlign w:val="center"/>
          </w:tcPr>
          <w:p w14:paraId="3939111D" w14:textId="77777777" w:rsidR="004734E5" w:rsidRDefault="00000000">
            <w:pPr>
              <w:spacing w:after="0" w:line="240" w:lineRule="auto"/>
            </w:pPr>
            <w:r>
              <w:rPr>
                <w:sz w:val="16"/>
              </w:rPr>
              <w:t>Established thermoregulation, survival and maternal robustness</w:t>
            </w:r>
          </w:p>
        </w:tc>
        <w:tc>
          <w:tcPr>
            <w:tcW w:w="1107" w:type="pct"/>
            <w:tcMar>
              <w:top w:w="100" w:type="dxa"/>
              <w:left w:w="95" w:type="dxa"/>
              <w:bottom w:w="100" w:type="dxa"/>
              <w:right w:w="95" w:type="dxa"/>
            </w:tcMar>
            <w:vAlign w:val="center"/>
          </w:tcPr>
          <w:p w14:paraId="5D524D3D" w14:textId="77777777" w:rsidR="004734E5" w:rsidRDefault="00000000">
            <w:pPr>
              <w:spacing w:after="0" w:line="240" w:lineRule="auto"/>
            </w:pPr>
            <w:r>
              <w:rPr>
                <w:sz w:val="16"/>
              </w:rPr>
              <w:t>Possible lower output in favourable environments; limited specialised records</w:t>
            </w:r>
          </w:p>
        </w:tc>
        <w:tc>
          <w:tcPr>
            <w:tcW w:w="929" w:type="pct"/>
            <w:tcMar>
              <w:top w:w="100" w:type="dxa"/>
              <w:left w:w="95" w:type="dxa"/>
              <w:bottom w:w="100" w:type="dxa"/>
              <w:right w:w="95" w:type="dxa"/>
            </w:tcMar>
            <w:vAlign w:val="center"/>
          </w:tcPr>
          <w:p w14:paraId="396A16D8" w14:textId="77777777" w:rsidR="004734E5" w:rsidRDefault="00000000">
            <w:pPr>
              <w:spacing w:after="0" w:line="240" w:lineRule="auto"/>
            </w:pPr>
            <w:r>
              <w:rPr>
                <w:sz w:val="16"/>
              </w:rPr>
              <w:t>High where production goals and local resources are aligned</w:t>
            </w:r>
          </w:p>
        </w:tc>
        <w:tc>
          <w:tcPr>
            <w:tcW w:w="979" w:type="pct"/>
            <w:tcMar>
              <w:top w:w="100" w:type="dxa"/>
              <w:left w:w="95" w:type="dxa"/>
              <w:bottom w:w="100" w:type="dxa"/>
              <w:right w:w="95" w:type="dxa"/>
            </w:tcMar>
            <w:vAlign w:val="center"/>
          </w:tcPr>
          <w:p w14:paraId="35FB35B6" w14:textId="77777777" w:rsidR="004734E5" w:rsidRDefault="00000000">
            <w:pPr>
              <w:spacing w:after="0" w:line="240" w:lineRule="auto"/>
            </w:pPr>
            <w:r>
              <w:rPr>
                <w:sz w:val="16"/>
              </w:rPr>
              <w:t>Baena et al. (2019); McManus et al. (2026)</w:t>
            </w:r>
          </w:p>
        </w:tc>
      </w:tr>
      <w:tr w:rsidR="004734E5" w14:paraId="3F5F02D2" w14:textId="77777777" w:rsidTr="00DD10DB">
        <w:trPr>
          <w:cantSplit/>
          <w:jc w:val="center"/>
        </w:trPr>
        <w:tc>
          <w:tcPr>
            <w:tcW w:w="872" w:type="pct"/>
            <w:tcMar>
              <w:top w:w="100" w:type="dxa"/>
              <w:left w:w="95" w:type="dxa"/>
              <w:bottom w:w="100" w:type="dxa"/>
              <w:right w:w="95" w:type="dxa"/>
            </w:tcMar>
            <w:vAlign w:val="center"/>
          </w:tcPr>
          <w:p w14:paraId="4CE834C7" w14:textId="77777777" w:rsidR="004734E5" w:rsidRDefault="00000000">
            <w:pPr>
              <w:spacing w:after="0" w:line="240" w:lineRule="auto"/>
            </w:pPr>
            <w:r>
              <w:rPr>
                <w:sz w:val="16"/>
              </w:rPr>
              <w:t>Crossbreeding</w:t>
            </w:r>
          </w:p>
        </w:tc>
        <w:tc>
          <w:tcPr>
            <w:tcW w:w="1114" w:type="pct"/>
            <w:tcMar>
              <w:top w:w="100" w:type="dxa"/>
              <w:left w:w="95" w:type="dxa"/>
              <w:bottom w:w="100" w:type="dxa"/>
              <w:right w:w="95" w:type="dxa"/>
            </w:tcMar>
            <w:vAlign w:val="center"/>
          </w:tcPr>
          <w:p w14:paraId="033D8187" w14:textId="77777777" w:rsidR="004734E5" w:rsidRDefault="00000000">
            <w:pPr>
              <w:spacing w:after="0" w:line="240" w:lineRule="auto"/>
            </w:pPr>
            <w:r>
              <w:rPr>
                <w:sz w:val="16"/>
              </w:rPr>
              <w:t>Combines adaptation with heterosis for fertility and survival</w:t>
            </w:r>
          </w:p>
        </w:tc>
        <w:tc>
          <w:tcPr>
            <w:tcW w:w="1107" w:type="pct"/>
            <w:tcMar>
              <w:top w:w="100" w:type="dxa"/>
              <w:left w:w="95" w:type="dxa"/>
              <w:bottom w:w="100" w:type="dxa"/>
              <w:right w:w="95" w:type="dxa"/>
            </w:tcMar>
            <w:vAlign w:val="center"/>
          </w:tcPr>
          <w:p w14:paraId="699EBEB4" w14:textId="77777777" w:rsidR="004734E5" w:rsidRDefault="00000000">
            <w:pPr>
              <w:spacing w:after="0" w:line="240" w:lineRule="auto"/>
            </w:pPr>
            <w:r>
              <w:rPr>
                <w:sz w:val="16"/>
              </w:rPr>
              <w:t>Variable breed composition and less predictable management response</w:t>
            </w:r>
          </w:p>
        </w:tc>
        <w:tc>
          <w:tcPr>
            <w:tcW w:w="929" w:type="pct"/>
            <w:tcMar>
              <w:top w:w="100" w:type="dxa"/>
              <w:left w:w="95" w:type="dxa"/>
              <w:bottom w:w="100" w:type="dxa"/>
              <w:right w:w="95" w:type="dxa"/>
            </w:tcMar>
            <w:vAlign w:val="center"/>
          </w:tcPr>
          <w:p w14:paraId="0A06F51C" w14:textId="77777777" w:rsidR="004734E5" w:rsidRDefault="00000000">
            <w:pPr>
              <w:spacing w:after="0" w:line="240" w:lineRule="auto"/>
            </w:pPr>
            <w:r>
              <w:rPr>
                <w:sz w:val="16"/>
              </w:rPr>
              <w:t>High to moderate; context-specific design is essential</w:t>
            </w:r>
          </w:p>
        </w:tc>
        <w:tc>
          <w:tcPr>
            <w:tcW w:w="979" w:type="pct"/>
            <w:tcMar>
              <w:top w:w="100" w:type="dxa"/>
              <w:left w:w="95" w:type="dxa"/>
              <w:bottom w:w="100" w:type="dxa"/>
              <w:right w:w="95" w:type="dxa"/>
            </w:tcMar>
            <w:vAlign w:val="center"/>
          </w:tcPr>
          <w:p w14:paraId="47F5E500" w14:textId="77777777" w:rsidR="004734E5" w:rsidRDefault="00000000">
            <w:pPr>
              <w:spacing w:after="0" w:line="240" w:lineRule="auto"/>
            </w:pPr>
            <w:r>
              <w:rPr>
                <w:sz w:val="16"/>
              </w:rPr>
              <w:t>Oloo et al. (2024)</w:t>
            </w:r>
          </w:p>
        </w:tc>
      </w:tr>
      <w:tr w:rsidR="004734E5" w14:paraId="0739C07B" w14:textId="77777777" w:rsidTr="00DD10DB">
        <w:trPr>
          <w:cantSplit/>
          <w:jc w:val="center"/>
        </w:trPr>
        <w:tc>
          <w:tcPr>
            <w:tcW w:w="872" w:type="pct"/>
            <w:tcMar>
              <w:top w:w="100" w:type="dxa"/>
              <w:left w:w="95" w:type="dxa"/>
              <w:bottom w:w="100" w:type="dxa"/>
              <w:right w:w="95" w:type="dxa"/>
            </w:tcMar>
            <w:vAlign w:val="center"/>
          </w:tcPr>
          <w:p w14:paraId="3AFC199E" w14:textId="77777777" w:rsidR="004734E5" w:rsidRDefault="00000000">
            <w:pPr>
              <w:spacing w:after="0" w:line="240" w:lineRule="auto"/>
            </w:pPr>
            <w:r>
              <w:rPr>
                <w:sz w:val="16"/>
              </w:rPr>
              <w:t>SLICK introgression</w:t>
            </w:r>
          </w:p>
        </w:tc>
        <w:tc>
          <w:tcPr>
            <w:tcW w:w="1114" w:type="pct"/>
            <w:tcMar>
              <w:top w:w="100" w:type="dxa"/>
              <w:left w:w="95" w:type="dxa"/>
              <w:bottom w:w="100" w:type="dxa"/>
              <w:right w:w="95" w:type="dxa"/>
            </w:tcMar>
            <w:vAlign w:val="center"/>
          </w:tcPr>
          <w:p w14:paraId="746F8861" w14:textId="77777777" w:rsidR="004734E5" w:rsidRDefault="00000000">
            <w:pPr>
              <w:spacing w:after="0" w:line="240" w:lineRule="auto"/>
            </w:pPr>
            <w:r>
              <w:rPr>
                <w:sz w:val="16"/>
              </w:rPr>
              <w:t>Improved coat-mediated heat dissipation and lower body temperature</w:t>
            </w:r>
          </w:p>
        </w:tc>
        <w:tc>
          <w:tcPr>
            <w:tcW w:w="1107" w:type="pct"/>
            <w:tcMar>
              <w:top w:w="100" w:type="dxa"/>
              <w:left w:w="95" w:type="dxa"/>
              <w:bottom w:w="100" w:type="dxa"/>
              <w:right w:w="95" w:type="dxa"/>
            </w:tcMar>
            <w:vAlign w:val="center"/>
          </w:tcPr>
          <w:p w14:paraId="75CFE41A" w14:textId="77777777" w:rsidR="004734E5" w:rsidRDefault="00000000">
            <w:pPr>
              <w:spacing w:after="0" w:line="240" w:lineRule="auto"/>
            </w:pPr>
            <w:r>
              <w:rPr>
                <w:sz w:val="16"/>
              </w:rPr>
              <w:t>Fertility benefit and linked effects require multi-environment validation</w:t>
            </w:r>
          </w:p>
        </w:tc>
        <w:tc>
          <w:tcPr>
            <w:tcW w:w="929" w:type="pct"/>
            <w:tcMar>
              <w:top w:w="100" w:type="dxa"/>
              <w:left w:w="95" w:type="dxa"/>
              <w:bottom w:w="100" w:type="dxa"/>
              <w:right w:w="95" w:type="dxa"/>
            </w:tcMar>
            <w:vAlign w:val="center"/>
          </w:tcPr>
          <w:p w14:paraId="436EA4D1" w14:textId="77777777" w:rsidR="004734E5" w:rsidRDefault="00000000">
            <w:pPr>
              <w:spacing w:after="0" w:line="240" w:lineRule="auto"/>
            </w:pPr>
            <w:r>
              <w:rPr>
                <w:sz w:val="16"/>
              </w:rPr>
              <w:t>Moderate to high for thermal phenotype; lower for direct fertility evidence</w:t>
            </w:r>
          </w:p>
        </w:tc>
        <w:tc>
          <w:tcPr>
            <w:tcW w:w="979" w:type="pct"/>
            <w:tcMar>
              <w:top w:w="100" w:type="dxa"/>
              <w:left w:w="95" w:type="dxa"/>
              <w:bottom w:w="100" w:type="dxa"/>
              <w:right w:w="95" w:type="dxa"/>
            </w:tcMar>
            <w:vAlign w:val="center"/>
          </w:tcPr>
          <w:p w14:paraId="06B5CB02" w14:textId="77777777" w:rsidR="004734E5" w:rsidRDefault="00000000">
            <w:pPr>
              <w:spacing w:after="0" w:line="240" w:lineRule="auto"/>
            </w:pPr>
            <w:r>
              <w:rPr>
                <w:sz w:val="16"/>
              </w:rPr>
              <w:t>Carmickle et al. (2022); Dikmen et al. (2014); Landaeta-Hernández et al. (2021)</w:t>
            </w:r>
          </w:p>
        </w:tc>
      </w:tr>
      <w:tr w:rsidR="004734E5" w14:paraId="3E35B6F3" w14:textId="77777777" w:rsidTr="00DD10DB">
        <w:trPr>
          <w:cantSplit/>
          <w:jc w:val="center"/>
        </w:trPr>
        <w:tc>
          <w:tcPr>
            <w:tcW w:w="872" w:type="pct"/>
            <w:tcMar>
              <w:top w:w="100" w:type="dxa"/>
              <w:left w:w="95" w:type="dxa"/>
              <w:bottom w:w="100" w:type="dxa"/>
              <w:right w:w="95" w:type="dxa"/>
            </w:tcMar>
            <w:vAlign w:val="center"/>
          </w:tcPr>
          <w:p w14:paraId="4D99DD5D" w14:textId="77777777" w:rsidR="004734E5" w:rsidRDefault="00000000">
            <w:pPr>
              <w:spacing w:after="0" w:line="240" w:lineRule="auto"/>
            </w:pPr>
            <w:r>
              <w:rPr>
                <w:sz w:val="16"/>
              </w:rPr>
              <w:t>Polygenic reaction-norm selection</w:t>
            </w:r>
          </w:p>
        </w:tc>
        <w:tc>
          <w:tcPr>
            <w:tcW w:w="1114" w:type="pct"/>
            <w:tcMar>
              <w:top w:w="100" w:type="dxa"/>
              <w:left w:w="95" w:type="dxa"/>
              <w:bottom w:w="100" w:type="dxa"/>
              <w:right w:w="95" w:type="dxa"/>
            </w:tcMar>
            <w:vAlign w:val="center"/>
          </w:tcPr>
          <w:p w14:paraId="22CE18D8" w14:textId="77777777" w:rsidR="004734E5" w:rsidRDefault="00000000">
            <w:pPr>
              <w:spacing w:after="0" w:line="240" w:lineRule="auto"/>
            </w:pPr>
            <w:r>
              <w:rPr>
                <w:sz w:val="16"/>
              </w:rPr>
              <w:t>Direct selection for flatter fertility decline as THI increases</w:t>
            </w:r>
          </w:p>
        </w:tc>
        <w:tc>
          <w:tcPr>
            <w:tcW w:w="1107" w:type="pct"/>
            <w:tcMar>
              <w:top w:w="100" w:type="dxa"/>
              <w:left w:w="95" w:type="dxa"/>
              <w:bottom w:w="100" w:type="dxa"/>
              <w:right w:w="95" w:type="dxa"/>
            </w:tcMar>
            <w:vAlign w:val="center"/>
          </w:tcPr>
          <w:p w14:paraId="579BEB10" w14:textId="77777777" w:rsidR="004734E5" w:rsidRDefault="00000000">
            <w:pPr>
              <w:spacing w:after="0" w:line="240" w:lineRule="auto"/>
            </w:pPr>
            <w:r>
              <w:rPr>
                <w:sz w:val="16"/>
              </w:rPr>
              <w:t>Sparse fertility phenotypes and imperfect transfer across environments</w:t>
            </w:r>
          </w:p>
        </w:tc>
        <w:tc>
          <w:tcPr>
            <w:tcW w:w="929" w:type="pct"/>
            <w:tcMar>
              <w:top w:w="100" w:type="dxa"/>
              <w:left w:w="95" w:type="dxa"/>
              <w:bottom w:w="100" w:type="dxa"/>
              <w:right w:w="95" w:type="dxa"/>
            </w:tcMar>
            <w:vAlign w:val="center"/>
          </w:tcPr>
          <w:p w14:paraId="1395A16D" w14:textId="77777777" w:rsidR="004734E5" w:rsidRDefault="00000000">
            <w:pPr>
              <w:spacing w:after="0" w:line="240" w:lineRule="auto"/>
            </w:pPr>
            <w:r>
              <w:rPr>
                <w:sz w:val="16"/>
              </w:rPr>
              <w:t>Moderate and increasing</w:t>
            </w:r>
          </w:p>
        </w:tc>
        <w:tc>
          <w:tcPr>
            <w:tcW w:w="979" w:type="pct"/>
            <w:tcMar>
              <w:top w:w="100" w:type="dxa"/>
              <w:left w:w="95" w:type="dxa"/>
              <w:bottom w:w="100" w:type="dxa"/>
              <w:right w:w="95" w:type="dxa"/>
            </w:tcMar>
            <w:vAlign w:val="center"/>
          </w:tcPr>
          <w:p w14:paraId="6E5E998D" w14:textId="77777777" w:rsidR="004734E5" w:rsidRDefault="00000000">
            <w:pPr>
              <w:spacing w:after="0" w:line="240" w:lineRule="auto"/>
            </w:pPr>
            <w:r>
              <w:rPr>
                <w:sz w:val="16"/>
              </w:rPr>
              <w:t>Bolormaa et al. (2026); Ojo et al. (2025); Ravagnolo et al. (2000)</w:t>
            </w:r>
          </w:p>
        </w:tc>
      </w:tr>
      <w:tr w:rsidR="004734E5" w14:paraId="74492FDB" w14:textId="77777777" w:rsidTr="00DD10DB">
        <w:trPr>
          <w:cantSplit/>
          <w:jc w:val="center"/>
        </w:trPr>
        <w:tc>
          <w:tcPr>
            <w:tcW w:w="872" w:type="pct"/>
            <w:tcMar>
              <w:top w:w="100" w:type="dxa"/>
              <w:left w:w="95" w:type="dxa"/>
              <w:bottom w:w="100" w:type="dxa"/>
              <w:right w:w="95" w:type="dxa"/>
            </w:tcMar>
            <w:vAlign w:val="center"/>
          </w:tcPr>
          <w:p w14:paraId="2DB86484" w14:textId="77777777" w:rsidR="004734E5" w:rsidRDefault="00000000">
            <w:pPr>
              <w:spacing w:after="0" w:line="240" w:lineRule="auto"/>
            </w:pPr>
            <w:r>
              <w:rPr>
                <w:sz w:val="16"/>
              </w:rPr>
              <w:t>Multi-trait genomic selection</w:t>
            </w:r>
          </w:p>
        </w:tc>
        <w:tc>
          <w:tcPr>
            <w:tcW w:w="1114" w:type="pct"/>
            <w:tcMar>
              <w:top w:w="100" w:type="dxa"/>
              <w:left w:w="95" w:type="dxa"/>
              <w:bottom w:w="100" w:type="dxa"/>
              <w:right w:w="95" w:type="dxa"/>
            </w:tcMar>
            <w:vAlign w:val="center"/>
          </w:tcPr>
          <w:p w14:paraId="15F4E66F" w14:textId="77777777" w:rsidR="004734E5" w:rsidRDefault="00000000">
            <w:pPr>
              <w:spacing w:after="0" w:line="240" w:lineRule="auto"/>
            </w:pPr>
            <w:r>
              <w:rPr>
                <w:sz w:val="16"/>
              </w:rPr>
              <w:t>Balances fertility, production, longevity, health and thermal response</w:t>
            </w:r>
          </w:p>
        </w:tc>
        <w:tc>
          <w:tcPr>
            <w:tcW w:w="1107" w:type="pct"/>
            <w:tcMar>
              <w:top w:w="100" w:type="dxa"/>
              <w:left w:w="95" w:type="dxa"/>
              <w:bottom w:w="100" w:type="dxa"/>
              <w:right w:w="95" w:type="dxa"/>
            </w:tcMar>
            <w:vAlign w:val="center"/>
          </w:tcPr>
          <w:p w14:paraId="6F38F8ED" w14:textId="77777777" w:rsidR="004734E5" w:rsidRDefault="00000000">
            <w:pPr>
              <w:spacing w:after="0" w:line="240" w:lineRule="auto"/>
            </w:pPr>
            <w:r>
              <w:rPr>
                <w:sz w:val="16"/>
              </w:rPr>
              <w:t>Index weights can hide antagonisms and depend on economic assumptions</w:t>
            </w:r>
          </w:p>
        </w:tc>
        <w:tc>
          <w:tcPr>
            <w:tcW w:w="929" w:type="pct"/>
            <w:tcMar>
              <w:top w:w="100" w:type="dxa"/>
              <w:left w:w="95" w:type="dxa"/>
              <w:bottom w:w="100" w:type="dxa"/>
              <w:right w:w="95" w:type="dxa"/>
            </w:tcMar>
            <w:vAlign w:val="center"/>
          </w:tcPr>
          <w:p w14:paraId="77B29CAC" w14:textId="77777777" w:rsidR="004734E5" w:rsidRDefault="00000000">
            <w:pPr>
              <w:spacing w:after="0" w:line="240" w:lineRule="auto"/>
            </w:pPr>
            <w:r>
              <w:rPr>
                <w:sz w:val="16"/>
              </w:rPr>
              <w:t>Moderate; requires harmonised data and validation</w:t>
            </w:r>
          </w:p>
        </w:tc>
        <w:tc>
          <w:tcPr>
            <w:tcW w:w="979" w:type="pct"/>
            <w:tcMar>
              <w:top w:w="100" w:type="dxa"/>
              <w:left w:w="95" w:type="dxa"/>
              <w:bottom w:w="100" w:type="dxa"/>
              <w:right w:w="95" w:type="dxa"/>
            </w:tcMar>
            <w:vAlign w:val="center"/>
          </w:tcPr>
          <w:p w14:paraId="1A316700" w14:textId="77777777" w:rsidR="004734E5" w:rsidRDefault="00000000">
            <w:pPr>
              <w:spacing w:after="0" w:line="240" w:lineRule="auto"/>
            </w:pPr>
            <w:r>
              <w:rPr>
                <w:sz w:val="16"/>
              </w:rPr>
              <w:t>Garner et al. (2016); Vinet et al. (2024)</w:t>
            </w:r>
          </w:p>
        </w:tc>
      </w:tr>
      <w:tr w:rsidR="004734E5" w14:paraId="152BF4BC" w14:textId="77777777" w:rsidTr="00DD10DB">
        <w:trPr>
          <w:cantSplit/>
          <w:jc w:val="center"/>
        </w:trPr>
        <w:tc>
          <w:tcPr>
            <w:tcW w:w="872" w:type="pct"/>
            <w:tcMar>
              <w:top w:w="100" w:type="dxa"/>
              <w:left w:w="95" w:type="dxa"/>
              <w:bottom w:w="100" w:type="dxa"/>
              <w:right w:w="95" w:type="dxa"/>
            </w:tcMar>
            <w:vAlign w:val="center"/>
          </w:tcPr>
          <w:p w14:paraId="36BDE1FD" w14:textId="77777777" w:rsidR="004734E5" w:rsidRDefault="00000000">
            <w:pPr>
              <w:spacing w:after="0" w:line="240" w:lineRule="auto"/>
            </w:pPr>
            <w:r>
              <w:rPr>
                <w:sz w:val="16"/>
              </w:rPr>
              <w:lastRenderedPageBreak/>
              <w:t>Conservation of genetic diversity</w:t>
            </w:r>
          </w:p>
        </w:tc>
        <w:tc>
          <w:tcPr>
            <w:tcW w:w="1114" w:type="pct"/>
            <w:tcMar>
              <w:top w:w="100" w:type="dxa"/>
              <w:left w:w="95" w:type="dxa"/>
              <w:bottom w:w="100" w:type="dxa"/>
              <w:right w:w="95" w:type="dxa"/>
            </w:tcMar>
            <w:vAlign w:val="center"/>
          </w:tcPr>
          <w:p w14:paraId="2D938373" w14:textId="77777777" w:rsidR="004734E5" w:rsidRDefault="00000000">
            <w:pPr>
              <w:spacing w:after="0" w:line="240" w:lineRule="auto"/>
            </w:pPr>
            <w:r>
              <w:rPr>
                <w:sz w:val="16"/>
              </w:rPr>
              <w:t>Maintains options for future climates and novel trait combinations</w:t>
            </w:r>
          </w:p>
        </w:tc>
        <w:tc>
          <w:tcPr>
            <w:tcW w:w="1107" w:type="pct"/>
            <w:tcMar>
              <w:top w:w="100" w:type="dxa"/>
              <w:left w:w="95" w:type="dxa"/>
              <w:bottom w:w="100" w:type="dxa"/>
              <w:right w:w="95" w:type="dxa"/>
            </w:tcMar>
            <w:vAlign w:val="center"/>
          </w:tcPr>
          <w:p w14:paraId="0F2692C5" w14:textId="77777777" w:rsidR="004734E5" w:rsidRDefault="00000000">
            <w:pPr>
              <w:spacing w:after="0" w:line="240" w:lineRule="auto"/>
            </w:pPr>
            <w:r>
              <w:rPr>
                <w:sz w:val="16"/>
              </w:rPr>
              <w:t>Short-term gains may be slower than narrow selection</w:t>
            </w:r>
          </w:p>
        </w:tc>
        <w:tc>
          <w:tcPr>
            <w:tcW w:w="929" w:type="pct"/>
            <w:tcMar>
              <w:top w:w="100" w:type="dxa"/>
              <w:left w:w="95" w:type="dxa"/>
              <w:bottom w:w="100" w:type="dxa"/>
              <w:right w:w="95" w:type="dxa"/>
            </w:tcMar>
            <w:vAlign w:val="center"/>
          </w:tcPr>
          <w:p w14:paraId="55D947B0" w14:textId="77777777" w:rsidR="004734E5" w:rsidRDefault="00000000">
            <w:pPr>
              <w:spacing w:after="0" w:line="240" w:lineRule="auto"/>
            </w:pPr>
            <w:r>
              <w:rPr>
                <w:sz w:val="16"/>
              </w:rPr>
              <w:t>Strategically essential but often undervalued</w:t>
            </w:r>
          </w:p>
        </w:tc>
        <w:tc>
          <w:tcPr>
            <w:tcW w:w="979" w:type="pct"/>
            <w:tcMar>
              <w:top w:w="100" w:type="dxa"/>
              <w:left w:w="95" w:type="dxa"/>
              <w:bottom w:w="100" w:type="dxa"/>
              <w:right w:w="95" w:type="dxa"/>
            </w:tcMar>
            <w:vAlign w:val="center"/>
          </w:tcPr>
          <w:p w14:paraId="0BA006A7" w14:textId="77777777" w:rsidR="004734E5" w:rsidRDefault="00000000">
            <w:pPr>
              <w:spacing w:after="0" w:line="240" w:lineRule="auto"/>
            </w:pPr>
            <w:r>
              <w:rPr>
                <w:sz w:val="16"/>
              </w:rPr>
              <w:t>Cartwright et al. (2023); Habimana et al. (2023)</w:t>
            </w:r>
          </w:p>
        </w:tc>
      </w:tr>
    </w:tbl>
    <w:p w14:paraId="52588F63"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2A81A08F" w14:textId="77777777" w:rsidR="004734E5" w:rsidRDefault="00000000">
      <w:pPr>
        <w:pStyle w:val="Heading1"/>
      </w:pPr>
      <w:r>
        <w:rPr>
          <w:b w:val="0"/>
        </w:rPr>
        <w:t>7. Management and Reproductive Technologies</w:t>
      </w:r>
    </w:p>
    <w:p w14:paraId="49F94E63" w14:textId="77777777" w:rsidR="004734E5" w:rsidRDefault="00000000">
      <w:pPr>
        <w:pStyle w:val="Heading2"/>
      </w:pPr>
      <w:r>
        <w:rPr>
          <w:b w:val="0"/>
        </w:rPr>
        <w:t>7.1 Cooling, Shade, Housing and Silvopastoral Design</w:t>
      </w:r>
    </w:p>
    <w:p w14:paraId="7C410DE5" w14:textId="77777777" w:rsidR="004734E5" w:rsidRDefault="00000000">
      <w:pPr>
        <w:pStyle w:val="BodyText"/>
      </w:pPr>
      <w:r>
        <w:t>Physical reduction of heat load is the most direct planned adaptation. Fans, sprinklers, evaporative cooling, shade and altered handling schedules can lower body temperature and improve comfort. Fertility benefits are most likely when cooling is sustained across follicular development, breeding and early gestation rather than applied only on the insemination day. Early studies showed that temporary relief around breeding could influence hormonal and fertility responses, and short-term cooling of heifers under summer conditions improved pregnancy outcomes in some settings (Moghaddam et al., 2009; Wise et al., 1988). The variability across trials reflects climatic severity, duration, parity, production level and the adequacy of the cooling system.</w:t>
      </w:r>
    </w:p>
    <w:p w14:paraId="66BEF38A" w14:textId="77777777" w:rsidR="004734E5" w:rsidRDefault="00000000">
      <w:pPr>
        <w:pStyle w:val="BodyText"/>
      </w:pPr>
      <w:r>
        <w:t>Dry-period cooling is a high-leverage intervention because it protects the dam, placenta and developing calf. Controlled work has demonstrated metabolic benefits of cooling heat-stressed dry cows, and the broader evidence indicates consequences for subsequent lactation and offspring (Ouellet et al., 2020; Tao et al., 2012). Yet infrastructure-based cooling requires reliable water, electricity, maintenance and drainage. Under water scarcity or carbon-intensive electricity, poorly designed cooling can shift risk from animal heat load to resource insecurity or emissions.</w:t>
      </w:r>
    </w:p>
    <w:p w14:paraId="4691DDF5" w14:textId="77777777" w:rsidR="004734E5" w:rsidRDefault="00000000">
      <w:pPr>
        <w:pStyle w:val="BodyText"/>
      </w:pPr>
      <w:r>
        <w:t>Shade is more widely applicable across pasture systems. Artificial structures reduce solar radiation but can concentrate animals, manure and soil damage if poorly placed. Silvopastoral systems can provide distributed shade, cooler ground and wider ecological benefits. McManus et al. (2026) found lower thermal indicators in shaded Gyr and Girolando cows, while Oliveira et al. (2024) linked a livestock-forest integrated system with attenuation of heat-related oocyte effects. These findings are promising because they connect microclimate with reproductive biology, but tree systems require time, land-use planning and protection of forage production. Evidence for physiological relief is stronger than evidence for long-term conception and replacement outcomes.</w:t>
      </w:r>
    </w:p>
    <w:p w14:paraId="64FCDE43" w14:textId="77777777" w:rsidR="004734E5" w:rsidRDefault="00000000">
      <w:pPr>
        <w:pStyle w:val="Heading2"/>
      </w:pPr>
      <w:r>
        <w:rPr>
          <w:b w:val="0"/>
        </w:rPr>
        <w:t>7.2 Nutritional and Metabolic Support</w:t>
      </w:r>
    </w:p>
    <w:p w14:paraId="53E79D82" w14:textId="77777777" w:rsidR="004734E5" w:rsidRDefault="00000000">
      <w:pPr>
        <w:pStyle w:val="BodyText"/>
      </w:pPr>
      <w:r>
        <w:t>Nutritional adaptation aims to maintain energy and mineral supply while reducing heat generated during digestion. Strategies include increasing dietary energy density, adjusting fibre and feeding time, ensuring water access, correcting electrolyte losses and using antioxidants or rumen-protected nutrients. The physiological rationale is credible, but reproductive evidence is less consistent than evidence for intake or milk production. Heat stress changes metabolism in ways that are not equivalent to simple underfeeding, so supplementation cannot substitute for cooling when core temperature remains elevated (Min et al., 2019).</w:t>
      </w:r>
    </w:p>
    <w:p w14:paraId="77927703" w14:textId="77777777" w:rsidR="004734E5" w:rsidRDefault="00000000">
      <w:pPr>
        <w:pStyle w:val="BodyText"/>
      </w:pPr>
      <w:r>
        <w:t xml:space="preserve">Antioxidants are frequently proposed because oxidative stress affects oocytes, embryos and sperm. Controlled studies show that dietary antioxidants can alter metabolic and inflammatory biomarkers under heat stress, but biomarker improvement does not necessarily translate into conception or live birth (Abeyta et al., 2023). Responses depend on baseline diet, dose, bioavailability and the limiting mechanism. Supplementation is most defensible when it corrects a demonstrated nutritional constraint </w:t>
      </w:r>
      <w:r>
        <w:lastRenderedPageBreak/>
        <w:t>and is evaluated within an integrated cooling and reproductive programme, rather than marketed as a universal thermal antidote.</w:t>
      </w:r>
    </w:p>
    <w:p w14:paraId="48ECB8C8" w14:textId="77777777" w:rsidR="004734E5" w:rsidRDefault="00000000">
      <w:pPr>
        <w:pStyle w:val="BodyText"/>
      </w:pPr>
      <w:r>
        <w:t>Water management is inseparable from nutritional support. Heat increases drinking demand while drought can reduce quantity and quality. Long queues, warm water, high salinity or distant troughs can limit effective intake even when nominal supply appears adequate. Dehydration compromises evaporative cooling and can intensify the metabolic disruption associated with heat. Reproductive studies rarely measure individual water intake, creating a potential unobserved modifier of treatment response. Adaptation trials should report water temperature, access, flow rate and quality, and should evaluate the water productivity of cooling and feeding strategies rather than treating water as unlimited.</w:t>
      </w:r>
    </w:p>
    <w:p w14:paraId="3C79B2E3" w14:textId="77777777" w:rsidR="004734E5" w:rsidRDefault="00000000">
      <w:pPr>
        <w:pStyle w:val="BodyText"/>
      </w:pPr>
      <w:r>
        <w:t>Feeding time can be shifted towards cooler hours to support intake and reduce the coincidence of peak metabolic and environmental heat. Diet formulation can reduce excessive heat increment, but inadequate effective fibre or abrupt concentrate increases create ruminal and health risks that may themselves impair reproduction. The appropriate objective is stable nutrient supply and rumen function under heat, not maximal energy density. This balance is likely to differ between high-yield dairy cows, grazing beef cows and replacement heifers, reinforcing the need for stage- and system-specific recommendations (Min et al., 2019).</w:t>
      </w:r>
    </w:p>
    <w:p w14:paraId="23D08D53" w14:textId="77777777" w:rsidR="004734E5" w:rsidRDefault="00000000">
      <w:pPr>
        <w:pStyle w:val="Heading2"/>
      </w:pPr>
      <w:r>
        <w:rPr>
          <w:b w:val="0"/>
        </w:rPr>
        <w:t>7.3 Timed Breeding, Embryo Transfer and Seasonal Reproductive Planning</w:t>
      </w:r>
    </w:p>
    <w:p w14:paraId="12CA8159" w14:textId="77777777" w:rsidR="004734E5" w:rsidRDefault="00000000">
      <w:pPr>
        <w:pStyle w:val="BodyText"/>
      </w:pPr>
      <w:r>
        <w:t>Timed artificial insemination reduces dependence on visible oestrus and can improve service rates during hot weather, but conception remains constrained by gamete and uterine quality. Embryo transfer offers a stronger biological bypass because an embryo that has progressed beyond the most heat-sensitive stages can be placed into a synchronised recipient. Field studies found higher pregnancy rates after embryo transfer than after artificial insemination under summer heat, and timed transfer of fresh or cryopreserved in vitro-produced embryos has been used to improve reproductive outcomes (Al-Katanani et al., 2002; Ambrose et al., 1999; Putney et al., 1989).</w:t>
      </w:r>
    </w:p>
    <w:p w14:paraId="7DD0DEC9" w14:textId="77777777" w:rsidR="004734E5" w:rsidRDefault="00000000">
      <w:pPr>
        <w:pStyle w:val="BodyText"/>
      </w:pPr>
      <w:r>
        <w:t>The intervention is not universally superior. Embryo production, cryotolerance, recipient quality, technical expertise and cost determine success. Heat can still impair uterine receptivity and luteal support, so transfer does not remove the need to cool recipients. In vitro systems can themselves introduce stress and may interact with sire, dam and culture conditions. The strongest use case is targeted deployment during predictable high-risk periods in herds with adequate recipient management and where the value of pregnancy justifies the additional cost.</w:t>
      </w:r>
    </w:p>
    <w:p w14:paraId="50FFD2B5" w14:textId="77777777" w:rsidR="004734E5" w:rsidRDefault="00000000">
      <w:pPr>
        <w:pStyle w:val="BodyText"/>
      </w:pPr>
      <w:r>
        <w:t>Choice of embryo source also matters. Fresh in vitro-produced embryos avoid some cryoinjury but require synchronised logistics, whereas frozen or vitrified embryos are easier to distribute and schedule. Recipient selection based only on corpus-luteum presence may overlook heat load, body condition and previous pregnancy loss. A decision rule that integrates recipient temperature history, parity, luteal status and farm capacity may produce greater benefit than applying embryo transfer uniformly. Comparative trials should report cost per ongoing pregnancy and live calf, not only pregnancy at the first diagnosis (Al-Katanani et al., 2002; Ambrose et al., 1999).</w:t>
      </w:r>
    </w:p>
    <w:p w14:paraId="0143562E" w14:textId="77777777" w:rsidR="004734E5" w:rsidRDefault="00000000">
      <w:pPr>
        <w:pStyle w:val="BodyText"/>
      </w:pPr>
      <w:r>
        <w:t>Seasonal breeding can avoid peak heat, especially in extensive beef systems, but climate change is reducing the reliability of historical seasons. Shifting calving also changes feed demand, labour and market timing. Flexible breeding calendars should therefore use local climate forecasts and forage projections rather than fixed dates. Semen inventories should account for bull thermal history, and herds using natural service should conduct breeding-soundness examinations sufficiently after heat events to capture delayed defects.</w:t>
      </w:r>
    </w:p>
    <w:p w14:paraId="0F4DCFD2" w14:textId="77777777" w:rsidR="004734E5" w:rsidRDefault="00000000">
      <w:pPr>
        <w:pStyle w:val="Heading2"/>
      </w:pPr>
      <w:r>
        <w:rPr>
          <w:b w:val="0"/>
        </w:rPr>
        <w:lastRenderedPageBreak/>
        <w:t>7.4 Precision Phenotyping and Decision Support</w:t>
      </w:r>
    </w:p>
    <w:p w14:paraId="372A6C1B" w14:textId="77777777" w:rsidR="004734E5" w:rsidRDefault="00000000">
      <w:pPr>
        <w:pStyle w:val="BodyText"/>
      </w:pPr>
      <w:r>
        <w:t>Precision technologies can connect environmental exposure with individual response. Activity, rumination, vaginal or reticular temperature, respiration proxies, milk records and reproductive events can identify animals whose fertility declines disproportionately under heat. The value lies less in one sensor than in combining exposure, physiology and outcome over time. Individual baselines are preferable to fixed thresholds because adapted and susceptible animals can respond differently to the same weather.</w:t>
      </w:r>
    </w:p>
    <w:p w14:paraId="71820B5B" w14:textId="77777777" w:rsidR="004734E5" w:rsidRDefault="00000000">
      <w:pPr>
        <w:pStyle w:val="BodyText"/>
      </w:pPr>
      <w:r>
        <w:t>Implementation remains constrained by data quality, missingness, algorithm transfer and the tendency to validate systems against behaviour rather than pregnancy. Automated oestrus detection systems perform well in many dairy settings, but their alerts can be altered by heat-related reductions in activity and by housing differences (Mayo et al., 2019). Decision-support tools should report uncertainty and should be evaluated for net reproductive benefit, false alerts and labour consequences. Smallholder and extensive systems require lower-cost devices, intermittent connectivity and designs that do not assume individual electronic identification or continuous electricity.</w:t>
      </w:r>
    </w:p>
    <w:p w14:paraId="24FA856A" w14:textId="77777777" w:rsidR="004734E5" w:rsidRDefault="00000000">
      <w:pPr>
        <w:pStyle w:val="BodyText"/>
      </w:pPr>
      <w:r>
        <w:t>Table 5 compares management and reproductive options. It emphasises that evidence for reducing physiological heat load is often stronger than evidence for live-calf outcomes, and that resource requirements are part of biological effectiveness rather than external implementation details.</w:t>
      </w:r>
    </w:p>
    <w:p w14:paraId="39DD07F4" w14:textId="77777777" w:rsidR="004734E5" w:rsidRDefault="00000000">
      <w:pPr>
        <w:pStyle w:val="TableCaption"/>
        <w:keepNext/>
      </w:pPr>
      <w:r>
        <w:rPr>
          <w:b/>
        </w:rPr>
        <w:t xml:space="preserve">Table 5. </w:t>
      </w:r>
      <w:r>
        <w:t>Management and reproductive technologies for climate-related fertility risk</w:t>
      </w:r>
    </w:p>
    <w:tbl>
      <w:tblPr>
        <w:tblStyle w:val="TableGrid"/>
        <w:tblW w:w="5000" w:type="pct"/>
        <w:jc w:val="center"/>
        <w:tblLook w:val="04A0" w:firstRow="1" w:lastRow="0" w:firstColumn="1" w:lastColumn="0" w:noHBand="0" w:noVBand="1"/>
      </w:tblPr>
      <w:tblGrid>
        <w:gridCol w:w="1600"/>
        <w:gridCol w:w="2033"/>
        <w:gridCol w:w="2033"/>
        <w:gridCol w:w="2197"/>
        <w:gridCol w:w="2033"/>
      </w:tblGrid>
      <w:tr w:rsidR="004734E5" w14:paraId="2DF4EB05" w14:textId="77777777" w:rsidTr="00DD10DB">
        <w:trPr>
          <w:tblHeader/>
          <w:jc w:val="center"/>
        </w:trPr>
        <w:tc>
          <w:tcPr>
            <w:tcW w:w="808" w:type="pct"/>
            <w:shd w:val="clear" w:color="auto" w:fill="1F4E79"/>
            <w:tcMar>
              <w:top w:w="100" w:type="dxa"/>
              <w:left w:w="95" w:type="dxa"/>
              <w:bottom w:w="100" w:type="dxa"/>
              <w:right w:w="95" w:type="dxa"/>
            </w:tcMar>
            <w:vAlign w:val="center"/>
          </w:tcPr>
          <w:p w14:paraId="6F86EA50" w14:textId="77777777" w:rsidR="004734E5" w:rsidRDefault="00000000">
            <w:pPr>
              <w:spacing w:after="0"/>
              <w:jc w:val="center"/>
            </w:pPr>
            <w:r>
              <w:rPr>
                <w:b/>
                <w:color w:val="FFFFFF"/>
                <w:sz w:val="16"/>
              </w:rPr>
              <w:t>Adaptation option</w:t>
            </w:r>
          </w:p>
        </w:tc>
        <w:tc>
          <w:tcPr>
            <w:tcW w:w="1027" w:type="pct"/>
            <w:shd w:val="clear" w:color="auto" w:fill="1F4E79"/>
            <w:tcMar>
              <w:top w:w="100" w:type="dxa"/>
              <w:left w:w="95" w:type="dxa"/>
              <w:bottom w:w="100" w:type="dxa"/>
              <w:right w:w="95" w:type="dxa"/>
            </w:tcMar>
            <w:vAlign w:val="center"/>
          </w:tcPr>
          <w:p w14:paraId="25D7F4A0" w14:textId="77777777" w:rsidR="004734E5" w:rsidRDefault="00000000">
            <w:pPr>
              <w:spacing w:after="0"/>
              <w:jc w:val="center"/>
            </w:pPr>
            <w:r>
              <w:rPr>
                <w:b/>
                <w:color w:val="FFFFFF"/>
                <w:sz w:val="16"/>
              </w:rPr>
              <w:t>Primary reproductive target</w:t>
            </w:r>
          </w:p>
        </w:tc>
        <w:tc>
          <w:tcPr>
            <w:tcW w:w="1027" w:type="pct"/>
            <w:shd w:val="clear" w:color="auto" w:fill="1F4E79"/>
            <w:tcMar>
              <w:top w:w="100" w:type="dxa"/>
              <w:left w:w="95" w:type="dxa"/>
              <w:bottom w:w="100" w:type="dxa"/>
              <w:right w:w="95" w:type="dxa"/>
            </w:tcMar>
            <w:vAlign w:val="center"/>
          </w:tcPr>
          <w:p w14:paraId="68D077D0" w14:textId="77777777" w:rsidR="004734E5" w:rsidRDefault="00000000">
            <w:pPr>
              <w:spacing w:after="0"/>
              <w:jc w:val="center"/>
            </w:pPr>
            <w:r>
              <w:rPr>
                <w:b/>
                <w:color w:val="FFFFFF"/>
                <w:sz w:val="16"/>
              </w:rPr>
              <w:t>Evidence-supported benefit</w:t>
            </w:r>
          </w:p>
        </w:tc>
        <w:tc>
          <w:tcPr>
            <w:tcW w:w="1110" w:type="pct"/>
            <w:shd w:val="clear" w:color="auto" w:fill="1F4E79"/>
            <w:tcMar>
              <w:top w:w="100" w:type="dxa"/>
              <w:left w:w="95" w:type="dxa"/>
              <w:bottom w:w="100" w:type="dxa"/>
              <w:right w:w="95" w:type="dxa"/>
            </w:tcMar>
            <w:vAlign w:val="center"/>
          </w:tcPr>
          <w:p w14:paraId="209150AA" w14:textId="77777777" w:rsidR="004734E5" w:rsidRDefault="00000000">
            <w:pPr>
              <w:spacing w:after="0"/>
              <w:jc w:val="center"/>
            </w:pPr>
            <w:r>
              <w:rPr>
                <w:b/>
                <w:color w:val="FFFFFF"/>
                <w:sz w:val="16"/>
              </w:rPr>
              <w:t>Main constraint or maladaptation risk</w:t>
            </w:r>
          </w:p>
        </w:tc>
        <w:tc>
          <w:tcPr>
            <w:tcW w:w="1027" w:type="pct"/>
            <w:shd w:val="clear" w:color="auto" w:fill="1F4E79"/>
            <w:tcMar>
              <w:top w:w="100" w:type="dxa"/>
              <w:left w:w="95" w:type="dxa"/>
              <w:bottom w:w="100" w:type="dxa"/>
              <w:right w:w="95" w:type="dxa"/>
            </w:tcMar>
            <w:vAlign w:val="center"/>
          </w:tcPr>
          <w:p w14:paraId="01D04508" w14:textId="77777777" w:rsidR="004734E5" w:rsidRDefault="00000000">
            <w:pPr>
              <w:spacing w:after="0"/>
              <w:jc w:val="center"/>
            </w:pPr>
            <w:r>
              <w:rPr>
                <w:b/>
                <w:color w:val="FFFFFF"/>
                <w:sz w:val="16"/>
              </w:rPr>
              <w:t>Supporting references</w:t>
            </w:r>
          </w:p>
        </w:tc>
      </w:tr>
      <w:tr w:rsidR="004734E5" w14:paraId="6E2E1D8E" w14:textId="77777777" w:rsidTr="00DD10DB">
        <w:trPr>
          <w:cantSplit/>
          <w:jc w:val="center"/>
        </w:trPr>
        <w:tc>
          <w:tcPr>
            <w:tcW w:w="808" w:type="pct"/>
            <w:tcMar>
              <w:top w:w="100" w:type="dxa"/>
              <w:left w:w="95" w:type="dxa"/>
              <w:bottom w:w="100" w:type="dxa"/>
              <w:right w:w="95" w:type="dxa"/>
            </w:tcMar>
            <w:vAlign w:val="center"/>
          </w:tcPr>
          <w:p w14:paraId="27E8F19E" w14:textId="77777777" w:rsidR="004734E5" w:rsidRDefault="00000000">
            <w:pPr>
              <w:spacing w:after="0" w:line="240" w:lineRule="auto"/>
            </w:pPr>
            <w:r>
              <w:rPr>
                <w:sz w:val="16"/>
              </w:rPr>
              <w:t>Fans, sprinklers and evaporative cooling</w:t>
            </w:r>
          </w:p>
        </w:tc>
        <w:tc>
          <w:tcPr>
            <w:tcW w:w="1027" w:type="pct"/>
            <w:tcMar>
              <w:top w:w="100" w:type="dxa"/>
              <w:left w:w="95" w:type="dxa"/>
              <w:bottom w:w="100" w:type="dxa"/>
              <w:right w:w="95" w:type="dxa"/>
            </w:tcMar>
            <w:vAlign w:val="center"/>
          </w:tcPr>
          <w:p w14:paraId="2E89F9DD" w14:textId="77777777" w:rsidR="004734E5" w:rsidRDefault="00000000">
            <w:pPr>
              <w:spacing w:after="0" w:line="240" w:lineRule="auto"/>
            </w:pPr>
            <w:r>
              <w:rPr>
                <w:sz w:val="16"/>
              </w:rPr>
              <w:t>Whole-animal heat load across follicular, breeding and gestational windows</w:t>
            </w:r>
          </w:p>
        </w:tc>
        <w:tc>
          <w:tcPr>
            <w:tcW w:w="1027" w:type="pct"/>
            <w:tcMar>
              <w:top w:w="100" w:type="dxa"/>
              <w:left w:w="95" w:type="dxa"/>
              <w:bottom w:w="100" w:type="dxa"/>
              <w:right w:w="95" w:type="dxa"/>
            </w:tcMar>
            <w:vAlign w:val="center"/>
          </w:tcPr>
          <w:p w14:paraId="7E43675A" w14:textId="77777777" w:rsidR="004734E5" w:rsidRDefault="00000000">
            <w:pPr>
              <w:spacing w:after="0" w:line="240" w:lineRule="auto"/>
            </w:pPr>
            <w:r>
              <w:rPr>
                <w:sz w:val="16"/>
              </w:rPr>
              <w:t>Reduces body temperature and can improve fertility when sustained</w:t>
            </w:r>
          </w:p>
        </w:tc>
        <w:tc>
          <w:tcPr>
            <w:tcW w:w="1110" w:type="pct"/>
            <w:tcMar>
              <w:top w:w="100" w:type="dxa"/>
              <w:left w:w="95" w:type="dxa"/>
              <w:bottom w:w="100" w:type="dxa"/>
              <w:right w:w="95" w:type="dxa"/>
            </w:tcMar>
            <w:vAlign w:val="center"/>
          </w:tcPr>
          <w:p w14:paraId="7AE0E040" w14:textId="77777777" w:rsidR="004734E5" w:rsidRDefault="00000000">
            <w:pPr>
              <w:spacing w:after="0" w:line="240" w:lineRule="auto"/>
            </w:pPr>
            <w:r>
              <w:rPr>
                <w:sz w:val="16"/>
              </w:rPr>
              <w:t>Water, energy, drainage and maintenance requirements</w:t>
            </w:r>
          </w:p>
        </w:tc>
        <w:tc>
          <w:tcPr>
            <w:tcW w:w="1027" w:type="pct"/>
            <w:tcMar>
              <w:top w:w="100" w:type="dxa"/>
              <w:left w:w="95" w:type="dxa"/>
              <w:bottom w:w="100" w:type="dxa"/>
              <w:right w:w="95" w:type="dxa"/>
            </w:tcMar>
            <w:vAlign w:val="center"/>
          </w:tcPr>
          <w:p w14:paraId="2008017F" w14:textId="77777777" w:rsidR="004734E5" w:rsidRDefault="00000000">
            <w:pPr>
              <w:spacing w:after="0" w:line="240" w:lineRule="auto"/>
            </w:pPr>
            <w:r>
              <w:rPr>
                <w:sz w:val="16"/>
              </w:rPr>
              <w:t>Moghaddam et al. (2009); Wise et al. (1988)</w:t>
            </w:r>
          </w:p>
        </w:tc>
      </w:tr>
      <w:tr w:rsidR="004734E5" w14:paraId="068F99CB" w14:textId="77777777" w:rsidTr="00DD10DB">
        <w:trPr>
          <w:cantSplit/>
          <w:jc w:val="center"/>
        </w:trPr>
        <w:tc>
          <w:tcPr>
            <w:tcW w:w="808" w:type="pct"/>
            <w:tcMar>
              <w:top w:w="100" w:type="dxa"/>
              <w:left w:w="95" w:type="dxa"/>
              <w:bottom w:w="100" w:type="dxa"/>
              <w:right w:w="95" w:type="dxa"/>
            </w:tcMar>
            <w:vAlign w:val="center"/>
          </w:tcPr>
          <w:p w14:paraId="7A30C82B" w14:textId="77777777" w:rsidR="004734E5" w:rsidRDefault="00000000">
            <w:pPr>
              <w:spacing w:after="0" w:line="240" w:lineRule="auto"/>
            </w:pPr>
            <w:r>
              <w:rPr>
                <w:sz w:val="16"/>
              </w:rPr>
              <w:t>Artificial shade or altered handling time</w:t>
            </w:r>
          </w:p>
        </w:tc>
        <w:tc>
          <w:tcPr>
            <w:tcW w:w="1027" w:type="pct"/>
            <w:tcMar>
              <w:top w:w="100" w:type="dxa"/>
              <w:left w:w="95" w:type="dxa"/>
              <w:bottom w:w="100" w:type="dxa"/>
              <w:right w:w="95" w:type="dxa"/>
            </w:tcMar>
            <w:vAlign w:val="center"/>
          </w:tcPr>
          <w:p w14:paraId="3C7C15ED" w14:textId="77777777" w:rsidR="004734E5" w:rsidRDefault="00000000">
            <w:pPr>
              <w:spacing w:after="0" w:line="240" w:lineRule="auto"/>
            </w:pPr>
            <w:r>
              <w:rPr>
                <w:sz w:val="16"/>
              </w:rPr>
              <w:t>Solar load and acute hyperthermia</w:t>
            </w:r>
          </w:p>
        </w:tc>
        <w:tc>
          <w:tcPr>
            <w:tcW w:w="1027" w:type="pct"/>
            <w:tcMar>
              <w:top w:w="100" w:type="dxa"/>
              <w:left w:w="95" w:type="dxa"/>
              <w:bottom w:w="100" w:type="dxa"/>
              <w:right w:w="95" w:type="dxa"/>
            </w:tcMar>
            <w:vAlign w:val="center"/>
          </w:tcPr>
          <w:p w14:paraId="7F620C1F" w14:textId="77777777" w:rsidR="004734E5" w:rsidRDefault="00000000">
            <w:pPr>
              <w:spacing w:after="0" w:line="240" w:lineRule="auto"/>
            </w:pPr>
            <w:r>
              <w:rPr>
                <w:sz w:val="16"/>
              </w:rPr>
              <w:t>Improves thermal comfort and preserves time for feeding and reproduction</w:t>
            </w:r>
          </w:p>
        </w:tc>
        <w:tc>
          <w:tcPr>
            <w:tcW w:w="1110" w:type="pct"/>
            <w:tcMar>
              <w:top w:w="100" w:type="dxa"/>
              <w:left w:w="95" w:type="dxa"/>
              <w:bottom w:w="100" w:type="dxa"/>
              <w:right w:w="95" w:type="dxa"/>
            </w:tcMar>
            <w:vAlign w:val="center"/>
          </w:tcPr>
          <w:p w14:paraId="6F77F818" w14:textId="77777777" w:rsidR="004734E5" w:rsidRDefault="00000000">
            <w:pPr>
              <w:spacing w:after="0" w:line="240" w:lineRule="auto"/>
            </w:pPr>
            <w:r>
              <w:rPr>
                <w:sz w:val="16"/>
              </w:rPr>
              <w:t>Crowding, manure concentration and incomplete night-time relief</w:t>
            </w:r>
          </w:p>
        </w:tc>
        <w:tc>
          <w:tcPr>
            <w:tcW w:w="1027" w:type="pct"/>
            <w:tcMar>
              <w:top w:w="100" w:type="dxa"/>
              <w:left w:w="95" w:type="dxa"/>
              <w:bottom w:w="100" w:type="dxa"/>
              <w:right w:w="95" w:type="dxa"/>
            </w:tcMar>
            <w:vAlign w:val="center"/>
          </w:tcPr>
          <w:p w14:paraId="6875B437" w14:textId="77777777" w:rsidR="004734E5" w:rsidRDefault="00000000">
            <w:pPr>
              <w:spacing w:after="0" w:line="240" w:lineRule="auto"/>
            </w:pPr>
            <w:r>
              <w:rPr>
                <w:sz w:val="16"/>
              </w:rPr>
              <w:t>Kamal et al. (2018); Veissier et al. (2018)</w:t>
            </w:r>
          </w:p>
        </w:tc>
      </w:tr>
      <w:tr w:rsidR="004734E5" w14:paraId="60F6FD89" w14:textId="77777777" w:rsidTr="00DD10DB">
        <w:trPr>
          <w:cantSplit/>
          <w:jc w:val="center"/>
        </w:trPr>
        <w:tc>
          <w:tcPr>
            <w:tcW w:w="808" w:type="pct"/>
            <w:tcMar>
              <w:top w:w="100" w:type="dxa"/>
              <w:left w:w="95" w:type="dxa"/>
              <w:bottom w:w="100" w:type="dxa"/>
              <w:right w:w="95" w:type="dxa"/>
            </w:tcMar>
            <w:vAlign w:val="center"/>
          </w:tcPr>
          <w:p w14:paraId="4E0BC53B" w14:textId="77777777" w:rsidR="004734E5" w:rsidRDefault="00000000">
            <w:pPr>
              <w:spacing w:after="0" w:line="240" w:lineRule="auto"/>
            </w:pPr>
            <w:r>
              <w:rPr>
                <w:sz w:val="16"/>
              </w:rPr>
              <w:t>Silvopastoral design</w:t>
            </w:r>
          </w:p>
        </w:tc>
        <w:tc>
          <w:tcPr>
            <w:tcW w:w="1027" w:type="pct"/>
            <w:tcMar>
              <w:top w:w="100" w:type="dxa"/>
              <w:left w:w="95" w:type="dxa"/>
              <w:bottom w:w="100" w:type="dxa"/>
              <w:right w:w="95" w:type="dxa"/>
            </w:tcMar>
            <w:vAlign w:val="center"/>
          </w:tcPr>
          <w:p w14:paraId="349A4306" w14:textId="77777777" w:rsidR="004734E5" w:rsidRDefault="00000000">
            <w:pPr>
              <w:spacing w:after="0" w:line="240" w:lineRule="auto"/>
            </w:pPr>
            <w:r>
              <w:rPr>
                <w:sz w:val="16"/>
              </w:rPr>
              <w:t>Pasture microclimate, radiant heat and behavioural choice</w:t>
            </w:r>
          </w:p>
        </w:tc>
        <w:tc>
          <w:tcPr>
            <w:tcW w:w="1027" w:type="pct"/>
            <w:tcMar>
              <w:top w:w="100" w:type="dxa"/>
              <w:left w:w="95" w:type="dxa"/>
              <w:bottom w:w="100" w:type="dxa"/>
              <w:right w:w="95" w:type="dxa"/>
            </w:tcMar>
            <w:vAlign w:val="center"/>
          </w:tcPr>
          <w:p w14:paraId="1D0A07D0" w14:textId="77777777" w:rsidR="004734E5" w:rsidRDefault="00000000">
            <w:pPr>
              <w:spacing w:after="0" w:line="240" w:lineRule="auto"/>
            </w:pPr>
            <w:r>
              <w:rPr>
                <w:sz w:val="16"/>
              </w:rPr>
              <w:t>Lower physiological heat load; emerging evidence for oocyte protection</w:t>
            </w:r>
          </w:p>
        </w:tc>
        <w:tc>
          <w:tcPr>
            <w:tcW w:w="1110" w:type="pct"/>
            <w:tcMar>
              <w:top w:w="100" w:type="dxa"/>
              <w:left w:w="95" w:type="dxa"/>
              <w:bottom w:w="100" w:type="dxa"/>
              <w:right w:w="95" w:type="dxa"/>
            </w:tcMar>
            <w:vAlign w:val="center"/>
          </w:tcPr>
          <w:p w14:paraId="24DA66BE" w14:textId="77777777" w:rsidR="004734E5" w:rsidRDefault="00000000">
            <w:pPr>
              <w:spacing w:after="0" w:line="240" w:lineRule="auto"/>
            </w:pPr>
            <w:r>
              <w:rPr>
                <w:sz w:val="16"/>
              </w:rPr>
              <w:t>Establishment time, land competition and variable canopy-forage balance</w:t>
            </w:r>
          </w:p>
        </w:tc>
        <w:tc>
          <w:tcPr>
            <w:tcW w:w="1027" w:type="pct"/>
            <w:tcMar>
              <w:top w:w="100" w:type="dxa"/>
              <w:left w:w="95" w:type="dxa"/>
              <w:bottom w:w="100" w:type="dxa"/>
              <w:right w:w="95" w:type="dxa"/>
            </w:tcMar>
            <w:vAlign w:val="center"/>
          </w:tcPr>
          <w:p w14:paraId="69A458FE" w14:textId="77777777" w:rsidR="004734E5" w:rsidRDefault="00000000">
            <w:pPr>
              <w:spacing w:after="0" w:line="240" w:lineRule="auto"/>
            </w:pPr>
            <w:r>
              <w:rPr>
                <w:sz w:val="16"/>
              </w:rPr>
              <w:t>McManus et al. (2026); Oliveira et al. (2024)</w:t>
            </w:r>
          </w:p>
        </w:tc>
      </w:tr>
      <w:tr w:rsidR="004734E5" w14:paraId="4BAEB5D0" w14:textId="77777777" w:rsidTr="00DD10DB">
        <w:trPr>
          <w:cantSplit/>
          <w:jc w:val="center"/>
        </w:trPr>
        <w:tc>
          <w:tcPr>
            <w:tcW w:w="808" w:type="pct"/>
            <w:tcMar>
              <w:top w:w="100" w:type="dxa"/>
              <w:left w:w="95" w:type="dxa"/>
              <w:bottom w:w="100" w:type="dxa"/>
              <w:right w:w="95" w:type="dxa"/>
            </w:tcMar>
            <w:vAlign w:val="center"/>
          </w:tcPr>
          <w:p w14:paraId="7E6954DF" w14:textId="77777777" w:rsidR="004734E5" w:rsidRDefault="00000000">
            <w:pPr>
              <w:spacing w:after="0" w:line="240" w:lineRule="auto"/>
            </w:pPr>
            <w:r>
              <w:rPr>
                <w:sz w:val="16"/>
              </w:rPr>
              <w:t>Dietary adjustment and antioxidants</w:t>
            </w:r>
          </w:p>
        </w:tc>
        <w:tc>
          <w:tcPr>
            <w:tcW w:w="1027" w:type="pct"/>
            <w:tcMar>
              <w:top w:w="100" w:type="dxa"/>
              <w:left w:w="95" w:type="dxa"/>
              <w:bottom w:w="100" w:type="dxa"/>
              <w:right w:w="95" w:type="dxa"/>
            </w:tcMar>
            <w:vAlign w:val="center"/>
          </w:tcPr>
          <w:p w14:paraId="29E9E2A1" w14:textId="77777777" w:rsidR="004734E5" w:rsidRDefault="00000000">
            <w:pPr>
              <w:spacing w:after="0" w:line="240" w:lineRule="auto"/>
            </w:pPr>
            <w:r>
              <w:rPr>
                <w:sz w:val="16"/>
              </w:rPr>
              <w:t>Energy balance, hydration and oxidative stress</w:t>
            </w:r>
          </w:p>
        </w:tc>
        <w:tc>
          <w:tcPr>
            <w:tcW w:w="1027" w:type="pct"/>
            <w:tcMar>
              <w:top w:w="100" w:type="dxa"/>
              <w:left w:w="95" w:type="dxa"/>
              <w:bottom w:w="100" w:type="dxa"/>
              <w:right w:w="95" w:type="dxa"/>
            </w:tcMar>
            <w:vAlign w:val="center"/>
          </w:tcPr>
          <w:p w14:paraId="0CA7F875" w14:textId="77777777" w:rsidR="004734E5" w:rsidRDefault="00000000">
            <w:pPr>
              <w:spacing w:after="0" w:line="240" w:lineRule="auto"/>
            </w:pPr>
            <w:r>
              <w:rPr>
                <w:sz w:val="16"/>
              </w:rPr>
              <w:t>Can support intake and alter metabolic or inflammatory responses</w:t>
            </w:r>
          </w:p>
        </w:tc>
        <w:tc>
          <w:tcPr>
            <w:tcW w:w="1110" w:type="pct"/>
            <w:tcMar>
              <w:top w:w="100" w:type="dxa"/>
              <w:left w:w="95" w:type="dxa"/>
              <w:bottom w:w="100" w:type="dxa"/>
              <w:right w:w="95" w:type="dxa"/>
            </w:tcMar>
            <w:vAlign w:val="center"/>
          </w:tcPr>
          <w:p w14:paraId="22F35C4C" w14:textId="77777777" w:rsidR="004734E5" w:rsidRDefault="00000000">
            <w:pPr>
              <w:spacing w:after="0" w:line="240" w:lineRule="auto"/>
            </w:pPr>
            <w:r>
              <w:rPr>
                <w:sz w:val="16"/>
              </w:rPr>
              <w:t>Fertility endpoints are inconsistent; cannot replace cooling</w:t>
            </w:r>
          </w:p>
        </w:tc>
        <w:tc>
          <w:tcPr>
            <w:tcW w:w="1027" w:type="pct"/>
            <w:tcMar>
              <w:top w:w="100" w:type="dxa"/>
              <w:left w:w="95" w:type="dxa"/>
              <w:bottom w:w="100" w:type="dxa"/>
              <w:right w:w="95" w:type="dxa"/>
            </w:tcMar>
            <w:vAlign w:val="center"/>
          </w:tcPr>
          <w:p w14:paraId="6D28A77F" w14:textId="77777777" w:rsidR="004734E5" w:rsidRDefault="00000000">
            <w:pPr>
              <w:spacing w:after="0" w:line="240" w:lineRule="auto"/>
            </w:pPr>
            <w:r>
              <w:rPr>
                <w:sz w:val="16"/>
              </w:rPr>
              <w:t>Abeyta et al. (2023); Min et al. (2019)</w:t>
            </w:r>
          </w:p>
        </w:tc>
      </w:tr>
      <w:tr w:rsidR="004734E5" w14:paraId="4DBF6ABB" w14:textId="77777777" w:rsidTr="00DD10DB">
        <w:trPr>
          <w:cantSplit/>
          <w:jc w:val="center"/>
        </w:trPr>
        <w:tc>
          <w:tcPr>
            <w:tcW w:w="808" w:type="pct"/>
            <w:tcMar>
              <w:top w:w="100" w:type="dxa"/>
              <w:left w:w="95" w:type="dxa"/>
              <w:bottom w:w="100" w:type="dxa"/>
              <w:right w:w="95" w:type="dxa"/>
            </w:tcMar>
            <w:vAlign w:val="center"/>
          </w:tcPr>
          <w:p w14:paraId="0881BE03" w14:textId="77777777" w:rsidR="004734E5" w:rsidRDefault="00000000">
            <w:pPr>
              <w:spacing w:after="0" w:line="240" w:lineRule="auto"/>
            </w:pPr>
            <w:r>
              <w:rPr>
                <w:sz w:val="16"/>
              </w:rPr>
              <w:t>Timed AI</w:t>
            </w:r>
          </w:p>
        </w:tc>
        <w:tc>
          <w:tcPr>
            <w:tcW w:w="1027" w:type="pct"/>
            <w:tcMar>
              <w:top w:w="100" w:type="dxa"/>
              <w:left w:w="95" w:type="dxa"/>
              <w:bottom w:w="100" w:type="dxa"/>
              <w:right w:w="95" w:type="dxa"/>
            </w:tcMar>
            <w:vAlign w:val="center"/>
          </w:tcPr>
          <w:p w14:paraId="74633D92" w14:textId="77777777" w:rsidR="004734E5" w:rsidRDefault="00000000">
            <w:pPr>
              <w:spacing w:after="0" w:line="240" w:lineRule="auto"/>
            </w:pPr>
            <w:r>
              <w:rPr>
                <w:sz w:val="16"/>
              </w:rPr>
              <w:t>Missed or weak oestrus</w:t>
            </w:r>
          </w:p>
        </w:tc>
        <w:tc>
          <w:tcPr>
            <w:tcW w:w="1027" w:type="pct"/>
            <w:tcMar>
              <w:top w:w="100" w:type="dxa"/>
              <w:left w:w="95" w:type="dxa"/>
              <w:bottom w:w="100" w:type="dxa"/>
              <w:right w:w="95" w:type="dxa"/>
            </w:tcMar>
            <w:vAlign w:val="center"/>
          </w:tcPr>
          <w:p w14:paraId="1E3E0AFE" w14:textId="77777777" w:rsidR="004734E5" w:rsidRDefault="00000000">
            <w:pPr>
              <w:spacing w:after="0" w:line="240" w:lineRule="auto"/>
            </w:pPr>
            <w:r>
              <w:rPr>
                <w:sz w:val="16"/>
              </w:rPr>
              <w:t>Improves service delivery despite reduced behavioural expression</w:t>
            </w:r>
          </w:p>
        </w:tc>
        <w:tc>
          <w:tcPr>
            <w:tcW w:w="1110" w:type="pct"/>
            <w:tcMar>
              <w:top w:w="100" w:type="dxa"/>
              <w:left w:w="95" w:type="dxa"/>
              <w:bottom w:w="100" w:type="dxa"/>
              <w:right w:w="95" w:type="dxa"/>
            </w:tcMar>
            <w:vAlign w:val="center"/>
          </w:tcPr>
          <w:p w14:paraId="4D387CFA" w14:textId="77777777" w:rsidR="004734E5" w:rsidRDefault="00000000">
            <w:pPr>
              <w:spacing w:after="0" w:line="240" w:lineRule="auto"/>
            </w:pPr>
            <w:r>
              <w:rPr>
                <w:sz w:val="16"/>
              </w:rPr>
              <w:t>Does not repair oocyte, embryo or uterine damage</w:t>
            </w:r>
          </w:p>
        </w:tc>
        <w:tc>
          <w:tcPr>
            <w:tcW w:w="1027" w:type="pct"/>
            <w:tcMar>
              <w:top w:w="100" w:type="dxa"/>
              <w:left w:w="95" w:type="dxa"/>
              <w:bottom w:w="100" w:type="dxa"/>
              <w:right w:w="95" w:type="dxa"/>
            </w:tcMar>
            <w:vAlign w:val="center"/>
          </w:tcPr>
          <w:p w14:paraId="0B1F6056" w14:textId="77777777" w:rsidR="004734E5" w:rsidRDefault="00000000">
            <w:pPr>
              <w:spacing w:after="0" w:line="240" w:lineRule="auto"/>
            </w:pPr>
            <w:r>
              <w:rPr>
                <w:sz w:val="16"/>
              </w:rPr>
              <w:t>De Rensis et al. (2015); Sankarganesh et al. (2026)</w:t>
            </w:r>
          </w:p>
        </w:tc>
      </w:tr>
      <w:tr w:rsidR="004734E5" w14:paraId="349B07A7" w14:textId="77777777" w:rsidTr="00DD10DB">
        <w:trPr>
          <w:cantSplit/>
          <w:jc w:val="center"/>
        </w:trPr>
        <w:tc>
          <w:tcPr>
            <w:tcW w:w="808" w:type="pct"/>
            <w:tcMar>
              <w:top w:w="100" w:type="dxa"/>
              <w:left w:w="95" w:type="dxa"/>
              <w:bottom w:w="100" w:type="dxa"/>
              <w:right w:w="95" w:type="dxa"/>
            </w:tcMar>
            <w:vAlign w:val="center"/>
          </w:tcPr>
          <w:p w14:paraId="436E5735" w14:textId="77777777" w:rsidR="004734E5" w:rsidRDefault="00000000">
            <w:pPr>
              <w:spacing w:after="0" w:line="240" w:lineRule="auto"/>
            </w:pPr>
            <w:r>
              <w:rPr>
                <w:sz w:val="16"/>
              </w:rPr>
              <w:t>Embryo transfer</w:t>
            </w:r>
          </w:p>
        </w:tc>
        <w:tc>
          <w:tcPr>
            <w:tcW w:w="1027" w:type="pct"/>
            <w:tcMar>
              <w:top w:w="100" w:type="dxa"/>
              <w:left w:w="95" w:type="dxa"/>
              <w:bottom w:w="100" w:type="dxa"/>
              <w:right w:w="95" w:type="dxa"/>
            </w:tcMar>
            <w:vAlign w:val="center"/>
          </w:tcPr>
          <w:p w14:paraId="7B146CD5" w14:textId="77777777" w:rsidR="004734E5" w:rsidRDefault="00000000">
            <w:pPr>
              <w:spacing w:after="0" w:line="240" w:lineRule="auto"/>
            </w:pPr>
            <w:r>
              <w:rPr>
                <w:sz w:val="16"/>
              </w:rPr>
              <w:t>Heat-sensitive oocyte and early-embryo stages</w:t>
            </w:r>
          </w:p>
        </w:tc>
        <w:tc>
          <w:tcPr>
            <w:tcW w:w="1027" w:type="pct"/>
            <w:tcMar>
              <w:top w:w="100" w:type="dxa"/>
              <w:left w:w="95" w:type="dxa"/>
              <w:bottom w:w="100" w:type="dxa"/>
              <w:right w:w="95" w:type="dxa"/>
            </w:tcMar>
            <w:vAlign w:val="center"/>
          </w:tcPr>
          <w:p w14:paraId="59A02CC0" w14:textId="77777777" w:rsidR="004734E5" w:rsidRDefault="00000000">
            <w:pPr>
              <w:spacing w:after="0" w:line="240" w:lineRule="auto"/>
            </w:pPr>
            <w:r>
              <w:rPr>
                <w:sz w:val="16"/>
              </w:rPr>
              <w:t>Can improve pregnancy relative to AI during heat by bypassing vulnerable stages</w:t>
            </w:r>
          </w:p>
        </w:tc>
        <w:tc>
          <w:tcPr>
            <w:tcW w:w="1110" w:type="pct"/>
            <w:tcMar>
              <w:top w:w="100" w:type="dxa"/>
              <w:left w:w="95" w:type="dxa"/>
              <w:bottom w:w="100" w:type="dxa"/>
              <w:right w:w="95" w:type="dxa"/>
            </w:tcMar>
            <w:vAlign w:val="center"/>
          </w:tcPr>
          <w:p w14:paraId="70E1A7E0" w14:textId="77777777" w:rsidR="004734E5" w:rsidRDefault="00000000">
            <w:pPr>
              <w:spacing w:after="0" w:line="240" w:lineRule="auto"/>
            </w:pPr>
            <w:r>
              <w:rPr>
                <w:sz w:val="16"/>
              </w:rPr>
              <w:t>Cost, expertise, recipient heat load and embryo-quality variability</w:t>
            </w:r>
          </w:p>
        </w:tc>
        <w:tc>
          <w:tcPr>
            <w:tcW w:w="1027" w:type="pct"/>
            <w:tcMar>
              <w:top w:w="100" w:type="dxa"/>
              <w:left w:w="95" w:type="dxa"/>
              <w:bottom w:w="100" w:type="dxa"/>
              <w:right w:w="95" w:type="dxa"/>
            </w:tcMar>
            <w:vAlign w:val="center"/>
          </w:tcPr>
          <w:p w14:paraId="1BF22C52" w14:textId="77777777" w:rsidR="004734E5" w:rsidRDefault="00000000">
            <w:pPr>
              <w:spacing w:after="0" w:line="240" w:lineRule="auto"/>
            </w:pPr>
            <w:r>
              <w:rPr>
                <w:sz w:val="16"/>
              </w:rPr>
              <w:t>Al-Katanani et al. (2002); Ambrose et al. (1999); Putney et al. (1989)</w:t>
            </w:r>
          </w:p>
        </w:tc>
      </w:tr>
      <w:tr w:rsidR="004734E5" w14:paraId="3960BD8B" w14:textId="77777777" w:rsidTr="00DD10DB">
        <w:trPr>
          <w:cantSplit/>
          <w:jc w:val="center"/>
        </w:trPr>
        <w:tc>
          <w:tcPr>
            <w:tcW w:w="808" w:type="pct"/>
            <w:tcMar>
              <w:top w:w="100" w:type="dxa"/>
              <w:left w:w="95" w:type="dxa"/>
              <w:bottom w:w="100" w:type="dxa"/>
              <w:right w:w="95" w:type="dxa"/>
            </w:tcMar>
            <w:vAlign w:val="center"/>
          </w:tcPr>
          <w:p w14:paraId="3A815E8C" w14:textId="77777777" w:rsidR="004734E5" w:rsidRDefault="00000000">
            <w:pPr>
              <w:spacing w:after="0" w:line="240" w:lineRule="auto"/>
            </w:pPr>
            <w:r>
              <w:rPr>
                <w:sz w:val="16"/>
              </w:rPr>
              <w:t>Precision monitoring</w:t>
            </w:r>
          </w:p>
        </w:tc>
        <w:tc>
          <w:tcPr>
            <w:tcW w:w="1027" w:type="pct"/>
            <w:tcMar>
              <w:top w:w="100" w:type="dxa"/>
              <w:left w:w="95" w:type="dxa"/>
              <w:bottom w:w="100" w:type="dxa"/>
              <w:right w:w="95" w:type="dxa"/>
            </w:tcMar>
            <w:vAlign w:val="center"/>
          </w:tcPr>
          <w:p w14:paraId="1014E246" w14:textId="77777777" w:rsidR="004734E5" w:rsidRDefault="00000000">
            <w:pPr>
              <w:spacing w:after="0" w:line="240" w:lineRule="auto"/>
            </w:pPr>
            <w:r>
              <w:rPr>
                <w:sz w:val="16"/>
              </w:rPr>
              <w:t>Individual risk, oestrus detection and intervention timing</w:t>
            </w:r>
          </w:p>
        </w:tc>
        <w:tc>
          <w:tcPr>
            <w:tcW w:w="1027" w:type="pct"/>
            <w:tcMar>
              <w:top w:w="100" w:type="dxa"/>
              <w:left w:w="95" w:type="dxa"/>
              <w:bottom w:w="100" w:type="dxa"/>
              <w:right w:w="95" w:type="dxa"/>
            </w:tcMar>
            <w:vAlign w:val="center"/>
          </w:tcPr>
          <w:p w14:paraId="0C3960DD" w14:textId="77777777" w:rsidR="004734E5" w:rsidRDefault="00000000">
            <w:pPr>
              <w:spacing w:after="0" w:line="240" w:lineRule="auto"/>
            </w:pPr>
            <w:r>
              <w:rPr>
                <w:sz w:val="16"/>
              </w:rPr>
              <w:t>Links exposure with behaviour and physiological response</w:t>
            </w:r>
          </w:p>
        </w:tc>
        <w:tc>
          <w:tcPr>
            <w:tcW w:w="1110" w:type="pct"/>
            <w:tcMar>
              <w:top w:w="100" w:type="dxa"/>
              <w:left w:w="95" w:type="dxa"/>
              <w:bottom w:w="100" w:type="dxa"/>
              <w:right w:w="95" w:type="dxa"/>
            </w:tcMar>
            <w:vAlign w:val="center"/>
          </w:tcPr>
          <w:p w14:paraId="1045B210" w14:textId="77777777" w:rsidR="004734E5" w:rsidRDefault="00000000">
            <w:pPr>
              <w:spacing w:after="0" w:line="240" w:lineRule="auto"/>
            </w:pPr>
            <w:r>
              <w:rPr>
                <w:sz w:val="16"/>
              </w:rPr>
              <w:t>Algorithm transfer, false alerts, cost and connectivity</w:t>
            </w:r>
          </w:p>
        </w:tc>
        <w:tc>
          <w:tcPr>
            <w:tcW w:w="1027" w:type="pct"/>
            <w:tcMar>
              <w:top w:w="100" w:type="dxa"/>
              <w:left w:w="95" w:type="dxa"/>
              <w:bottom w:w="100" w:type="dxa"/>
              <w:right w:w="95" w:type="dxa"/>
            </w:tcMar>
            <w:vAlign w:val="center"/>
          </w:tcPr>
          <w:p w14:paraId="5CCCD6FE" w14:textId="77777777" w:rsidR="004734E5" w:rsidRDefault="00000000">
            <w:pPr>
              <w:spacing w:after="0" w:line="240" w:lineRule="auto"/>
            </w:pPr>
            <w:r>
              <w:rPr>
                <w:sz w:val="16"/>
              </w:rPr>
              <w:t>Mayo et al. (2019); Sankarganesh et al. (2026)</w:t>
            </w:r>
          </w:p>
        </w:tc>
      </w:tr>
    </w:tbl>
    <w:p w14:paraId="4F544D38"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7023415F" w14:textId="77777777" w:rsidR="004734E5" w:rsidRDefault="00000000">
      <w:pPr>
        <w:pStyle w:val="Heading1"/>
      </w:pPr>
      <w:r>
        <w:rPr>
          <w:b w:val="0"/>
        </w:rPr>
        <w:lastRenderedPageBreak/>
        <w:t>8. An Integrated Adaptation Framework</w:t>
      </w:r>
    </w:p>
    <w:p w14:paraId="138FC629" w14:textId="77777777" w:rsidR="004734E5" w:rsidRDefault="00000000">
      <w:pPr>
        <w:pStyle w:val="BodyText"/>
      </w:pPr>
      <w:r>
        <w:t>The evidence supports a layered framework rather than a single best intervention. The first layer is exposure reduction through shade, water, housing, work scheduling and pasture design. The second is biological buffering through nutrition, health management and maintenance of body condition. The third is reproductive control through timed breeding, semen quality assurance, embryo transfer and climate-informed breeding calendars. The fourth is genetic change through selection, crossbreeding and conservation of adapted germplasm. Precision monitoring links the layers by identifying when environmental exposure becomes biologically consequential for a particular animal.</w:t>
      </w:r>
    </w:p>
    <w:p w14:paraId="0DB1D50F" w14:textId="77777777" w:rsidR="004734E5" w:rsidRDefault="00000000">
      <w:pPr>
        <w:pStyle w:val="BodyText"/>
      </w:pPr>
      <w:r>
        <w:t>Layering is necessary because interventions protect different stages. Cooling lowers the probability of damage but may be incomplete during severe events. Timed insemination addresses detection but not cellular injury. Embryo transfer bypasses early vulnerability but still depends on recipient competence. Genetic adaptation reduces recurrent sensitivity but requires generations and may involve output trade-offs. When these options are combined, marginal benefits and costs should be evaluated jointly. For example, a thermotolerant genotype may require less water-intensive cooling, while improved shade may reveal genetic fertility differences that were previously masked by extreme exposure.</w:t>
      </w:r>
    </w:p>
    <w:p w14:paraId="7A4762D5" w14:textId="77777777" w:rsidR="004734E5" w:rsidRDefault="00000000">
      <w:pPr>
        <w:pStyle w:val="BodyText"/>
      </w:pPr>
      <w:r>
        <w:t>Adaptation must also be assessed against mitigation and equity. Energy-intensive cooling may increase emissions where electricity is carbon intensive, and water-based systems can be untenable during drought. High-cost reproductive technologies may improve elite dairy herds while remaining inaccessible to smallholders, pastoralists and natural-service beef systems. Silvopastoral systems can offer co-benefits, but land tenure and establishment finance can limit adoption. Climate-smart livestock guidance therefore emphasises context-specific packages and project-cycle assessment rather than technology transfer without resource analysis (Gerber &amp; Germer, 2024).</w:t>
      </w:r>
    </w:p>
    <w:p w14:paraId="1FA78309" w14:textId="77777777" w:rsidR="004734E5" w:rsidRDefault="00000000">
      <w:pPr>
        <w:pStyle w:val="BodyText"/>
      </w:pPr>
      <w:r>
        <w:t>A reproductive-resilience metric should extend beyond conception rate. Relevant outcomes include service rate, pregnancy loss, calving interval, live-calf survival, replacement quality, bull fertility, longevity, welfare and resource use per successful pregnancy. Measurements should be stratified by parity, breed, sex, production system and exposure history. Without this broader accounting, adaptation can appear successful by shifting losses to later stages or to less visible groups such as dry cows, bulls or replacement heifers.</w:t>
      </w:r>
    </w:p>
    <w:p w14:paraId="785ABB45" w14:textId="77777777" w:rsidR="004734E5" w:rsidRDefault="00000000">
      <w:pPr>
        <w:pStyle w:val="BodyText"/>
      </w:pPr>
      <w:r>
        <w:t>Resilience should also be separated from resistance and recovery. Resistance is the ability to limit decline during heat, recovery is the speed and completeness of return after exposure, and resilience encompasses both while maintaining long-term function. These components can rank animals or interventions differently. A cow may show a marked acute decline but recover rapidly, while another maintains conception during moderate heat yet accumulates damage during prolonged exposure. Longitudinal trajectories are therefore more informative than a single threshold response. This distinction can guide both genetic evaluation and management: cooling may increase resistance, while nutritional and health support may accelerate recovery.</w:t>
      </w:r>
    </w:p>
    <w:p w14:paraId="4BCF3F73" w14:textId="77777777" w:rsidR="004734E5" w:rsidRDefault="00000000">
      <w:pPr>
        <w:pStyle w:val="BodyText"/>
      </w:pPr>
      <w:r>
        <w:t>Decision-making should be anticipatory rather than reactive. By the time conception rate falls, the damaging exposure may have occurred weeks earlier. Weather forecasts, accumulated heat measures and biological lag models can trigger cooling, semen testing or embryo-transfer plans before losses become visible. Forecast-based action is especially valuable where resources are limited and cannot be applied continuously. Its success depends on locally calibrated trigger points and clear responsibility for acting on alerts, rather than the mere availability of a forecast.</w:t>
      </w:r>
    </w:p>
    <w:p w14:paraId="68C20281" w14:textId="77777777" w:rsidR="004734E5" w:rsidRDefault="00000000">
      <w:pPr>
        <w:pStyle w:val="BodyText"/>
      </w:pPr>
      <w:r>
        <w:t xml:space="preserve">The framework also implies governance needs. Weather and physiological data require interoperable standards; breeding organisations need fertility phenotypes linked to local climate; </w:t>
      </w:r>
      <w:r>
        <w:lastRenderedPageBreak/>
        <w:t>extension services need decision rules that account for delayed injury; and infrastructure programmes should include water, energy and maintenance costs. Adaptation is most durable when farmers can adjust intensity as risk changes, rather than being locked into a fixed system designed for historical climate.</w:t>
      </w:r>
    </w:p>
    <w:p w14:paraId="75E705FF" w14:textId="77777777" w:rsidR="004734E5" w:rsidRDefault="00000000">
      <w:pPr>
        <w:pStyle w:val="Heading1"/>
      </w:pPr>
      <w:r>
        <w:rPr>
          <w:b w:val="0"/>
        </w:rPr>
        <w:t>9. Future Directions</w:t>
      </w:r>
    </w:p>
    <w:p w14:paraId="3ADE007F" w14:textId="77777777" w:rsidR="004734E5" w:rsidRDefault="00000000">
      <w:pPr>
        <w:pStyle w:val="BodyText"/>
      </w:pPr>
      <w:r>
        <w:t>Immediate research should replace single-day THI thresholds with exposure models that include solar radiation, air movement, night-time recovery and cumulative heat across biologically defined windows. Studies should link these measures to internal temperature and to reproductive endpoints, rather than assuming that a change in respiration or milk yield predicts fertility. Multi-region protocols using common environmental and reproductive definitions would allow reaction norms to be compared without erasing local differences.</w:t>
      </w:r>
    </w:p>
    <w:p w14:paraId="71C5E186" w14:textId="77777777" w:rsidR="004734E5" w:rsidRDefault="00000000">
      <w:pPr>
        <w:pStyle w:val="BodyText"/>
      </w:pPr>
      <w:r>
        <w:t>Female research requires longitudinal designs beginning before follicle recruitment and continuing through calving. Repeated ovarian imaging, endocrine profiles, oocyte competence, uterine biomarkers and pregnancy-loss timing should be integrated in the same animals. Pair-fed controls and direct temperature measures are needed to distinguish thermal injury from reduced intake. Late-gestation studies should follow daughters and sons to breeding age, including semen quality and reproductive longevity, so that intergenerational effects are not inferred from neonatal traits alone.</w:t>
      </w:r>
    </w:p>
    <w:p w14:paraId="4F69C644" w14:textId="77777777" w:rsidR="004734E5" w:rsidRDefault="00000000">
      <w:pPr>
        <w:pStyle w:val="BodyText"/>
      </w:pPr>
      <w:r>
        <w:t>Male fertility should become a core component of climate adaptation. Artificial insemination centres and natural-service herds need prospective studies that record bull heat exposure, scrotal temperature, routine semen traits, chromatin integrity and field conception across the full delayed response and recovery period. The aim should be a validated thermal-history flag for semen use and breeding-soundness decisions. Genomic studies should test whether heat-tolerant semen phenotypes are heritable and whether selection creates correlated effects on production or offspring development.</w:t>
      </w:r>
    </w:p>
    <w:p w14:paraId="27E810D2" w14:textId="77777777" w:rsidR="004734E5" w:rsidRDefault="00000000">
      <w:pPr>
        <w:pStyle w:val="BodyText"/>
      </w:pPr>
      <w:r>
        <w:t>Breeding research should prioritise direct fertility reaction norms and cross-environment validation. Major alleles such as SLICK should be evaluated for conception, pregnancy maintenance and lifetime reproductive efficiency, not only body temperature. Polygenic indexes should include fertility, survival, health, welfare and resource use, with sensitivity analyses showing how economic weights change under alternative climate futures. Under-represented adapted breeds should be phenotyped and conserved before genetic erosion removes potentially valuable alleles.</w:t>
      </w:r>
    </w:p>
    <w:p w14:paraId="0CDA1445" w14:textId="77777777" w:rsidR="004734E5" w:rsidRDefault="00000000">
      <w:pPr>
        <w:pStyle w:val="BodyText"/>
      </w:pPr>
      <w:r>
        <w:t>Management trials should compare packages rather than isolated components. Factorial or adaptive designs can test genotype, cooling, shade, nutrition and reproductive technology together while measuring water, energy, labour, emissions and cost per live calf. Trials should include beef, extensive, smallholder and pastoral systems, where evidence is weakest. Economic analyses must account for avoided replacement, extended cow longevity and offspring effects, not only immediate pregnancy gain.</w:t>
      </w:r>
    </w:p>
    <w:p w14:paraId="25485596" w14:textId="77777777" w:rsidR="004734E5" w:rsidRDefault="00000000">
      <w:pPr>
        <w:pStyle w:val="BodyText"/>
      </w:pPr>
      <w:r>
        <w:t>Precision systems should be validated for climatic and population transfer. Algorithms trained in high-input Holstein herds need independent testing in crossbred, pasture and tropical cattle. Open data standards and transparent performance metrics would enable comparison of false alerts, missed oestrus and intervention timing. Low-cost sensing, intermittent data capture and farmer-centred interfaces are essential if climate adaptation is to reduce rather than widen inequalities.</w:t>
      </w:r>
    </w:p>
    <w:p w14:paraId="63083002" w14:textId="77777777" w:rsidR="004734E5" w:rsidRDefault="00000000">
      <w:pPr>
        <w:pStyle w:val="BodyText"/>
      </w:pPr>
      <w:r>
        <w:t xml:space="preserve">Longer-term work should integrate climate projections with breeding and infrastructure planning. The useful life of a barn, tree system or breeding programme extends beyond current weather variability. Scenario-based models should therefore compare flexible pathways under plausible combinations of heat, humidity, drought, feed price, energy availability and disease pressure. Such </w:t>
      </w:r>
      <w:r>
        <w:lastRenderedPageBreak/>
        <w:t>models should identify robust decisions that perform acceptably across uncertain futures rather than optimise for one forecast.</w:t>
      </w:r>
    </w:p>
    <w:p w14:paraId="4C26B8BC" w14:textId="77777777" w:rsidR="004734E5" w:rsidRDefault="00000000">
      <w:pPr>
        <w:pStyle w:val="Heading1"/>
      </w:pPr>
      <w:r>
        <w:rPr>
          <w:b w:val="0"/>
        </w:rPr>
        <w:t>10. Conclusions</w:t>
      </w:r>
    </w:p>
    <w:p w14:paraId="0489CF61" w14:textId="77777777" w:rsidR="004734E5" w:rsidRDefault="00000000">
      <w:pPr>
        <w:pStyle w:val="BodyText"/>
      </w:pPr>
      <w:r>
        <w:t>Reproductive adaptation of cattle to climate change is a system property produced by the interaction of environmental exposure, animal genotype, physiological stage and management capacity. The strongest evidence shows that heat stress acts before, during and after breeding: it disrupts follicular and oocyte competence, early embryonic development, uterine support, placental function and spermatogenesis. Several effects are delayed, so apparent recovery of weather or body temperature does not guarantee recovery of fertility. Female and male responses must therefore be managed across complete reproductive timelines. Genetic variation offers a durable route to resilience, including adapted breeds, crossbreeding, major thermotolerance alleles and polygenic reaction norms, but selection must target fertility directly and preserve production, longevity, welfare and diversity. Cooling, shade, silvopastoral design, nutritional support, timed breeding, embryo transfer and precision monitoring can reduce losses, although none is universally effective or resource neutral. The most defensible strategy is layered and locally calibrated: reduce exposure, protect sensitive biological windows, use reproductive technologies selectively, and breed cattle whose fertility remains robust under the target environment. Climate adaptation will be incomplete unless outcomes extend from conception to live-calf survival, replacement quality and lifetime reproductive performance, and unless water, energy, emissions, cost and access are evaluated alongside biological benefit.</w:t>
      </w:r>
    </w:p>
    <w:p w14:paraId="35E56FDD" w14:textId="77777777" w:rsidR="004734E5" w:rsidRDefault="00000000">
      <w:pPr>
        <w:pStyle w:val="Heading1"/>
      </w:pPr>
      <w:r>
        <w:rPr>
          <w:b w:val="0"/>
        </w:rPr>
        <w:t>11. Limitations</w:t>
      </w:r>
    </w:p>
    <w:p w14:paraId="3E0150E5" w14:textId="77777777" w:rsidR="004734E5" w:rsidRDefault="00000000">
      <w:pPr>
        <w:pStyle w:val="BodyText"/>
      </w:pPr>
      <w:r>
        <w:t>As a critical narrative review, this synthesis remains susceptible to selection and interpretive bias despite explicit searching, eligibility criteria and appraisal. Direct access to subscription databases was unavailable, and the review was restricted to English-language evidence that could be verified through accessible scholarly records. The literature is dominated by intensively managed dairy cattle, particularly Holsteins, while beef, extensive, smallholder and pastoral systems are under-represented. Considerable heterogeneity in heat metrics, exposure windows, breeds, parity, reproductive endpoints and management limits comparison and precludes quantitative synthesis. Many mechanistic conclusions rely on controlled or in vitro models whose thermal dose does not reproduce field complexity, whereas field studies are vulnerable to seasonal confounding. Long-term male, offspring and lifetime reproductive outcomes remain sparse, and publication bias towards harmful heat effects or successful interventions cannot be excluded.</w:t>
      </w:r>
    </w:p>
    <w:p w14:paraId="53893256" w14:textId="77777777" w:rsidR="004734E5" w:rsidRDefault="00000000">
      <w:r>
        <w:br w:type="page"/>
      </w:r>
    </w:p>
    <w:p w14:paraId="3759CB55" w14:textId="77777777" w:rsidR="00697D84" w:rsidRPr="000839CE" w:rsidRDefault="00697D84" w:rsidP="00697D84">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0ADA3DD2" w14:textId="77777777" w:rsidR="00697D84" w:rsidRPr="000839CE" w:rsidRDefault="00697D84" w:rsidP="00697D84">
      <w:pPr>
        <w:spacing w:after="0" w:line="240" w:lineRule="auto"/>
        <w:rPr>
          <w:rFonts w:ascii="Times New Roman" w:hAnsi="Times New Roman" w:cs="Times New Roman"/>
        </w:rPr>
      </w:pPr>
    </w:p>
    <w:p w14:paraId="71824EC5" w14:textId="77777777" w:rsidR="00697D84" w:rsidRPr="000839CE" w:rsidRDefault="00697D84" w:rsidP="00697D84">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15D0294" w14:textId="77777777" w:rsidR="004734E5" w:rsidRDefault="00000000">
      <w:pPr>
        <w:pStyle w:val="Heading1"/>
      </w:pPr>
      <w:r>
        <w:rPr>
          <w:b w:val="0"/>
        </w:rPr>
        <w:t>References</w:t>
      </w:r>
    </w:p>
    <w:p w14:paraId="7838D2D6" w14:textId="432D4E79" w:rsidR="004734E5" w:rsidRDefault="00000000">
      <w:pPr>
        <w:pStyle w:val="BodyText"/>
        <w:spacing w:after="80" w:line="240" w:lineRule="auto"/>
        <w:ind w:left="360" w:hanging="360"/>
      </w:pPr>
      <w:r>
        <w:rPr>
          <w:sz w:val="19"/>
        </w:rPr>
        <w:t xml:space="preserve">Abdel Aziz, R. L., Hussein, M. M., Mohamed, M. A. A., Elsaid, H., &amp; Abdel-Wahab, A. (2022). Heat stress during critical windows of the oestrous cycle and risk of pregnancy establishment in embryo-recipient dairy heifers. </w:t>
      </w:r>
      <w:r>
        <w:rPr>
          <w:i/>
          <w:sz w:val="19"/>
        </w:rPr>
        <w:t>Reproduction in Domestic Animals, 57</w:t>
      </w:r>
      <w:r>
        <w:rPr>
          <w:sz w:val="19"/>
        </w:rPr>
        <w:t xml:space="preserve">(8), 856-863. </w:t>
      </w:r>
      <w:r>
        <w:rPr>
          <w:color w:val="0563C1"/>
          <w:u w:val="single"/>
        </w:rPr>
        <w:t>https://doi.org/10.1111/rda.14128</w:t>
      </w:r>
    </w:p>
    <w:p w14:paraId="36FD4B3D" w14:textId="3FF60473" w:rsidR="004734E5" w:rsidRDefault="00000000">
      <w:pPr>
        <w:pStyle w:val="BodyText"/>
        <w:spacing w:after="80" w:line="240" w:lineRule="auto"/>
        <w:ind w:left="360" w:hanging="360"/>
      </w:pPr>
      <w:r>
        <w:rPr>
          <w:sz w:val="19"/>
        </w:rPr>
        <w:t xml:space="preserve">Abeyta, M. A., Al-Qaisi, M., Horst, E. A., Mayorga, E. J., Rodriguez-Jimenez, S., Goetz, B. M., Carta, S., Tucker, H., &amp; Baumgard, L. H. (2023). Effects of dietary antioxidant supplementation on metabolism and inflammatory biomarkers in heat-stressed dairy cows. </w:t>
      </w:r>
      <w:r>
        <w:rPr>
          <w:i/>
          <w:sz w:val="19"/>
        </w:rPr>
        <w:t>Journal of Dairy Science, 106</w:t>
      </w:r>
      <w:r>
        <w:rPr>
          <w:sz w:val="19"/>
        </w:rPr>
        <w:t xml:space="preserve">(2), 1441-1452. </w:t>
      </w:r>
      <w:r>
        <w:rPr>
          <w:color w:val="0563C1"/>
          <w:u w:val="single"/>
        </w:rPr>
        <w:t>https://doi.org/10.3168/jds.2022-22338</w:t>
      </w:r>
    </w:p>
    <w:p w14:paraId="2E3C216D" w14:textId="1B32F734" w:rsidR="004734E5" w:rsidRDefault="00000000">
      <w:pPr>
        <w:pStyle w:val="BodyText"/>
        <w:spacing w:after="80" w:line="240" w:lineRule="auto"/>
        <w:ind w:left="360" w:hanging="360"/>
      </w:pPr>
      <w:r>
        <w:rPr>
          <w:sz w:val="19"/>
        </w:rPr>
        <w:t xml:space="preserve">Al-Katanani, Y. M., Drost, M., Monson, R. L., Rutledge, J. J., Krininger, C. E., III, Block, J., Thatcher, W. W., &amp; Hansen, P. J. (2002). Pregnancy rates following timed embryo transfer with fresh or vitrified in vitro produced embryos in lactating dairy cows under heat stress conditions. </w:t>
      </w:r>
      <w:r>
        <w:rPr>
          <w:i/>
          <w:sz w:val="19"/>
        </w:rPr>
        <w:t>Theriogenology, 58</w:t>
      </w:r>
      <w:r>
        <w:rPr>
          <w:sz w:val="19"/>
        </w:rPr>
        <w:t xml:space="preserve">(1), 171-182. </w:t>
      </w:r>
      <w:r>
        <w:rPr>
          <w:color w:val="0563C1"/>
          <w:u w:val="single"/>
        </w:rPr>
        <w:t>https://doi.org/10.1016/S0093-691X(02)00916-0</w:t>
      </w:r>
    </w:p>
    <w:p w14:paraId="53DB2A43" w14:textId="4A67D191" w:rsidR="004734E5" w:rsidRDefault="00000000">
      <w:pPr>
        <w:pStyle w:val="BodyText"/>
        <w:spacing w:after="80" w:line="240" w:lineRule="auto"/>
        <w:ind w:left="360" w:hanging="360"/>
      </w:pPr>
      <w:r>
        <w:rPr>
          <w:sz w:val="19"/>
        </w:rPr>
        <w:t xml:space="preserve">Ambrose, J. D., Drost, M., Monson, R. L., Rutledge, J. J., Leibfried-Rutledge, M. L., Thatcher, M. J., Kassa, T., Binelli, M., Hansen, P. J., Chenoweth, P. J., &amp; Thatcher, W. W. (1999). Efficacy of timed embryo transfer with fresh and frozen in vitro produced embryos to increase pregnancy rates in heat-stressed dairy cattle. </w:t>
      </w:r>
      <w:r>
        <w:rPr>
          <w:i/>
          <w:sz w:val="19"/>
        </w:rPr>
        <w:t>Journal of Dairy Science, 82</w:t>
      </w:r>
      <w:r>
        <w:rPr>
          <w:sz w:val="19"/>
        </w:rPr>
        <w:t xml:space="preserve">(11), 2369-2376. </w:t>
      </w:r>
      <w:r>
        <w:rPr>
          <w:color w:val="0563C1"/>
          <w:u w:val="single"/>
        </w:rPr>
        <w:t>https://doi.org/10.3168/jds.S0022-0302(99)75487-1</w:t>
      </w:r>
    </w:p>
    <w:p w14:paraId="19F13A1D" w14:textId="58AE917B" w:rsidR="004734E5" w:rsidRDefault="00000000">
      <w:pPr>
        <w:pStyle w:val="BodyText"/>
        <w:spacing w:after="80" w:line="240" w:lineRule="auto"/>
        <w:ind w:left="360" w:hanging="360"/>
      </w:pPr>
      <w:r>
        <w:rPr>
          <w:sz w:val="19"/>
        </w:rPr>
        <w:t xml:space="preserve">Baena, M. M., Costa, A. C., Vieira, G. R., Rocha, R. F. B., Ribeiro, A. R. B., Ibelli, A. M. G., &amp; Meirelles, S. L. C. (2019). Heat tolerance responses in a </w:t>
      </w:r>
      <w:r>
        <w:rPr>
          <w:i/>
          <w:sz w:val="19"/>
        </w:rPr>
        <w:t>Bos taurus</w:t>
      </w:r>
      <w:r>
        <w:rPr>
          <w:sz w:val="19"/>
        </w:rPr>
        <w:t xml:space="preserve"> cattle herd raised in a Brazilian climate. </w:t>
      </w:r>
      <w:r>
        <w:rPr>
          <w:i/>
          <w:sz w:val="19"/>
        </w:rPr>
        <w:t>Journal of Thermal Biology, 81</w:t>
      </w:r>
      <w:r>
        <w:rPr>
          <w:sz w:val="19"/>
        </w:rPr>
        <w:t xml:space="preserve">, 162-169. </w:t>
      </w:r>
      <w:r>
        <w:rPr>
          <w:color w:val="0563C1"/>
          <w:u w:val="single"/>
        </w:rPr>
        <w:t>https://doi.org/10.1016/j.jtherbio.2019.02.017</w:t>
      </w:r>
    </w:p>
    <w:p w14:paraId="564F21FB" w14:textId="0797105E" w:rsidR="004734E5" w:rsidRDefault="00000000">
      <w:pPr>
        <w:pStyle w:val="BodyText"/>
        <w:spacing w:after="80" w:line="240" w:lineRule="auto"/>
        <w:ind w:left="360" w:hanging="360"/>
      </w:pPr>
      <w:r>
        <w:rPr>
          <w:sz w:val="19"/>
        </w:rPr>
        <w:t xml:space="preserve">Baethge, C., Goldbeck-Wood, S., &amp; Mertens, S. (2019). SANRA-a scale for the quality assessment of narrative review articles. </w:t>
      </w:r>
      <w:r>
        <w:rPr>
          <w:i/>
          <w:sz w:val="19"/>
        </w:rPr>
        <w:t>Research Integrity and Peer Review, 4</w:t>
      </w:r>
      <w:r>
        <w:rPr>
          <w:sz w:val="19"/>
        </w:rPr>
        <w:t xml:space="preserve">, Article 5. </w:t>
      </w:r>
      <w:r>
        <w:rPr>
          <w:color w:val="0563C1"/>
          <w:u w:val="single"/>
        </w:rPr>
        <w:t>https://doi.org/10.1186/s41073-019-0064-8</w:t>
      </w:r>
    </w:p>
    <w:p w14:paraId="34D783E9" w14:textId="55F5C017" w:rsidR="004734E5" w:rsidRDefault="00000000">
      <w:pPr>
        <w:pStyle w:val="BodyText"/>
        <w:spacing w:after="80" w:line="240" w:lineRule="auto"/>
        <w:ind w:left="360" w:hanging="360"/>
      </w:pPr>
      <w:r>
        <w:rPr>
          <w:sz w:val="19"/>
        </w:rPr>
        <w:t xml:space="preserve">Bittner, L., Wyck, S., Herrera, C., Siuda, M., Wrenzycki, C., van Loon, B., &amp; Bollwein, H. (2018). Negative effects of oxidative stress in bovine spermatozoa on in vitro development and DNA integrity of embryos. </w:t>
      </w:r>
      <w:r>
        <w:rPr>
          <w:i/>
          <w:sz w:val="19"/>
        </w:rPr>
        <w:t>Reproduction, Fertility and Development, 30</w:t>
      </w:r>
      <w:r>
        <w:rPr>
          <w:sz w:val="19"/>
        </w:rPr>
        <w:t xml:space="preserve">(10), 1359-1368. </w:t>
      </w:r>
      <w:r>
        <w:rPr>
          <w:color w:val="0563C1"/>
          <w:u w:val="single"/>
        </w:rPr>
        <w:t>https://doi.org/10.1071/RD17533</w:t>
      </w:r>
    </w:p>
    <w:p w14:paraId="4AEC406F" w14:textId="6AFE477C" w:rsidR="004734E5" w:rsidRDefault="00000000">
      <w:pPr>
        <w:pStyle w:val="BodyText"/>
        <w:spacing w:after="80" w:line="240" w:lineRule="auto"/>
        <w:ind w:left="360" w:hanging="360"/>
      </w:pPr>
      <w:r>
        <w:rPr>
          <w:sz w:val="19"/>
        </w:rPr>
        <w:t xml:space="preserve">Bolormaa, S., MacLeod, I. M., Xiang, R., Goddard, M. E., Pryce, J. E., &amp; Haile-Mariam, M. (2026). Genetic and genomic analyses of the effect of heat stress, measured as temperature-humidity index, on cow fertility in Australian Holstein cattle. </w:t>
      </w:r>
      <w:r>
        <w:rPr>
          <w:i/>
          <w:sz w:val="19"/>
        </w:rPr>
        <w:t>Journal of Dairy Science, 109</w:t>
      </w:r>
      <w:r>
        <w:rPr>
          <w:sz w:val="19"/>
        </w:rPr>
        <w:t xml:space="preserve">(5), 5513-5531. </w:t>
      </w:r>
      <w:r>
        <w:rPr>
          <w:color w:val="0563C1"/>
          <w:u w:val="single"/>
        </w:rPr>
        <w:t>https://doi.org/10.3168/jds.2025-27314</w:t>
      </w:r>
    </w:p>
    <w:p w14:paraId="6470C467" w14:textId="0DEDA295" w:rsidR="004734E5" w:rsidRDefault="00000000">
      <w:pPr>
        <w:pStyle w:val="BodyText"/>
        <w:spacing w:after="80" w:line="240" w:lineRule="auto"/>
        <w:ind w:left="360" w:hanging="360"/>
      </w:pPr>
      <w:r>
        <w:rPr>
          <w:sz w:val="19"/>
        </w:rPr>
        <w:t xml:space="preserve">Brito, L. F. C., Silva, A. E. D. F., Barbosa, R. T., Unanian, M. M., &amp; Kastelic, J. P. (2003). Effects of scrotal insulation on sperm production, semen quality, and testicular echotexture in </w:t>
      </w:r>
      <w:r>
        <w:rPr>
          <w:i/>
          <w:sz w:val="19"/>
        </w:rPr>
        <w:t>Bos indicus</w:t>
      </w:r>
      <w:r>
        <w:rPr>
          <w:sz w:val="19"/>
        </w:rPr>
        <w:t xml:space="preserve"> and </w:t>
      </w:r>
      <w:r>
        <w:rPr>
          <w:i/>
          <w:sz w:val="19"/>
        </w:rPr>
        <w:t>Bos indicus</w:t>
      </w:r>
      <w:r>
        <w:rPr>
          <w:sz w:val="19"/>
        </w:rPr>
        <w:t xml:space="preserve"> × </w:t>
      </w:r>
      <w:r>
        <w:rPr>
          <w:i/>
          <w:sz w:val="19"/>
        </w:rPr>
        <w:t>Bos taurus</w:t>
      </w:r>
      <w:r>
        <w:rPr>
          <w:sz w:val="19"/>
        </w:rPr>
        <w:t xml:space="preserve"> bulls. </w:t>
      </w:r>
      <w:r>
        <w:rPr>
          <w:i/>
          <w:sz w:val="19"/>
        </w:rPr>
        <w:t>Animal Reproduction Science, 79</w:t>
      </w:r>
      <w:r>
        <w:rPr>
          <w:sz w:val="19"/>
        </w:rPr>
        <w:t xml:space="preserve">(1-2), 1-15. </w:t>
      </w:r>
      <w:r>
        <w:rPr>
          <w:color w:val="0563C1"/>
          <w:u w:val="single"/>
        </w:rPr>
        <w:t>https://doi.org/10.1016/S0378-4320(03)00082-4</w:t>
      </w:r>
    </w:p>
    <w:p w14:paraId="552B9AB4" w14:textId="3523F74A" w:rsidR="004734E5" w:rsidRDefault="00000000">
      <w:pPr>
        <w:pStyle w:val="BodyText"/>
        <w:spacing w:after="80" w:line="240" w:lineRule="auto"/>
        <w:ind w:left="360" w:hanging="360"/>
      </w:pPr>
      <w:r>
        <w:rPr>
          <w:sz w:val="19"/>
        </w:rPr>
        <w:t xml:space="preserve">Carmickle, A. T., Larson, C. C., Sosa Hernandez, F., Pereira, J. M. V., Ferreira, F. C., Haimon, M. L. J., Jensen, L. M., Hansen, P. J., &amp; Denicol, A. C. (2022). Physiological responses of Holstein calves and heifers carrying the SLICK1 allele to heat stress in California and Florida dairy farms. </w:t>
      </w:r>
      <w:r>
        <w:rPr>
          <w:i/>
          <w:sz w:val="19"/>
        </w:rPr>
        <w:t>Journal of Dairy Science, 105</w:t>
      </w:r>
      <w:r>
        <w:rPr>
          <w:sz w:val="19"/>
        </w:rPr>
        <w:t xml:space="preserve">(11), 9216-9225. </w:t>
      </w:r>
      <w:r>
        <w:rPr>
          <w:color w:val="0563C1"/>
          <w:u w:val="single"/>
        </w:rPr>
        <w:t>https://doi.org/10.3168/jds.2022-22177</w:t>
      </w:r>
    </w:p>
    <w:p w14:paraId="04DACBD4" w14:textId="09671F7A" w:rsidR="004734E5" w:rsidRDefault="00000000">
      <w:pPr>
        <w:pStyle w:val="BodyText"/>
        <w:spacing w:after="80" w:line="240" w:lineRule="auto"/>
        <w:ind w:left="360" w:hanging="360"/>
      </w:pPr>
      <w:r>
        <w:rPr>
          <w:sz w:val="19"/>
        </w:rPr>
        <w:t xml:space="preserve">Cartwright, S. L., Schmied, J., Karrow, N., &amp; Mallard, B. A. (2023). Impact of heat stress on dairy cattle and selection strategies for thermotolerance: A review. </w:t>
      </w:r>
      <w:r>
        <w:rPr>
          <w:i/>
          <w:sz w:val="19"/>
        </w:rPr>
        <w:t>Frontiers in Veterinary Science, 10</w:t>
      </w:r>
      <w:r>
        <w:rPr>
          <w:sz w:val="19"/>
        </w:rPr>
        <w:t xml:space="preserve">, Article 1198697. </w:t>
      </w:r>
      <w:r>
        <w:rPr>
          <w:color w:val="0563C1"/>
          <w:u w:val="single"/>
        </w:rPr>
        <w:t>https://doi.org/10.3389/fvets.2023.1198697</w:t>
      </w:r>
    </w:p>
    <w:p w14:paraId="58CA2EB9" w14:textId="35D901F3" w:rsidR="004734E5" w:rsidRDefault="00000000">
      <w:pPr>
        <w:pStyle w:val="BodyText"/>
        <w:spacing w:after="80" w:line="240" w:lineRule="auto"/>
        <w:ind w:left="360" w:hanging="360"/>
      </w:pPr>
      <w:r>
        <w:rPr>
          <w:sz w:val="19"/>
        </w:rPr>
        <w:t xml:space="preserve">Castro, B., Sosa, F., &amp; Ortega, M. S. (2026). Heat stress as a multilevel disruptor of gamete function and early embryo development in cattle. </w:t>
      </w:r>
      <w:r>
        <w:rPr>
          <w:i/>
          <w:sz w:val="19"/>
        </w:rPr>
        <w:t>Journal of Dairy Science</w:t>
      </w:r>
      <w:r>
        <w:rPr>
          <w:sz w:val="19"/>
        </w:rPr>
        <w:t xml:space="preserve">. Advance online publication. </w:t>
      </w:r>
      <w:r>
        <w:rPr>
          <w:color w:val="0563C1"/>
          <w:u w:val="single"/>
        </w:rPr>
        <w:t>https://doi.org/10.3168/jds.2026-28382</w:t>
      </w:r>
    </w:p>
    <w:p w14:paraId="5F6F5D93" w14:textId="4DA0BBE9" w:rsidR="004734E5" w:rsidRDefault="00000000">
      <w:pPr>
        <w:pStyle w:val="BodyText"/>
        <w:spacing w:after="80" w:line="240" w:lineRule="auto"/>
        <w:ind w:left="360" w:hanging="360"/>
      </w:pPr>
      <w:r>
        <w:rPr>
          <w:sz w:val="19"/>
        </w:rPr>
        <w:lastRenderedPageBreak/>
        <w:t xml:space="preserve">Craig, H. J. B., Stachowicz, K., Black, M., Parry, M., Burke, C. R., Meier, S., &amp; Amer, P. R. (2018). Genotype by environment interactions in fertility traits in New Zealand dairy cows. </w:t>
      </w:r>
      <w:r>
        <w:rPr>
          <w:i/>
          <w:sz w:val="19"/>
        </w:rPr>
        <w:t>Journal of Dairy Science, 101</w:t>
      </w:r>
      <w:r>
        <w:rPr>
          <w:sz w:val="19"/>
        </w:rPr>
        <w:t xml:space="preserve">(12), 10991-11003. </w:t>
      </w:r>
      <w:r>
        <w:rPr>
          <w:color w:val="0563C1"/>
          <w:u w:val="single"/>
        </w:rPr>
        <w:t>https://doi.org/10.3168/jds.2017-14195</w:t>
      </w:r>
    </w:p>
    <w:p w14:paraId="4E65BF98" w14:textId="107276E0" w:rsidR="004734E5" w:rsidRDefault="00000000">
      <w:pPr>
        <w:pStyle w:val="BodyText"/>
        <w:spacing w:after="80" w:line="240" w:lineRule="auto"/>
        <w:ind w:left="360" w:hanging="360"/>
      </w:pPr>
      <w:r>
        <w:rPr>
          <w:sz w:val="19"/>
        </w:rPr>
        <w:t xml:space="preserve">De Rensis, F., Garcia-Ispierto, I., &amp; López-Gatius, F. (2015). Seasonal heat stress: Clinical implications and hormone treatments for the fertility of dairy cows. </w:t>
      </w:r>
      <w:r>
        <w:rPr>
          <w:i/>
          <w:sz w:val="19"/>
        </w:rPr>
        <w:t>Theriogenology, 84</w:t>
      </w:r>
      <w:r>
        <w:rPr>
          <w:sz w:val="19"/>
        </w:rPr>
        <w:t xml:space="preserve">(5), 659-666. </w:t>
      </w:r>
      <w:r>
        <w:rPr>
          <w:color w:val="0563C1"/>
          <w:u w:val="single"/>
        </w:rPr>
        <w:t>https://doi.org/10.1016/j.theriogenology.2015.04.021</w:t>
      </w:r>
    </w:p>
    <w:p w14:paraId="30741957" w14:textId="525CC71A" w:rsidR="004734E5" w:rsidRDefault="00000000">
      <w:pPr>
        <w:pStyle w:val="BodyText"/>
        <w:spacing w:after="80" w:line="240" w:lineRule="auto"/>
        <w:ind w:left="360" w:hanging="360"/>
      </w:pPr>
      <w:r>
        <w:rPr>
          <w:sz w:val="19"/>
        </w:rPr>
        <w:t xml:space="preserve">Dikmen, S., Khan, F. A., Huson, H. J., Sonstegard, T. S., Moss, J. I., Dahl, G. E., &amp; Hansen, P. J. (2014). The SLICK hair locus derived from Senepol cattle confers thermotolerance to intensively managed lactating Holstein cows. </w:t>
      </w:r>
      <w:r>
        <w:rPr>
          <w:i/>
          <w:sz w:val="19"/>
        </w:rPr>
        <w:t>Journal of Dairy Science, 97</w:t>
      </w:r>
      <w:r>
        <w:rPr>
          <w:sz w:val="19"/>
        </w:rPr>
        <w:t xml:space="preserve">(9), 5508-5520. </w:t>
      </w:r>
      <w:r>
        <w:rPr>
          <w:color w:val="0563C1"/>
          <w:u w:val="single"/>
        </w:rPr>
        <w:t>https://doi.org/10.3168/jds.2014-8087</w:t>
      </w:r>
    </w:p>
    <w:p w14:paraId="70FCE064" w14:textId="06498E94" w:rsidR="004734E5" w:rsidRDefault="00000000">
      <w:pPr>
        <w:pStyle w:val="BodyText"/>
        <w:spacing w:after="80" w:line="240" w:lineRule="auto"/>
        <w:ind w:left="360" w:hanging="360"/>
      </w:pPr>
      <w:r>
        <w:rPr>
          <w:sz w:val="19"/>
        </w:rPr>
        <w:t xml:space="preserve">Ealy, A. D., Drost, M., &amp; Hansen, P. J. (1993). Developmental changes in embryonic resistance to adverse effects of maternal heat stress in cows. </w:t>
      </w:r>
      <w:r>
        <w:rPr>
          <w:i/>
          <w:sz w:val="19"/>
        </w:rPr>
        <w:t>Journal of Dairy Science, 76</w:t>
      </w:r>
      <w:r>
        <w:rPr>
          <w:sz w:val="19"/>
        </w:rPr>
        <w:t xml:space="preserve">(10), 2899-2905. </w:t>
      </w:r>
      <w:r>
        <w:rPr>
          <w:color w:val="0563C1"/>
          <w:u w:val="single"/>
        </w:rPr>
        <w:t>https://doi.org/10.3168/jds.S0022-0302(93)77629-8</w:t>
      </w:r>
    </w:p>
    <w:p w14:paraId="3039489A" w14:textId="227E8063" w:rsidR="004734E5" w:rsidRDefault="00000000">
      <w:pPr>
        <w:pStyle w:val="BodyText"/>
        <w:spacing w:after="80" w:line="240" w:lineRule="auto"/>
        <w:ind w:left="360" w:hanging="360"/>
      </w:pPr>
      <w:r>
        <w:rPr>
          <w:sz w:val="19"/>
        </w:rPr>
        <w:t xml:space="preserve">Garcia-Oliveros, L. N., Arruda, R. P., Batissaco, L., Gonzaga, V. H. G., Nogueira, V. J. M., Florez-Rodriguez, S. A., Almeida, F. S., Alves, M. B. R., Pinto, S. C. C., Nichi, M., Losano, J. D. A., Kawai, G. K. V., &amp; Celeghini, E. C. C. (2020). Heat stress effects on bovine sperm cells: A chronological approach to early findings. </w:t>
      </w:r>
      <w:r>
        <w:rPr>
          <w:i/>
          <w:sz w:val="19"/>
        </w:rPr>
        <w:t>International Journal of Biometeorology, 64</w:t>
      </w:r>
      <w:r>
        <w:rPr>
          <w:sz w:val="19"/>
        </w:rPr>
        <w:t xml:space="preserve">(8), 1367-1378. </w:t>
      </w:r>
      <w:r>
        <w:rPr>
          <w:color w:val="0563C1"/>
          <w:u w:val="single"/>
        </w:rPr>
        <w:t>https://doi.org/10.1007/s00484-020-01917-w</w:t>
      </w:r>
    </w:p>
    <w:p w14:paraId="20A3018E" w14:textId="03E680B6" w:rsidR="004734E5" w:rsidRDefault="00000000">
      <w:pPr>
        <w:pStyle w:val="BodyText"/>
        <w:spacing w:after="80" w:line="240" w:lineRule="auto"/>
        <w:ind w:left="360" w:hanging="360"/>
      </w:pPr>
      <w:r>
        <w:rPr>
          <w:sz w:val="19"/>
        </w:rPr>
        <w:t xml:space="preserve">Garner, J. B., Douglas, M. L., Williams, S. R. O., Wales, W. J., Marett, L. C., Nguyen, T. T. T., Reich, C. M., &amp; Hayes, B. J. (2016). Genomic selection improves heat tolerance in dairy cattle. </w:t>
      </w:r>
      <w:r>
        <w:rPr>
          <w:i/>
          <w:sz w:val="19"/>
        </w:rPr>
        <w:t>Scientific Reports, 6</w:t>
      </w:r>
      <w:r>
        <w:rPr>
          <w:sz w:val="19"/>
        </w:rPr>
        <w:t xml:space="preserve">, Article 34114. </w:t>
      </w:r>
      <w:r>
        <w:rPr>
          <w:color w:val="0563C1"/>
          <w:u w:val="single"/>
        </w:rPr>
        <w:t>https://doi.org/10.1038/srep34114</w:t>
      </w:r>
    </w:p>
    <w:p w14:paraId="287F749C" w14:textId="4E913D37" w:rsidR="004734E5" w:rsidRDefault="00000000">
      <w:pPr>
        <w:pStyle w:val="BodyText"/>
        <w:spacing w:after="80" w:line="240" w:lineRule="auto"/>
        <w:ind w:left="360" w:hanging="360"/>
      </w:pPr>
      <w:r>
        <w:rPr>
          <w:sz w:val="19"/>
        </w:rPr>
        <w:t xml:space="preserve">Gerber, P., &amp; Germer, L. A. (2024). </w:t>
      </w:r>
      <w:r>
        <w:rPr>
          <w:i/>
          <w:sz w:val="19"/>
        </w:rPr>
        <w:t>Enhancing climate-smart outcomes from livestock systems: A how-to guide following the project cycle</w:t>
      </w:r>
      <w:r>
        <w:rPr>
          <w:sz w:val="19"/>
        </w:rPr>
        <w:t xml:space="preserve">. World Bank. </w:t>
      </w:r>
      <w:r>
        <w:rPr>
          <w:color w:val="0563C1"/>
          <w:u w:val="single"/>
        </w:rPr>
        <w:t>https://doi.org/10.1596/41590</w:t>
      </w:r>
    </w:p>
    <w:p w14:paraId="3CA95E36" w14:textId="35E97A0B" w:rsidR="004734E5" w:rsidRDefault="00000000">
      <w:pPr>
        <w:pStyle w:val="BodyText"/>
        <w:spacing w:after="80" w:line="240" w:lineRule="auto"/>
        <w:ind w:left="360" w:hanging="360"/>
      </w:pPr>
      <w:r>
        <w:rPr>
          <w:sz w:val="19"/>
        </w:rPr>
        <w:t xml:space="preserve">Green, B. N., Johnson, C. D., &amp; Adams, A. (2006). Writing narrative literature reviews for peer-reviewed journals: Secrets of the trade. </w:t>
      </w:r>
      <w:r>
        <w:rPr>
          <w:i/>
          <w:sz w:val="19"/>
        </w:rPr>
        <w:t>Journal of Chiropractic Medicine, 5</w:t>
      </w:r>
      <w:r>
        <w:rPr>
          <w:sz w:val="19"/>
        </w:rPr>
        <w:t xml:space="preserve">(3), 101-117. </w:t>
      </w:r>
      <w:r>
        <w:rPr>
          <w:color w:val="0563C1"/>
          <w:u w:val="single"/>
        </w:rPr>
        <w:t>https://doi.org/10.1016/S0899-3467(07)60142-6</w:t>
      </w:r>
    </w:p>
    <w:p w14:paraId="489019C7" w14:textId="0DACAF31" w:rsidR="004734E5" w:rsidRDefault="00000000">
      <w:pPr>
        <w:pStyle w:val="BodyText"/>
        <w:spacing w:after="80" w:line="240" w:lineRule="auto"/>
        <w:ind w:left="360" w:hanging="360"/>
      </w:pPr>
      <w:r>
        <w:rPr>
          <w:sz w:val="19"/>
        </w:rPr>
        <w:t xml:space="preserve">Gupta, M., Vaidya, M., Kumar, S., Singh, G., Osei-Amponsah, R., &amp; Chauhan, S. S. (2025). Heat stress: A major threat to ruminant reproduction and mitigating strategies. </w:t>
      </w:r>
      <w:r>
        <w:rPr>
          <w:i/>
          <w:sz w:val="19"/>
        </w:rPr>
        <w:t>International Journal of Biometeorology, 69</w:t>
      </w:r>
      <w:r>
        <w:rPr>
          <w:sz w:val="19"/>
        </w:rPr>
        <w:t xml:space="preserve">(1), 209-224. </w:t>
      </w:r>
      <w:r>
        <w:rPr>
          <w:color w:val="0563C1"/>
          <w:u w:val="single"/>
        </w:rPr>
        <w:t>https://doi.org/10.1007/s00484-024-02805-3</w:t>
      </w:r>
    </w:p>
    <w:p w14:paraId="5B39D12A" w14:textId="7E4DC18B" w:rsidR="004734E5" w:rsidRDefault="00000000">
      <w:pPr>
        <w:pStyle w:val="BodyText"/>
        <w:spacing w:after="80" w:line="240" w:lineRule="auto"/>
        <w:ind w:left="360" w:hanging="360"/>
      </w:pPr>
      <w:r>
        <w:rPr>
          <w:sz w:val="19"/>
        </w:rPr>
        <w:t xml:space="preserve">Habimana, V., Ekine-Dzivenu, C. C., Nguluma, A. S., Nziku, Z. C., Morota, G., Chenyambuga, S. W., &amp; Mrode, R. (2023). Genes and models for estimating genetic parameters for heat tolerance in dairy cattle. </w:t>
      </w:r>
      <w:r>
        <w:rPr>
          <w:i/>
          <w:sz w:val="19"/>
        </w:rPr>
        <w:t>Frontiers in Genetics, 14</w:t>
      </w:r>
      <w:r>
        <w:rPr>
          <w:sz w:val="19"/>
        </w:rPr>
        <w:t xml:space="preserve">, Article 1127175. </w:t>
      </w:r>
      <w:r>
        <w:rPr>
          <w:color w:val="0563C1"/>
          <w:u w:val="single"/>
        </w:rPr>
        <w:t>https://doi.org/10.3389/fgene.2023.1127175</w:t>
      </w:r>
    </w:p>
    <w:p w14:paraId="541A2B59" w14:textId="7EFA9BA8" w:rsidR="004734E5" w:rsidRDefault="00000000">
      <w:pPr>
        <w:pStyle w:val="BodyText"/>
        <w:spacing w:after="80" w:line="240" w:lineRule="auto"/>
        <w:ind w:left="360" w:hanging="360"/>
      </w:pPr>
      <w:r>
        <w:rPr>
          <w:sz w:val="19"/>
        </w:rPr>
        <w:t xml:space="preserve">Hansen, P. J. (2019). Reproductive physiology of the heat-stressed dairy cow: Implications for fertility and assisted reproduction. </w:t>
      </w:r>
      <w:r>
        <w:rPr>
          <w:i/>
          <w:sz w:val="19"/>
        </w:rPr>
        <w:t>Animal Reproduction, 16</w:t>
      </w:r>
      <w:r>
        <w:rPr>
          <w:sz w:val="19"/>
        </w:rPr>
        <w:t xml:space="preserve">(3), 497-507. </w:t>
      </w:r>
      <w:r>
        <w:rPr>
          <w:color w:val="0563C1"/>
          <w:u w:val="single"/>
        </w:rPr>
        <w:t>https://doi.org/10.21451/1984-3143-AR2019-0053</w:t>
      </w:r>
    </w:p>
    <w:p w14:paraId="0AFDCF2D" w14:textId="1207F6E3" w:rsidR="004734E5" w:rsidRDefault="00000000">
      <w:pPr>
        <w:pStyle w:val="BodyText"/>
        <w:spacing w:after="80" w:line="240" w:lineRule="auto"/>
        <w:ind w:left="360" w:hanging="360"/>
      </w:pPr>
      <w:r>
        <w:rPr>
          <w:sz w:val="19"/>
        </w:rPr>
        <w:t xml:space="preserve">Hansen, P. J. (2026). Six things to know about how heat stress compromises fertility of the cow (and probably other mammals as well). </w:t>
      </w:r>
      <w:r>
        <w:rPr>
          <w:i/>
          <w:sz w:val="19"/>
        </w:rPr>
        <w:t>Journal of Reproduction and Development, 72</w:t>
      </w:r>
      <w:r>
        <w:rPr>
          <w:sz w:val="19"/>
        </w:rPr>
        <w:t xml:space="preserve">(3), 301-308. </w:t>
      </w:r>
      <w:r>
        <w:rPr>
          <w:color w:val="0563C1"/>
          <w:u w:val="single"/>
        </w:rPr>
        <w:t>https://doi.org/10.1262/jrd.2025-098</w:t>
      </w:r>
    </w:p>
    <w:p w14:paraId="46019CA8" w14:textId="732C8508" w:rsidR="004734E5" w:rsidRDefault="00000000">
      <w:pPr>
        <w:pStyle w:val="BodyText"/>
        <w:spacing w:after="80" w:line="240" w:lineRule="auto"/>
        <w:ind w:left="360" w:hanging="360"/>
      </w:pPr>
      <w:r>
        <w:rPr>
          <w:sz w:val="19"/>
        </w:rPr>
        <w:t xml:space="preserve">Held-Hoelker, E., Haake, L. S., Kurzella, J., Schreiber, M., Dauben, C., Salilew-Wondim, D., Ghanem, N., Rings, F., Große-Brinkhaus, C., Tholen, E., Tesfaye, D., &amp; Hoelker, M. (2025). Heat stress during maturation of bovine oocytes profoundly impacts the mitochondrial bioenergetic profile and causes endoplasmic reticulum stress in subsequent blastocysts. </w:t>
      </w:r>
      <w:r>
        <w:rPr>
          <w:i/>
          <w:sz w:val="19"/>
        </w:rPr>
        <w:t>Biology of Reproduction, 112</w:t>
      </w:r>
      <w:r>
        <w:rPr>
          <w:sz w:val="19"/>
        </w:rPr>
        <w:t xml:space="preserve">(6), 1100-1113. </w:t>
      </w:r>
      <w:r>
        <w:rPr>
          <w:color w:val="0563C1"/>
          <w:u w:val="single"/>
        </w:rPr>
        <w:t>https://doi.org/10.1093/biolre/ioaf070</w:t>
      </w:r>
    </w:p>
    <w:p w14:paraId="46E3B26C" w14:textId="11E729AA" w:rsidR="004734E5" w:rsidRDefault="00000000">
      <w:pPr>
        <w:pStyle w:val="BodyText"/>
        <w:spacing w:after="80" w:line="240" w:lineRule="auto"/>
        <w:ind w:left="360" w:hanging="360"/>
      </w:pPr>
      <w:r>
        <w:rPr>
          <w:sz w:val="19"/>
        </w:rPr>
        <w:t xml:space="preserve">Hickman, C. F., Clinton, M., Ainslie, A., Ashworth, C. J., &amp; Rooke, J. A. (2013). Heat shock induces interferon-TAU gene expression by in vitro-produced bovine blastocysts. </w:t>
      </w:r>
      <w:r>
        <w:rPr>
          <w:i/>
          <w:sz w:val="19"/>
        </w:rPr>
        <w:t>American Journal of Reproductive Immunology, 70</w:t>
      </w:r>
      <w:r>
        <w:rPr>
          <w:sz w:val="19"/>
        </w:rPr>
        <w:t xml:space="preserve">(3), 177-181. </w:t>
      </w:r>
      <w:r>
        <w:rPr>
          <w:color w:val="0563C1"/>
          <w:u w:val="single"/>
        </w:rPr>
        <w:t>https://doi.org/10.1111/aji.12131</w:t>
      </w:r>
    </w:p>
    <w:p w14:paraId="2840A776" w14:textId="0A775C92" w:rsidR="004734E5" w:rsidRDefault="00000000">
      <w:pPr>
        <w:pStyle w:val="BodyText"/>
        <w:spacing w:after="80" w:line="240" w:lineRule="auto"/>
        <w:ind w:left="360" w:hanging="360"/>
      </w:pPr>
      <w:r>
        <w:rPr>
          <w:sz w:val="19"/>
        </w:rPr>
        <w:t xml:space="preserve">Intergovernmental Panel on Climate Change. (2022). </w:t>
      </w:r>
      <w:r>
        <w:rPr>
          <w:i/>
          <w:sz w:val="19"/>
        </w:rPr>
        <w:t>Climate change 2022: Impacts, adaptation and vulnerability</w:t>
      </w:r>
      <w:r>
        <w:rPr>
          <w:sz w:val="19"/>
        </w:rPr>
        <w:t xml:space="preserve">. Cambridge University Press. </w:t>
      </w:r>
      <w:r>
        <w:rPr>
          <w:color w:val="0563C1"/>
          <w:u w:val="single"/>
        </w:rPr>
        <w:t>https://doi.org/10.1017/9781009325844</w:t>
      </w:r>
    </w:p>
    <w:p w14:paraId="5365259E" w14:textId="1B7377FB" w:rsidR="004734E5" w:rsidRDefault="00000000">
      <w:pPr>
        <w:pStyle w:val="BodyText"/>
        <w:spacing w:after="80" w:line="240" w:lineRule="auto"/>
        <w:ind w:left="360" w:hanging="360"/>
      </w:pPr>
      <w:r>
        <w:rPr>
          <w:sz w:val="19"/>
        </w:rPr>
        <w:t xml:space="preserve">Kamal, R., Dutt, T., Patel, M., Dey, A., Bharti, P. K., &amp; Chandran, P. C. (2018). Heat stress and effect of shade materials on hormonal and behavior response of dairy cattle: A review. </w:t>
      </w:r>
      <w:r>
        <w:rPr>
          <w:i/>
          <w:sz w:val="19"/>
        </w:rPr>
        <w:t>Tropical Animal Health and Production, 50</w:t>
      </w:r>
      <w:r>
        <w:rPr>
          <w:sz w:val="19"/>
        </w:rPr>
        <w:t xml:space="preserve">(4), 701-706. </w:t>
      </w:r>
      <w:r>
        <w:rPr>
          <w:color w:val="0563C1"/>
          <w:u w:val="single"/>
        </w:rPr>
        <w:t>https://doi.org/10.1007/s11250-018-1542-6</w:t>
      </w:r>
    </w:p>
    <w:p w14:paraId="6A6110BD" w14:textId="4A51CAAA" w:rsidR="004734E5" w:rsidRDefault="00000000">
      <w:pPr>
        <w:pStyle w:val="BodyText"/>
        <w:spacing w:after="80" w:line="240" w:lineRule="auto"/>
        <w:ind w:left="360" w:hanging="360"/>
      </w:pPr>
      <w:r>
        <w:rPr>
          <w:sz w:val="19"/>
        </w:rPr>
        <w:t xml:space="preserve">Kanzawa, S., O’Meara, E., Funnell, B. J., Bangert, E. A., Garrett, E. F., Cardoso, F. C., Braz, C. U., &amp; Wheeler, M. B. (2026). The effects of heat stress on the population of the ovarian follicles and in vitro embryo production in dairy cows. </w:t>
      </w:r>
      <w:r>
        <w:rPr>
          <w:i/>
          <w:sz w:val="19"/>
        </w:rPr>
        <w:t>Theriogenology, 253</w:t>
      </w:r>
      <w:r>
        <w:rPr>
          <w:sz w:val="19"/>
        </w:rPr>
        <w:t xml:space="preserve">, Article 117790. </w:t>
      </w:r>
      <w:r>
        <w:rPr>
          <w:color w:val="0563C1"/>
          <w:u w:val="single"/>
        </w:rPr>
        <w:t>https://doi.org/10.1016/j.theriogenology.2025.117790</w:t>
      </w:r>
    </w:p>
    <w:p w14:paraId="28CC038B" w14:textId="1572E32A" w:rsidR="004734E5" w:rsidRDefault="00000000">
      <w:pPr>
        <w:pStyle w:val="BodyText"/>
        <w:spacing w:after="80" w:line="240" w:lineRule="auto"/>
        <w:ind w:left="360" w:hanging="360"/>
      </w:pPr>
      <w:r>
        <w:rPr>
          <w:sz w:val="19"/>
        </w:rPr>
        <w:lastRenderedPageBreak/>
        <w:t xml:space="preserve">Kastelic, J. P., Cook, R. B., Coulter, G. H., &amp; Saacke, R. G. (1996). Insulating the scrotal neck affects semen quality and scrotal/testicular temperatures in the bull. </w:t>
      </w:r>
      <w:r>
        <w:rPr>
          <w:i/>
          <w:sz w:val="19"/>
        </w:rPr>
        <w:t>Theriogenology, 45</w:t>
      </w:r>
      <w:r>
        <w:rPr>
          <w:sz w:val="19"/>
        </w:rPr>
        <w:t xml:space="preserve">(5), 935-942. </w:t>
      </w:r>
      <w:r>
        <w:rPr>
          <w:color w:val="0563C1"/>
          <w:u w:val="single"/>
        </w:rPr>
        <w:t>https://doi.org/10.1016/0093-691X(96)00023-4</w:t>
      </w:r>
    </w:p>
    <w:p w14:paraId="35B0C004" w14:textId="45207C9B" w:rsidR="004734E5" w:rsidRDefault="00000000">
      <w:pPr>
        <w:pStyle w:val="BodyText"/>
        <w:spacing w:after="80" w:line="240" w:lineRule="auto"/>
        <w:ind w:left="360" w:hanging="360"/>
      </w:pPr>
      <w:r>
        <w:rPr>
          <w:sz w:val="19"/>
        </w:rPr>
        <w:t xml:space="preserve">Kawano, K., Yanagawa, Y., Nagano, M., &amp; Katagiri, S. (2022). Effects of heat stress on the endometrial epidermal growth factor profile and fertility in dairy cows. </w:t>
      </w:r>
      <w:r>
        <w:rPr>
          <w:i/>
          <w:sz w:val="19"/>
        </w:rPr>
        <w:t>Journal of Reproduction and Development, 68</w:t>
      </w:r>
      <w:r>
        <w:rPr>
          <w:sz w:val="19"/>
        </w:rPr>
        <w:t xml:space="preserve">(2), 144-151. </w:t>
      </w:r>
      <w:r>
        <w:rPr>
          <w:color w:val="0563C1"/>
          <w:u w:val="single"/>
        </w:rPr>
        <w:t>https://doi.org/10.1262/jrd.2021-120</w:t>
      </w:r>
    </w:p>
    <w:p w14:paraId="58C32F18" w14:textId="788F15F3" w:rsidR="004734E5" w:rsidRDefault="00000000">
      <w:pPr>
        <w:pStyle w:val="BodyText"/>
        <w:spacing w:after="80" w:line="240" w:lineRule="auto"/>
        <w:ind w:left="360" w:hanging="360"/>
      </w:pPr>
      <w:r>
        <w:rPr>
          <w:sz w:val="19"/>
        </w:rPr>
        <w:t xml:space="preserve">Landaeta-Hernández, A. J., Zambrano-Nava, S., Verde, O., Pinto-Santini, L., Montero-Urdaneta, M., Hernández-Fonseca, J. P., Fuenmayor-Morales, C., Sonstegard, T. S., Huson, H. J., &amp; Olson, T. A. (2021). Heat stress response in slick vs normal-haired Criollo Limonero heifers in a tropical environment. </w:t>
      </w:r>
      <w:r>
        <w:rPr>
          <w:i/>
          <w:sz w:val="19"/>
        </w:rPr>
        <w:t>Tropical Animal Health and Production, 53</w:t>
      </w:r>
      <w:r>
        <w:rPr>
          <w:sz w:val="19"/>
        </w:rPr>
        <w:t xml:space="preserve">(4), Article 445. </w:t>
      </w:r>
      <w:r>
        <w:rPr>
          <w:color w:val="0563C1"/>
          <w:u w:val="single"/>
        </w:rPr>
        <w:t>https://doi.org/10.1007/s11250-021-02856-3</w:t>
      </w:r>
    </w:p>
    <w:p w14:paraId="52F29D29" w14:textId="2D588C20" w:rsidR="004734E5" w:rsidRDefault="00000000">
      <w:pPr>
        <w:pStyle w:val="BodyText"/>
        <w:spacing w:after="80" w:line="240" w:lineRule="auto"/>
        <w:ind w:left="360" w:hanging="360"/>
      </w:pPr>
      <w:r>
        <w:rPr>
          <w:sz w:val="19"/>
        </w:rPr>
        <w:t xml:space="preserve">Liu, J., Li, L., Chen, X., Lu, Y., &amp; Wang, D. (2019). Effects of heat stress on body temperature, milk production, and reproduction in dairy cows: A novel idea for monitoring and evaluation of heat stress-a review. </w:t>
      </w:r>
      <w:r>
        <w:rPr>
          <w:i/>
          <w:sz w:val="19"/>
        </w:rPr>
        <w:t>Asian-Australasian Journal of Animal Sciences, 32</w:t>
      </w:r>
      <w:r>
        <w:rPr>
          <w:sz w:val="19"/>
        </w:rPr>
        <w:t xml:space="preserve">(9), 1332-1339. </w:t>
      </w:r>
      <w:r>
        <w:rPr>
          <w:color w:val="0563C1"/>
          <w:u w:val="single"/>
        </w:rPr>
        <w:t>https://doi.org/10.5713/ajas.18.0743</w:t>
      </w:r>
    </w:p>
    <w:p w14:paraId="408407E2" w14:textId="77BF8255" w:rsidR="004734E5" w:rsidRDefault="00000000">
      <w:pPr>
        <w:pStyle w:val="BodyText"/>
        <w:spacing w:after="80" w:line="240" w:lineRule="auto"/>
        <w:ind w:left="360" w:hanging="360"/>
      </w:pPr>
      <w:r>
        <w:rPr>
          <w:sz w:val="19"/>
        </w:rPr>
        <w:t xml:space="preserve">Mayo, L. M., Silvia, W. J., Ray, D. L., Jones, B. W., Stone, A. E., Tsai, I. C., Clark, J. D., Bewley, J. M., &amp; Heersche, G., Jr. (2019). Automated estrous detection using multiple commercial precision dairy monitoring technologies in synchronized dairy cows. </w:t>
      </w:r>
      <w:r>
        <w:rPr>
          <w:i/>
          <w:sz w:val="19"/>
        </w:rPr>
        <w:t>Journal of Dairy Science, 102</w:t>
      </w:r>
      <w:r>
        <w:rPr>
          <w:sz w:val="19"/>
        </w:rPr>
        <w:t xml:space="preserve">(3), 2645-2656. </w:t>
      </w:r>
      <w:r>
        <w:rPr>
          <w:color w:val="0563C1"/>
          <w:u w:val="single"/>
        </w:rPr>
        <w:t>https://doi.org/10.3168/jds.2018-14738</w:t>
      </w:r>
    </w:p>
    <w:p w14:paraId="242F48B6" w14:textId="1BE027A3" w:rsidR="004734E5" w:rsidRDefault="00000000">
      <w:pPr>
        <w:pStyle w:val="BodyText"/>
        <w:spacing w:after="80" w:line="240" w:lineRule="auto"/>
        <w:ind w:left="360" w:hanging="360"/>
      </w:pPr>
      <w:r>
        <w:rPr>
          <w:sz w:val="19"/>
        </w:rPr>
        <w:t xml:space="preserve">McManus, C., Pimentel, F., Junqueira, V. S., Balbino, L. C., Cordeiro, L. A. M., Bernal, F., Peripolli, V., &amp; Ferreira, I. C. (2026). Shade matters: Heat stress alleviation in Gyr and Girolando cows through silvopastoral management in tropical conditions. </w:t>
      </w:r>
      <w:r>
        <w:rPr>
          <w:i/>
          <w:sz w:val="19"/>
        </w:rPr>
        <w:t>International Journal of Biometeorology, 70</w:t>
      </w:r>
      <w:r>
        <w:rPr>
          <w:sz w:val="19"/>
        </w:rPr>
        <w:t xml:space="preserve">(1), Article 27. </w:t>
      </w:r>
      <w:r>
        <w:rPr>
          <w:color w:val="0563C1"/>
          <w:u w:val="single"/>
        </w:rPr>
        <w:t>https://doi.org/10.1007/s00484-025-03063-7</w:t>
      </w:r>
    </w:p>
    <w:p w14:paraId="45053F44" w14:textId="5E678B42" w:rsidR="004734E5" w:rsidRDefault="00000000">
      <w:pPr>
        <w:pStyle w:val="BodyText"/>
        <w:spacing w:after="80" w:line="240" w:lineRule="auto"/>
        <w:ind w:left="360" w:hanging="360"/>
      </w:pPr>
      <w:r>
        <w:rPr>
          <w:sz w:val="19"/>
        </w:rPr>
        <w:t xml:space="preserve">Menéndez-Buxadera, A., Pereira, R. J., El Faro, L., &amp; Santana, M. L. (2020). Genotype by environment interaction due to heat stress during gestation and postpartum for milk production of Holstein cattle. </w:t>
      </w:r>
      <w:r>
        <w:rPr>
          <w:i/>
          <w:sz w:val="19"/>
        </w:rPr>
        <w:t>Animal, 14</w:t>
      </w:r>
      <w:r>
        <w:rPr>
          <w:sz w:val="19"/>
        </w:rPr>
        <w:t xml:space="preserve">(10), 2014-2022. </w:t>
      </w:r>
      <w:r>
        <w:rPr>
          <w:color w:val="0563C1"/>
          <w:u w:val="single"/>
        </w:rPr>
        <w:t>https://doi.org/10.1017/S1751731120001068</w:t>
      </w:r>
    </w:p>
    <w:p w14:paraId="7558E2AD" w14:textId="4860FA9F" w:rsidR="004734E5" w:rsidRDefault="00000000">
      <w:pPr>
        <w:pStyle w:val="BodyText"/>
        <w:spacing w:after="80" w:line="240" w:lineRule="auto"/>
        <w:ind w:left="360" w:hanging="360"/>
      </w:pPr>
      <w:r>
        <w:rPr>
          <w:sz w:val="19"/>
        </w:rPr>
        <w:t xml:space="preserve">Min, L., Li, D., Tong, X., Nan, X., Ding, D., Xu, B., &amp; Wang, G. (2019). Nutritional strategies for alleviating the detrimental effects of heat stress in dairy cows: A review. </w:t>
      </w:r>
      <w:r>
        <w:rPr>
          <w:i/>
          <w:sz w:val="19"/>
        </w:rPr>
        <w:t>International Journal of Biometeorology, 63</w:t>
      </w:r>
      <w:r>
        <w:rPr>
          <w:sz w:val="19"/>
        </w:rPr>
        <w:t xml:space="preserve">(9), 1283-1302. </w:t>
      </w:r>
      <w:r>
        <w:rPr>
          <w:color w:val="0563C1"/>
          <w:u w:val="single"/>
        </w:rPr>
        <w:t>https://doi.org/10.1007/s00484-019-01744-8</w:t>
      </w:r>
    </w:p>
    <w:p w14:paraId="6DFCF1EB" w14:textId="795518C5" w:rsidR="004734E5" w:rsidRDefault="00000000">
      <w:pPr>
        <w:pStyle w:val="BodyText"/>
        <w:spacing w:after="80" w:line="240" w:lineRule="auto"/>
        <w:ind w:left="360" w:hanging="360"/>
      </w:pPr>
      <w:r>
        <w:rPr>
          <w:sz w:val="19"/>
        </w:rPr>
        <w:t xml:space="preserve">Mishra, S. R. (2021). Behavioural, physiological, neuro-endocrine and molecular responses of cattle against heat stress: An updated review. </w:t>
      </w:r>
      <w:r>
        <w:rPr>
          <w:i/>
          <w:sz w:val="19"/>
        </w:rPr>
        <w:t>Tropical Animal Health and Production, 53</w:t>
      </w:r>
      <w:r>
        <w:rPr>
          <w:sz w:val="19"/>
        </w:rPr>
        <w:t xml:space="preserve">(3), Article 400. </w:t>
      </w:r>
      <w:r>
        <w:rPr>
          <w:color w:val="0563C1"/>
          <w:u w:val="single"/>
        </w:rPr>
        <w:t>https://doi.org/10.1007/s11250-021-02790-4</w:t>
      </w:r>
    </w:p>
    <w:p w14:paraId="1BD9B3F1" w14:textId="3D791E9F" w:rsidR="004734E5" w:rsidRDefault="00000000">
      <w:pPr>
        <w:pStyle w:val="BodyText"/>
        <w:spacing w:after="80" w:line="240" w:lineRule="auto"/>
        <w:ind w:left="360" w:hanging="360"/>
      </w:pPr>
      <w:r>
        <w:rPr>
          <w:sz w:val="19"/>
        </w:rPr>
        <w:t xml:space="preserve">Moghaddam, A., Karimi, I., &amp; Pooyanmehr, M. (2009). Effects of short-term cooling on pregnancy rate of dairy heifers under summer heat stress. </w:t>
      </w:r>
      <w:r>
        <w:rPr>
          <w:i/>
          <w:sz w:val="19"/>
        </w:rPr>
        <w:t>Veterinary Research Communications, 33</w:t>
      </w:r>
      <w:r>
        <w:rPr>
          <w:sz w:val="19"/>
        </w:rPr>
        <w:t xml:space="preserve">(6), 567-575. </w:t>
      </w:r>
      <w:r>
        <w:rPr>
          <w:color w:val="0563C1"/>
          <w:u w:val="single"/>
        </w:rPr>
        <w:t>https://doi.org/10.1007/s11259-009-9205-8</w:t>
      </w:r>
    </w:p>
    <w:p w14:paraId="09D8E9DD" w14:textId="4943AC73" w:rsidR="004734E5" w:rsidRDefault="00000000">
      <w:pPr>
        <w:pStyle w:val="BodyText"/>
        <w:spacing w:after="80" w:line="240" w:lineRule="auto"/>
        <w:ind w:left="360" w:hanging="360"/>
      </w:pPr>
      <w:r>
        <w:rPr>
          <w:sz w:val="19"/>
        </w:rPr>
        <w:t xml:space="preserve">Morton, J. M., Tranter, W. P., Mayer, D. G., &amp; Jonsson, N. N. (2007). Effects of environmental heat on conception rates in lactating dairy cows: Critical periods of exposure. </w:t>
      </w:r>
      <w:r>
        <w:rPr>
          <w:i/>
          <w:sz w:val="19"/>
        </w:rPr>
        <w:t>Journal of Dairy Science, 90</w:t>
      </w:r>
      <w:r>
        <w:rPr>
          <w:sz w:val="19"/>
        </w:rPr>
        <w:t xml:space="preserve">(5), 2271-2278. </w:t>
      </w:r>
      <w:r>
        <w:rPr>
          <w:color w:val="0563C1"/>
          <w:u w:val="single"/>
        </w:rPr>
        <w:t>https://doi.org/10.3168/jds.2006-574</w:t>
      </w:r>
    </w:p>
    <w:p w14:paraId="6190776F" w14:textId="27478F1A" w:rsidR="004734E5" w:rsidRDefault="00000000">
      <w:pPr>
        <w:pStyle w:val="BodyText"/>
        <w:spacing w:after="80" w:line="240" w:lineRule="auto"/>
        <w:ind w:left="360" w:hanging="360"/>
      </w:pPr>
      <w:r>
        <w:rPr>
          <w:sz w:val="19"/>
        </w:rPr>
        <w:t xml:space="preserve">Nanas, I., Chouzouris, T.-M., Dadouli, K., Dovolou, E., Stamperna, K., Barbagianni, M., Valasi, I., Tsiaras, A., &amp; Amiridis, G. S. (2020). A study on stress response and fertility parameters in phenotypically thermotolerant and thermosensitive dairy cows during summer heat stress. </w:t>
      </w:r>
      <w:r>
        <w:rPr>
          <w:i/>
          <w:sz w:val="19"/>
        </w:rPr>
        <w:t>Reproduction in Domestic Animals, 55</w:t>
      </w:r>
      <w:r>
        <w:rPr>
          <w:sz w:val="19"/>
        </w:rPr>
        <w:t xml:space="preserve">(12), 1774-1783. </w:t>
      </w:r>
      <w:r>
        <w:rPr>
          <w:color w:val="0563C1"/>
          <w:u w:val="single"/>
        </w:rPr>
        <w:t>https://doi.org/10.1111/rda.13840</w:t>
      </w:r>
    </w:p>
    <w:p w14:paraId="7E42C758" w14:textId="5069839E" w:rsidR="004734E5" w:rsidRDefault="00000000">
      <w:pPr>
        <w:pStyle w:val="BodyText"/>
        <w:spacing w:after="80" w:line="240" w:lineRule="auto"/>
        <w:ind w:left="360" w:hanging="360"/>
      </w:pPr>
      <w:r>
        <w:rPr>
          <w:sz w:val="19"/>
        </w:rPr>
        <w:t xml:space="preserve">Nanas, I., Chouzouris, T.-M., Dovolou, E., Dadouli, K., Stamperna, K., Kateri, I., Barbagianni, M., &amp; Amiridis, G. S. (2021). Early embryo losses, progesterone and pregnancy associated glycoproteins levels during summer heat stress in dairy cows. </w:t>
      </w:r>
      <w:r>
        <w:rPr>
          <w:i/>
          <w:sz w:val="19"/>
        </w:rPr>
        <w:t>Journal of Thermal Biology, 98</w:t>
      </w:r>
      <w:r>
        <w:rPr>
          <w:sz w:val="19"/>
        </w:rPr>
        <w:t xml:space="preserve">, Article 102951. </w:t>
      </w:r>
      <w:r>
        <w:rPr>
          <w:color w:val="0563C1"/>
          <w:u w:val="single"/>
        </w:rPr>
        <w:t>https://doi.org/10.1016/j.jtherbio.2021.102951</w:t>
      </w:r>
    </w:p>
    <w:p w14:paraId="62E67BFE" w14:textId="745727A3" w:rsidR="004734E5" w:rsidRDefault="00000000">
      <w:pPr>
        <w:pStyle w:val="BodyText"/>
        <w:spacing w:after="80" w:line="240" w:lineRule="auto"/>
        <w:ind w:left="360" w:hanging="360"/>
      </w:pPr>
      <w:r>
        <w:rPr>
          <w:sz w:val="19"/>
        </w:rPr>
        <w:t xml:space="preserve">Netherton, J. K., Robinson, B. R., Ogle, R. A., Gunn, A., Villaverde, A. I. S. B., Colyvas, K., Wise, C., Russo, T., Dowdell, A., &amp; Baker, M. A. (2022). Seasonal variation in bull semen quality demonstrates there are heat-sensitive and heat-tolerant bulls. </w:t>
      </w:r>
      <w:r>
        <w:rPr>
          <w:i/>
          <w:sz w:val="19"/>
        </w:rPr>
        <w:t>Scientific Reports, 12</w:t>
      </w:r>
      <w:r>
        <w:rPr>
          <w:sz w:val="19"/>
        </w:rPr>
        <w:t xml:space="preserve">(1), Article 15322. </w:t>
      </w:r>
      <w:r>
        <w:rPr>
          <w:color w:val="0563C1"/>
          <w:u w:val="single"/>
        </w:rPr>
        <w:t>https://doi.org/10.1038/s41598-022-17708-9</w:t>
      </w:r>
    </w:p>
    <w:p w14:paraId="3F2FB762" w14:textId="37B296CE" w:rsidR="004734E5" w:rsidRDefault="00000000">
      <w:pPr>
        <w:pStyle w:val="BodyText"/>
        <w:spacing w:after="80" w:line="240" w:lineRule="auto"/>
        <w:ind w:left="360" w:hanging="360"/>
      </w:pPr>
      <w:r>
        <w:rPr>
          <w:sz w:val="19"/>
        </w:rPr>
        <w:t xml:space="preserve">Ojo, T. O., Vandenplas, J., Mulder, H. A., van Pelt, M. L., &amp; Calus, M. P. L. (2025). Genetic analysis of the impact of heat stress on fertility traits in dairy cows in the Netherlands. </w:t>
      </w:r>
      <w:r>
        <w:rPr>
          <w:i/>
          <w:sz w:val="19"/>
        </w:rPr>
        <w:t>Journal of Dairy Science, 108</w:t>
      </w:r>
      <w:r>
        <w:rPr>
          <w:sz w:val="19"/>
        </w:rPr>
        <w:t xml:space="preserve">(2), 1699-1713. </w:t>
      </w:r>
      <w:r>
        <w:rPr>
          <w:color w:val="0563C1"/>
          <w:u w:val="single"/>
        </w:rPr>
        <w:t>https://doi.org/10.3168/jds.2024-25316</w:t>
      </w:r>
    </w:p>
    <w:p w14:paraId="249B0AF6" w14:textId="0A1B3A5D" w:rsidR="004734E5" w:rsidRDefault="00000000">
      <w:pPr>
        <w:pStyle w:val="BodyText"/>
        <w:spacing w:after="80" w:line="240" w:lineRule="auto"/>
        <w:ind w:left="360" w:hanging="360"/>
      </w:pPr>
      <w:r>
        <w:rPr>
          <w:sz w:val="19"/>
        </w:rPr>
        <w:t xml:space="preserve">Oliveira, C. S., Dias, H. R. S., Camargo, A. J. R., Mourão, A., Feuchard, V. L. S., Muller, M. D., Brandão, F. Z., Nogueira, L. A. G., Verneque, R. S., Saraiva, N. Z., &amp; Camargo, L. S. A. (2024). Livestock-forest integrated system attenuates deleterious heat stress effects in bovine oocytes. </w:t>
      </w:r>
      <w:r>
        <w:rPr>
          <w:i/>
          <w:sz w:val="19"/>
        </w:rPr>
        <w:t>Animal Reproduction Science, 268</w:t>
      </w:r>
      <w:r>
        <w:rPr>
          <w:sz w:val="19"/>
        </w:rPr>
        <w:t xml:space="preserve">, Article 107568. </w:t>
      </w:r>
      <w:r>
        <w:rPr>
          <w:color w:val="0563C1"/>
          <w:u w:val="single"/>
        </w:rPr>
        <w:t>https://doi.org/10.1016/j.anireprosci.2024.107568</w:t>
      </w:r>
    </w:p>
    <w:p w14:paraId="6B004978" w14:textId="36DF7C5E" w:rsidR="004734E5" w:rsidRDefault="00000000">
      <w:pPr>
        <w:pStyle w:val="BodyText"/>
        <w:spacing w:after="80" w:line="240" w:lineRule="auto"/>
        <w:ind w:left="360" w:hanging="360"/>
      </w:pPr>
      <w:r>
        <w:rPr>
          <w:sz w:val="19"/>
        </w:rPr>
        <w:lastRenderedPageBreak/>
        <w:t xml:space="preserve">Oloo, R. D., Ekine-Dzivenu, C. C., Mrode, R., Bennewitz, J., Ojango, J. M. K., Kipkosgei, G., Gebreyohanes, G., Okeyo, A. M., &amp; Chagunda, M. G. G. (2024). Genetic analysis of phenotypic indicators for heat tolerance in crossbred dairy cattle. </w:t>
      </w:r>
      <w:r>
        <w:rPr>
          <w:i/>
          <w:sz w:val="19"/>
        </w:rPr>
        <w:t>Animal, 18</w:t>
      </w:r>
      <w:r>
        <w:rPr>
          <w:sz w:val="19"/>
        </w:rPr>
        <w:t xml:space="preserve">(5), Article 101139. </w:t>
      </w:r>
      <w:r>
        <w:rPr>
          <w:color w:val="0563C1"/>
          <w:u w:val="single"/>
        </w:rPr>
        <w:t>https://doi.org/10.1016/j.animal.2024.101139</w:t>
      </w:r>
    </w:p>
    <w:p w14:paraId="050F7317" w14:textId="5C9496CB" w:rsidR="004734E5" w:rsidRDefault="00000000">
      <w:pPr>
        <w:pStyle w:val="BodyText"/>
        <w:spacing w:after="80" w:line="240" w:lineRule="auto"/>
        <w:ind w:left="360" w:hanging="360"/>
      </w:pPr>
      <w:r>
        <w:rPr>
          <w:sz w:val="19"/>
        </w:rPr>
        <w:t xml:space="preserve">Ouellet, V., Boucher, A., Dahl, G. E., &amp; Laporta, J. (2021). Consequences of maternal heat stress at different stages of embryonic and fetal development on dairy cows’ progeny. </w:t>
      </w:r>
      <w:r>
        <w:rPr>
          <w:i/>
          <w:sz w:val="19"/>
        </w:rPr>
        <w:t>Animal Frontiers, 11</w:t>
      </w:r>
      <w:r>
        <w:rPr>
          <w:sz w:val="19"/>
        </w:rPr>
        <w:t xml:space="preserve">(6), 48-56. </w:t>
      </w:r>
      <w:r>
        <w:rPr>
          <w:color w:val="0563C1"/>
          <w:u w:val="single"/>
        </w:rPr>
        <w:t>https://doi.org/10.1093/af/vfab059</w:t>
      </w:r>
    </w:p>
    <w:p w14:paraId="3CBEDB73" w14:textId="3DA6C265" w:rsidR="004734E5" w:rsidRDefault="00000000">
      <w:pPr>
        <w:pStyle w:val="BodyText"/>
        <w:spacing w:after="80" w:line="240" w:lineRule="auto"/>
        <w:ind w:left="360" w:hanging="360"/>
      </w:pPr>
      <w:r>
        <w:rPr>
          <w:sz w:val="19"/>
        </w:rPr>
        <w:t xml:space="preserve">Ouellet, V., Laporta, J., &amp; Dahl, G. E. (2020). Late gestation heat stress in dairy cows: Effects on dam and daughter. </w:t>
      </w:r>
      <w:r>
        <w:rPr>
          <w:i/>
          <w:sz w:val="19"/>
        </w:rPr>
        <w:t>Theriogenology, 150</w:t>
      </w:r>
      <w:r>
        <w:rPr>
          <w:sz w:val="19"/>
        </w:rPr>
        <w:t xml:space="preserve">, 471-479. </w:t>
      </w:r>
      <w:r>
        <w:rPr>
          <w:color w:val="0563C1"/>
          <w:u w:val="single"/>
        </w:rPr>
        <w:t>https://doi.org/10.1016/j.theriogenology.2020.03.011</w:t>
      </w:r>
    </w:p>
    <w:p w14:paraId="00F5970F" w14:textId="1B8961B2" w:rsidR="004734E5" w:rsidRDefault="00000000">
      <w:pPr>
        <w:pStyle w:val="BodyText"/>
        <w:spacing w:after="80" w:line="240" w:lineRule="auto"/>
        <w:ind w:left="360" w:hanging="360"/>
      </w:pPr>
      <w:r>
        <w:rPr>
          <w:sz w:val="19"/>
        </w:rPr>
        <w:t xml:space="preserve">Paes, V. M., Vieira, L. A., Correia, H. H. V., Sá, N. A. R., Moura, A. A. A., Sales, A. D., Rodrigues, A. P. R., Magalhães-Padilha, D. M., Santos, F. W., Apgar, G. A., Campello, C. C., Camargo, L. S. A., &amp; Figueiredo, J. R. (2016). Effect of heat stress on the survival and development of in vitro cultured bovine preantral follicles and on in vitro maturation of cumulus-oocyte complex. </w:t>
      </w:r>
      <w:r>
        <w:rPr>
          <w:i/>
          <w:sz w:val="19"/>
        </w:rPr>
        <w:t>Theriogenology, 86</w:t>
      </w:r>
      <w:r>
        <w:rPr>
          <w:sz w:val="19"/>
        </w:rPr>
        <w:t xml:space="preserve">(4), 994-1003. </w:t>
      </w:r>
      <w:r>
        <w:rPr>
          <w:color w:val="0563C1"/>
          <w:u w:val="single"/>
        </w:rPr>
        <w:t>https://doi.org/10.1016/j.theriogenology.2016.03.027</w:t>
      </w:r>
    </w:p>
    <w:p w14:paraId="68B0CA7A" w14:textId="7C466847" w:rsidR="004734E5" w:rsidRDefault="00000000">
      <w:pPr>
        <w:pStyle w:val="BodyText"/>
        <w:spacing w:after="80" w:line="240" w:lineRule="auto"/>
        <w:ind w:left="360" w:hanging="360"/>
      </w:pPr>
      <w:r>
        <w:rPr>
          <w:sz w:val="19"/>
        </w:rPr>
        <w:t xml:space="preserve">Parkinson, T. J. (1987). Seasonal variations in semen quality of bulls: Correlations with environmental temperature. </w:t>
      </w:r>
      <w:r>
        <w:rPr>
          <w:i/>
          <w:sz w:val="19"/>
        </w:rPr>
        <w:t>Veterinary Record, 120</w:t>
      </w:r>
      <w:r>
        <w:rPr>
          <w:sz w:val="19"/>
        </w:rPr>
        <w:t xml:space="preserve">(20), 479-482. </w:t>
      </w:r>
      <w:r>
        <w:rPr>
          <w:color w:val="0563C1"/>
          <w:u w:val="single"/>
        </w:rPr>
        <w:t>https://doi.org/10.1136/vr.120.20.479</w:t>
      </w:r>
    </w:p>
    <w:p w14:paraId="615494B8" w14:textId="38078B11" w:rsidR="004734E5" w:rsidRDefault="00000000">
      <w:pPr>
        <w:pStyle w:val="BodyText"/>
        <w:spacing w:after="80" w:line="240" w:lineRule="auto"/>
        <w:ind w:left="360" w:hanging="360"/>
      </w:pPr>
      <w:r>
        <w:rPr>
          <w:sz w:val="19"/>
        </w:rPr>
        <w:t xml:space="preserve">Putney, D. J., Drost, M., &amp; Thatcher, W. W. (1989). Influence of summer heat stress on pregnancy rates of lactating dairy cattle following embryo transfer or artificial insemination. </w:t>
      </w:r>
      <w:r>
        <w:rPr>
          <w:i/>
          <w:sz w:val="19"/>
        </w:rPr>
        <w:t>Theriogenology, 31</w:t>
      </w:r>
      <w:r>
        <w:rPr>
          <w:sz w:val="19"/>
        </w:rPr>
        <w:t xml:space="preserve">(4), 765-778. </w:t>
      </w:r>
      <w:r>
        <w:rPr>
          <w:color w:val="0563C1"/>
          <w:u w:val="single"/>
        </w:rPr>
        <w:t>https://doi.org/10.1016/0093-691X(89)90022-8</w:t>
      </w:r>
    </w:p>
    <w:p w14:paraId="04DA3974" w14:textId="24220656" w:rsidR="004734E5" w:rsidRDefault="00000000">
      <w:pPr>
        <w:pStyle w:val="BodyText"/>
        <w:spacing w:after="80" w:line="240" w:lineRule="auto"/>
        <w:ind w:left="360" w:hanging="360"/>
      </w:pPr>
      <w:r>
        <w:rPr>
          <w:sz w:val="19"/>
        </w:rPr>
        <w:t xml:space="preserve">Rahman, M. B., Schellander, K., Llamas Luceño, N., &amp; Van Soom, A. (2018). Heat stress responses in spermatozoa: Mechanisms and consequences for cattle fertility. </w:t>
      </w:r>
      <w:r>
        <w:rPr>
          <w:i/>
          <w:sz w:val="19"/>
        </w:rPr>
        <w:t>Theriogenology, 113</w:t>
      </w:r>
      <w:r>
        <w:rPr>
          <w:sz w:val="19"/>
        </w:rPr>
        <w:t xml:space="preserve">, 102-112. </w:t>
      </w:r>
      <w:r>
        <w:rPr>
          <w:color w:val="0563C1"/>
          <w:u w:val="single"/>
        </w:rPr>
        <w:t>https://doi.org/10.1016/j.theriogenology.2018.02.012</w:t>
      </w:r>
    </w:p>
    <w:p w14:paraId="42DACC1D" w14:textId="643062EC" w:rsidR="004734E5" w:rsidRDefault="00000000">
      <w:pPr>
        <w:pStyle w:val="BodyText"/>
        <w:spacing w:after="80" w:line="240" w:lineRule="auto"/>
        <w:ind w:left="360" w:hanging="360"/>
      </w:pPr>
      <w:r>
        <w:rPr>
          <w:sz w:val="19"/>
        </w:rPr>
        <w:t xml:space="preserve">Ravagnolo, O., Misztal, I., &amp; Hoogenboom, G. (2000). Genetic component of heat stress in dairy cattle, development of heat index function. </w:t>
      </w:r>
      <w:r>
        <w:rPr>
          <w:i/>
          <w:sz w:val="19"/>
        </w:rPr>
        <w:t>Journal of Dairy Science, 83</w:t>
      </w:r>
      <w:r>
        <w:rPr>
          <w:sz w:val="19"/>
        </w:rPr>
        <w:t xml:space="preserve">(9), 2120-2125. </w:t>
      </w:r>
      <w:r>
        <w:rPr>
          <w:color w:val="0563C1"/>
          <w:u w:val="single"/>
        </w:rPr>
        <w:t>https://doi.org/10.3168/jds.S0022-0302(00)75094-6</w:t>
      </w:r>
    </w:p>
    <w:p w14:paraId="5ED55E7B" w14:textId="1772C757" w:rsidR="004734E5" w:rsidRDefault="00000000">
      <w:pPr>
        <w:pStyle w:val="BodyText"/>
        <w:spacing w:after="80" w:line="240" w:lineRule="auto"/>
        <w:ind w:left="360" w:hanging="360"/>
      </w:pPr>
      <w:r>
        <w:rPr>
          <w:sz w:val="19"/>
        </w:rPr>
        <w:t xml:space="preserve">Rodríguez-Godina, I. J., García, J. E., Morales, J. L., Contreras, V., Véliz, F. G., Macías-Cruz, U., Avendaño-Reyes, L., &amp; Mellado, M. (2024). Effect of heat stress during the dry period on milk yield and reproductive performance of Holstein cows. </w:t>
      </w:r>
      <w:r>
        <w:rPr>
          <w:i/>
          <w:sz w:val="19"/>
        </w:rPr>
        <w:t>International Journal of Biometeorology, 68</w:t>
      </w:r>
      <w:r>
        <w:rPr>
          <w:sz w:val="19"/>
        </w:rPr>
        <w:t xml:space="preserve">(5), 883-890. </w:t>
      </w:r>
      <w:r>
        <w:rPr>
          <w:color w:val="0563C1"/>
          <w:u w:val="single"/>
        </w:rPr>
        <w:t>https://doi.org/10.1007/s00484-024-02633-5</w:t>
      </w:r>
    </w:p>
    <w:p w14:paraId="3A968EBE" w14:textId="250D976E" w:rsidR="004734E5" w:rsidRDefault="00000000">
      <w:pPr>
        <w:pStyle w:val="BodyText"/>
        <w:spacing w:after="80" w:line="240" w:lineRule="auto"/>
        <w:ind w:left="360" w:hanging="360"/>
      </w:pPr>
      <w:r>
        <w:rPr>
          <w:sz w:val="19"/>
        </w:rPr>
        <w:t xml:space="preserve">Roth, Z. (2008). Heat stress, the follicle, and its enclosed oocyte: Mechanisms and potential strategies to improve fertility in dairy cows. </w:t>
      </w:r>
      <w:r>
        <w:rPr>
          <w:i/>
          <w:sz w:val="19"/>
        </w:rPr>
        <w:t>Reproduction in Domestic Animals, 43</w:t>
      </w:r>
      <w:r>
        <w:rPr>
          <w:sz w:val="19"/>
        </w:rPr>
        <w:t xml:space="preserve">(Suppl. 2), 238-244. </w:t>
      </w:r>
      <w:r>
        <w:rPr>
          <w:color w:val="0563C1"/>
          <w:u w:val="single"/>
        </w:rPr>
        <w:t>https://doi.org/10.1111/j.1439-0531.2008.01168.x</w:t>
      </w:r>
    </w:p>
    <w:p w14:paraId="3CEEE4BE" w14:textId="08B92E99" w:rsidR="004734E5" w:rsidRDefault="00000000">
      <w:pPr>
        <w:pStyle w:val="BodyText"/>
        <w:spacing w:after="80" w:line="240" w:lineRule="auto"/>
        <w:ind w:left="360" w:hanging="360"/>
      </w:pPr>
      <w:r>
        <w:rPr>
          <w:sz w:val="19"/>
        </w:rPr>
        <w:t xml:space="preserve">Roth, Z. (2017). Effect of heat stress on reproduction in dairy cows: Insights into the cellular and molecular responses of the oocyte. </w:t>
      </w:r>
      <w:r>
        <w:rPr>
          <w:i/>
          <w:sz w:val="19"/>
        </w:rPr>
        <w:t>Annual Review of Animal Biosciences, 5</w:t>
      </w:r>
      <w:r>
        <w:rPr>
          <w:sz w:val="19"/>
        </w:rPr>
        <w:t xml:space="preserve">, 151-170. </w:t>
      </w:r>
      <w:r>
        <w:rPr>
          <w:color w:val="0563C1"/>
          <w:u w:val="single"/>
        </w:rPr>
        <w:t>https://doi.org/10.1146/annurev-animal-022516-022849</w:t>
      </w:r>
    </w:p>
    <w:p w14:paraId="33CA1F12" w14:textId="198E0588" w:rsidR="004734E5" w:rsidRDefault="00000000">
      <w:pPr>
        <w:pStyle w:val="BodyText"/>
        <w:spacing w:after="80" w:line="240" w:lineRule="auto"/>
        <w:ind w:left="360" w:hanging="360"/>
      </w:pPr>
      <w:r>
        <w:rPr>
          <w:sz w:val="19"/>
        </w:rPr>
        <w:t xml:space="preserve">Sakatani, M. (2017). Effects of heat stress on bovine preimplantation embryos produced in vitro. </w:t>
      </w:r>
      <w:r>
        <w:rPr>
          <w:i/>
          <w:sz w:val="19"/>
        </w:rPr>
        <w:t>Journal of Reproduction and Development, 63</w:t>
      </w:r>
      <w:r>
        <w:rPr>
          <w:sz w:val="19"/>
        </w:rPr>
        <w:t xml:space="preserve">(4), 347-352. </w:t>
      </w:r>
      <w:r>
        <w:rPr>
          <w:color w:val="0563C1"/>
          <w:u w:val="single"/>
        </w:rPr>
        <w:t>https://doi.org/10.1262/jrd.2017-045</w:t>
      </w:r>
    </w:p>
    <w:p w14:paraId="6C16CB68" w14:textId="0058F00D" w:rsidR="004734E5" w:rsidRDefault="00000000">
      <w:pPr>
        <w:pStyle w:val="BodyText"/>
        <w:spacing w:after="80" w:line="240" w:lineRule="auto"/>
        <w:ind w:left="360" w:hanging="360"/>
      </w:pPr>
      <w:r>
        <w:rPr>
          <w:sz w:val="19"/>
        </w:rPr>
        <w:t xml:space="preserve">Sakatani, M., Kobayashi, S.-I., &amp; Takahashi, M. (2004). Effects of heat shock on in vitro development and intracellular oxidative state of bovine preimplantation embryos. </w:t>
      </w:r>
      <w:r>
        <w:rPr>
          <w:i/>
          <w:sz w:val="19"/>
        </w:rPr>
        <w:t>Molecular Reproduction and Development, 67</w:t>
      </w:r>
      <w:r>
        <w:rPr>
          <w:sz w:val="19"/>
        </w:rPr>
        <w:t xml:space="preserve">(1), 77-82. </w:t>
      </w:r>
      <w:r>
        <w:rPr>
          <w:color w:val="0563C1"/>
          <w:u w:val="single"/>
        </w:rPr>
        <w:t>https://doi.org/10.1002/mrd.20014</w:t>
      </w:r>
    </w:p>
    <w:p w14:paraId="418634C4" w14:textId="66910BAB" w:rsidR="004734E5" w:rsidRDefault="00000000">
      <w:pPr>
        <w:pStyle w:val="BodyText"/>
        <w:spacing w:after="80" w:line="240" w:lineRule="auto"/>
        <w:ind w:left="360" w:hanging="360"/>
      </w:pPr>
      <w:r>
        <w:rPr>
          <w:sz w:val="19"/>
        </w:rPr>
        <w:t xml:space="preserve">Sankarganesh, D., Krishna Prasad, P. D. S. S. Y., Sujit, S., Thiraviam, A. I. G., &amp; Ambrose, D. J. (2026). Estrus detection in dairy cattle: An updated review on strategies and technologies. </w:t>
      </w:r>
      <w:r>
        <w:rPr>
          <w:i/>
          <w:sz w:val="19"/>
        </w:rPr>
        <w:t>Frontiers in Veterinary Science, 13</w:t>
      </w:r>
      <w:r>
        <w:rPr>
          <w:sz w:val="19"/>
        </w:rPr>
        <w:t xml:space="preserve">, Article 1807199. </w:t>
      </w:r>
      <w:r>
        <w:rPr>
          <w:color w:val="0563C1"/>
          <w:u w:val="single"/>
        </w:rPr>
        <w:t>https://doi.org/10.3389/fvets.2026.1807199</w:t>
      </w:r>
    </w:p>
    <w:p w14:paraId="54A310E7" w14:textId="6F43384F" w:rsidR="004734E5" w:rsidRDefault="00000000">
      <w:pPr>
        <w:pStyle w:val="BodyText"/>
        <w:spacing w:after="80" w:line="240" w:lineRule="auto"/>
        <w:ind w:left="360" w:hanging="360"/>
      </w:pPr>
      <w:r>
        <w:rPr>
          <w:sz w:val="19"/>
        </w:rPr>
        <w:t xml:space="preserve">Schüller, L. K., Burfeind, O., &amp; Heuwieser, W. (2014). Impact of heat stress on conception rate of dairy cows in the moderate climate considering different temperature-humidity index thresholds, periods relative to breeding, and heat load indices. </w:t>
      </w:r>
      <w:r>
        <w:rPr>
          <w:i/>
          <w:sz w:val="19"/>
        </w:rPr>
        <w:t>Theriogenology, 81</w:t>
      </w:r>
      <w:r>
        <w:rPr>
          <w:sz w:val="19"/>
        </w:rPr>
        <w:t xml:space="preserve">(8), 1050-1057. </w:t>
      </w:r>
      <w:r>
        <w:rPr>
          <w:color w:val="0563C1"/>
          <w:u w:val="single"/>
        </w:rPr>
        <w:t>https://doi.org/10.1016/j.theriogenology.2014.01.029</w:t>
      </w:r>
    </w:p>
    <w:p w14:paraId="0ECC559F" w14:textId="4EB9F5D1" w:rsidR="004734E5" w:rsidRDefault="00000000">
      <w:pPr>
        <w:pStyle w:val="BodyText"/>
        <w:spacing w:after="80" w:line="240" w:lineRule="auto"/>
        <w:ind w:left="360" w:hanging="360"/>
      </w:pPr>
      <w:r>
        <w:rPr>
          <w:sz w:val="19"/>
        </w:rPr>
        <w:t xml:space="preserve">Shahat, A. M., Thundathil, J. C., &amp; Kastelic, J. P. (2021). Scrotal subcutaneous temperature is increased by scrotal insulation or whole-body heating, but not by scrotal neck insulation; however, all three heat-stress models decrease sperm quality in bulls and rams. </w:t>
      </w:r>
      <w:r>
        <w:rPr>
          <w:i/>
          <w:sz w:val="19"/>
        </w:rPr>
        <w:t>Journal of Thermal Biology, 100</w:t>
      </w:r>
      <w:r>
        <w:rPr>
          <w:sz w:val="19"/>
        </w:rPr>
        <w:t xml:space="preserve">, Article 103064. </w:t>
      </w:r>
      <w:r>
        <w:rPr>
          <w:color w:val="0563C1"/>
          <w:u w:val="single"/>
        </w:rPr>
        <w:t>https://doi.org/10.1016/j.jtherbio.2021.103064</w:t>
      </w:r>
    </w:p>
    <w:p w14:paraId="4FFD7739" w14:textId="0AC248F0" w:rsidR="004734E5" w:rsidRDefault="00000000">
      <w:pPr>
        <w:pStyle w:val="BodyText"/>
        <w:spacing w:after="80" w:line="240" w:lineRule="auto"/>
        <w:ind w:left="360" w:hanging="360"/>
      </w:pPr>
      <w:r>
        <w:rPr>
          <w:sz w:val="19"/>
        </w:rPr>
        <w:t xml:space="preserve">Shephard, R. W., &amp; Maloney, S. K. (2023). A review of thermal stress in cattle. </w:t>
      </w:r>
      <w:r>
        <w:rPr>
          <w:i/>
          <w:sz w:val="19"/>
        </w:rPr>
        <w:t>Australian Veterinary Journal, 101</w:t>
      </w:r>
      <w:r>
        <w:rPr>
          <w:sz w:val="19"/>
        </w:rPr>
        <w:t xml:space="preserve">(11), 417-429. </w:t>
      </w:r>
      <w:r>
        <w:rPr>
          <w:color w:val="0563C1"/>
          <w:u w:val="single"/>
        </w:rPr>
        <w:t>https://doi.org/10.1111/avj.13275</w:t>
      </w:r>
    </w:p>
    <w:p w14:paraId="49D3A3F7" w14:textId="6DD44FA8" w:rsidR="004734E5" w:rsidRDefault="00000000">
      <w:pPr>
        <w:pStyle w:val="BodyText"/>
        <w:spacing w:after="80" w:line="240" w:lineRule="auto"/>
        <w:ind w:left="360" w:hanging="360"/>
      </w:pPr>
      <w:r>
        <w:rPr>
          <w:sz w:val="19"/>
        </w:rPr>
        <w:lastRenderedPageBreak/>
        <w:t xml:space="preserve">Simões, R., Feitosa, W. B., Siqueira, A. F. P., Nichi, M., Paula-Lopes, F. F., Marques, M. G., Peres, M. A., Barnabe, V. H., Visintin, J. A., &amp; Assumpção, M. E. O. A. (2013). Influence of bovine sperm DNA fragmentation and oxidative stress on early embryo in vitro development outcome. </w:t>
      </w:r>
      <w:r>
        <w:rPr>
          <w:i/>
          <w:sz w:val="19"/>
        </w:rPr>
        <w:t>Reproduction, 146</w:t>
      </w:r>
      <w:r>
        <w:rPr>
          <w:sz w:val="19"/>
        </w:rPr>
        <w:t xml:space="preserve">(5), 433-441. </w:t>
      </w:r>
      <w:r>
        <w:rPr>
          <w:color w:val="0563C1"/>
          <w:u w:val="single"/>
        </w:rPr>
        <w:t>https://doi.org/10.1530/REP-13-0123</w:t>
      </w:r>
    </w:p>
    <w:p w14:paraId="574627E6" w14:textId="0009E061" w:rsidR="004734E5" w:rsidRDefault="00000000">
      <w:pPr>
        <w:pStyle w:val="BodyText"/>
        <w:spacing w:after="80" w:line="240" w:lineRule="auto"/>
        <w:ind w:left="360" w:hanging="360"/>
      </w:pPr>
      <w:r>
        <w:rPr>
          <w:sz w:val="19"/>
        </w:rPr>
        <w:t xml:space="preserve">Tao, S., Thompson, I. M., Monteiro, A. P. A., Hayen, M. J., Young, L. J., &amp; Dahl, G. E. (2012). Effect of cooling heat-stressed dairy cows during the dry period on insulin response. </w:t>
      </w:r>
      <w:r>
        <w:rPr>
          <w:i/>
          <w:sz w:val="19"/>
        </w:rPr>
        <w:t>Journal of Dairy Science, 95</w:t>
      </w:r>
      <w:r>
        <w:rPr>
          <w:sz w:val="19"/>
        </w:rPr>
        <w:t xml:space="preserve">(9), 5035-5046. </w:t>
      </w:r>
      <w:r>
        <w:rPr>
          <w:color w:val="0563C1"/>
          <w:u w:val="single"/>
        </w:rPr>
        <w:t>https://doi.org/10.3168/jds.2012-5405</w:t>
      </w:r>
    </w:p>
    <w:p w14:paraId="39759558" w14:textId="3AAEDE26" w:rsidR="004734E5" w:rsidRDefault="00000000">
      <w:pPr>
        <w:pStyle w:val="BodyText"/>
        <w:spacing w:after="80" w:line="240" w:lineRule="auto"/>
        <w:ind w:left="360" w:hanging="360"/>
      </w:pPr>
      <w:r>
        <w:rPr>
          <w:sz w:val="19"/>
        </w:rPr>
        <w:t xml:space="preserve">Veissier, I., Van Laer, E., Palme, R., Moons, C. P. H., Ampe, B., Sonck, B., Andanson, S., &amp; Tuyttens, F. A. M. (2018). Heat stress in cows at pasture and benefit of shade in a temperate climate region. </w:t>
      </w:r>
      <w:r>
        <w:rPr>
          <w:i/>
          <w:sz w:val="19"/>
        </w:rPr>
        <w:t>International Journal of Biometeorology, 62</w:t>
      </w:r>
      <w:r>
        <w:rPr>
          <w:sz w:val="19"/>
        </w:rPr>
        <w:t xml:space="preserve">(4), 585-595. </w:t>
      </w:r>
      <w:r>
        <w:rPr>
          <w:color w:val="0563C1"/>
          <w:u w:val="single"/>
        </w:rPr>
        <w:t>https://doi.org/10.1007/s00484-017-1468-0</w:t>
      </w:r>
    </w:p>
    <w:p w14:paraId="6EEF354C" w14:textId="262A70F7" w:rsidR="004734E5" w:rsidRDefault="00000000">
      <w:pPr>
        <w:pStyle w:val="BodyText"/>
        <w:spacing w:after="80" w:line="240" w:lineRule="auto"/>
        <w:ind w:left="360" w:hanging="360"/>
      </w:pPr>
      <w:r>
        <w:rPr>
          <w:sz w:val="19"/>
        </w:rPr>
        <w:t xml:space="preserve">Vinet, A., Mattalia, S., Vallée, R., Bertrand, C., Barbat, A., Promp, J., Cuyabano, B. C. D., &amp; Boichard, D. (2024). Effect of temperature-humidity index on the evolution of trade-offs between fertility and production in dairy cattle. </w:t>
      </w:r>
      <w:r>
        <w:rPr>
          <w:i/>
          <w:sz w:val="19"/>
        </w:rPr>
        <w:t>Genetics Selection Evolution, 56</w:t>
      </w:r>
      <w:r>
        <w:rPr>
          <w:sz w:val="19"/>
        </w:rPr>
        <w:t xml:space="preserve">(1), Article 23. </w:t>
      </w:r>
      <w:r>
        <w:rPr>
          <w:color w:val="0563C1"/>
          <w:u w:val="single"/>
        </w:rPr>
        <w:t>https://doi.org/10.1186/s12711-024-00889-4</w:t>
      </w:r>
    </w:p>
    <w:p w14:paraId="69DC86C3" w14:textId="4ED12755" w:rsidR="004734E5" w:rsidRDefault="00000000">
      <w:pPr>
        <w:pStyle w:val="BodyText"/>
        <w:spacing w:after="80" w:line="240" w:lineRule="auto"/>
        <w:ind w:left="360" w:hanging="360"/>
      </w:pPr>
      <w:r>
        <w:rPr>
          <w:sz w:val="19"/>
        </w:rPr>
        <w:t xml:space="preserve">Wise, M. E., Rodriguez, R. E., Armstrong, D. V., Huber, J. T., Wiersma, F., &amp; Hunter, R. (1988). Fertility and hormonal responses to temporary relief of heat stress in lactating dairy cows. </w:t>
      </w:r>
      <w:r>
        <w:rPr>
          <w:i/>
          <w:sz w:val="19"/>
        </w:rPr>
        <w:t>Theriogenology, 29</w:t>
      </w:r>
      <w:r>
        <w:rPr>
          <w:sz w:val="19"/>
        </w:rPr>
        <w:t xml:space="preserve">(5), 1027-1035. </w:t>
      </w:r>
      <w:r>
        <w:rPr>
          <w:color w:val="0563C1"/>
          <w:u w:val="single"/>
        </w:rPr>
        <w:t>https://doi.org/10.1016/S0093-691X(88)80026-8</w:t>
      </w:r>
    </w:p>
    <w:p w14:paraId="4C2AE53E" w14:textId="26B83F02" w:rsidR="004734E5" w:rsidRDefault="00000000">
      <w:pPr>
        <w:pStyle w:val="BodyText"/>
        <w:spacing w:after="80" w:line="240" w:lineRule="auto"/>
        <w:ind w:left="360" w:hanging="360"/>
      </w:pPr>
      <w:r>
        <w:rPr>
          <w:sz w:val="19"/>
        </w:rPr>
        <w:t xml:space="preserve">Wolfenson, D., &amp; Roth, Z. (2019). Impact of heat stress on cow reproduction and fertility. </w:t>
      </w:r>
      <w:r>
        <w:rPr>
          <w:i/>
          <w:sz w:val="19"/>
        </w:rPr>
        <w:t>Animal Frontiers, 9</w:t>
      </w:r>
      <w:r>
        <w:rPr>
          <w:sz w:val="19"/>
        </w:rPr>
        <w:t xml:space="preserve">(1), 32-38. </w:t>
      </w:r>
      <w:r>
        <w:rPr>
          <w:color w:val="0563C1"/>
          <w:u w:val="single"/>
        </w:rPr>
        <w:t>https://doi.org/10.1093/af/vfy027</w:t>
      </w:r>
    </w:p>
    <w:p w14:paraId="24A965C6" w14:textId="2311B2AF" w:rsidR="004734E5" w:rsidRDefault="00000000">
      <w:pPr>
        <w:pStyle w:val="BodyText"/>
        <w:spacing w:after="80" w:line="240" w:lineRule="auto"/>
        <w:ind w:left="360" w:hanging="360"/>
      </w:pPr>
      <w:r>
        <w:rPr>
          <w:sz w:val="19"/>
        </w:rPr>
        <w:t xml:space="preserve">Wolfenson, D., Roth, Z., &amp; Meidan, R. (2000). Impaired reproduction in heat-stressed cattle: Basic and applied aspects. </w:t>
      </w:r>
      <w:r>
        <w:rPr>
          <w:i/>
          <w:sz w:val="19"/>
        </w:rPr>
        <w:t>Animal Reproduction Science, 60-61</w:t>
      </w:r>
      <w:r>
        <w:rPr>
          <w:sz w:val="19"/>
        </w:rPr>
        <w:t xml:space="preserve">, 535-547. </w:t>
      </w:r>
      <w:r>
        <w:rPr>
          <w:color w:val="0563C1"/>
          <w:u w:val="single"/>
        </w:rPr>
        <w:t>https://doi.org/10.1016/S0378-4320(00)00102-0</w:t>
      </w:r>
    </w:p>
    <w:sectPr w:rsidR="004734E5" w:rsidSect="00034616">
      <w:headerReference w:type="even" r:id="rId8"/>
      <w:headerReference w:type="default" r:id="rId9"/>
      <w:footerReference w:type="even" r:id="rId10"/>
      <w:footerReference w:type="default" r:id="rId11"/>
      <w:headerReference w:type="first" r:id="rId12"/>
      <w:footerReference w:type="first" r:id="rId13"/>
      <w:pgSz w:w="12240" w:h="15840"/>
      <w:pgMar w:top="1181" w:right="1267" w:bottom="1123" w:left="1267"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3ECA4" w14:textId="77777777" w:rsidR="00285AF1" w:rsidRDefault="00285AF1">
      <w:pPr>
        <w:spacing w:after="0" w:line="240" w:lineRule="auto"/>
      </w:pPr>
      <w:r>
        <w:separator/>
      </w:r>
    </w:p>
  </w:endnote>
  <w:endnote w:type="continuationSeparator" w:id="0">
    <w:p w14:paraId="72D8FCC0" w14:textId="77777777" w:rsidR="00285AF1" w:rsidRDefault="0028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0BD3" w14:textId="77777777" w:rsidR="00BC4304" w:rsidRDefault="00BC4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2838" w14:textId="77777777" w:rsidR="004734E5" w:rsidRDefault="00000000">
    <w:pPr>
      <w:pStyle w:val="Footer"/>
      <w:jc w:val="center"/>
    </w:pPr>
    <w:r>
      <w:rPr>
        <w:color w:val="5F5F5F"/>
        <w:sz w:val="18"/>
      </w:rPr>
      <w:fldChar w:fldCharType="begin"/>
    </w:r>
    <w:r>
      <w:rPr>
        <w:color w:val="5F5F5F"/>
        <w:sz w:val="18"/>
      </w:rPr>
      <w:instrText>PAGE</w:instrText>
    </w:r>
    <w:r>
      <w:rPr>
        <w:color w:val="5F5F5F"/>
        <w:sz w:val="18"/>
      </w:rPr>
      <w:fldChar w:fldCharType="separate"/>
    </w:r>
    <w:r w:rsidR="00DD10DB">
      <w:rPr>
        <w:noProof/>
        <w:color w:val="5F5F5F"/>
        <w:sz w:val="18"/>
      </w:rPr>
      <w:t>1</w:t>
    </w:r>
    <w:r>
      <w:rPr>
        <w:color w:val="5F5F5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982F" w14:textId="77777777" w:rsidR="00BC4304" w:rsidRDefault="00BC4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F6D20" w14:textId="77777777" w:rsidR="00285AF1" w:rsidRDefault="00285AF1">
      <w:pPr>
        <w:spacing w:after="0" w:line="240" w:lineRule="auto"/>
      </w:pPr>
      <w:r>
        <w:separator/>
      </w:r>
    </w:p>
  </w:footnote>
  <w:footnote w:type="continuationSeparator" w:id="0">
    <w:p w14:paraId="33173F78" w14:textId="77777777" w:rsidR="00285AF1" w:rsidRDefault="00285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EDDE" w14:textId="0329183D" w:rsidR="00BC4304" w:rsidRDefault="00BC4304">
    <w:pPr>
      <w:pStyle w:val="Header"/>
    </w:pPr>
    <w:r>
      <w:rPr>
        <w:noProof/>
      </w:rPr>
      <w:pict w14:anchorId="0F5D23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941297" o:spid="_x0000_s1026" type="#_x0000_t136" style="position:absolute;margin-left:0;margin-top:0;width:608.15pt;height:76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E666" w14:textId="70070B1F" w:rsidR="00BC4304" w:rsidRDefault="00BC4304">
    <w:pPr>
      <w:pStyle w:val="Header"/>
    </w:pPr>
    <w:r>
      <w:rPr>
        <w:noProof/>
      </w:rPr>
      <w:pict w14:anchorId="6575B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941298" o:spid="_x0000_s1027" type="#_x0000_t136" style="position:absolute;margin-left:0;margin-top:0;width:608.15pt;height:76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D5971" w14:textId="6C87E663" w:rsidR="00BC4304" w:rsidRDefault="00BC4304">
    <w:pPr>
      <w:pStyle w:val="Header"/>
    </w:pPr>
    <w:r>
      <w:rPr>
        <w:noProof/>
      </w:rPr>
      <w:pict w14:anchorId="63F942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941296" o:spid="_x0000_s1025" type="#_x0000_t136" style="position:absolute;margin-left:0;margin-top:0;width:608.15pt;height:76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4061693">
    <w:abstractNumId w:val="8"/>
  </w:num>
  <w:num w:numId="2" w16cid:durableId="880477686">
    <w:abstractNumId w:val="6"/>
  </w:num>
  <w:num w:numId="3" w16cid:durableId="1471053011">
    <w:abstractNumId w:val="5"/>
  </w:num>
  <w:num w:numId="4" w16cid:durableId="199436184">
    <w:abstractNumId w:val="4"/>
  </w:num>
  <w:num w:numId="5" w16cid:durableId="473179053">
    <w:abstractNumId w:val="7"/>
  </w:num>
  <w:num w:numId="6" w16cid:durableId="498040744">
    <w:abstractNumId w:val="3"/>
  </w:num>
  <w:num w:numId="7" w16cid:durableId="850143159">
    <w:abstractNumId w:val="2"/>
  </w:num>
  <w:num w:numId="8" w16cid:durableId="1334187124">
    <w:abstractNumId w:val="1"/>
  </w:num>
  <w:num w:numId="9" w16cid:durableId="167726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30B0"/>
    <w:rsid w:val="00196E31"/>
    <w:rsid w:val="00285AF1"/>
    <w:rsid w:val="0029639D"/>
    <w:rsid w:val="002F1C29"/>
    <w:rsid w:val="00326F90"/>
    <w:rsid w:val="004734E5"/>
    <w:rsid w:val="00697D84"/>
    <w:rsid w:val="00AA1D8D"/>
    <w:rsid w:val="00B47730"/>
    <w:rsid w:val="00BC4304"/>
    <w:rsid w:val="00CB0664"/>
    <w:rsid w:val="00DD10DB"/>
    <w:rsid w:val="00F5465E"/>
    <w:rsid w:val="00F83D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51C5A6"/>
  <w14:defaultImageDpi w14:val="300"/>
  <w15:docId w15:val="{01ED7C97-FCF7-4C5B-972A-77172B4A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Cambria" w:eastAsia="Cambria" w:hAnsi="Cambria"/>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ind w:firstLine="360"/>
      <w:jc w:val="both"/>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Caption">
    <w:name w:val="Table Caption"/>
    <w:pPr>
      <w:spacing w:before="160" w:after="80"/>
    </w:pPr>
    <w:rPr>
      <w:rFonts w:ascii="Cambria" w:hAnsi="Cambria"/>
      <w:sz w:val="19"/>
    </w:rPr>
  </w:style>
  <w:style w:type="paragraph" w:customStyle="1" w:styleId="TableNote">
    <w:name w:val="Table Note"/>
    <w:pPr>
      <w:spacing w:before="60" w:after="180"/>
    </w:pPr>
    <w:rPr>
      <w:rFonts w:ascii="Cambria" w:hAnsi="Cambria"/>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13914</Words>
  <Characters>79313</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Reproductive Adaptation of Cattle to Climate Change: Mechanisms, Genetic Capacity and Management Trade-offs</dc:title>
  <dc:subject>Critical narrative review</dc:subject>
  <dc:creator/>
  <cp:keywords>cattle; climate change; reproduction; heat stress; fertility; thermotolerance</cp:keywords>
  <dc:description/>
  <cp:lastModifiedBy>SDI 1084</cp:lastModifiedBy>
  <cp:revision>5</cp:revision>
  <dcterms:created xsi:type="dcterms:W3CDTF">2013-12-23T23:15:00Z</dcterms:created>
  <dcterms:modified xsi:type="dcterms:W3CDTF">2026-07-30T12:19:00Z</dcterms:modified>
  <cp:category/>
</cp:coreProperties>
</file>