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0FDC2" w14:textId="77777777" w:rsidR="004F1E53" w:rsidRPr="004F1E53" w:rsidRDefault="004F1E53" w:rsidP="004F1E53">
      <w:pPr>
        <w:pStyle w:val="Heading1"/>
        <w:spacing w:before="320" w:after="160" w:line="360" w:lineRule="auto"/>
        <w:rPr>
          <w:b/>
          <w:bCs/>
          <w:i/>
          <w:iCs/>
          <w:color w:val="000000"/>
          <w:sz w:val="26"/>
          <w:szCs w:val="26"/>
          <w:u w:val="single"/>
          <w:lang w:val="en-US"/>
        </w:rPr>
      </w:pPr>
      <w:r w:rsidRPr="004F1E53">
        <w:rPr>
          <w:b/>
          <w:bCs/>
          <w:i/>
          <w:iCs/>
          <w:color w:val="000000"/>
          <w:sz w:val="26"/>
          <w:szCs w:val="26"/>
          <w:u w:val="single"/>
          <w:lang w:val="en-US"/>
        </w:rPr>
        <w:t>Review Article</w:t>
      </w:r>
    </w:p>
    <w:p w14:paraId="58951E91" w14:textId="77777777" w:rsidR="00B90D0F" w:rsidRDefault="00B90D0F">
      <w:pPr>
        <w:pStyle w:val="Heading1"/>
        <w:spacing w:before="320" w:after="160" w:line="360" w:lineRule="auto"/>
        <w:rPr>
          <w:b/>
          <w:bCs/>
          <w:color w:val="000000"/>
          <w:sz w:val="26"/>
          <w:szCs w:val="26"/>
        </w:rPr>
      </w:pPr>
      <w:r w:rsidRPr="00B90D0F">
        <w:rPr>
          <w:b/>
          <w:bCs/>
          <w:color w:val="000000"/>
          <w:sz w:val="26"/>
          <w:szCs w:val="26"/>
        </w:rPr>
        <w:t xml:space="preserve">Oxidative Stress and Antioxidant </w:t>
      </w:r>
      <w:proofErr w:type="spellStart"/>
      <w:r w:rsidRPr="00B90D0F">
        <w:rPr>
          <w:b/>
          <w:bCs/>
          <w:color w:val="000000"/>
          <w:sz w:val="26"/>
          <w:szCs w:val="26"/>
        </w:rPr>
        <w:t>Defense</w:t>
      </w:r>
      <w:proofErr w:type="spellEnd"/>
      <w:r w:rsidRPr="00B90D0F">
        <w:rPr>
          <w:b/>
          <w:bCs/>
          <w:color w:val="000000"/>
          <w:sz w:val="26"/>
          <w:szCs w:val="26"/>
        </w:rPr>
        <w:t xml:space="preserve"> Mechanisms in Transition Dairy Cows: An Updated Review</w:t>
      </w:r>
    </w:p>
    <w:p w14:paraId="631004DF" w14:textId="6048814C" w:rsidR="001474D1" w:rsidRDefault="00000000">
      <w:pPr>
        <w:pStyle w:val="Heading1"/>
        <w:spacing w:before="320" w:after="160" w:line="360" w:lineRule="auto"/>
      </w:pPr>
      <w:r>
        <w:rPr>
          <w:b/>
          <w:bCs/>
          <w:color w:val="000000"/>
          <w:sz w:val="26"/>
          <w:szCs w:val="26"/>
        </w:rPr>
        <w:t>Abstract</w:t>
      </w:r>
    </w:p>
    <w:p w14:paraId="7897C86F" w14:textId="77777777" w:rsidR="001474D1" w:rsidRDefault="00000000">
      <w:pPr>
        <w:spacing w:after="120" w:line="360" w:lineRule="auto"/>
        <w:jc w:val="both"/>
      </w:pPr>
      <w:r>
        <w:t>The transition from late gestation to established lactation imposes an abrupt and severe metabolic reorganisation on the dairy cow, and redox imbalance has become one of the dominant explanatory frameworks for the clustering of metabolic and infectious disease that accompanies it. Three decades of research have established that periparturient cows experience increased production of reactive oxygen and nitrogen species alongside variable depletion of antioxidant defences, yet the field has advanced unevenly. Mechanistic work has progressed rapidly towards organelle-level processes including mitochondrial dysfunction, impaired mitophagy, regulated iron-dependent cell death and transcriptional control through the nuclear factor erythroid 2-related factor 2 pathway, whereas herd-level intervention studies continue to rely on assays of uncertain specificity and to report inconsistent, occasionally opposing, outcomes. This critical narrative review evaluates the strength, coherence and limitations of the evidence linking oxidative stress to transition cow health, and examines why mechanistic plausibility has not translated reliably into demonstrated efficacy of antioxidant supplementation. Literature was identified through structured searching of general and scholarly web resources together with bibliographic verification, and appraised for design adequacy, measurement validity and analytical transparency rather than aggregated quantitatively. The evidence most securely supports the conclusions that oxidant exposure rises around parturition, that lipid mobilisation and hepatic fatty acid oxidation are principal drivers, and that antioxidant supplementation benefits animals whose antioxidant status is genuinely inadequate. Evidence is considerably weaker for the propositions that a single circulating biomarker adequately represents tissue redox state, that supplementation improves outcomes in already-replete herds, and that redox imbalance is causally upstream rather than concurrent with metabolic and inflammatory dysregulation. Analytical heterogeneity, small experimental units, reliance on healthy cohorts and scarce reporting of baseline antioxidant status emerge as the principal obstacles to synthesis. Priorities include harmonised biomarker panels anchored on lipid peroxidation products of established specificity, adequately powered trials stratified by pre-treatment antioxidant status, and tissue-level validation of mechanisms currently characterised mainly in vitro.</w:t>
      </w:r>
    </w:p>
    <w:p w14:paraId="71F139F7" w14:textId="77777777" w:rsidR="001474D1" w:rsidRDefault="00000000">
      <w:pPr>
        <w:pStyle w:val="Heading1"/>
        <w:spacing w:before="320" w:after="160" w:line="360" w:lineRule="auto"/>
      </w:pPr>
      <w:r>
        <w:rPr>
          <w:b/>
          <w:bCs/>
          <w:color w:val="000000"/>
          <w:sz w:val="26"/>
          <w:szCs w:val="26"/>
        </w:rPr>
        <w:t>Keywords</w:t>
      </w:r>
    </w:p>
    <w:p w14:paraId="4E49AB72" w14:textId="77777777" w:rsidR="001474D1" w:rsidRDefault="00000000">
      <w:pPr>
        <w:spacing w:after="120" w:line="360" w:lineRule="auto"/>
        <w:jc w:val="both"/>
      </w:pPr>
      <w:r>
        <w:lastRenderedPageBreak/>
        <w:t xml:space="preserve">antioxidant defence; dairy cattle; </w:t>
      </w:r>
      <w:proofErr w:type="spellStart"/>
      <w:r>
        <w:t>isoprostanes</w:t>
      </w:r>
      <w:proofErr w:type="spellEnd"/>
      <w:r>
        <w:t>; NFE2L2 signalling; oxidative stress; periparturient period; redox biomarkers; transition period</w:t>
      </w:r>
    </w:p>
    <w:p w14:paraId="7B4311D9" w14:textId="77777777" w:rsidR="001474D1" w:rsidRDefault="00000000">
      <w:pPr>
        <w:pStyle w:val="Heading1"/>
        <w:spacing w:before="320" w:after="160" w:line="360" w:lineRule="auto"/>
      </w:pPr>
      <w:r>
        <w:rPr>
          <w:b/>
          <w:bCs/>
          <w:color w:val="000000"/>
          <w:sz w:val="26"/>
          <w:szCs w:val="26"/>
        </w:rPr>
        <w:t>1. Introduction</w:t>
      </w:r>
    </w:p>
    <w:p w14:paraId="57109F14" w14:textId="77777777" w:rsidR="001474D1" w:rsidRDefault="00000000">
      <w:pPr>
        <w:spacing w:after="120" w:line="360" w:lineRule="auto"/>
        <w:jc w:val="both"/>
      </w:pPr>
      <w:r>
        <w:t xml:space="preserve">The interval spanning approximately three weeks before and three weeks after calving remains the period of greatest physiological instability in the productive life of the dairy cow. Nutrient demand for foetal growth, </w:t>
      </w:r>
      <w:proofErr w:type="spellStart"/>
      <w:r>
        <w:t>colostrogenesis</w:t>
      </w:r>
      <w:proofErr w:type="spellEnd"/>
      <w:r>
        <w:t xml:space="preserve"> and lactogenesis rises steeply while voluntary dry matter intake declines, producing an obligatory negative energy balance that must be met through mobilisation of endogenous reserves (Drackley, 1999). Disease incidence follows the same trajectory: hyperketonaemia, hypocalcaemia, displaced abomasum, retained foetal membranes, metritis and mastitis cluster within the first weeks of lactation, and the metabolic and immunological determinants of that clustering have been the central preoccupation of transition cow research for a generation (LeBlanc, 2010).</w:t>
      </w:r>
    </w:p>
    <w:p w14:paraId="33B395D0" w14:textId="77777777" w:rsidR="001474D1" w:rsidRDefault="00000000">
      <w:pPr>
        <w:spacing w:after="120" w:line="360" w:lineRule="auto"/>
        <w:jc w:val="both"/>
      </w:pPr>
      <w:r>
        <w:t xml:space="preserve">Oxidative stress entered this literature as a unifying explanation. The proposition, articulated in influential form by Sordillo and Aitken (2009), holds that the metabolic intensity of early lactation generates reactive oxygen and nitrogen species faster than antioxidant defences can neutralise them, and that the resulting redox imbalance impairs leukocyte function, dysregulates the inflammatory response and thereby predisposes the animal to a broad spectrum of disorders. The framework was attractive because it connected phenomena that had previously been studied separately, and because it identified a tractable point of intervention through dietary or parenteral antioxidants. Subsequent work extended the framework to the interaction between nutrient metabolism, oxidant production and inflammatory signalling (Sordillo &amp; </w:t>
      </w:r>
      <w:proofErr w:type="spellStart"/>
      <w:r>
        <w:t>Mavangira</w:t>
      </w:r>
      <w:proofErr w:type="spellEnd"/>
      <w:r>
        <w:t>, 2014), to the role of inflammation as an active and partly adaptive component of the transition rather than a purely pathological one (Bradford et al., 2015), and to the reciprocal regulation of metabolic and immune pathways in the periparturient animal (Mezzetti et al., 2020).</w:t>
      </w:r>
    </w:p>
    <w:p w14:paraId="0B871459" w14:textId="77777777" w:rsidR="001474D1" w:rsidRDefault="00000000">
      <w:pPr>
        <w:spacing w:after="120" w:line="360" w:lineRule="auto"/>
        <w:jc w:val="both"/>
      </w:pPr>
      <w:r>
        <w:t>Evidence accumulated in support of the descriptive core of the framework. Periparturient cows show elevated markers of lipid peroxidation and altered activity of antioxidant enzymes relative to mid-gestation or mid-lactation reference states (</w:t>
      </w:r>
      <w:proofErr w:type="spellStart"/>
      <w:r>
        <w:t>Bernabucci</w:t>
      </w:r>
      <w:proofErr w:type="spellEnd"/>
      <w:r>
        <w:t xml:space="preserve"> et al., 2005; Castillo et al., 2005; </w:t>
      </w:r>
      <w:proofErr w:type="spellStart"/>
      <w:r>
        <w:t>Konvičná</w:t>
      </w:r>
      <w:proofErr w:type="spellEnd"/>
      <w:r>
        <w:t xml:space="preserve"> et al., 2015). Cows with greater body condition at calving, and therefore greater capacity for lipid mobilisation, exhibit more pronounced oxidative alterations (</w:t>
      </w:r>
      <w:proofErr w:type="spellStart"/>
      <w:r>
        <w:t>Bernabucci</w:t>
      </w:r>
      <w:proofErr w:type="spellEnd"/>
      <w:r>
        <w:t xml:space="preserve"> et al., 2005). Composite indices constructed from simultaneous measurement of oxidant and antioxidant fractions detect differences between production stages that are not apparent when either fraction is examined alone (Abuelo et al., 2013). The direction of these findings is broadly consistent across laboratories and production systems.</w:t>
      </w:r>
    </w:p>
    <w:p w14:paraId="58244E42" w14:textId="77777777" w:rsidR="001474D1" w:rsidRDefault="00000000">
      <w:pPr>
        <w:spacing w:after="120" w:line="360" w:lineRule="auto"/>
        <w:jc w:val="both"/>
      </w:pPr>
      <w:r>
        <w:t xml:space="preserve">Coherence weakens as the framework is pressed for mechanism, measurement and therapeutic consequence. At the mechanistic level, research has moved decisively towards subcellular processes: </w:t>
      </w:r>
      <w:r>
        <w:lastRenderedPageBreak/>
        <w:t xml:space="preserve">impaired mitophagy in hepatocytes of cows with fatty liver (Fang et al., 2022), regulated iron-dependent cell death in adipose tissue of </w:t>
      </w:r>
      <w:proofErr w:type="spellStart"/>
      <w:r>
        <w:t>ketotic</w:t>
      </w:r>
      <w:proofErr w:type="spellEnd"/>
      <w:r>
        <w:t xml:space="preserve"> animals (Fan et al., 2024, 2025), and transcriptional control of cytoprotective gene batteries through the nuclear factor erythroid 2-related factor 2 pathway (Ford &amp; </w:t>
      </w:r>
      <w:proofErr w:type="spellStart"/>
      <w:r>
        <w:t>Bionaz</w:t>
      </w:r>
      <w:proofErr w:type="spellEnd"/>
      <w:r>
        <w:t>, 2024; Gessner et al., 2013). Much of this work rests on cultured cells or on tissue biopsies from small numbers of animals, and its relationship to circulating biomarkers used in field studies is largely untested. At the diagnostic level, the assays employed differ so widely in chemical basis, specificity and units that quantitative comparison across studies is frequently impossible; concentrations of the same nominal analyte differ by more than an order of magnitude between reports, and even within a single laboratory the direction of change depends on the stage of lactation sampled (Kuhn et al., 2018). At the therapeutic level, controlled trials of vitamin E supplementation during the dry period have produced not merely null results but an increase in clinical mastitis incidence in cows whose initial vitamin E status was adequate (</w:t>
      </w:r>
      <w:proofErr w:type="spellStart"/>
      <w:r>
        <w:t>Bouwstra</w:t>
      </w:r>
      <w:proofErr w:type="spellEnd"/>
      <w:r>
        <w:t xml:space="preserve">, Nielen, Newbold, et al., 2010; </w:t>
      </w:r>
      <w:proofErr w:type="spellStart"/>
      <w:r>
        <w:t>Bouwstra</w:t>
      </w:r>
      <w:proofErr w:type="spellEnd"/>
      <w:r>
        <w:t>, Nielen, Stegeman, et al., 2010), a finding that sits uncomfortably beside the protective effects demonstrated in selenium-deficient and vitamin E-deficient herds three decades earlier (Weiss et al., 1997).</w:t>
      </w:r>
    </w:p>
    <w:p w14:paraId="03DB0F19" w14:textId="77777777" w:rsidR="001474D1" w:rsidRDefault="00000000">
      <w:pPr>
        <w:spacing w:after="120" w:line="360" w:lineRule="auto"/>
        <w:jc w:val="both"/>
      </w:pPr>
      <w:r>
        <w:t>Existing reviews have addressed portions of this territory. Spears and Weiss (2008) surveyed trace element and antioxidant nutrition in relation to transition cow immunity. Celi (2011) and Celi and Gabai (2015) examined biomarker selection in ruminant medicine and the specific case of protein oxidation. Abuelo et al. (2015) reconsidered antioxidant supplementation with attention to the failure of most trials to characterise baseline antioxidant status, and Abuelo et al. (2019) extended the redox framework to neonatal calves. More recent syntheses have concentrated on particular nutrient classes, notably selenium and vitamin E (Xiao et al., 2021) and rumen-protected amino acids and methyl donors (Khan et al., 2023), while Abuelo (2025) has restated the case for oxidative stress as a determinant of immune dysfunction across both periparturient cows and preweaning calves. These contributions are valuable but leave a specific deficiency unaddressed. None reconciles the rapidly expanding organelle-level mechanistic literature with the diagnostic and interventional literature that operates at the level of the whole animal, and none treats analytical heterogeneity as a substantive scientific problem rather than a caveat. The consequence is a field in which mechanistic confidence has grown while the capacity to demonstrate benefit under commercial conditions has not.</w:t>
      </w:r>
    </w:p>
    <w:p w14:paraId="05DEF2C0" w14:textId="77777777" w:rsidR="001474D1" w:rsidRDefault="00000000">
      <w:pPr>
        <w:pStyle w:val="Heading2"/>
        <w:spacing w:before="240" w:after="120" w:line="360" w:lineRule="auto"/>
      </w:pPr>
      <w:r>
        <w:rPr>
          <w:b/>
          <w:bCs/>
          <w:color w:val="000000"/>
          <w:sz w:val="23"/>
          <w:szCs w:val="23"/>
        </w:rPr>
        <w:t>1.1 Scope, Research Gap and Objectives</w:t>
      </w:r>
    </w:p>
    <w:p w14:paraId="551359DC" w14:textId="77777777" w:rsidR="001474D1" w:rsidRDefault="00000000">
      <w:pPr>
        <w:spacing w:after="120" w:line="360" w:lineRule="auto"/>
        <w:jc w:val="both"/>
      </w:pPr>
      <w:r>
        <w:t xml:space="preserve">This review examines redox biology in the transition dairy cow, defined as the interval from approximately three weeks before expected parturition to approximately three weeks after calving, with limited extension into the dry period and early lactation where the evidence requires it. Coverage encompasses the physiological and cellular origins of oxidant load, the architecture and regulation of antioxidant defence, the analytical basis and comparability of redox biomarkers, the association between redox variables and periparturient disease, and the efficacy of antioxidant interventions. </w:t>
      </w:r>
      <w:r>
        <w:lastRenderedPageBreak/>
        <w:t>Attention is directed to the modern high-yielding dairy cow under confinement or semi-confinement management.</w:t>
      </w:r>
    </w:p>
    <w:p w14:paraId="626B29E8" w14:textId="77777777" w:rsidR="001474D1" w:rsidRDefault="00000000">
      <w:pPr>
        <w:spacing w:after="120" w:line="360" w:lineRule="auto"/>
        <w:jc w:val="both"/>
      </w:pPr>
      <w:r>
        <w:t>The unresolved gap addressed here is the disconnection between three literatures that have developed in parallel with limited cross-reference: mechanistic studies characterising subcellular redox processes in bovine tissues and cells, observational studies relating circulating redox markers to disease outcomes, and intervention trials testing antioxidant supplements. Each has internal coherence; the linkages between them are weak, and the assumption that a change in a circulating marker reflects a change in the tissue-level process of interest has rarely been tested.</w:t>
      </w:r>
    </w:p>
    <w:p w14:paraId="44339314" w14:textId="77777777" w:rsidR="001474D1" w:rsidRDefault="00000000">
      <w:pPr>
        <w:spacing w:after="120" w:line="360" w:lineRule="auto"/>
        <w:jc w:val="both"/>
      </w:pPr>
      <w:r>
        <w:t>The objectives are to define what is securely established about oxidant generation and antioxidant capacity in the periparturient cow, to distinguish well-supported conclusions from mechanistically plausible but empirically unconfirmed ones, to explain why intervention evidence remains inconsistent, to evaluate the methodological features of the literature that constrain synthesis, and to specify research priorities capable of resolving the principal ambiguities. Excluded from consideration are dairy species other than cattle, redox biology of the neonatal calf beyond its dependence on maternal status, oxidative stability of milk and dairy products as a food quality outcome, and reproductive biology of the oocyte and embryo, each of which constitutes a distinct literature with its own methodological conventions.</w:t>
      </w:r>
    </w:p>
    <w:p w14:paraId="099E5264" w14:textId="77777777" w:rsidR="001474D1" w:rsidRDefault="00000000">
      <w:pPr>
        <w:pStyle w:val="Heading1"/>
        <w:spacing w:before="320" w:after="160" w:line="360" w:lineRule="auto"/>
      </w:pPr>
      <w:r>
        <w:rPr>
          <w:b/>
          <w:bCs/>
          <w:color w:val="000000"/>
          <w:sz w:val="26"/>
          <w:szCs w:val="26"/>
        </w:rPr>
        <w:t>2. Methods for Literature Selection</w:t>
      </w:r>
    </w:p>
    <w:p w14:paraId="19CB7DED" w14:textId="77777777" w:rsidR="001474D1" w:rsidRDefault="00000000">
      <w:pPr>
        <w:pStyle w:val="Heading2"/>
        <w:spacing w:before="240" w:after="120" w:line="360" w:lineRule="auto"/>
      </w:pPr>
      <w:r>
        <w:rPr>
          <w:b/>
          <w:bCs/>
          <w:color w:val="000000"/>
          <w:sz w:val="23"/>
          <w:szCs w:val="23"/>
        </w:rPr>
        <w:t>2.1 Review Design and Rationale</w:t>
      </w:r>
    </w:p>
    <w:p w14:paraId="2EAABE65" w14:textId="77777777" w:rsidR="001474D1" w:rsidRDefault="00000000">
      <w:pPr>
        <w:spacing w:after="120" w:line="360" w:lineRule="auto"/>
        <w:jc w:val="both"/>
      </w:pPr>
      <w:r>
        <w:t>A critical narrative design was selected in preference to a systematic review, scoping review or meta-analysis because the review question concerns the interpretation and integration of heterogeneous evidence rather than the estimation of a pooled effect. The relevant literature spans in vitro cell culture, tissue transcriptomics, observational cohort studies and randomised feeding trials, and employs outcome measures that are not commensurable: enzyme activities expressed in disparate units, colorimetric indices reported in proprietary arbitrary units, mass spectrometric quantification of specific lipid peroxidation products, and clinical incidence data. Quantitative pooling across these categories would generate a spurious impression of precision. A critical narrative approach permits explicit comparison of the assumptions underlying each measurement tradition, which is the principal analytical task the evidence demands.</w:t>
      </w:r>
    </w:p>
    <w:p w14:paraId="6757059A" w14:textId="77777777" w:rsidR="001474D1" w:rsidRDefault="00000000">
      <w:pPr>
        <w:spacing w:after="120" w:line="360" w:lineRule="auto"/>
        <w:jc w:val="both"/>
      </w:pPr>
      <w:r>
        <w:t>The choice of a narrative design does not remove the obligation to search transparently, to state eligibility rules and to appraise methodological quality. The review was conducted with reference to the domains specified in the Scale for the Assessment of Narrative Review Articles, which identifies justification of importance, statement of aims, description of the literature search, referencing of claims, evidence-based argumentation and appropriate presentation of data as the criteria distinguishing adequate from inadequate narrative reviews (</w:t>
      </w:r>
      <w:proofErr w:type="spellStart"/>
      <w:r>
        <w:t>Baethge</w:t>
      </w:r>
      <w:proofErr w:type="spellEnd"/>
      <w:r>
        <w:t xml:space="preserve"> et al., 2019). These domains were used to </w:t>
      </w:r>
      <w:r>
        <w:lastRenderedPageBreak/>
        <w:t>structure the search description, the eligibility criteria and the appraisal approach set out below, and to govern the standard of evidential support required for individual claims in the synthesis.</w:t>
      </w:r>
    </w:p>
    <w:p w14:paraId="107EC7C7" w14:textId="77777777" w:rsidR="001474D1" w:rsidRDefault="00000000">
      <w:pPr>
        <w:pStyle w:val="Heading2"/>
        <w:spacing w:before="240" w:after="120" w:line="360" w:lineRule="auto"/>
      </w:pPr>
      <w:r>
        <w:rPr>
          <w:b/>
          <w:bCs/>
          <w:color w:val="000000"/>
          <w:sz w:val="23"/>
          <w:szCs w:val="23"/>
        </w:rPr>
        <w:t>2.2 Information Sources</w:t>
      </w:r>
    </w:p>
    <w:p w14:paraId="6AC2E72C" w14:textId="77777777" w:rsidR="001474D1" w:rsidRDefault="00000000">
      <w:pPr>
        <w:spacing w:after="120" w:line="360" w:lineRule="auto"/>
        <w:jc w:val="both"/>
      </w:pPr>
      <w:r>
        <w:t xml:space="preserve">Literature was identified through structured queries of a general web search engine covering indexed scholarly content, and through the </w:t>
      </w:r>
      <w:proofErr w:type="spellStart"/>
      <w:r>
        <w:t>Crossref</w:t>
      </w:r>
      <w:proofErr w:type="spellEnd"/>
      <w:r>
        <w:t xml:space="preserve"> metadata search interface, which was queried programmatically by bibliographic string and by digital object identifier. Records surfaced by these searches included material deposited in open repositories, in the United States National Library of Medicine literature archive and in institutional archives; these records were reached through the search interfaces named above rather than through direct interrogation of those repositories. Reference lists of recent reviews and of primary studies retrieved during searching were examined for additional relevant work, and forward citation trails were followed where a study appeared repeatedly in the citing literature. Bibliographic details of every candidate source were confirmed against the </w:t>
      </w:r>
      <w:proofErr w:type="spellStart"/>
      <w:r>
        <w:t>Crossref</w:t>
      </w:r>
      <w:proofErr w:type="spellEnd"/>
      <w:r>
        <w:t xml:space="preserve"> metadata record and against the article landing page reached through the digital object identifier resolution system.</w:t>
      </w:r>
    </w:p>
    <w:p w14:paraId="522B6092" w14:textId="77777777" w:rsidR="001474D1" w:rsidRDefault="00000000">
      <w:pPr>
        <w:spacing w:after="120" w:line="360" w:lineRule="auto"/>
        <w:jc w:val="both"/>
      </w:pPr>
      <w:r>
        <w:t>Subscription bibliographic databases including the Web of Science Core Collection, Scopus and Embase were not accessible during the preparation of this review and were not searched. No claim is made regarding the completeness of coverage that such databases would have provided, and the implications of this restriction are addressed in the Limitations section.</w:t>
      </w:r>
    </w:p>
    <w:p w14:paraId="652495DB" w14:textId="77777777" w:rsidR="001474D1" w:rsidRDefault="00000000">
      <w:pPr>
        <w:pStyle w:val="Heading2"/>
        <w:spacing w:before="240" w:after="120" w:line="360" w:lineRule="auto"/>
      </w:pPr>
      <w:r>
        <w:rPr>
          <w:b/>
          <w:bCs/>
          <w:color w:val="000000"/>
          <w:sz w:val="23"/>
          <w:szCs w:val="23"/>
        </w:rPr>
        <w:t>2.3 Search Strategy and Search Period</w:t>
      </w:r>
    </w:p>
    <w:p w14:paraId="4795E413" w14:textId="77777777" w:rsidR="001474D1" w:rsidRDefault="00000000">
      <w:pPr>
        <w:spacing w:after="120" w:line="360" w:lineRule="auto"/>
        <w:jc w:val="both"/>
      </w:pPr>
      <w:r>
        <w:t xml:space="preserve">Search concepts were constructed around five axes: the physiological state, the redox phenomenon, the defence system, the measurement approach and the outcome domain. Representative combinations included terms for the physiological state, comprising transition period, periparturient, </w:t>
      </w:r>
      <w:proofErr w:type="spellStart"/>
      <w:r>
        <w:t>peripartal</w:t>
      </w:r>
      <w:proofErr w:type="spellEnd"/>
      <w:r>
        <w:t xml:space="preserve">, dry period, early lactation and dairy cow or cattle; terms for the redox phenomenon, comprising oxidative stress, redox status, reactive oxygen species, reactive nitrogen species, lipid peroxidation and oxidant status; terms for the defence system, comprising antioxidant, superoxide dismutase, glutathione peroxidase, catalase, selenium, vitamin E, glutathione and nuclear factor erythroid 2-related factor 2 together with its gene symbol NFE2L2; terms for measurement, comprising malondialdehyde, </w:t>
      </w:r>
      <w:proofErr w:type="spellStart"/>
      <w:r>
        <w:t>thiobarbituric</w:t>
      </w:r>
      <w:proofErr w:type="spellEnd"/>
      <w:r>
        <w:t xml:space="preserve"> acid reactive substances, </w:t>
      </w:r>
      <w:proofErr w:type="spellStart"/>
      <w:r>
        <w:t>isoprostane</w:t>
      </w:r>
      <w:proofErr w:type="spellEnd"/>
      <w:r>
        <w:t xml:space="preserve">, </w:t>
      </w:r>
      <w:proofErr w:type="spellStart"/>
      <w:r>
        <w:t>oxylipid</w:t>
      </w:r>
      <w:proofErr w:type="spellEnd"/>
      <w:r>
        <w:t xml:space="preserve">, antioxidant potential, total antioxidant capacity and oxidant status index; and terms for outcomes, comprising mastitis, metritis, ketosis, fatty liver, retained placenta, immune function, milk yield and disease incidence. Concepts within each axis were combined with the Boolean operator OR and axes were combined with AND, with truncation applied to word stems where the search interface supported it. Supplementary searches addressed mechanistic constructs including mitophagy, ferroptosis, endoplasmic reticulum stress and </w:t>
      </w:r>
      <w:r>
        <w:lastRenderedPageBreak/>
        <w:t>mitochondrial dysfunction in bovine tissues, and methodological constructs including biomarker validation and assay comparison.</w:t>
      </w:r>
    </w:p>
    <w:p w14:paraId="5C5B8DDC" w14:textId="77777777" w:rsidR="001474D1" w:rsidRDefault="00000000">
      <w:pPr>
        <w:spacing w:after="120" w:line="360" w:lineRule="auto"/>
        <w:jc w:val="both"/>
      </w:pPr>
      <w:r>
        <w:t>The search period extended from 1976 to 4 June 2026. The starting year reflects the point at which controlled supplementation work first linked selenium and vitamin E status to periparturient disorders in cattle, establishing the experimental tradition from which the modern literature descends. Publications predating this boundary were consulted only where necessary to identify the origin of a concept or method, and none is cited as primary evidence.</w:t>
      </w:r>
    </w:p>
    <w:p w14:paraId="3F5E0C69" w14:textId="77777777" w:rsidR="001474D1" w:rsidRDefault="00000000">
      <w:pPr>
        <w:pStyle w:val="Heading2"/>
        <w:spacing w:before="240" w:after="120" w:line="360" w:lineRule="auto"/>
      </w:pPr>
      <w:r>
        <w:rPr>
          <w:b/>
          <w:bCs/>
          <w:color w:val="000000"/>
          <w:sz w:val="23"/>
          <w:szCs w:val="23"/>
        </w:rPr>
        <w:t>2.4 Eligibility Criteria</w:t>
      </w:r>
    </w:p>
    <w:p w14:paraId="160EE9AB" w14:textId="77777777" w:rsidR="001474D1" w:rsidRDefault="00000000">
      <w:pPr>
        <w:spacing w:after="120" w:line="360" w:lineRule="auto"/>
        <w:jc w:val="both"/>
      </w:pPr>
      <w:r>
        <w:t>Eligible sources comprised peer-reviewed original research articles, peer-reviewed review articles and authoritative methodological papers reporting on redox biology, antioxidant defence, redox biomarkers or antioxidant interventions in dairy cattle, with emphasis on the periparturient interval. Studies conducted in bovine primary cells or immortalised bovine cell lines were eligible where they addressed mechanisms directly relevant to the periparturient state, and were treated throughout as mechanistic rather than clinical evidence. Studies in other ruminant species were eligible only where they informed a methodological point and no bovine equivalent existed; none is cited as evidence of an effect in cattle.</w:t>
      </w:r>
    </w:p>
    <w:p w14:paraId="55271093" w14:textId="77777777" w:rsidR="001474D1" w:rsidRDefault="00000000">
      <w:pPr>
        <w:spacing w:after="120" w:line="360" w:lineRule="auto"/>
        <w:jc w:val="both"/>
      </w:pPr>
      <w:r>
        <w:t>Excluded were conference abstracts, theses, preprints, trade publications, commercial technical bulletins, non-peer-reviewed web content, and articles for which complete bibliographic metadata could not be confirmed. Publications reporting only milk or meat oxidative stability as a product quality endpoint were excluded as falling outside the defined scope, as were studies of oocyte, embryo or semen redox biology. Language was restricted to English, and no eligible source was excluded on the grounds of geographical origin.</w:t>
      </w:r>
    </w:p>
    <w:p w14:paraId="56B3ADDE" w14:textId="77777777" w:rsidR="001474D1" w:rsidRDefault="00000000">
      <w:pPr>
        <w:pStyle w:val="Heading2"/>
        <w:spacing w:before="240" w:after="120" w:line="360" w:lineRule="auto"/>
      </w:pPr>
      <w:r>
        <w:rPr>
          <w:b/>
          <w:bCs/>
          <w:color w:val="000000"/>
          <w:sz w:val="23"/>
          <w:szCs w:val="23"/>
        </w:rPr>
        <w:t>2.5 Screening, Duplicate Handling and Study Selection</w:t>
      </w:r>
    </w:p>
    <w:p w14:paraId="46220F04" w14:textId="77777777" w:rsidR="001474D1" w:rsidRDefault="00000000">
      <w:pPr>
        <w:spacing w:after="120" w:line="360" w:lineRule="auto"/>
        <w:jc w:val="both"/>
      </w:pPr>
      <w:r>
        <w:t>Records retrieved by searching were screened first on title and abstract for relevance to the defined scope, then at full text or, where full text was inaccessible, on the basis of the abstract together with the complete methods description available from the publisher record. Duplicate records arising from retrieval of the same article through different search routes were identified by digital object identifier and, where an identifier was absent from one record, by matching of title, first author and journal. Where a preprint and a peer-reviewed version of the same work were both retrieved, the peer-reviewed version was retained. Sources whose bibliographic identity could not be confirmed, or whose digital object identifier did not resolve to the article described, were discarded rather than cited. No formal record counts are reported, because the selection process was purposive and iterative rather than exhaustive, and reporting counts derived from such a process would misrepresent it as systematic.</w:t>
      </w:r>
    </w:p>
    <w:p w14:paraId="23A6DF7A" w14:textId="77777777" w:rsidR="001474D1" w:rsidRDefault="00000000">
      <w:pPr>
        <w:pStyle w:val="Heading2"/>
        <w:spacing w:before="240" w:after="120" w:line="360" w:lineRule="auto"/>
      </w:pPr>
      <w:r>
        <w:rPr>
          <w:b/>
          <w:bCs/>
          <w:color w:val="000000"/>
          <w:sz w:val="23"/>
          <w:szCs w:val="23"/>
        </w:rPr>
        <w:t>2.6 Critical Appraisal and Evidence Synthesis</w:t>
      </w:r>
    </w:p>
    <w:p w14:paraId="53D808B0" w14:textId="77777777" w:rsidR="001474D1" w:rsidRDefault="00000000">
      <w:pPr>
        <w:spacing w:after="120" w:line="360" w:lineRule="auto"/>
        <w:jc w:val="both"/>
      </w:pPr>
      <w:r>
        <w:lastRenderedPageBreak/>
        <w:t>Each retained study was appraised against criteria appropriate to its design. For controlled feeding and supplementation trials, appraisal considered the unit of randomisation and analysis, the number of experimental units, characterisation of baseline antioxidant or trace element status, blinding, the specificity of the redox assays employed, whether clinical outcomes were prespecified, and whether the duration of observation was sufficient to capture the outcomes claimed. For observational studies, appraisal considered cohort definition, sampling frequency relative to the rapid physiological changes occurring around calving, control for parity and body condition, and the treatment of confounding by disease status. For mechanistic studies, appraisal considered the physiological plausibility of the stimulus concentrations applied, the correspondence between the cell or tissue model and the in vivo context, and the extent of independent replication. Formal risk-of-bias scoring was not applied, because the reporting available for most studies was insufficient to populate a recognised instrument and because assigning numerical scores on incomplete information would convey unwarranted precision.</w:t>
      </w:r>
    </w:p>
    <w:p w14:paraId="21D218B6" w14:textId="77777777" w:rsidR="001474D1" w:rsidRDefault="00000000">
      <w:pPr>
        <w:spacing w:after="120" w:line="360" w:lineRule="auto"/>
        <w:jc w:val="both"/>
      </w:pPr>
      <w:r>
        <w:t>Themes were developed inductively from recurrent points of agreement and disagreement in the appraised literature rather than imposed in advance, and were organised around the causal chain from oxidant generation through defence, measurement, disease association and intervention. Where studies disagreed, the synthesis examined whether the discrepancy was attributable to differences in animal population, baseline nutritional status, analytical method, sampling schedule or statistical approach before considering the possibility of a genuine biological difference. Confidence in each conclusion was assessed qualitatively according to the consistency of findings across independent groups, the adequacy of the designs generating them, and the directness of the relationship between the measurement made and the inference drawn.</w:t>
      </w:r>
    </w:p>
    <w:p w14:paraId="140AD09E" w14:textId="77777777" w:rsidR="001474D1" w:rsidRDefault="00000000">
      <w:pPr>
        <w:pStyle w:val="Heading1"/>
        <w:spacing w:before="320" w:after="160" w:line="360" w:lineRule="auto"/>
      </w:pPr>
      <w:r>
        <w:rPr>
          <w:b/>
          <w:bCs/>
          <w:color w:val="000000"/>
          <w:sz w:val="26"/>
          <w:szCs w:val="26"/>
        </w:rPr>
        <w:t>3. Conceptual Foundations and the Origins of Periparturient Oxidant Load</w:t>
      </w:r>
    </w:p>
    <w:p w14:paraId="7DF1F059" w14:textId="77777777" w:rsidR="001474D1" w:rsidRDefault="00000000">
      <w:pPr>
        <w:pStyle w:val="Heading2"/>
        <w:spacing w:before="240" w:after="120" w:line="360" w:lineRule="auto"/>
      </w:pPr>
      <w:r>
        <w:rPr>
          <w:b/>
          <w:bCs/>
          <w:color w:val="000000"/>
          <w:sz w:val="23"/>
          <w:szCs w:val="23"/>
        </w:rPr>
        <w:t>3.1 Terminology, and why imprecision has consequences</w:t>
      </w:r>
    </w:p>
    <w:p w14:paraId="459E73F4" w14:textId="77777777" w:rsidR="001474D1" w:rsidRDefault="00000000">
      <w:pPr>
        <w:spacing w:after="120" w:line="360" w:lineRule="auto"/>
        <w:jc w:val="both"/>
      </w:pPr>
      <w:r>
        <w:t>Redox terminology in the dairy literature has been used loosely, and the imprecision has propagated into study design. Oxidative stress denotes a disturbance of the balance between oxidant production and antioxidant capacity that is severe enough to produce measurable damage to lipids, proteins or nucleic acids, or to impair cellular function. Redox imbalance denotes a shift in that balance without necessarily entailing damage, and is a broader and weaker claim. Antioxidant capacity, as measured in plasma or serum, is an operational quantity defined by the assay used to determine it, not a physiological constant, and different assays weight different constituents of the same sample. Reactive oxygen and nitrogen species are not uniformly deleterious; several serve as signalling intermediates at concentrations well below those producing injury, and complete suppression of their production is neither achievable nor desirable (Celi &amp; Gabai, 2015).</w:t>
      </w:r>
    </w:p>
    <w:p w14:paraId="6AD32796" w14:textId="77777777" w:rsidR="001474D1" w:rsidRDefault="00000000">
      <w:pPr>
        <w:spacing w:after="120" w:line="360" w:lineRule="auto"/>
        <w:jc w:val="both"/>
      </w:pPr>
      <w:r>
        <w:lastRenderedPageBreak/>
        <w:t xml:space="preserve">The distinction matters because a large proportion of the transition cow literature demonstrates redox imbalance and then interprets it as oxidative stress. Elevated plasma </w:t>
      </w:r>
      <w:proofErr w:type="spellStart"/>
      <w:r>
        <w:t>thiobarbituric</w:t>
      </w:r>
      <w:proofErr w:type="spellEnd"/>
      <w:r>
        <w:t xml:space="preserve"> acid reactive substances or reduced total antioxidant capacity establishes that the balance has shifted; it does not establish that damage has occurred, that function has been impaired, or that the shift is pathological rather than an expected consequence of increased aerobic metabolism. The framing also affects intervention logic. If the postpartum shift is a regulated adaptive response to increased oxidative metabolism, pharmacological suppression of that shift may be neutral or harmful, which is precisely the pattern reported when vitamin E was supplied to cows already replete in that vitamin (</w:t>
      </w:r>
      <w:proofErr w:type="spellStart"/>
      <w:r>
        <w:t>Bouwstra</w:t>
      </w:r>
      <w:proofErr w:type="spellEnd"/>
      <w:r>
        <w:t xml:space="preserve">, Nielen, Newbold, et al., 2010; </w:t>
      </w:r>
      <w:proofErr w:type="spellStart"/>
      <w:r>
        <w:t>Bouwstra</w:t>
      </w:r>
      <w:proofErr w:type="spellEnd"/>
      <w:r>
        <w:t>, Nielen, Stegeman, et al., 2010).</w:t>
      </w:r>
    </w:p>
    <w:p w14:paraId="41A29E6D" w14:textId="77777777" w:rsidR="001474D1" w:rsidRDefault="00000000">
      <w:pPr>
        <w:pStyle w:val="Heading2"/>
        <w:spacing w:before="240" w:after="120" w:line="360" w:lineRule="auto"/>
      </w:pPr>
      <w:r>
        <w:rPr>
          <w:b/>
          <w:bCs/>
          <w:color w:val="000000"/>
          <w:sz w:val="23"/>
          <w:szCs w:val="23"/>
        </w:rPr>
        <w:t>3.2 Metabolic drivers: lipid mobilisation and hepatic oxidation</w:t>
      </w:r>
    </w:p>
    <w:p w14:paraId="16A49C09" w14:textId="77777777" w:rsidR="001474D1" w:rsidRDefault="00000000">
      <w:pPr>
        <w:spacing w:after="120" w:line="360" w:lineRule="auto"/>
        <w:jc w:val="both"/>
      </w:pPr>
      <w:r>
        <w:t>The principal endogenous driver of oxidant production in the transition cow is the mobilisation of adipose triacylglycerol and the subsequent hepatic disposal of non-esterified fatty acids. Negative energy balance initiates lipolysis, circulating non-esterified fatty acid concentrations rise sharply around parturition, and the liver receives a substrate load that frequently exceeds its capacity for complete oxidation or for export as very low-density lipoprotein (Contreras &amp; Sordillo, 2011; Drackley, 1999). Mitochondrial beta-oxidation of this substrate increases electron flux through the respiratory chain, and electron leakage at complexes I and III generates superoxide in proportion to that flux. The relationship between the intensity of lipid mobilisation and the magnitude of oxidative alteration is among the more consistent findings in the field: cows calving at higher body condition score, and therefore mobilising more adipose tissue, exhibit greater increases in lipid peroxidation markers and more pronounced changes in antioxidant enzyme activity than leaner contemporaries (</w:t>
      </w:r>
      <w:proofErr w:type="spellStart"/>
      <w:r>
        <w:t>Bernabucci</w:t>
      </w:r>
      <w:proofErr w:type="spellEnd"/>
      <w:r>
        <w:t xml:space="preserve"> et al., 2005).</w:t>
      </w:r>
    </w:p>
    <w:p w14:paraId="4402AFFB" w14:textId="77777777" w:rsidR="001474D1" w:rsidRDefault="00000000">
      <w:pPr>
        <w:spacing w:after="120" w:line="360" w:lineRule="auto"/>
        <w:jc w:val="both"/>
      </w:pPr>
      <w:r>
        <w:t>Direct experimental support for the causal role of non-esterified fatty acids comes from bovine hepatocyte work. Exposure of primary bovine hepatocytes to elevated fatty acid concentrations increases reactive oxygen species generation, activates c-Jun N-terminal kinase and extracellular signal-regulated kinase signalling, promotes loss of mitochondrial membrane potential and induces apoptosis, with concurrent transcriptional suppression of NFE2L2 and activation of the p53 pathway (Y. Li et al., 2020). In vivo, plasma indices of oxidative status correlate with circulating non-esterified fatty acid and beta-hydroxybutyrate concentrations in cows with ketosis (Y. Li et al., 2016). The convergence of cell-level and animal-level observations makes this the best-supported causal pathway in the entire literature, although the hepatocyte experiments apply fatty acid concentrations at the upper end of, and sometimes above, the physiological range, which limits inference about the magnitude of the effect under field conditions.</w:t>
      </w:r>
    </w:p>
    <w:p w14:paraId="3625F831" w14:textId="77777777" w:rsidR="001474D1" w:rsidRDefault="00000000">
      <w:pPr>
        <w:spacing w:after="120" w:line="360" w:lineRule="auto"/>
        <w:jc w:val="both"/>
      </w:pPr>
      <w:r>
        <w:t xml:space="preserve">The interpretation of ketone bodies within this scheme has been revised. Beta-hydroxybutyrate was long treated as a passive index of incomplete fatty acid oxidation and, by extension, as a proxy for oxidant load. Rico and Barrientos-Blanco (2024) argue that ketone bodies function as signalling </w:t>
      </w:r>
      <w:r>
        <w:lastRenderedPageBreak/>
        <w:t>molecules and as regulated fuels with actions on gene expression and inflammation that are not reducible to their concentration as a metabolic marker, and that the association between hyperketonaemia and disease may partly reflect the underlying rate of lipid mobilisation rather than any property of the ketones themselves. This reframing has direct consequences for studies that use beta-hydroxybutyrate as a surrogate for metabolic stress and then interpret associated redox changes as causally downstream.</w:t>
      </w:r>
    </w:p>
    <w:p w14:paraId="69AF38A1" w14:textId="77777777" w:rsidR="001474D1" w:rsidRDefault="00000000">
      <w:pPr>
        <w:pStyle w:val="Heading2"/>
        <w:spacing w:before="240" w:after="120" w:line="360" w:lineRule="auto"/>
      </w:pPr>
      <w:r>
        <w:rPr>
          <w:b/>
          <w:bCs/>
          <w:color w:val="000000"/>
          <w:sz w:val="23"/>
          <w:szCs w:val="23"/>
        </w:rPr>
        <w:t>3.3 Organelle-level mechanisms and regulated cell death</w:t>
      </w:r>
    </w:p>
    <w:p w14:paraId="021C679C" w14:textId="77777777" w:rsidR="001474D1" w:rsidRDefault="00000000">
      <w:pPr>
        <w:spacing w:after="120" w:line="360" w:lineRule="auto"/>
        <w:jc w:val="both"/>
      </w:pPr>
      <w:r>
        <w:t>Research over the past five years has moved from describing oxidant load to characterising the cellular processes that determine whether a given load produces injury. Three lines are prominent. The first concerns mitochondrial quality control. Cows with fatty liver show reduced abundance of mitophagy markers, and experimental suppression of mitophagy in calf hepatocytes increases reactive oxygen species production and lipid accumulation, indicating that failure to remove damaged mitochondria amplifies oxidant generation rather than merely accompanying it (Fang et al., 2022). The second concerns energy-sensing pathways. Activation of adenosine monophosphate-activated protein kinase in bovine adipocytes induces antioxidant gene expression and autophagy and attenuates oxidative injury, positioning cellular energy status as an upstream regulator of antioxidant capacity in the tissue most directly implicated in periparturient lipid flux (Xu et al., 2021).</w:t>
      </w:r>
    </w:p>
    <w:p w14:paraId="16BF8D76" w14:textId="77777777" w:rsidR="001474D1" w:rsidRDefault="00000000">
      <w:pPr>
        <w:spacing w:after="120" w:line="360" w:lineRule="auto"/>
        <w:jc w:val="both"/>
      </w:pPr>
      <w:r>
        <w:t xml:space="preserve">The third and most recent line concerns ferroptosis, an iron-dependent form of regulated cell death driven by accumulation of lipid hydroperoxides. Adipose tissue of </w:t>
      </w:r>
      <w:proofErr w:type="spellStart"/>
      <w:r>
        <w:t>ketotic</w:t>
      </w:r>
      <w:proofErr w:type="spellEnd"/>
      <w:r>
        <w:t xml:space="preserve"> cows exhibits reduced abundance of </w:t>
      </w:r>
      <w:proofErr w:type="spellStart"/>
      <w:r>
        <w:t>ferroportin</w:t>
      </w:r>
      <w:proofErr w:type="spellEnd"/>
      <w:r>
        <w:t>, of the cystine-glutamate antiporter subunit encoded by SLC7A11 and of glutathione peroxidase 4, together with impaired mitochondrial oxidative phosphorylation complexes and reduced adenosine triphosphate content; pharmacological inhibition of ferroptosis attenuates the mitochondrial dysfunction induced by adrenergic stimulation of lipolysis (Fan et al., 2025). Hypoxia-inducible factor 1-alpha has been implicated as a regulator of the same process in adipose tissue during ketosis (Fan et al., 2024). These findings identify a mechanism through which redox imbalance could produce irreversible tissue loss rather than reversible dysfunction, and they connect iron handling, glutathione metabolism and lipid peroxidation within a single explanatory scheme. The evidence remains confined to a small number of laboratories, rests substantially on cultured adipocytes stimulated with catecholamines, and has not been linked to any circulating measurement obtainable under field conditions. Confidence in the mechanism is therefore moderate, and confidence in its quantitative contribution to periparturient disease is low.</w:t>
      </w:r>
    </w:p>
    <w:p w14:paraId="4DA2ADC7" w14:textId="77777777" w:rsidR="001474D1" w:rsidRDefault="00000000">
      <w:pPr>
        <w:spacing w:after="120" w:line="360" w:lineRule="auto"/>
        <w:jc w:val="both"/>
      </w:pPr>
      <w:r>
        <w:t xml:space="preserve">Adipose tissue has consequently been reconceived from a passive lipid store to an active participant. Lipolysis is accompanied by macrophage infiltration, local cytokine production and remodelling of the extracellular matrix, and the oxidative and inflammatory changes within the depot influence systemic insulin sensitivity and immune competence (Contreras et al., 2017; </w:t>
      </w:r>
      <w:proofErr w:type="spellStart"/>
      <w:r>
        <w:t>Zachut</w:t>
      </w:r>
      <w:proofErr w:type="spellEnd"/>
      <w:r>
        <w:t xml:space="preserve"> &amp; Contreras, 2022). Whether </w:t>
      </w:r>
      <w:r>
        <w:lastRenderedPageBreak/>
        <w:t>adipose-derived oxidant signalling contributes materially to circulating redox markers, or whether those markers principally reflect hepatic and leukocyte activity, has not been resolved.</w:t>
      </w:r>
    </w:p>
    <w:p w14:paraId="74F187D4" w14:textId="77777777" w:rsidR="001474D1" w:rsidRDefault="00000000">
      <w:pPr>
        <w:pStyle w:val="Heading2"/>
        <w:spacing w:before="240" w:after="120" w:line="360" w:lineRule="auto"/>
      </w:pPr>
      <w:r>
        <w:rPr>
          <w:b/>
          <w:bCs/>
          <w:color w:val="000000"/>
          <w:sz w:val="23"/>
          <w:szCs w:val="23"/>
        </w:rPr>
        <w:t>3.4 Immune activation and environmental amplification</w:t>
      </w:r>
    </w:p>
    <w:p w14:paraId="70F4B65D" w14:textId="77777777" w:rsidR="001474D1" w:rsidRDefault="00000000">
      <w:pPr>
        <w:spacing w:after="120" w:line="360" w:lineRule="auto"/>
        <w:jc w:val="both"/>
      </w:pPr>
      <w:r>
        <w:t>Oxidant production during the transition is not solely metabolic in origin. Parturition itself elicits an acute-phase response, and activated neutrophils and macrophages generate superoxide and hypochlorous acid through the respiratory burst as an intended antimicrobial function. Periparturient cows display elevated acute-phase protein concentrations and altered leukocyte function even in the absence of clinical disease (</w:t>
      </w:r>
      <w:proofErr w:type="spellStart"/>
      <w:r>
        <w:t>Trevisi</w:t>
      </w:r>
      <w:proofErr w:type="spellEnd"/>
      <w:r>
        <w:t xml:space="preserve"> et al., 2012), and impairment of immune competence during the dry period precedes and predicts the development of subclinical ketosis in early lactation, which inverts the conventional assumption that metabolic disturbance drives immune dysfunction rather than the reverse (Mezzetti et al., 2019). Bradford et al. (2015) argue that a degree of inflammatory activation is a normal and possibly necessary feature of the transition, and that the pathological state is not inflammation itself but its failure to resolve. If this interpretation is correct, then the leukocyte-derived component of oxidant load is partly adaptive, and interventions that suppress it indiscriminately carry a risk of impairing host defence.</w:t>
      </w:r>
    </w:p>
    <w:p w14:paraId="770512C8" w14:textId="77777777" w:rsidR="001474D1" w:rsidRDefault="00000000">
      <w:pPr>
        <w:spacing w:after="120" w:line="360" w:lineRule="auto"/>
        <w:jc w:val="both"/>
      </w:pPr>
      <w:r>
        <w:t>Environmental stressors operate as amplifiers rather than independent causes. Thermal load raises oxidant markers and depresses antioxidant indices in transition cows, an effect documented since the early field studies of hot-season calving (</w:t>
      </w:r>
      <w:proofErr w:type="spellStart"/>
      <w:r>
        <w:t>Bernabucci</w:t>
      </w:r>
      <w:proofErr w:type="spellEnd"/>
      <w:r>
        <w:t xml:space="preserve"> et al., 2002) and confirmed in subsequent work across production systems and breeds (</w:t>
      </w:r>
      <w:proofErr w:type="spellStart"/>
      <w:r>
        <w:t>Alberghina</w:t>
      </w:r>
      <w:proofErr w:type="spellEnd"/>
      <w:r>
        <w:t xml:space="preserve"> et al., 2024; H. Li et al., 2021). Heat stress during late gestation additionally reduces subsequent milk yield, impairs mammary development and depresses neutrophil function into the following lactation, so that its redox consequences are superimposed on, and difficult to separate from, broader effects on productivity and immunity (Tao &amp; Dahl, 2013). Housing density, feed delivery patterns, social regrouping and dietary transitions constitute further amplifiers whose redox consequences have been measured less consistently.</w:t>
      </w:r>
    </w:p>
    <w:p w14:paraId="18AE6C62" w14:textId="77777777" w:rsidR="001474D1" w:rsidRDefault="00000000">
      <w:pPr>
        <w:spacing w:after="120" w:line="360" w:lineRule="auto"/>
        <w:jc w:val="both"/>
      </w:pPr>
      <w:r>
        <w:t>Table 1 summarises the principal conceptual distinctions and the sources of oxidant load discussed above, together with an assessment of the strength of evidence supporting each. The table shows a clear gradient: the metabolic pathway from lipid mobilisation to hepatic oxidant generation is supported by convergent in vivo and in vitro evidence, whereas the organelle-level mechanisms that have dominated recent publication are supported almost entirely by cell culture work with limited in vivo confirmation. This gradient is the central structural feature of the field and explains much of the difficulty encountered when mechanistic insight is translated into intervention.</w:t>
      </w:r>
    </w:p>
    <w:p w14:paraId="7680AA77" w14:textId="77777777" w:rsidR="001474D1" w:rsidRDefault="00000000">
      <w:pPr>
        <w:spacing w:before="240" w:after="100" w:line="300" w:lineRule="auto"/>
      </w:pPr>
      <w:r>
        <w:rPr>
          <w:b/>
          <w:bCs/>
          <w:sz w:val="21"/>
          <w:szCs w:val="21"/>
        </w:rPr>
        <w:t>Table 1. Sources of oxidant load in the transition dairy cow, associated conceptual distinctions and assessed strength of evidence</w:t>
      </w:r>
    </w:p>
    <w:tbl>
      <w:tblPr>
        <w:tblW w:w="5000" w:type="pct"/>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043"/>
        <w:gridCol w:w="2085"/>
        <w:gridCol w:w="1802"/>
        <w:gridCol w:w="1622"/>
        <w:gridCol w:w="1468"/>
      </w:tblGrid>
      <w:tr w:rsidR="001474D1" w14:paraId="769A9769" w14:textId="77777777" w:rsidTr="00E06F48">
        <w:trPr>
          <w:tblHeader/>
        </w:trPr>
        <w:tc>
          <w:tcPr>
            <w:tcW w:w="1132" w:type="pct"/>
            <w:shd w:val="clear" w:color="auto" w:fill="EAEAEA"/>
            <w:tcMar>
              <w:top w:w="60" w:type="dxa"/>
              <w:left w:w="80" w:type="dxa"/>
              <w:bottom w:w="60" w:type="dxa"/>
              <w:right w:w="80" w:type="dxa"/>
            </w:tcMar>
          </w:tcPr>
          <w:p w14:paraId="41188048" w14:textId="77777777" w:rsidR="001474D1" w:rsidRDefault="00000000">
            <w:r>
              <w:rPr>
                <w:b/>
                <w:bCs/>
                <w:sz w:val="17"/>
                <w:szCs w:val="17"/>
              </w:rPr>
              <w:lastRenderedPageBreak/>
              <w:t>Source or concept</w:t>
            </w:r>
          </w:p>
        </w:tc>
        <w:tc>
          <w:tcPr>
            <w:tcW w:w="1156" w:type="pct"/>
            <w:shd w:val="clear" w:color="auto" w:fill="EAEAEA"/>
            <w:tcMar>
              <w:top w:w="60" w:type="dxa"/>
              <w:left w:w="80" w:type="dxa"/>
              <w:bottom w:w="60" w:type="dxa"/>
              <w:right w:w="80" w:type="dxa"/>
            </w:tcMar>
          </w:tcPr>
          <w:p w14:paraId="63FE171B" w14:textId="77777777" w:rsidR="001474D1" w:rsidRDefault="00000000">
            <w:r>
              <w:rPr>
                <w:b/>
                <w:bCs/>
                <w:sz w:val="17"/>
                <w:szCs w:val="17"/>
              </w:rPr>
              <w:t>Proposed mechanism</w:t>
            </w:r>
          </w:p>
        </w:tc>
        <w:tc>
          <w:tcPr>
            <w:tcW w:w="999" w:type="pct"/>
            <w:shd w:val="clear" w:color="auto" w:fill="EAEAEA"/>
            <w:tcMar>
              <w:top w:w="60" w:type="dxa"/>
              <w:left w:w="80" w:type="dxa"/>
              <w:bottom w:w="60" w:type="dxa"/>
              <w:right w:w="80" w:type="dxa"/>
            </w:tcMar>
          </w:tcPr>
          <w:p w14:paraId="25C9558E" w14:textId="77777777" w:rsidR="001474D1" w:rsidRDefault="00000000">
            <w:r>
              <w:rPr>
                <w:b/>
                <w:bCs/>
                <w:sz w:val="17"/>
                <w:szCs w:val="17"/>
              </w:rPr>
              <w:t>Nature of supporting evidence</w:t>
            </w:r>
          </w:p>
        </w:tc>
        <w:tc>
          <w:tcPr>
            <w:tcW w:w="899" w:type="pct"/>
            <w:shd w:val="clear" w:color="auto" w:fill="EAEAEA"/>
            <w:tcMar>
              <w:top w:w="60" w:type="dxa"/>
              <w:left w:w="80" w:type="dxa"/>
              <w:bottom w:w="60" w:type="dxa"/>
              <w:right w:w="80" w:type="dxa"/>
            </w:tcMar>
          </w:tcPr>
          <w:p w14:paraId="37E3EDE5" w14:textId="77777777" w:rsidR="001474D1" w:rsidRDefault="00000000">
            <w:r>
              <w:rPr>
                <w:b/>
                <w:bCs/>
                <w:sz w:val="17"/>
                <w:szCs w:val="17"/>
              </w:rPr>
              <w:t>Assessed strength</w:t>
            </w:r>
          </w:p>
        </w:tc>
        <w:tc>
          <w:tcPr>
            <w:tcW w:w="814" w:type="pct"/>
            <w:shd w:val="clear" w:color="auto" w:fill="EAEAEA"/>
            <w:tcMar>
              <w:top w:w="60" w:type="dxa"/>
              <w:left w:w="80" w:type="dxa"/>
              <w:bottom w:w="60" w:type="dxa"/>
              <w:right w:w="80" w:type="dxa"/>
            </w:tcMar>
          </w:tcPr>
          <w:p w14:paraId="3E2A44B5" w14:textId="77777777" w:rsidR="001474D1" w:rsidRDefault="00000000">
            <w:r>
              <w:rPr>
                <w:b/>
                <w:bCs/>
                <w:sz w:val="17"/>
                <w:szCs w:val="17"/>
              </w:rPr>
              <w:t>Supporting references</w:t>
            </w:r>
          </w:p>
        </w:tc>
      </w:tr>
      <w:tr w:rsidR="001474D1" w14:paraId="7B34FD1B" w14:textId="77777777" w:rsidTr="00E06F48">
        <w:tc>
          <w:tcPr>
            <w:tcW w:w="1132" w:type="pct"/>
            <w:tcMar>
              <w:top w:w="60" w:type="dxa"/>
              <w:left w:w="80" w:type="dxa"/>
              <w:bottom w:w="60" w:type="dxa"/>
              <w:right w:w="80" w:type="dxa"/>
            </w:tcMar>
          </w:tcPr>
          <w:p w14:paraId="23AF982C" w14:textId="77777777" w:rsidR="001474D1" w:rsidRDefault="00000000">
            <w:r>
              <w:rPr>
                <w:sz w:val="17"/>
                <w:szCs w:val="17"/>
              </w:rPr>
              <w:t>Adipose lipid mobilisation</w:t>
            </w:r>
          </w:p>
        </w:tc>
        <w:tc>
          <w:tcPr>
            <w:tcW w:w="1156" w:type="pct"/>
            <w:tcMar>
              <w:top w:w="60" w:type="dxa"/>
              <w:left w:w="80" w:type="dxa"/>
              <w:bottom w:w="60" w:type="dxa"/>
              <w:right w:w="80" w:type="dxa"/>
            </w:tcMar>
          </w:tcPr>
          <w:p w14:paraId="226DA1BC" w14:textId="77777777" w:rsidR="001474D1" w:rsidRDefault="00000000">
            <w:r>
              <w:rPr>
                <w:sz w:val="17"/>
                <w:szCs w:val="17"/>
              </w:rPr>
              <w:t>Increased hepatic non-esterified fatty acid supply raises mitochondrial electron flux and superoxide generation</w:t>
            </w:r>
          </w:p>
        </w:tc>
        <w:tc>
          <w:tcPr>
            <w:tcW w:w="999" w:type="pct"/>
            <w:tcMar>
              <w:top w:w="60" w:type="dxa"/>
              <w:left w:w="80" w:type="dxa"/>
              <w:bottom w:w="60" w:type="dxa"/>
              <w:right w:w="80" w:type="dxa"/>
            </w:tcMar>
          </w:tcPr>
          <w:p w14:paraId="62E2634A" w14:textId="77777777" w:rsidR="001474D1" w:rsidRDefault="00000000">
            <w:r>
              <w:rPr>
                <w:sz w:val="17"/>
                <w:szCs w:val="17"/>
              </w:rPr>
              <w:t>Observational cohorts, body condition contrasts and bovine hepatocyte experiments</w:t>
            </w:r>
          </w:p>
        </w:tc>
        <w:tc>
          <w:tcPr>
            <w:tcW w:w="899" w:type="pct"/>
            <w:tcMar>
              <w:top w:w="60" w:type="dxa"/>
              <w:left w:w="80" w:type="dxa"/>
              <w:bottom w:w="60" w:type="dxa"/>
              <w:right w:w="80" w:type="dxa"/>
            </w:tcMar>
          </w:tcPr>
          <w:p w14:paraId="2207FE5A" w14:textId="77777777" w:rsidR="001474D1" w:rsidRDefault="00000000">
            <w:r>
              <w:rPr>
                <w:sz w:val="17"/>
                <w:szCs w:val="17"/>
              </w:rPr>
              <w:t>Strong for direction; moderate for magnitude</w:t>
            </w:r>
          </w:p>
        </w:tc>
        <w:tc>
          <w:tcPr>
            <w:tcW w:w="814" w:type="pct"/>
            <w:tcMar>
              <w:top w:w="60" w:type="dxa"/>
              <w:left w:w="80" w:type="dxa"/>
              <w:bottom w:w="60" w:type="dxa"/>
              <w:right w:w="80" w:type="dxa"/>
            </w:tcMar>
          </w:tcPr>
          <w:p w14:paraId="27B58ED3" w14:textId="77777777" w:rsidR="001474D1" w:rsidRDefault="00000000">
            <w:proofErr w:type="spellStart"/>
            <w:r>
              <w:rPr>
                <w:sz w:val="17"/>
                <w:szCs w:val="17"/>
              </w:rPr>
              <w:t>Bernabucci</w:t>
            </w:r>
            <w:proofErr w:type="spellEnd"/>
            <w:r>
              <w:rPr>
                <w:sz w:val="17"/>
                <w:szCs w:val="17"/>
              </w:rPr>
              <w:t xml:space="preserve"> et al. (2005); Contreras and Sordillo (2011); Drackley (1999); Y. Li et al. (2020)</w:t>
            </w:r>
          </w:p>
        </w:tc>
      </w:tr>
      <w:tr w:rsidR="001474D1" w14:paraId="41B15D74" w14:textId="77777777" w:rsidTr="00E06F48">
        <w:tc>
          <w:tcPr>
            <w:tcW w:w="1132" w:type="pct"/>
            <w:tcMar>
              <w:top w:w="60" w:type="dxa"/>
              <w:left w:w="80" w:type="dxa"/>
              <w:bottom w:w="60" w:type="dxa"/>
              <w:right w:w="80" w:type="dxa"/>
            </w:tcMar>
          </w:tcPr>
          <w:p w14:paraId="3ADEE773" w14:textId="77777777" w:rsidR="001474D1" w:rsidRDefault="00000000">
            <w:r>
              <w:rPr>
                <w:sz w:val="17"/>
                <w:szCs w:val="17"/>
              </w:rPr>
              <w:t>Hyperketonaemia</w:t>
            </w:r>
          </w:p>
        </w:tc>
        <w:tc>
          <w:tcPr>
            <w:tcW w:w="1156" w:type="pct"/>
            <w:tcMar>
              <w:top w:w="60" w:type="dxa"/>
              <w:left w:w="80" w:type="dxa"/>
              <w:bottom w:w="60" w:type="dxa"/>
              <w:right w:w="80" w:type="dxa"/>
            </w:tcMar>
          </w:tcPr>
          <w:p w14:paraId="1461FD53" w14:textId="77777777" w:rsidR="001474D1" w:rsidRDefault="00000000">
            <w:r>
              <w:rPr>
                <w:sz w:val="17"/>
                <w:szCs w:val="17"/>
              </w:rPr>
              <w:t>Ketone bodies act as signalling molecules and regulated fuels rather than as inert indices of oxidant load</w:t>
            </w:r>
          </w:p>
        </w:tc>
        <w:tc>
          <w:tcPr>
            <w:tcW w:w="999" w:type="pct"/>
            <w:tcMar>
              <w:top w:w="60" w:type="dxa"/>
              <w:left w:w="80" w:type="dxa"/>
              <w:bottom w:w="60" w:type="dxa"/>
              <w:right w:w="80" w:type="dxa"/>
            </w:tcMar>
          </w:tcPr>
          <w:p w14:paraId="0E4004C4" w14:textId="77777777" w:rsidR="001474D1" w:rsidRDefault="00000000">
            <w:r>
              <w:rPr>
                <w:sz w:val="17"/>
                <w:szCs w:val="17"/>
              </w:rPr>
              <w:t>Observational association studies and mechanistic reinterpretation</w:t>
            </w:r>
          </w:p>
        </w:tc>
        <w:tc>
          <w:tcPr>
            <w:tcW w:w="899" w:type="pct"/>
            <w:tcMar>
              <w:top w:w="60" w:type="dxa"/>
              <w:left w:w="80" w:type="dxa"/>
              <w:bottom w:w="60" w:type="dxa"/>
              <w:right w:w="80" w:type="dxa"/>
            </w:tcMar>
          </w:tcPr>
          <w:p w14:paraId="49037BBD" w14:textId="77777777" w:rsidR="001474D1" w:rsidRDefault="00000000">
            <w:r>
              <w:rPr>
                <w:sz w:val="17"/>
                <w:szCs w:val="17"/>
              </w:rPr>
              <w:t>Association strong; causal direction unresolved</w:t>
            </w:r>
          </w:p>
        </w:tc>
        <w:tc>
          <w:tcPr>
            <w:tcW w:w="814" w:type="pct"/>
            <w:tcMar>
              <w:top w:w="60" w:type="dxa"/>
              <w:left w:w="80" w:type="dxa"/>
              <w:bottom w:w="60" w:type="dxa"/>
              <w:right w:w="80" w:type="dxa"/>
            </w:tcMar>
          </w:tcPr>
          <w:p w14:paraId="25AEE5C4" w14:textId="77777777" w:rsidR="001474D1" w:rsidRDefault="00000000">
            <w:r>
              <w:rPr>
                <w:sz w:val="17"/>
                <w:szCs w:val="17"/>
              </w:rPr>
              <w:t>Y. Li et al. (2016); Rico and Barrientos-Blanco (2024)</w:t>
            </w:r>
          </w:p>
        </w:tc>
      </w:tr>
      <w:tr w:rsidR="001474D1" w14:paraId="526B193E" w14:textId="77777777" w:rsidTr="00E06F48">
        <w:tc>
          <w:tcPr>
            <w:tcW w:w="1132" w:type="pct"/>
            <w:tcMar>
              <w:top w:w="60" w:type="dxa"/>
              <w:left w:w="80" w:type="dxa"/>
              <w:bottom w:w="60" w:type="dxa"/>
              <w:right w:w="80" w:type="dxa"/>
            </w:tcMar>
          </w:tcPr>
          <w:p w14:paraId="4C5B0F65" w14:textId="77777777" w:rsidR="001474D1" w:rsidRDefault="00000000">
            <w:r>
              <w:rPr>
                <w:sz w:val="17"/>
                <w:szCs w:val="17"/>
              </w:rPr>
              <w:t>Impaired mitochondrial quality control</w:t>
            </w:r>
          </w:p>
        </w:tc>
        <w:tc>
          <w:tcPr>
            <w:tcW w:w="1156" w:type="pct"/>
            <w:tcMar>
              <w:top w:w="60" w:type="dxa"/>
              <w:left w:w="80" w:type="dxa"/>
              <w:bottom w:w="60" w:type="dxa"/>
              <w:right w:w="80" w:type="dxa"/>
            </w:tcMar>
          </w:tcPr>
          <w:p w14:paraId="5C6A70E1" w14:textId="77777777" w:rsidR="001474D1" w:rsidRDefault="00000000">
            <w:r>
              <w:rPr>
                <w:sz w:val="17"/>
                <w:szCs w:val="17"/>
              </w:rPr>
              <w:t>Reduced mitophagy permits accumulation of damaged mitochondria and sustained reactive oxygen species output</w:t>
            </w:r>
          </w:p>
        </w:tc>
        <w:tc>
          <w:tcPr>
            <w:tcW w:w="999" w:type="pct"/>
            <w:tcMar>
              <w:top w:w="60" w:type="dxa"/>
              <w:left w:w="80" w:type="dxa"/>
              <w:bottom w:w="60" w:type="dxa"/>
              <w:right w:w="80" w:type="dxa"/>
            </w:tcMar>
          </w:tcPr>
          <w:p w14:paraId="7A7943BF" w14:textId="77777777" w:rsidR="001474D1" w:rsidRDefault="00000000">
            <w:r>
              <w:rPr>
                <w:sz w:val="17"/>
                <w:szCs w:val="17"/>
              </w:rPr>
              <w:t>Tissue biopsy comparison with calf hepatocyte experiments</w:t>
            </w:r>
          </w:p>
        </w:tc>
        <w:tc>
          <w:tcPr>
            <w:tcW w:w="899" w:type="pct"/>
            <w:tcMar>
              <w:top w:w="60" w:type="dxa"/>
              <w:left w:w="80" w:type="dxa"/>
              <w:bottom w:w="60" w:type="dxa"/>
              <w:right w:w="80" w:type="dxa"/>
            </w:tcMar>
          </w:tcPr>
          <w:p w14:paraId="1928F8B1" w14:textId="77777777" w:rsidR="001474D1" w:rsidRDefault="00000000">
            <w:r>
              <w:rPr>
                <w:sz w:val="17"/>
                <w:szCs w:val="17"/>
              </w:rPr>
              <w:t>Moderate</w:t>
            </w:r>
          </w:p>
        </w:tc>
        <w:tc>
          <w:tcPr>
            <w:tcW w:w="814" w:type="pct"/>
            <w:tcMar>
              <w:top w:w="60" w:type="dxa"/>
              <w:left w:w="80" w:type="dxa"/>
              <w:bottom w:w="60" w:type="dxa"/>
              <w:right w:w="80" w:type="dxa"/>
            </w:tcMar>
          </w:tcPr>
          <w:p w14:paraId="53D94CFB" w14:textId="77777777" w:rsidR="001474D1" w:rsidRDefault="00000000">
            <w:r>
              <w:rPr>
                <w:sz w:val="17"/>
                <w:szCs w:val="17"/>
              </w:rPr>
              <w:t>Fang et al. (2022)</w:t>
            </w:r>
          </w:p>
        </w:tc>
      </w:tr>
      <w:tr w:rsidR="001474D1" w14:paraId="499510A7" w14:textId="77777777" w:rsidTr="00E06F48">
        <w:tc>
          <w:tcPr>
            <w:tcW w:w="1132" w:type="pct"/>
            <w:tcMar>
              <w:top w:w="60" w:type="dxa"/>
              <w:left w:w="80" w:type="dxa"/>
              <w:bottom w:w="60" w:type="dxa"/>
              <w:right w:w="80" w:type="dxa"/>
            </w:tcMar>
          </w:tcPr>
          <w:p w14:paraId="71B4341D" w14:textId="77777777" w:rsidR="001474D1" w:rsidRDefault="00000000">
            <w:proofErr w:type="spellStart"/>
            <w:r>
              <w:rPr>
                <w:sz w:val="17"/>
                <w:szCs w:val="17"/>
              </w:rPr>
              <w:t>Ferroptotic</w:t>
            </w:r>
            <w:proofErr w:type="spellEnd"/>
            <w:r>
              <w:rPr>
                <w:sz w:val="17"/>
                <w:szCs w:val="17"/>
              </w:rPr>
              <w:t xml:space="preserve"> cell death in adipose tissue</w:t>
            </w:r>
          </w:p>
        </w:tc>
        <w:tc>
          <w:tcPr>
            <w:tcW w:w="1156" w:type="pct"/>
            <w:tcMar>
              <w:top w:w="60" w:type="dxa"/>
              <w:left w:w="80" w:type="dxa"/>
              <w:bottom w:w="60" w:type="dxa"/>
              <w:right w:w="80" w:type="dxa"/>
            </w:tcMar>
          </w:tcPr>
          <w:p w14:paraId="29403F83" w14:textId="77777777" w:rsidR="001474D1" w:rsidRDefault="00000000">
            <w:r>
              <w:rPr>
                <w:sz w:val="17"/>
                <w:szCs w:val="17"/>
              </w:rPr>
              <w:t>Iron accumulation with reduced glutathione peroxidase 4 activity drives lipid hydroperoxide accumulation and mitochondrial failure</w:t>
            </w:r>
          </w:p>
        </w:tc>
        <w:tc>
          <w:tcPr>
            <w:tcW w:w="999" w:type="pct"/>
            <w:tcMar>
              <w:top w:w="60" w:type="dxa"/>
              <w:left w:w="80" w:type="dxa"/>
              <w:bottom w:w="60" w:type="dxa"/>
              <w:right w:w="80" w:type="dxa"/>
            </w:tcMar>
          </w:tcPr>
          <w:p w14:paraId="20D14B8D" w14:textId="77777777" w:rsidR="001474D1" w:rsidRDefault="00000000">
            <w:r>
              <w:rPr>
                <w:sz w:val="17"/>
                <w:szCs w:val="17"/>
              </w:rPr>
              <w:t>Cultured bovine adipocytes with limited tissue confirmation</w:t>
            </w:r>
          </w:p>
        </w:tc>
        <w:tc>
          <w:tcPr>
            <w:tcW w:w="899" w:type="pct"/>
            <w:tcMar>
              <w:top w:w="60" w:type="dxa"/>
              <w:left w:w="80" w:type="dxa"/>
              <w:bottom w:w="60" w:type="dxa"/>
              <w:right w:w="80" w:type="dxa"/>
            </w:tcMar>
          </w:tcPr>
          <w:p w14:paraId="184C143A" w14:textId="77777777" w:rsidR="001474D1" w:rsidRDefault="00000000">
            <w:r>
              <w:rPr>
                <w:sz w:val="17"/>
                <w:szCs w:val="17"/>
              </w:rPr>
              <w:t>Moderate for mechanism; low for field relevance</w:t>
            </w:r>
          </w:p>
        </w:tc>
        <w:tc>
          <w:tcPr>
            <w:tcW w:w="814" w:type="pct"/>
            <w:tcMar>
              <w:top w:w="60" w:type="dxa"/>
              <w:left w:w="80" w:type="dxa"/>
              <w:bottom w:w="60" w:type="dxa"/>
              <w:right w:w="80" w:type="dxa"/>
            </w:tcMar>
          </w:tcPr>
          <w:p w14:paraId="39B0AACB" w14:textId="77777777" w:rsidR="001474D1" w:rsidRDefault="00000000">
            <w:r>
              <w:rPr>
                <w:sz w:val="17"/>
                <w:szCs w:val="17"/>
              </w:rPr>
              <w:t>Fan et al. (2024); Fan et al. (2025)</w:t>
            </w:r>
          </w:p>
        </w:tc>
      </w:tr>
      <w:tr w:rsidR="001474D1" w14:paraId="1DE018FE" w14:textId="77777777" w:rsidTr="00E06F48">
        <w:tc>
          <w:tcPr>
            <w:tcW w:w="1132" w:type="pct"/>
            <w:tcMar>
              <w:top w:w="60" w:type="dxa"/>
              <w:left w:w="80" w:type="dxa"/>
              <w:bottom w:w="60" w:type="dxa"/>
              <w:right w:w="80" w:type="dxa"/>
            </w:tcMar>
          </w:tcPr>
          <w:p w14:paraId="76ACA783" w14:textId="77777777" w:rsidR="001474D1" w:rsidRDefault="00000000">
            <w:r>
              <w:rPr>
                <w:sz w:val="17"/>
                <w:szCs w:val="17"/>
              </w:rPr>
              <w:t>Cellular energy sensing</w:t>
            </w:r>
          </w:p>
        </w:tc>
        <w:tc>
          <w:tcPr>
            <w:tcW w:w="1156" w:type="pct"/>
            <w:tcMar>
              <w:top w:w="60" w:type="dxa"/>
              <w:left w:w="80" w:type="dxa"/>
              <w:bottom w:w="60" w:type="dxa"/>
              <w:right w:w="80" w:type="dxa"/>
            </w:tcMar>
          </w:tcPr>
          <w:p w14:paraId="58A34C6B" w14:textId="77777777" w:rsidR="001474D1" w:rsidRDefault="00000000">
            <w:r>
              <w:rPr>
                <w:sz w:val="17"/>
                <w:szCs w:val="17"/>
              </w:rPr>
              <w:t>Adenosine monophosphate-activated protein kinase activation induces antioxidant responses and autophagy in adipocytes</w:t>
            </w:r>
          </w:p>
        </w:tc>
        <w:tc>
          <w:tcPr>
            <w:tcW w:w="999" w:type="pct"/>
            <w:tcMar>
              <w:top w:w="60" w:type="dxa"/>
              <w:left w:w="80" w:type="dxa"/>
              <w:bottom w:w="60" w:type="dxa"/>
              <w:right w:w="80" w:type="dxa"/>
            </w:tcMar>
          </w:tcPr>
          <w:p w14:paraId="0BB77A38" w14:textId="77777777" w:rsidR="001474D1" w:rsidRDefault="00000000">
            <w:r>
              <w:rPr>
                <w:sz w:val="17"/>
                <w:szCs w:val="17"/>
              </w:rPr>
              <w:t>In vitro bovine adipocyte experiments</w:t>
            </w:r>
          </w:p>
        </w:tc>
        <w:tc>
          <w:tcPr>
            <w:tcW w:w="899" w:type="pct"/>
            <w:tcMar>
              <w:top w:w="60" w:type="dxa"/>
              <w:left w:w="80" w:type="dxa"/>
              <w:bottom w:w="60" w:type="dxa"/>
              <w:right w:w="80" w:type="dxa"/>
            </w:tcMar>
          </w:tcPr>
          <w:p w14:paraId="18D8658D" w14:textId="77777777" w:rsidR="001474D1" w:rsidRDefault="00000000">
            <w:r>
              <w:rPr>
                <w:sz w:val="17"/>
                <w:szCs w:val="17"/>
              </w:rPr>
              <w:t>Moderate</w:t>
            </w:r>
          </w:p>
        </w:tc>
        <w:tc>
          <w:tcPr>
            <w:tcW w:w="814" w:type="pct"/>
            <w:tcMar>
              <w:top w:w="60" w:type="dxa"/>
              <w:left w:w="80" w:type="dxa"/>
              <w:bottom w:w="60" w:type="dxa"/>
              <w:right w:w="80" w:type="dxa"/>
            </w:tcMar>
          </w:tcPr>
          <w:p w14:paraId="40BC9655" w14:textId="77777777" w:rsidR="001474D1" w:rsidRDefault="00000000">
            <w:r>
              <w:rPr>
                <w:sz w:val="17"/>
                <w:szCs w:val="17"/>
              </w:rPr>
              <w:t>Xu et al. (2021)</w:t>
            </w:r>
          </w:p>
        </w:tc>
      </w:tr>
      <w:tr w:rsidR="001474D1" w14:paraId="72C15704" w14:textId="77777777" w:rsidTr="00E06F48">
        <w:tc>
          <w:tcPr>
            <w:tcW w:w="1132" w:type="pct"/>
            <w:tcMar>
              <w:top w:w="60" w:type="dxa"/>
              <w:left w:w="80" w:type="dxa"/>
              <w:bottom w:w="60" w:type="dxa"/>
              <w:right w:w="80" w:type="dxa"/>
            </w:tcMar>
          </w:tcPr>
          <w:p w14:paraId="392B8125" w14:textId="77777777" w:rsidR="001474D1" w:rsidRDefault="00000000">
            <w:r>
              <w:rPr>
                <w:sz w:val="17"/>
                <w:szCs w:val="17"/>
              </w:rPr>
              <w:t>Leukocyte respiratory burst</w:t>
            </w:r>
          </w:p>
        </w:tc>
        <w:tc>
          <w:tcPr>
            <w:tcW w:w="1156" w:type="pct"/>
            <w:tcMar>
              <w:top w:w="60" w:type="dxa"/>
              <w:left w:w="80" w:type="dxa"/>
              <w:bottom w:w="60" w:type="dxa"/>
              <w:right w:w="80" w:type="dxa"/>
            </w:tcMar>
          </w:tcPr>
          <w:p w14:paraId="55063D1C" w14:textId="77777777" w:rsidR="001474D1" w:rsidRDefault="00000000">
            <w:r>
              <w:rPr>
                <w:sz w:val="17"/>
                <w:szCs w:val="17"/>
              </w:rPr>
              <w:t>Activated phagocytes generate reactive species as an intended antimicrobial function</w:t>
            </w:r>
          </w:p>
        </w:tc>
        <w:tc>
          <w:tcPr>
            <w:tcW w:w="999" w:type="pct"/>
            <w:tcMar>
              <w:top w:w="60" w:type="dxa"/>
              <w:left w:w="80" w:type="dxa"/>
              <w:bottom w:w="60" w:type="dxa"/>
              <w:right w:w="80" w:type="dxa"/>
            </w:tcMar>
          </w:tcPr>
          <w:p w14:paraId="6B633EC0" w14:textId="77777777" w:rsidR="001474D1" w:rsidRDefault="00000000">
            <w:r>
              <w:rPr>
                <w:sz w:val="17"/>
                <w:szCs w:val="17"/>
              </w:rPr>
              <w:t>Immunological profiling of periparturient cohorts</w:t>
            </w:r>
          </w:p>
        </w:tc>
        <w:tc>
          <w:tcPr>
            <w:tcW w:w="899" w:type="pct"/>
            <w:tcMar>
              <w:top w:w="60" w:type="dxa"/>
              <w:left w:w="80" w:type="dxa"/>
              <w:bottom w:w="60" w:type="dxa"/>
              <w:right w:w="80" w:type="dxa"/>
            </w:tcMar>
          </w:tcPr>
          <w:p w14:paraId="596B34F3" w14:textId="77777777" w:rsidR="001474D1" w:rsidRDefault="00000000">
            <w:r>
              <w:rPr>
                <w:sz w:val="17"/>
                <w:szCs w:val="17"/>
              </w:rPr>
              <w:t>Strong for occurrence; contested for pathogenicity</w:t>
            </w:r>
          </w:p>
        </w:tc>
        <w:tc>
          <w:tcPr>
            <w:tcW w:w="814" w:type="pct"/>
            <w:tcMar>
              <w:top w:w="60" w:type="dxa"/>
              <w:left w:w="80" w:type="dxa"/>
              <w:bottom w:w="60" w:type="dxa"/>
              <w:right w:w="80" w:type="dxa"/>
            </w:tcMar>
          </w:tcPr>
          <w:p w14:paraId="00DB2905" w14:textId="77777777" w:rsidR="001474D1" w:rsidRDefault="00000000">
            <w:r>
              <w:rPr>
                <w:sz w:val="17"/>
                <w:szCs w:val="17"/>
              </w:rPr>
              <w:t xml:space="preserve">Bradford et al. (2015); Mezzetti et al. (2019); </w:t>
            </w:r>
            <w:proofErr w:type="spellStart"/>
            <w:r>
              <w:rPr>
                <w:sz w:val="17"/>
                <w:szCs w:val="17"/>
              </w:rPr>
              <w:t>Trevisi</w:t>
            </w:r>
            <w:proofErr w:type="spellEnd"/>
            <w:r>
              <w:rPr>
                <w:sz w:val="17"/>
                <w:szCs w:val="17"/>
              </w:rPr>
              <w:t xml:space="preserve"> et al. (2012)</w:t>
            </w:r>
          </w:p>
        </w:tc>
      </w:tr>
      <w:tr w:rsidR="001474D1" w14:paraId="75B68B57" w14:textId="77777777" w:rsidTr="00E06F48">
        <w:tc>
          <w:tcPr>
            <w:tcW w:w="1132" w:type="pct"/>
            <w:tcMar>
              <w:top w:w="60" w:type="dxa"/>
              <w:left w:w="80" w:type="dxa"/>
              <w:bottom w:w="60" w:type="dxa"/>
              <w:right w:w="80" w:type="dxa"/>
            </w:tcMar>
          </w:tcPr>
          <w:p w14:paraId="7E34291D" w14:textId="77777777" w:rsidR="001474D1" w:rsidRDefault="00000000">
            <w:r>
              <w:rPr>
                <w:sz w:val="17"/>
                <w:szCs w:val="17"/>
              </w:rPr>
              <w:t>Thermal load</w:t>
            </w:r>
          </w:p>
        </w:tc>
        <w:tc>
          <w:tcPr>
            <w:tcW w:w="1156" w:type="pct"/>
            <w:tcMar>
              <w:top w:w="60" w:type="dxa"/>
              <w:left w:w="80" w:type="dxa"/>
              <w:bottom w:w="60" w:type="dxa"/>
              <w:right w:w="80" w:type="dxa"/>
            </w:tcMar>
          </w:tcPr>
          <w:p w14:paraId="321A423C" w14:textId="77777777" w:rsidR="001474D1" w:rsidRDefault="00000000">
            <w:r>
              <w:rPr>
                <w:sz w:val="17"/>
                <w:szCs w:val="17"/>
              </w:rPr>
              <w:t>Hyperthermia increases oxidant markers and depresses antioxidant indices, with carry-over effects on immunity</w:t>
            </w:r>
          </w:p>
        </w:tc>
        <w:tc>
          <w:tcPr>
            <w:tcW w:w="999" w:type="pct"/>
            <w:tcMar>
              <w:top w:w="60" w:type="dxa"/>
              <w:left w:w="80" w:type="dxa"/>
              <w:bottom w:w="60" w:type="dxa"/>
              <w:right w:w="80" w:type="dxa"/>
            </w:tcMar>
          </w:tcPr>
          <w:p w14:paraId="346BC5A6" w14:textId="77777777" w:rsidR="001474D1" w:rsidRDefault="00000000">
            <w:r>
              <w:rPr>
                <w:sz w:val="17"/>
                <w:szCs w:val="17"/>
              </w:rPr>
              <w:t>Seasonal comparisons and controlled cooling studies</w:t>
            </w:r>
          </w:p>
        </w:tc>
        <w:tc>
          <w:tcPr>
            <w:tcW w:w="899" w:type="pct"/>
            <w:tcMar>
              <w:top w:w="60" w:type="dxa"/>
              <w:left w:w="80" w:type="dxa"/>
              <w:bottom w:w="60" w:type="dxa"/>
              <w:right w:w="80" w:type="dxa"/>
            </w:tcMar>
          </w:tcPr>
          <w:p w14:paraId="258A4095" w14:textId="77777777" w:rsidR="001474D1" w:rsidRDefault="00000000">
            <w:r>
              <w:rPr>
                <w:sz w:val="17"/>
                <w:szCs w:val="17"/>
              </w:rPr>
              <w:t>Strong for association; moderate for mechanism</w:t>
            </w:r>
          </w:p>
        </w:tc>
        <w:tc>
          <w:tcPr>
            <w:tcW w:w="814" w:type="pct"/>
            <w:tcMar>
              <w:top w:w="60" w:type="dxa"/>
              <w:left w:w="80" w:type="dxa"/>
              <w:bottom w:w="60" w:type="dxa"/>
              <w:right w:w="80" w:type="dxa"/>
            </w:tcMar>
          </w:tcPr>
          <w:p w14:paraId="43DC4E59" w14:textId="77777777" w:rsidR="001474D1" w:rsidRDefault="00000000">
            <w:proofErr w:type="spellStart"/>
            <w:r>
              <w:rPr>
                <w:sz w:val="17"/>
                <w:szCs w:val="17"/>
              </w:rPr>
              <w:t>Alberghina</w:t>
            </w:r>
            <w:proofErr w:type="spellEnd"/>
            <w:r>
              <w:rPr>
                <w:sz w:val="17"/>
                <w:szCs w:val="17"/>
              </w:rPr>
              <w:t xml:space="preserve"> et al. (2024); </w:t>
            </w:r>
            <w:proofErr w:type="spellStart"/>
            <w:r>
              <w:rPr>
                <w:sz w:val="17"/>
                <w:szCs w:val="17"/>
              </w:rPr>
              <w:t>Bernabucci</w:t>
            </w:r>
            <w:proofErr w:type="spellEnd"/>
            <w:r>
              <w:rPr>
                <w:sz w:val="17"/>
                <w:szCs w:val="17"/>
              </w:rPr>
              <w:t xml:space="preserve"> et al. (2002); H. Li et al. (2021); Tao and Dahl (2013)</w:t>
            </w:r>
          </w:p>
        </w:tc>
      </w:tr>
      <w:tr w:rsidR="001474D1" w14:paraId="730AD4C5" w14:textId="77777777" w:rsidTr="00E06F48">
        <w:tc>
          <w:tcPr>
            <w:tcW w:w="1132" w:type="pct"/>
            <w:tcMar>
              <w:top w:w="60" w:type="dxa"/>
              <w:left w:w="80" w:type="dxa"/>
              <w:bottom w:w="60" w:type="dxa"/>
              <w:right w:w="80" w:type="dxa"/>
            </w:tcMar>
          </w:tcPr>
          <w:p w14:paraId="770C6EBB" w14:textId="77777777" w:rsidR="001474D1" w:rsidRDefault="00000000">
            <w:r>
              <w:rPr>
                <w:sz w:val="17"/>
                <w:szCs w:val="17"/>
              </w:rPr>
              <w:t>Adipose tissue inflammation</w:t>
            </w:r>
          </w:p>
        </w:tc>
        <w:tc>
          <w:tcPr>
            <w:tcW w:w="1156" w:type="pct"/>
            <w:tcMar>
              <w:top w:w="60" w:type="dxa"/>
              <w:left w:w="80" w:type="dxa"/>
              <w:bottom w:w="60" w:type="dxa"/>
              <w:right w:w="80" w:type="dxa"/>
            </w:tcMar>
          </w:tcPr>
          <w:p w14:paraId="3300EBF4" w14:textId="77777777" w:rsidR="001474D1" w:rsidRDefault="00000000">
            <w:r>
              <w:rPr>
                <w:sz w:val="17"/>
                <w:szCs w:val="17"/>
              </w:rPr>
              <w:t xml:space="preserve">Macrophage infiltration and cytokine production couple local lipolysis to systemic </w:t>
            </w:r>
            <w:proofErr w:type="spellStart"/>
            <w:r>
              <w:rPr>
                <w:sz w:val="17"/>
                <w:szCs w:val="17"/>
              </w:rPr>
              <w:t>immunometabolic</w:t>
            </w:r>
            <w:proofErr w:type="spellEnd"/>
            <w:r>
              <w:rPr>
                <w:sz w:val="17"/>
                <w:szCs w:val="17"/>
              </w:rPr>
              <w:t xml:space="preserve"> change</w:t>
            </w:r>
          </w:p>
        </w:tc>
        <w:tc>
          <w:tcPr>
            <w:tcW w:w="999" w:type="pct"/>
            <w:tcMar>
              <w:top w:w="60" w:type="dxa"/>
              <w:left w:w="80" w:type="dxa"/>
              <w:bottom w:w="60" w:type="dxa"/>
              <w:right w:w="80" w:type="dxa"/>
            </w:tcMar>
          </w:tcPr>
          <w:p w14:paraId="4568B865" w14:textId="77777777" w:rsidR="001474D1" w:rsidRDefault="00000000">
            <w:r>
              <w:rPr>
                <w:sz w:val="17"/>
                <w:szCs w:val="17"/>
              </w:rPr>
              <w:t>Tissue-level studies and narrative synthesis</w:t>
            </w:r>
          </w:p>
        </w:tc>
        <w:tc>
          <w:tcPr>
            <w:tcW w:w="899" w:type="pct"/>
            <w:tcMar>
              <w:top w:w="60" w:type="dxa"/>
              <w:left w:w="80" w:type="dxa"/>
              <w:bottom w:w="60" w:type="dxa"/>
              <w:right w:w="80" w:type="dxa"/>
            </w:tcMar>
          </w:tcPr>
          <w:p w14:paraId="5D76E2D7" w14:textId="77777777" w:rsidR="001474D1" w:rsidRDefault="00000000">
            <w:r>
              <w:rPr>
                <w:sz w:val="17"/>
                <w:szCs w:val="17"/>
              </w:rPr>
              <w:t>Moderate</w:t>
            </w:r>
          </w:p>
        </w:tc>
        <w:tc>
          <w:tcPr>
            <w:tcW w:w="814" w:type="pct"/>
            <w:tcMar>
              <w:top w:w="60" w:type="dxa"/>
              <w:left w:w="80" w:type="dxa"/>
              <w:bottom w:w="60" w:type="dxa"/>
              <w:right w:w="80" w:type="dxa"/>
            </w:tcMar>
          </w:tcPr>
          <w:p w14:paraId="34E93E61" w14:textId="77777777" w:rsidR="001474D1" w:rsidRDefault="00000000">
            <w:r>
              <w:rPr>
                <w:sz w:val="17"/>
                <w:szCs w:val="17"/>
              </w:rPr>
              <w:t xml:space="preserve">Contreras et al. (2017); </w:t>
            </w:r>
            <w:proofErr w:type="spellStart"/>
            <w:r>
              <w:rPr>
                <w:sz w:val="17"/>
                <w:szCs w:val="17"/>
              </w:rPr>
              <w:t>Zachut</w:t>
            </w:r>
            <w:proofErr w:type="spellEnd"/>
            <w:r>
              <w:rPr>
                <w:sz w:val="17"/>
                <w:szCs w:val="17"/>
              </w:rPr>
              <w:t xml:space="preserve"> and Contreras (2022)</w:t>
            </w:r>
          </w:p>
        </w:tc>
      </w:tr>
    </w:tbl>
    <w:p w14:paraId="019178FD" w14:textId="77777777" w:rsidR="001474D1" w:rsidRDefault="00000000">
      <w:pPr>
        <w:spacing w:before="80" w:after="240" w:line="260" w:lineRule="auto"/>
      </w:pPr>
      <w:r>
        <w:rPr>
          <w:i/>
          <w:iCs/>
          <w:sz w:val="17"/>
          <w:szCs w:val="17"/>
        </w:rPr>
        <w:t xml:space="preserve">Note. </w:t>
      </w:r>
      <w:r>
        <w:rPr>
          <w:sz w:val="17"/>
          <w:szCs w:val="17"/>
        </w:rPr>
        <w:t>Assessed strength reflects the consistency of findings across independent research groups, the adequacy of the designs generating them and the directness of the link between measurement and inference. Assessments are qualitative and were not derived from a formal grading instrument.</w:t>
      </w:r>
    </w:p>
    <w:p w14:paraId="44DB3948" w14:textId="77777777" w:rsidR="001474D1" w:rsidRDefault="00000000">
      <w:pPr>
        <w:pStyle w:val="Heading1"/>
        <w:spacing w:before="320" w:after="160" w:line="360" w:lineRule="auto"/>
      </w:pPr>
      <w:r>
        <w:rPr>
          <w:b/>
          <w:bCs/>
          <w:color w:val="000000"/>
          <w:sz w:val="26"/>
          <w:szCs w:val="26"/>
        </w:rPr>
        <w:t>4. Antioxidant Defence Architecture and Its Regulation</w:t>
      </w:r>
    </w:p>
    <w:p w14:paraId="293161EA" w14:textId="77777777" w:rsidR="001474D1" w:rsidRDefault="00000000">
      <w:pPr>
        <w:pStyle w:val="Heading2"/>
        <w:spacing w:before="240" w:after="120" w:line="360" w:lineRule="auto"/>
      </w:pPr>
      <w:r>
        <w:rPr>
          <w:b/>
          <w:bCs/>
          <w:color w:val="000000"/>
          <w:sz w:val="23"/>
          <w:szCs w:val="23"/>
        </w:rPr>
        <w:t>4.1 Enzymatic defences and their trace element dependence</w:t>
      </w:r>
    </w:p>
    <w:p w14:paraId="66861C61" w14:textId="77777777" w:rsidR="001474D1" w:rsidRDefault="00000000">
      <w:pPr>
        <w:spacing w:after="120" w:line="360" w:lineRule="auto"/>
        <w:jc w:val="both"/>
      </w:pPr>
      <w:r>
        <w:t xml:space="preserve">The enzymatic tier comprises superoxide </w:t>
      </w:r>
      <w:proofErr w:type="spellStart"/>
      <w:r>
        <w:t>dismutases</w:t>
      </w:r>
      <w:proofErr w:type="spellEnd"/>
      <w:r>
        <w:t xml:space="preserve">, which convert superoxide to hydrogen peroxide, catalase and the glutathione peroxidases, which reduce hydrogen peroxide and organic hydroperoxides, and the thioredoxin and peroxiredoxin systems, which maintain protein thiol redox state. Reported behaviour of these enzymes across the transition is inconsistent in a manner that has received insufficient critical attention. Several studies report increased superoxide dismutase activity before calving followed by decline, with lipid peroxidation markers remaining elevated afterwards </w:t>
      </w:r>
      <w:r>
        <w:lastRenderedPageBreak/>
        <w:t>(</w:t>
      </w:r>
      <w:proofErr w:type="spellStart"/>
      <w:r>
        <w:t>Bernabucci</w:t>
      </w:r>
      <w:proofErr w:type="spellEnd"/>
      <w:r>
        <w:t xml:space="preserve"> et al., 2005). Others report reductions in erythrocyte glutathione peroxidase activity around parturition (Castillo et al., 2005; </w:t>
      </w:r>
      <w:proofErr w:type="spellStart"/>
      <w:r>
        <w:t>Konvičná</w:t>
      </w:r>
      <w:proofErr w:type="spellEnd"/>
      <w:r>
        <w:t xml:space="preserve"> et al., 2015), and a study of Japanese herds found no significant change in plasma glutathione peroxidase or antioxidant potential in clinically healthy transition cows, with alterations confined to animals developing ketosis or displaced abomasum (Tsuchiya et al., 2020).</w:t>
      </w:r>
    </w:p>
    <w:p w14:paraId="41FBB54A" w14:textId="77777777" w:rsidR="001474D1" w:rsidRDefault="00000000">
      <w:pPr>
        <w:spacing w:after="120" w:line="360" w:lineRule="auto"/>
        <w:jc w:val="both"/>
      </w:pPr>
      <w:r>
        <w:t>These discrepancies admit several explanations that are rarely distinguished. Enzyme activity in erythrocytes reflects the selenium and copper status at the time of erythropoiesis rather than the current state of the animal, so erythrocyte and plasma measurements of the same enzyme carry different temporal meanings. Activity assays are sensitive to sample handling and to the substrate concentrations chosen. Selenium status of the herd, which determines the ceiling on glutathione peroxidase activity, is frequently unreported. Most importantly, an increase in enzyme activity may indicate either successful adaptive upregulation or consumption of reserve capacity, and the two interpretations imply opposite clinical conclusions; distinguishing them requires simultaneous measurement of substrate flux, which is almost never performed.</w:t>
      </w:r>
    </w:p>
    <w:p w14:paraId="7066C1FB" w14:textId="77777777" w:rsidR="001474D1" w:rsidRDefault="00000000">
      <w:pPr>
        <w:spacing w:after="120" w:line="360" w:lineRule="auto"/>
        <w:jc w:val="both"/>
      </w:pPr>
      <w:r>
        <w:t xml:space="preserve">Tissue-level evidence complicates the picture further. Aitken et al. (2009) examined antioxidant and proinflammatory gene expression in bovine mammary tissue across the periparturient interval and found that antioxidant defences, including glutathione peroxidase, were not consistently upregulated during the period of greatest systemic oxidative alteration, although </w:t>
      </w:r>
      <w:proofErr w:type="spellStart"/>
      <w:r>
        <w:t>heme</w:t>
      </w:r>
      <w:proofErr w:type="spellEnd"/>
      <w:r>
        <w:t xml:space="preserve"> oxygenase 1 abundance did change. If the mammary gland, the tissue undergoing the most dramatic functional transformation, does not mount a uniform antioxidant response, then the assumption that circulating enzyme activities represent a coordinated whole-body defence requires qualification.</w:t>
      </w:r>
    </w:p>
    <w:p w14:paraId="312C9BD1" w14:textId="77777777" w:rsidR="001474D1" w:rsidRDefault="00000000">
      <w:pPr>
        <w:pStyle w:val="Heading2"/>
        <w:spacing w:before="240" w:after="120" w:line="360" w:lineRule="auto"/>
      </w:pPr>
      <w:r>
        <w:rPr>
          <w:b/>
          <w:bCs/>
          <w:color w:val="000000"/>
          <w:sz w:val="23"/>
          <w:szCs w:val="23"/>
        </w:rPr>
        <w:t xml:space="preserve">4.2 </w:t>
      </w:r>
      <w:proofErr w:type="gramStart"/>
      <w:r>
        <w:rPr>
          <w:b/>
          <w:bCs/>
          <w:color w:val="000000"/>
          <w:sz w:val="23"/>
          <w:szCs w:val="23"/>
        </w:rPr>
        <w:t>Non-enzymatic</w:t>
      </w:r>
      <w:proofErr w:type="gramEnd"/>
      <w:r>
        <w:rPr>
          <w:b/>
          <w:bCs/>
          <w:color w:val="000000"/>
          <w:sz w:val="23"/>
          <w:szCs w:val="23"/>
        </w:rPr>
        <w:t xml:space="preserve"> and dietary defences</w:t>
      </w:r>
    </w:p>
    <w:p w14:paraId="17626E7B" w14:textId="77777777" w:rsidR="001474D1" w:rsidRDefault="00000000">
      <w:pPr>
        <w:spacing w:after="120" w:line="360" w:lineRule="auto"/>
        <w:jc w:val="both"/>
      </w:pPr>
      <w:r>
        <w:t>The non-enzymatic tier comprises glutathione and other low-molecular-weight thiols, alpha-tocopherol, retinol and its precursors, ascorbate, ubiquinol, urate, albumin thiols and dietary polyphenols. Their contributions differ in kind. Alpha-tocopherol acts principally as a chain-breaking antioxidant within membranes and lipoproteins and depends on regeneration by water-soluble reductants; plasma concentrations decline around parturition partly through transfer into colostrum. Glutathione occupies a central position as a substrate for glutathione peroxidase, a conjugating agent in detoxification and a determinant of protein thiol state, and its synthesis depends on cysteine availability, which in the ruminant is constrained by methionine supply (Coleman et al., 2020).</w:t>
      </w:r>
    </w:p>
    <w:p w14:paraId="36351816" w14:textId="77777777" w:rsidR="001474D1" w:rsidRDefault="00000000">
      <w:pPr>
        <w:spacing w:after="120" w:line="360" w:lineRule="auto"/>
        <w:jc w:val="both"/>
      </w:pPr>
      <w:r>
        <w:t xml:space="preserve">This dependence explains why amino acid nutrition has become a redox intervention. Supplementation with rumen-protected methionine during the </w:t>
      </w:r>
      <w:proofErr w:type="spellStart"/>
      <w:r>
        <w:t>peripartal</w:t>
      </w:r>
      <w:proofErr w:type="spellEnd"/>
      <w:r>
        <w:t xml:space="preserve"> period alters hepatic expression of gene networks in one-carbon metabolism, inflammation and oxidative stress (Osorio et al., 2014), improves biomarkers of oxidant status and neutrophil function (</w:t>
      </w:r>
      <w:proofErr w:type="spellStart"/>
      <w:r>
        <w:t>Batistel</w:t>
      </w:r>
      <w:proofErr w:type="spellEnd"/>
      <w:r>
        <w:t xml:space="preserve"> et al., 2018), and compares favourably with rumen-protected choline on composite </w:t>
      </w:r>
      <w:proofErr w:type="spellStart"/>
      <w:r>
        <w:t>immunometabolic</w:t>
      </w:r>
      <w:proofErr w:type="spellEnd"/>
      <w:r>
        <w:t xml:space="preserve"> indices (Zhou et al., 2016). Direct </w:t>
      </w:r>
      <w:r>
        <w:lastRenderedPageBreak/>
        <w:t>provision of rumen-protected glutathione has been reported to increase antioxidant capacity and reduce inflammatory markers in transition cows (Hao et al., 2025), although that study is recent, single-centre and not yet independently replicated.</w:t>
      </w:r>
    </w:p>
    <w:p w14:paraId="2DE9CEB2" w14:textId="77777777" w:rsidR="001474D1" w:rsidRDefault="00000000">
      <w:pPr>
        <w:spacing w:after="120" w:line="360" w:lineRule="auto"/>
        <w:jc w:val="both"/>
      </w:pPr>
      <w:r>
        <w:t>Vitamin D has emerged as a candidate modulator on the basis of an association between serum concentrations and antioxidant potential in periparturient cows, supported by in vitro evidence that vitamin D preserves endothelial barrier integrity during oxidative challenge (Strickland et al., 2021). The observational design of the animal component prevents causal inference, and the finding requires confirmation in a controlled supplementation trial before it can be treated as more than a hypothesis.</w:t>
      </w:r>
    </w:p>
    <w:p w14:paraId="7DAB602C" w14:textId="77777777" w:rsidR="001474D1" w:rsidRDefault="00000000">
      <w:pPr>
        <w:pStyle w:val="Heading2"/>
        <w:spacing w:before="240" w:after="120" w:line="360" w:lineRule="auto"/>
      </w:pPr>
      <w:r>
        <w:rPr>
          <w:b/>
          <w:bCs/>
          <w:color w:val="000000"/>
          <w:sz w:val="23"/>
          <w:szCs w:val="23"/>
        </w:rPr>
        <w:t xml:space="preserve">4.3 Transcriptional control through the </w:t>
      </w:r>
      <w:r>
        <w:rPr>
          <w:b/>
          <w:bCs/>
          <w:i/>
          <w:iCs/>
          <w:color w:val="000000"/>
          <w:sz w:val="23"/>
          <w:szCs w:val="23"/>
        </w:rPr>
        <w:t>NFE2L2</w:t>
      </w:r>
      <w:r>
        <w:rPr>
          <w:b/>
          <w:bCs/>
          <w:color w:val="000000"/>
          <w:sz w:val="23"/>
          <w:szCs w:val="23"/>
        </w:rPr>
        <w:t xml:space="preserve"> pathway</w:t>
      </w:r>
    </w:p>
    <w:p w14:paraId="32956C33" w14:textId="77777777" w:rsidR="001474D1" w:rsidRDefault="00000000">
      <w:pPr>
        <w:spacing w:after="120" w:line="360" w:lineRule="auto"/>
        <w:jc w:val="both"/>
      </w:pPr>
      <w:r>
        <w:t xml:space="preserve">Coordinated regulation of the cytoprotective response is mediated principally by nuclear factor erythroid 2-related factor 2, encoded by NFE2L2 and held under basal conditions in a complex with Kelch-like ECH-associated protein 1 that targets it for degradation. Oxidative or electrophilic modification of sensor cysteines releases the transcription factor, permitting nuclear translocation and induction of genes encoding glutathione-synthesising enzymes, glutathione peroxidases, thioredoxin reductases, </w:t>
      </w:r>
      <w:proofErr w:type="spellStart"/>
      <w:r>
        <w:t>heme</w:t>
      </w:r>
      <w:proofErr w:type="spellEnd"/>
      <w:r>
        <w:t xml:space="preserve"> oxygenase 1 and quinone oxidoreductase.</w:t>
      </w:r>
    </w:p>
    <w:p w14:paraId="2964AFE1" w14:textId="77777777" w:rsidR="001474D1" w:rsidRDefault="00000000">
      <w:pPr>
        <w:spacing w:after="120" w:line="360" w:lineRule="auto"/>
        <w:jc w:val="both"/>
      </w:pPr>
      <w:r>
        <w:t>Gessner et al. (2013) demonstrated that transcripts of NFE2L2 target genes in the liver of dairy cows are elevated in the transition period relative to later lactation, establishing that the pathway is activated in vivo during the interval of greatest metabolic demand. This observation is more informative than it initially appears, because it indicates that the antioxidant response is engaged rather than absent. The persistence of oxidative alteration despite pathway activation implies either that the response is quantitatively insufficient, that it is temporally lagged relative to the oxidant challenge, or that its induction is itself a marker of the challenge rather than an effective countermeasure. The available evidence does not discriminate among these possibilities.</w:t>
      </w:r>
    </w:p>
    <w:p w14:paraId="16BC0BEE" w14:textId="77777777" w:rsidR="001474D1" w:rsidRDefault="00000000">
      <w:pPr>
        <w:spacing w:after="120" w:line="360" w:lineRule="auto"/>
        <w:jc w:val="both"/>
      </w:pPr>
      <w:r>
        <w:t xml:space="preserve">Experimental manipulation has been pursued mainly in vitro. Ford and </w:t>
      </w:r>
      <w:proofErr w:type="spellStart"/>
      <w:r>
        <w:t>Bionaz</w:t>
      </w:r>
      <w:proofErr w:type="spellEnd"/>
      <w:r>
        <w:t xml:space="preserve"> (2024) applied a pathway activator and an inhibitor to immortalised bovine mammary alveolar cells and characterised transcriptomic responses, confirming that the pathway is functional and pharmacologically tractable in bovine mammary cells while also demonstrating extensive off-target transcriptional effects that complicate interpretation of activator studies. A flavonoid glycoside has been reported to attenuate hydrogen peroxide-induced oxidative, inflammatory and endoplasmic reticulum stress responses in bovine mammary epithelial cells through adenosine monophosphate-activated protein kinase and NFE2L2 signalling (H. Ding et al., 2025). Such studies establish mechanistic tractability, not therapeutic efficacy; the concentrations of oxidant challenge and of test compound applied to cultured cells bear no established relationship to conditions achievable in the mammary gland of a supplemented cow.</w:t>
      </w:r>
    </w:p>
    <w:p w14:paraId="47225DFC" w14:textId="77777777" w:rsidR="001474D1" w:rsidRDefault="00000000">
      <w:pPr>
        <w:spacing w:after="120" w:line="360" w:lineRule="auto"/>
        <w:jc w:val="both"/>
      </w:pPr>
      <w:r>
        <w:lastRenderedPageBreak/>
        <w:t xml:space="preserve">Dietary activation of the pathway has been examined most extensively with polyphenol-rich by-products. Feeding grape seed and grape marc meal extract, derived from Vitis vinifera L., to early-lactation cows altered hepatic expression of genes related to endoplasmic reticulum stress and inflammation and improved milk performance (Gessner et al., 2015), and subsequent hepatic transcriptomic and plasma lipidomic analysis in the same experimental tradition identified coordinated changes consistent with attenuated cellular stress (Gessner, Winkler, et al., 2017). The mechanistic rationale for polyphenols in farm animal nutrition has been set out in detail (Gessner, </w:t>
      </w:r>
      <w:proofErr w:type="spellStart"/>
      <w:r>
        <w:t>Ringseis</w:t>
      </w:r>
      <w:proofErr w:type="spellEnd"/>
      <w:r>
        <w:t>, &amp; Eder, 2017). Interpretation is constrained by the compositional variability of plant by-products, by the limited characterisation of the specific compounds reaching the liver after ruminal metabolism, and by the difficulty of separating antioxidant effects from effects on rumen fermentation and nutrient supply.</w:t>
      </w:r>
    </w:p>
    <w:p w14:paraId="0C7C730D" w14:textId="77777777" w:rsidR="001474D1" w:rsidRDefault="00000000">
      <w:pPr>
        <w:spacing w:after="120" w:line="360" w:lineRule="auto"/>
        <w:jc w:val="both"/>
      </w:pPr>
      <w:r>
        <w:t xml:space="preserve">Table 2 compares the principal tiers of antioxidant defence with respect to their regulation, their measurability in the live animal and the quality of evidence supporting their manipulation in transition cows. The comparison indicates an inverse relationship between mechanistic understanding and practical measurability: the transcriptional tier is the best characterised mechanistically but cannot be assessed without tissue biopsy, whereas the plasma non-enzymatic tier is readily measured but its concentrations respond to dilution, </w:t>
      </w:r>
      <w:proofErr w:type="spellStart"/>
      <w:r>
        <w:t>colostral</w:t>
      </w:r>
      <w:proofErr w:type="spellEnd"/>
      <w:r>
        <w:t xml:space="preserve"> transfer and acute-phase protein shifts that have nothing to do with defence capacity.</w:t>
      </w:r>
    </w:p>
    <w:p w14:paraId="1D567FC8" w14:textId="77777777" w:rsidR="001474D1" w:rsidRDefault="00000000">
      <w:pPr>
        <w:spacing w:before="240" w:after="100" w:line="300" w:lineRule="auto"/>
      </w:pPr>
      <w:r>
        <w:rPr>
          <w:b/>
          <w:bCs/>
          <w:sz w:val="21"/>
          <w:szCs w:val="21"/>
        </w:rPr>
        <w:t>Table 2. Tiers of antioxidant defence in the transition dairy cow: regulation, measurability and evidence for manipulation</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575"/>
        <w:gridCol w:w="1606"/>
        <w:gridCol w:w="1613"/>
        <w:gridCol w:w="1550"/>
        <w:gridCol w:w="1725"/>
        <w:gridCol w:w="1291"/>
      </w:tblGrid>
      <w:tr w:rsidR="001474D1" w14:paraId="69696484" w14:textId="77777777">
        <w:trPr>
          <w:tblHeader/>
        </w:trPr>
        <w:tc>
          <w:tcPr>
            <w:tcW w:w="0" w:type="dxa"/>
            <w:shd w:val="clear" w:color="auto" w:fill="EAEAEA"/>
            <w:tcMar>
              <w:top w:w="60" w:type="dxa"/>
              <w:left w:w="80" w:type="dxa"/>
              <w:bottom w:w="60" w:type="dxa"/>
              <w:right w:w="80" w:type="dxa"/>
            </w:tcMar>
          </w:tcPr>
          <w:p w14:paraId="1A70EF21" w14:textId="77777777" w:rsidR="001474D1" w:rsidRDefault="00000000">
            <w:r>
              <w:rPr>
                <w:b/>
                <w:bCs/>
                <w:sz w:val="17"/>
                <w:szCs w:val="17"/>
              </w:rPr>
              <w:t>Defence tier</w:t>
            </w:r>
          </w:p>
        </w:tc>
        <w:tc>
          <w:tcPr>
            <w:tcW w:w="0" w:type="dxa"/>
            <w:shd w:val="clear" w:color="auto" w:fill="EAEAEA"/>
            <w:tcMar>
              <w:top w:w="60" w:type="dxa"/>
              <w:left w:w="80" w:type="dxa"/>
              <w:bottom w:w="60" w:type="dxa"/>
              <w:right w:w="80" w:type="dxa"/>
            </w:tcMar>
          </w:tcPr>
          <w:p w14:paraId="799285CC" w14:textId="77777777" w:rsidR="001474D1" w:rsidRDefault="00000000">
            <w:r>
              <w:rPr>
                <w:b/>
                <w:bCs/>
                <w:sz w:val="17"/>
                <w:szCs w:val="17"/>
              </w:rPr>
              <w:t>Principal components</w:t>
            </w:r>
          </w:p>
        </w:tc>
        <w:tc>
          <w:tcPr>
            <w:tcW w:w="0" w:type="dxa"/>
            <w:shd w:val="clear" w:color="auto" w:fill="EAEAEA"/>
            <w:tcMar>
              <w:top w:w="60" w:type="dxa"/>
              <w:left w:w="80" w:type="dxa"/>
              <w:bottom w:w="60" w:type="dxa"/>
              <w:right w:w="80" w:type="dxa"/>
            </w:tcMar>
          </w:tcPr>
          <w:p w14:paraId="0523E7E3" w14:textId="77777777" w:rsidR="001474D1" w:rsidRDefault="00000000">
            <w:r>
              <w:rPr>
                <w:b/>
                <w:bCs/>
                <w:sz w:val="17"/>
                <w:szCs w:val="17"/>
              </w:rPr>
              <w:t>Regulation and dependencies</w:t>
            </w:r>
          </w:p>
        </w:tc>
        <w:tc>
          <w:tcPr>
            <w:tcW w:w="0" w:type="dxa"/>
            <w:shd w:val="clear" w:color="auto" w:fill="EAEAEA"/>
            <w:tcMar>
              <w:top w:w="60" w:type="dxa"/>
              <w:left w:w="80" w:type="dxa"/>
              <w:bottom w:w="60" w:type="dxa"/>
              <w:right w:w="80" w:type="dxa"/>
            </w:tcMar>
          </w:tcPr>
          <w:p w14:paraId="4D839DD8" w14:textId="77777777" w:rsidR="001474D1" w:rsidRDefault="00000000">
            <w:r>
              <w:rPr>
                <w:b/>
                <w:bCs/>
                <w:sz w:val="17"/>
                <w:szCs w:val="17"/>
              </w:rPr>
              <w:t>Measurability in the live animal</w:t>
            </w:r>
          </w:p>
        </w:tc>
        <w:tc>
          <w:tcPr>
            <w:tcW w:w="0" w:type="dxa"/>
            <w:shd w:val="clear" w:color="auto" w:fill="EAEAEA"/>
            <w:tcMar>
              <w:top w:w="60" w:type="dxa"/>
              <w:left w:w="80" w:type="dxa"/>
              <w:bottom w:w="60" w:type="dxa"/>
              <w:right w:w="80" w:type="dxa"/>
            </w:tcMar>
          </w:tcPr>
          <w:p w14:paraId="4D4B5204" w14:textId="77777777" w:rsidR="001474D1" w:rsidRDefault="00000000">
            <w:r>
              <w:rPr>
                <w:b/>
                <w:bCs/>
                <w:sz w:val="17"/>
                <w:szCs w:val="17"/>
              </w:rPr>
              <w:t>Evidence for successful manipulation</w:t>
            </w:r>
          </w:p>
        </w:tc>
        <w:tc>
          <w:tcPr>
            <w:tcW w:w="0" w:type="dxa"/>
            <w:shd w:val="clear" w:color="auto" w:fill="EAEAEA"/>
            <w:tcMar>
              <w:top w:w="60" w:type="dxa"/>
              <w:left w:w="80" w:type="dxa"/>
              <w:bottom w:w="60" w:type="dxa"/>
              <w:right w:w="80" w:type="dxa"/>
            </w:tcMar>
          </w:tcPr>
          <w:p w14:paraId="5D964888" w14:textId="77777777" w:rsidR="001474D1" w:rsidRDefault="00000000">
            <w:r>
              <w:rPr>
                <w:b/>
                <w:bCs/>
                <w:sz w:val="17"/>
                <w:szCs w:val="17"/>
              </w:rPr>
              <w:t>Supporting references</w:t>
            </w:r>
          </w:p>
        </w:tc>
      </w:tr>
      <w:tr w:rsidR="001474D1" w14:paraId="56FD0C4A" w14:textId="77777777">
        <w:tc>
          <w:tcPr>
            <w:tcW w:w="0" w:type="dxa"/>
            <w:tcMar>
              <w:top w:w="60" w:type="dxa"/>
              <w:left w:w="80" w:type="dxa"/>
              <w:bottom w:w="60" w:type="dxa"/>
              <w:right w:w="80" w:type="dxa"/>
            </w:tcMar>
          </w:tcPr>
          <w:p w14:paraId="0B42175D" w14:textId="77777777" w:rsidR="001474D1" w:rsidRDefault="00000000">
            <w:r>
              <w:rPr>
                <w:sz w:val="17"/>
                <w:szCs w:val="17"/>
              </w:rPr>
              <w:t>Primary enzymatic</w:t>
            </w:r>
          </w:p>
        </w:tc>
        <w:tc>
          <w:tcPr>
            <w:tcW w:w="0" w:type="dxa"/>
            <w:tcMar>
              <w:top w:w="60" w:type="dxa"/>
              <w:left w:w="80" w:type="dxa"/>
              <w:bottom w:w="60" w:type="dxa"/>
              <w:right w:w="80" w:type="dxa"/>
            </w:tcMar>
          </w:tcPr>
          <w:p w14:paraId="0187047C" w14:textId="77777777" w:rsidR="001474D1" w:rsidRDefault="00000000">
            <w:r>
              <w:rPr>
                <w:sz w:val="17"/>
                <w:szCs w:val="17"/>
              </w:rPr>
              <w:t xml:space="preserve">Superoxide </w:t>
            </w:r>
            <w:proofErr w:type="spellStart"/>
            <w:r>
              <w:rPr>
                <w:sz w:val="17"/>
                <w:szCs w:val="17"/>
              </w:rPr>
              <w:t>dismutases</w:t>
            </w:r>
            <w:proofErr w:type="spellEnd"/>
            <w:r>
              <w:rPr>
                <w:sz w:val="17"/>
                <w:szCs w:val="17"/>
              </w:rPr>
              <w:t>, catalase, glutathione peroxidases</w:t>
            </w:r>
          </w:p>
        </w:tc>
        <w:tc>
          <w:tcPr>
            <w:tcW w:w="0" w:type="dxa"/>
            <w:tcMar>
              <w:top w:w="60" w:type="dxa"/>
              <w:left w:w="80" w:type="dxa"/>
              <w:bottom w:w="60" w:type="dxa"/>
              <w:right w:w="80" w:type="dxa"/>
            </w:tcMar>
          </w:tcPr>
          <w:p w14:paraId="33C3B747" w14:textId="77777777" w:rsidR="001474D1" w:rsidRDefault="00000000">
            <w:r>
              <w:rPr>
                <w:sz w:val="17"/>
                <w:szCs w:val="17"/>
              </w:rPr>
              <w:t>Trace element dependent, notably on selenium, copper, zinc and manganese; erythrocyte activity reflects status at erythropoiesis</w:t>
            </w:r>
          </w:p>
        </w:tc>
        <w:tc>
          <w:tcPr>
            <w:tcW w:w="0" w:type="dxa"/>
            <w:tcMar>
              <w:top w:w="60" w:type="dxa"/>
              <w:left w:w="80" w:type="dxa"/>
              <w:bottom w:w="60" w:type="dxa"/>
              <w:right w:w="80" w:type="dxa"/>
            </w:tcMar>
          </w:tcPr>
          <w:p w14:paraId="765AFB67" w14:textId="77777777" w:rsidR="001474D1" w:rsidRDefault="00000000">
            <w:r>
              <w:rPr>
                <w:sz w:val="17"/>
                <w:szCs w:val="17"/>
              </w:rPr>
              <w:t>Routine, but interpretation confounded by sample matrix and timing</w:t>
            </w:r>
          </w:p>
        </w:tc>
        <w:tc>
          <w:tcPr>
            <w:tcW w:w="0" w:type="dxa"/>
            <w:tcMar>
              <w:top w:w="60" w:type="dxa"/>
              <w:left w:w="80" w:type="dxa"/>
              <w:bottom w:w="60" w:type="dxa"/>
              <w:right w:w="80" w:type="dxa"/>
            </w:tcMar>
          </w:tcPr>
          <w:p w14:paraId="1B6B973E" w14:textId="77777777" w:rsidR="001474D1" w:rsidRDefault="00000000">
            <w:r>
              <w:rPr>
                <w:sz w:val="17"/>
                <w:szCs w:val="17"/>
              </w:rPr>
              <w:t>Selenium supply raises glutathione peroxidase activity where status is marginal; effects on clinical outcomes inconsistent</w:t>
            </w:r>
          </w:p>
        </w:tc>
        <w:tc>
          <w:tcPr>
            <w:tcW w:w="0" w:type="dxa"/>
            <w:tcMar>
              <w:top w:w="60" w:type="dxa"/>
              <w:left w:w="80" w:type="dxa"/>
              <w:bottom w:w="60" w:type="dxa"/>
              <w:right w:w="80" w:type="dxa"/>
            </w:tcMar>
          </w:tcPr>
          <w:p w14:paraId="0995E84A" w14:textId="77777777" w:rsidR="001474D1" w:rsidRDefault="00000000">
            <w:r>
              <w:rPr>
                <w:sz w:val="17"/>
                <w:szCs w:val="17"/>
              </w:rPr>
              <w:t xml:space="preserve">Castillo et al. (2005); Gong and Xiao (2018); </w:t>
            </w:r>
            <w:proofErr w:type="spellStart"/>
            <w:r>
              <w:rPr>
                <w:sz w:val="17"/>
                <w:szCs w:val="17"/>
              </w:rPr>
              <w:t>Konvičná</w:t>
            </w:r>
            <w:proofErr w:type="spellEnd"/>
            <w:r>
              <w:rPr>
                <w:sz w:val="17"/>
                <w:szCs w:val="17"/>
              </w:rPr>
              <w:t xml:space="preserve"> et al. (2015); Spears and Weiss (2008); Sun et al. (2017)</w:t>
            </w:r>
          </w:p>
        </w:tc>
      </w:tr>
      <w:tr w:rsidR="001474D1" w14:paraId="3F6A3C0D" w14:textId="77777777">
        <w:tc>
          <w:tcPr>
            <w:tcW w:w="0" w:type="dxa"/>
            <w:tcMar>
              <w:top w:w="60" w:type="dxa"/>
              <w:left w:w="80" w:type="dxa"/>
              <w:bottom w:w="60" w:type="dxa"/>
              <w:right w:w="80" w:type="dxa"/>
            </w:tcMar>
          </w:tcPr>
          <w:p w14:paraId="44CD4F92" w14:textId="77777777" w:rsidR="001474D1" w:rsidRDefault="00000000">
            <w:r>
              <w:rPr>
                <w:sz w:val="17"/>
                <w:szCs w:val="17"/>
              </w:rPr>
              <w:t>Thiol and redox couple</w:t>
            </w:r>
          </w:p>
        </w:tc>
        <w:tc>
          <w:tcPr>
            <w:tcW w:w="0" w:type="dxa"/>
            <w:tcMar>
              <w:top w:w="60" w:type="dxa"/>
              <w:left w:w="80" w:type="dxa"/>
              <w:bottom w:w="60" w:type="dxa"/>
              <w:right w:w="80" w:type="dxa"/>
            </w:tcMar>
          </w:tcPr>
          <w:p w14:paraId="137261F8" w14:textId="77777777" w:rsidR="001474D1" w:rsidRDefault="00000000">
            <w:r>
              <w:rPr>
                <w:sz w:val="17"/>
                <w:szCs w:val="17"/>
              </w:rPr>
              <w:t>Glutathione, thioredoxin, peroxiredoxins, protein thiols</w:t>
            </w:r>
          </w:p>
        </w:tc>
        <w:tc>
          <w:tcPr>
            <w:tcW w:w="0" w:type="dxa"/>
            <w:tcMar>
              <w:top w:w="60" w:type="dxa"/>
              <w:left w:w="80" w:type="dxa"/>
              <w:bottom w:w="60" w:type="dxa"/>
              <w:right w:w="80" w:type="dxa"/>
            </w:tcMar>
          </w:tcPr>
          <w:p w14:paraId="262516FA" w14:textId="77777777" w:rsidR="001474D1" w:rsidRDefault="00000000">
            <w:r>
              <w:rPr>
                <w:sz w:val="17"/>
                <w:szCs w:val="17"/>
              </w:rPr>
              <w:t>Constrained by cysteine availability and therefore by methionine supply</w:t>
            </w:r>
          </w:p>
        </w:tc>
        <w:tc>
          <w:tcPr>
            <w:tcW w:w="0" w:type="dxa"/>
            <w:tcMar>
              <w:top w:w="60" w:type="dxa"/>
              <w:left w:w="80" w:type="dxa"/>
              <w:bottom w:w="60" w:type="dxa"/>
              <w:right w:w="80" w:type="dxa"/>
            </w:tcMar>
          </w:tcPr>
          <w:p w14:paraId="77EF2AEA" w14:textId="77777777" w:rsidR="001474D1" w:rsidRDefault="00000000">
            <w:r>
              <w:rPr>
                <w:sz w:val="17"/>
                <w:szCs w:val="17"/>
              </w:rPr>
              <w:t>Limited; whole-blood glutathione is unstable and rarely reported</w:t>
            </w:r>
          </w:p>
        </w:tc>
        <w:tc>
          <w:tcPr>
            <w:tcW w:w="0" w:type="dxa"/>
            <w:tcMar>
              <w:top w:w="60" w:type="dxa"/>
              <w:left w:w="80" w:type="dxa"/>
              <w:bottom w:w="60" w:type="dxa"/>
              <w:right w:w="80" w:type="dxa"/>
            </w:tcMar>
          </w:tcPr>
          <w:p w14:paraId="2D4E58C2" w14:textId="77777777" w:rsidR="001474D1" w:rsidRDefault="00000000">
            <w:r>
              <w:rPr>
                <w:sz w:val="17"/>
                <w:szCs w:val="17"/>
              </w:rPr>
              <w:t>Rumen-protected methionine improves oxidant status indices; direct glutathione provision reported in a single trial</w:t>
            </w:r>
          </w:p>
        </w:tc>
        <w:tc>
          <w:tcPr>
            <w:tcW w:w="0" w:type="dxa"/>
            <w:tcMar>
              <w:top w:w="60" w:type="dxa"/>
              <w:left w:w="80" w:type="dxa"/>
              <w:bottom w:w="60" w:type="dxa"/>
              <w:right w:w="80" w:type="dxa"/>
            </w:tcMar>
          </w:tcPr>
          <w:p w14:paraId="31AFC6CC" w14:textId="77777777" w:rsidR="001474D1" w:rsidRDefault="00000000">
            <w:proofErr w:type="spellStart"/>
            <w:r>
              <w:rPr>
                <w:sz w:val="17"/>
                <w:szCs w:val="17"/>
              </w:rPr>
              <w:t>Batistel</w:t>
            </w:r>
            <w:proofErr w:type="spellEnd"/>
            <w:r>
              <w:rPr>
                <w:sz w:val="17"/>
                <w:szCs w:val="17"/>
              </w:rPr>
              <w:t xml:space="preserve"> et al. (2018); Coleman et al. (2020); Hao et al. (2025); Osorio et al. (2014); Zhou et al. (2016)</w:t>
            </w:r>
          </w:p>
        </w:tc>
      </w:tr>
      <w:tr w:rsidR="001474D1" w14:paraId="467D0705" w14:textId="77777777">
        <w:tc>
          <w:tcPr>
            <w:tcW w:w="0" w:type="dxa"/>
            <w:tcMar>
              <w:top w:w="60" w:type="dxa"/>
              <w:left w:w="80" w:type="dxa"/>
              <w:bottom w:w="60" w:type="dxa"/>
              <w:right w:w="80" w:type="dxa"/>
            </w:tcMar>
          </w:tcPr>
          <w:p w14:paraId="698EA48C" w14:textId="77777777" w:rsidR="001474D1" w:rsidRDefault="00000000">
            <w:r>
              <w:rPr>
                <w:sz w:val="17"/>
                <w:szCs w:val="17"/>
              </w:rPr>
              <w:t>Lipophilic non-enzymatic</w:t>
            </w:r>
          </w:p>
        </w:tc>
        <w:tc>
          <w:tcPr>
            <w:tcW w:w="0" w:type="dxa"/>
            <w:tcMar>
              <w:top w:w="60" w:type="dxa"/>
              <w:left w:w="80" w:type="dxa"/>
              <w:bottom w:w="60" w:type="dxa"/>
              <w:right w:w="80" w:type="dxa"/>
            </w:tcMar>
          </w:tcPr>
          <w:p w14:paraId="204B894B" w14:textId="77777777" w:rsidR="001474D1" w:rsidRDefault="00000000">
            <w:r>
              <w:rPr>
                <w:sz w:val="17"/>
                <w:szCs w:val="17"/>
              </w:rPr>
              <w:t>Alpha-tocopherol, retinol, beta-carotene</w:t>
            </w:r>
          </w:p>
        </w:tc>
        <w:tc>
          <w:tcPr>
            <w:tcW w:w="0" w:type="dxa"/>
            <w:tcMar>
              <w:top w:w="60" w:type="dxa"/>
              <w:left w:w="80" w:type="dxa"/>
              <w:bottom w:w="60" w:type="dxa"/>
              <w:right w:w="80" w:type="dxa"/>
            </w:tcMar>
          </w:tcPr>
          <w:p w14:paraId="0CDED472" w14:textId="77777777" w:rsidR="001474D1" w:rsidRDefault="00000000">
            <w:r>
              <w:rPr>
                <w:sz w:val="17"/>
                <w:szCs w:val="17"/>
              </w:rPr>
              <w:t xml:space="preserve">Dietary supply, hepatic export and </w:t>
            </w:r>
            <w:proofErr w:type="spellStart"/>
            <w:r>
              <w:rPr>
                <w:sz w:val="17"/>
                <w:szCs w:val="17"/>
              </w:rPr>
              <w:t>colostral</w:t>
            </w:r>
            <w:proofErr w:type="spellEnd"/>
            <w:r>
              <w:rPr>
                <w:sz w:val="17"/>
                <w:szCs w:val="17"/>
              </w:rPr>
              <w:t xml:space="preserve"> transfer</w:t>
            </w:r>
          </w:p>
        </w:tc>
        <w:tc>
          <w:tcPr>
            <w:tcW w:w="0" w:type="dxa"/>
            <w:tcMar>
              <w:top w:w="60" w:type="dxa"/>
              <w:left w:w="80" w:type="dxa"/>
              <w:bottom w:w="60" w:type="dxa"/>
              <w:right w:w="80" w:type="dxa"/>
            </w:tcMar>
          </w:tcPr>
          <w:p w14:paraId="5B88D6DB" w14:textId="77777777" w:rsidR="001474D1" w:rsidRDefault="00000000">
            <w:r>
              <w:rPr>
                <w:sz w:val="17"/>
                <w:szCs w:val="17"/>
              </w:rPr>
              <w:t>Routine, but concentrations affected by lipoprotein status</w:t>
            </w:r>
          </w:p>
        </w:tc>
        <w:tc>
          <w:tcPr>
            <w:tcW w:w="0" w:type="dxa"/>
            <w:tcMar>
              <w:top w:w="60" w:type="dxa"/>
              <w:left w:w="80" w:type="dxa"/>
              <w:bottom w:w="60" w:type="dxa"/>
              <w:right w:w="80" w:type="dxa"/>
            </w:tcMar>
          </w:tcPr>
          <w:p w14:paraId="2BA7674D" w14:textId="77777777" w:rsidR="001474D1" w:rsidRDefault="00000000">
            <w:r>
              <w:rPr>
                <w:sz w:val="17"/>
                <w:szCs w:val="17"/>
              </w:rPr>
              <w:t>Supplementation raises serum concentrations reliably; clinical benefit contingent on baseline adequacy</w:t>
            </w:r>
          </w:p>
        </w:tc>
        <w:tc>
          <w:tcPr>
            <w:tcW w:w="0" w:type="dxa"/>
            <w:tcMar>
              <w:top w:w="60" w:type="dxa"/>
              <w:left w:w="80" w:type="dxa"/>
              <w:bottom w:w="60" w:type="dxa"/>
              <w:right w:w="80" w:type="dxa"/>
            </w:tcMar>
          </w:tcPr>
          <w:p w14:paraId="5032C359" w14:textId="77777777" w:rsidR="001474D1" w:rsidRDefault="00000000">
            <w:proofErr w:type="spellStart"/>
            <w:r>
              <w:rPr>
                <w:sz w:val="17"/>
                <w:szCs w:val="17"/>
              </w:rPr>
              <w:t>Bouwstra</w:t>
            </w:r>
            <w:proofErr w:type="spellEnd"/>
            <w:r>
              <w:rPr>
                <w:sz w:val="17"/>
                <w:szCs w:val="17"/>
              </w:rPr>
              <w:t>, Nielen, Stegeman, et al. (2010); Moghimi-</w:t>
            </w:r>
            <w:proofErr w:type="spellStart"/>
            <w:r>
              <w:rPr>
                <w:sz w:val="17"/>
                <w:szCs w:val="17"/>
              </w:rPr>
              <w:t>Kandelousi</w:t>
            </w:r>
            <w:proofErr w:type="spellEnd"/>
            <w:r>
              <w:rPr>
                <w:sz w:val="17"/>
                <w:szCs w:val="17"/>
              </w:rPr>
              <w:t xml:space="preserve"> et al. (2020); Weiss et al. (1997)</w:t>
            </w:r>
          </w:p>
        </w:tc>
      </w:tr>
      <w:tr w:rsidR="001474D1" w14:paraId="4348FE3E" w14:textId="77777777">
        <w:tc>
          <w:tcPr>
            <w:tcW w:w="0" w:type="dxa"/>
            <w:tcMar>
              <w:top w:w="60" w:type="dxa"/>
              <w:left w:w="80" w:type="dxa"/>
              <w:bottom w:w="60" w:type="dxa"/>
              <w:right w:w="80" w:type="dxa"/>
            </w:tcMar>
          </w:tcPr>
          <w:p w14:paraId="458334EA" w14:textId="77777777" w:rsidR="001474D1" w:rsidRDefault="00000000">
            <w:r>
              <w:rPr>
                <w:sz w:val="17"/>
                <w:szCs w:val="17"/>
              </w:rPr>
              <w:lastRenderedPageBreak/>
              <w:t>Endocrine modulator</w:t>
            </w:r>
          </w:p>
        </w:tc>
        <w:tc>
          <w:tcPr>
            <w:tcW w:w="0" w:type="dxa"/>
            <w:tcMar>
              <w:top w:w="60" w:type="dxa"/>
              <w:left w:w="80" w:type="dxa"/>
              <w:bottom w:w="60" w:type="dxa"/>
              <w:right w:w="80" w:type="dxa"/>
            </w:tcMar>
          </w:tcPr>
          <w:p w14:paraId="5591D6A3" w14:textId="77777777" w:rsidR="001474D1" w:rsidRDefault="00000000">
            <w:r>
              <w:rPr>
                <w:sz w:val="17"/>
                <w:szCs w:val="17"/>
              </w:rPr>
              <w:t>Vitamin D metabolites</w:t>
            </w:r>
          </w:p>
        </w:tc>
        <w:tc>
          <w:tcPr>
            <w:tcW w:w="0" w:type="dxa"/>
            <w:tcMar>
              <w:top w:w="60" w:type="dxa"/>
              <w:left w:w="80" w:type="dxa"/>
              <w:bottom w:w="60" w:type="dxa"/>
              <w:right w:w="80" w:type="dxa"/>
            </w:tcMar>
          </w:tcPr>
          <w:p w14:paraId="56E41F0E" w14:textId="77777777" w:rsidR="001474D1" w:rsidRDefault="00000000">
            <w:r>
              <w:rPr>
                <w:sz w:val="17"/>
                <w:szCs w:val="17"/>
              </w:rPr>
              <w:t>Dietary supply, photobiological synthesis and renal hydroxylation</w:t>
            </w:r>
          </w:p>
        </w:tc>
        <w:tc>
          <w:tcPr>
            <w:tcW w:w="0" w:type="dxa"/>
            <w:tcMar>
              <w:top w:w="60" w:type="dxa"/>
              <w:left w:w="80" w:type="dxa"/>
              <w:bottom w:w="60" w:type="dxa"/>
              <w:right w:w="80" w:type="dxa"/>
            </w:tcMar>
          </w:tcPr>
          <w:p w14:paraId="08882EE3" w14:textId="77777777" w:rsidR="001474D1" w:rsidRDefault="00000000">
            <w:r>
              <w:rPr>
                <w:sz w:val="17"/>
                <w:szCs w:val="17"/>
              </w:rPr>
              <w:t>Routine</w:t>
            </w:r>
          </w:p>
        </w:tc>
        <w:tc>
          <w:tcPr>
            <w:tcW w:w="0" w:type="dxa"/>
            <w:tcMar>
              <w:top w:w="60" w:type="dxa"/>
              <w:left w:w="80" w:type="dxa"/>
              <w:bottom w:w="60" w:type="dxa"/>
              <w:right w:w="80" w:type="dxa"/>
            </w:tcMar>
          </w:tcPr>
          <w:p w14:paraId="6B7B62EC" w14:textId="77777777" w:rsidR="001474D1" w:rsidRDefault="00000000">
            <w:r>
              <w:rPr>
                <w:sz w:val="17"/>
                <w:szCs w:val="17"/>
              </w:rPr>
              <w:t>Association with antioxidant potential reported; no controlled trial of redox endpoints identified</w:t>
            </w:r>
          </w:p>
        </w:tc>
        <w:tc>
          <w:tcPr>
            <w:tcW w:w="0" w:type="dxa"/>
            <w:tcMar>
              <w:top w:w="60" w:type="dxa"/>
              <w:left w:w="80" w:type="dxa"/>
              <w:bottom w:w="60" w:type="dxa"/>
              <w:right w:w="80" w:type="dxa"/>
            </w:tcMar>
          </w:tcPr>
          <w:p w14:paraId="778EFB3B" w14:textId="77777777" w:rsidR="001474D1" w:rsidRDefault="00000000">
            <w:r>
              <w:rPr>
                <w:sz w:val="17"/>
                <w:szCs w:val="17"/>
              </w:rPr>
              <w:t>Strickland et al. (2021)</w:t>
            </w:r>
          </w:p>
        </w:tc>
      </w:tr>
      <w:tr w:rsidR="001474D1" w14:paraId="7BFF6EBE" w14:textId="77777777">
        <w:tc>
          <w:tcPr>
            <w:tcW w:w="0" w:type="dxa"/>
            <w:tcMar>
              <w:top w:w="60" w:type="dxa"/>
              <w:left w:w="80" w:type="dxa"/>
              <w:bottom w:w="60" w:type="dxa"/>
              <w:right w:w="80" w:type="dxa"/>
            </w:tcMar>
          </w:tcPr>
          <w:p w14:paraId="624E7B72" w14:textId="77777777" w:rsidR="001474D1" w:rsidRDefault="00000000">
            <w:r>
              <w:rPr>
                <w:sz w:val="17"/>
                <w:szCs w:val="17"/>
              </w:rPr>
              <w:t>Transcriptional</w:t>
            </w:r>
          </w:p>
        </w:tc>
        <w:tc>
          <w:tcPr>
            <w:tcW w:w="0" w:type="dxa"/>
            <w:tcMar>
              <w:top w:w="60" w:type="dxa"/>
              <w:left w:w="80" w:type="dxa"/>
              <w:bottom w:w="60" w:type="dxa"/>
              <w:right w:w="80" w:type="dxa"/>
            </w:tcMar>
          </w:tcPr>
          <w:p w14:paraId="77E2A5F8" w14:textId="77777777" w:rsidR="001474D1" w:rsidRDefault="00000000">
            <w:r>
              <w:rPr>
                <w:i/>
                <w:iCs/>
                <w:sz w:val="17"/>
                <w:szCs w:val="17"/>
              </w:rPr>
              <w:t>NFE2L2</w:t>
            </w:r>
            <w:r>
              <w:rPr>
                <w:sz w:val="17"/>
                <w:szCs w:val="17"/>
              </w:rPr>
              <w:t xml:space="preserve"> target gene battery including glutathione peroxidases, thioredoxin reductases and </w:t>
            </w:r>
            <w:proofErr w:type="spellStart"/>
            <w:r>
              <w:rPr>
                <w:sz w:val="17"/>
                <w:szCs w:val="17"/>
              </w:rPr>
              <w:t>heme</w:t>
            </w:r>
            <w:proofErr w:type="spellEnd"/>
            <w:r>
              <w:rPr>
                <w:sz w:val="17"/>
                <w:szCs w:val="17"/>
              </w:rPr>
              <w:t xml:space="preserve"> oxygenase 1</w:t>
            </w:r>
          </w:p>
        </w:tc>
        <w:tc>
          <w:tcPr>
            <w:tcW w:w="0" w:type="dxa"/>
            <w:tcMar>
              <w:top w:w="60" w:type="dxa"/>
              <w:left w:w="80" w:type="dxa"/>
              <w:bottom w:w="60" w:type="dxa"/>
              <w:right w:w="80" w:type="dxa"/>
            </w:tcMar>
          </w:tcPr>
          <w:p w14:paraId="4D0607F7" w14:textId="77777777" w:rsidR="001474D1" w:rsidRDefault="00000000">
            <w:r>
              <w:rPr>
                <w:sz w:val="17"/>
                <w:szCs w:val="17"/>
              </w:rPr>
              <w:t>Cysteine-sensor release from Kelch-like ECH-associated protein 1</w:t>
            </w:r>
          </w:p>
        </w:tc>
        <w:tc>
          <w:tcPr>
            <w:tcW w:w="0" w:type="dxa"/>
            <w:tcMar>
              <w:top w:w="60" w:type="dxa"/>
              <w:left w:w="80" w:type="dxa"/>
              <w:bottom w:w="60" w:type="dxa"/>
              <w:right w:w="80" w:type="dxa"/>
            </w:tcMar>
          </w:tcPr>
          <w:p w14:paraId="7B6C65B8" w14:textId="77777777" w:rsidR="001474D1" w:rsidRDefault="00000000">
            <w:r>
              <w:rPr>
                <w:sz w:val="17"/>
                <w:szCs w:val="17"/>
              </w:rPr>
              <w:t>Not assessable without tissue biopsy</w:t>
            </w:r>
          </w:p>
        </w:tc>
        <w:tc>
          <w:tcPr>
            <w:tcW w:w="0" w:type="dxa"/>
            <w:tcMar>
              <w:top w:w="60" w:type="dxa"/>
              <w:left w:w="80" w:type="dxa"/>
              <w:bottom w:w="60" w:type="dxa"/>
              <w:right w:w="80" w:type="dxa"/>
            </w:tcMar>
          </w:tcPr>
          <w:p w14:paraId="08873FA1" w14:textId="77777777" w:rsidR="001474D1" w:rsidRDefault="00000000">
            <w:r>
              <w:rPr>
                <w:sz w:val="17"/>
                <w:szCs w:val="17"/>
              </w:rPr>
              <w:t>Pathway activation demonstrated in vivo and manipulable in vitro; dietary activation reported with plant polyphenols</w:t>
            </w:r>
          </w:p>
        </w:tc>
        <w:tc>
          <w:tcPr>
            <w:tcW w:w="0" w:type="dxa"/>
            <w:tcMar>
              <w:top w:w="60" w:type="dxa"/>
              <w:left w:w="80" w:type="dxa"/>
              <w:bottom w:w="60" w:type="dxa"/>
              <w:right w:w="80" w:type="dxa"/>
            </w:tcMar>
          </w:tcPr>
          <w:p w14:paraId="47A0B9A9" w14:textId="77777777" w:rsidR="001474D1" w:rsidRDefault="00000000">
            <w:r>
              <w:rPr>
                <w:sz w:val="17"/>
                <w:szCs w:val="17"/>
              </w:rPr>
              <w:t xml:space="preserve">H. Ding et al. (2025); Ford and </w:t>
            </w:r>
            <w:proofErr w:type="spellStart"/>
            <w:r>
              <w:rPr>
                <w:sz w:val="17"/>
                <w:szCs w:val="17"/>
              </w:rPr>
              <w:t>Bionaz</w:t>
            </w:r>
            <w:proofErr w:type="spellEnd"/>
            <w:r>
              <w:rPr>
                <w:sz w:val="17"/>
                <w:szCs w:val="17"/>
              </w:rPr>
              <w:t xml:space="preserve"> (2024); Gessner et al. (2013); Gessner et al. (2015); Gessner, </w:t>
            </w:r>
            <w:proofErr w:type="spellStart"/>
            <w:r>
              <w:rPr>
                <w:sz w:val="17"/>
                <w:szCs w:val="17"/>
              </w:rPr>
              <w:t>Ringseis</w:t>
            </w:r>
            <w:proofErr w:type="spellEnd"/>
            <w:r>
              <w:rPr>
                <w:sz w:val="17"/>
                <w:szCs w:val="17"/>
              </w:rPr>
              <w:t>, and Eder (2017); Gessner, Winkler, et al. (2017)</w:t>
            </w:r>
          </w:p>
        </w:tc>
      </w:tr>
    </w:tbl>
    <w:p w14:paraId="114873E0" w14:textId="77777777" w:rsidR="001474D1" w:rsidRDefault="00000000">
      <w:pPr>
        <w:spacing w:before="80" w:after="240" w:line="260" w:lineRule="auto"/>
      </w:pPr>
      <w:r>
        <w:rPr>
          <w:i/>
          <w:iCs/>
          <w:sz w:val="17"/>
          <w:szCs w:val="17"/>
        </w:rPr>
        <w:t>Note. NFE2L2</w:t>
      </w:r>
      <w:r>
        <w:rPr>
          <w:sz w:val="17"/>
          <w:szCs w:val="17"/>
        </w:rPr>
        <w:t xml:space="preserve"> denotes the gene encoding nuclear factor erythroid 2-related factor 2. Evidence for manipulation refers to demonstrated change in a redox variable and not necessarily to demonstrated clinical benefit.</w:t>
      </w:r>
    </w:p>
    <w:p w14:paraId="23920DCD" w14:textId="77777777" w:rsidR="001474D1" w:rsidRDefault="00000000">
      <w:pPr>
        <w:pStyle w:val="Heading1"/>
        <w:spacing w:before="320" w:after="160" w:line="360" w:lineRule="auto"/>
      </w:pPr>
      <w:r>
        <w:rPr>
          <w:b/>
          <w:bCs/>
          <w:color w:val="000000"/>
          <w:sz w:val="26"/>
          <w:szCs w:val="26"/>
        </w:rPr>
        <w:t>5. Measurement of Redox Status and the Problem of Analytical Heterogeneity</w:t>
      </w:r>
    </w:p>
    <w:p w14:paraId="35283881" w14:textId="77777777" w:rsidR="001474D1" w:rsidRDefault="00000000">
      <w:pPr>
        <w:pStyle w:val="Heading2"/>
        <w:spacing w:before="240" w:after="120" w:line="360" w:lineRule="auto"/>
      </w:pPr>
      <w:r>
        <w:rPr>
          <w:b/>
          <w:bCs/>
          <w:color w:val="000000"/>
          <w:sz w:val="23"/>
          <w:szCs w:val="23"/>
        </w:rPr>
        <w:t>5.1 The measurement traditions and their assumptions</w:t>
      </w:r>
    </w:p>
    <w:p w14:paraId="630C8E31" w14:textId="77777777" w:rsidR="001474D1" w:rsidRDefault="00000000">
      <w:pPr>
        <w:spacing w:after="120" w:line="360" w:lineRule="auto"/>
        <w:jc w:val="both"/>
      </w:pPr>
      <w:r>
        <w:t xml:space="preserve">Four broadly distinct measurement traditions coexist in this literature, each carrying assumptions that are seldom made explicit. The first quantifies end-products of lipid peroxidation by colorimetric reaction, most commonly as </w:t>
      </w:r>
      <w:proofErr w:type="spellStart"/>
      <w:r>
        <w:t>thiobarbituric</w:t>
      </w:r>
      <w:proofErr w:type="spellEnd"/>
      <w:r>
        <w:t xml:space="preserve"> acid reactive substances interpreted as malondialdehyde. The second employs commercial photometric kits that report an oxidant fraction and an antioxidant fraction in proprietary units, frequently combined into a ratio. The third measures individual antioxidant constituents or enzyme activities. The fourth applies chromatography coupled to mass spectrometry to quantify structurally defined oxidation products, principally </w:t>
      </w:r>
      <w:proofErr w:type="spellStart"/>
      <w:r>
        <w:t>isoprostanes</w:t>
      </w:r>
      <w:proofErr w:type="spellEnd"/>
      <w:r>
        <w:t xml:space="preserve"> and other </w:t>
      </w:r>
      <w:proofErr w:type="spellStart"/>
      <w:r>
        <w:t>oxylipids</w:t>
      </w:r>
      <w:proofErr w:type="spellEnd"/>
      <w:r>
        <w:t>.</w:t>
      </w:r>
    </w:p>
    <w:p w14:paraId="73B7EC21" w14:textId="77777777" w:rsidR="001474D1" w:rsidRDefault="00000000">
      <w:pPr>
        <w:spacing w:after="120" w:line="360" w:lineRule="auto"/>
        <w:jc w:val="both"/>
      </w:pPr>
      <w:r>
        <w:t xml:space="preserve">These traditions are not interchangeable, and the differences are consequential rather than technical. </w:t>
      </w:r>
      <w:proofErr w:type="spellStart"/>
      <w:r>
        <w:t>Thiobarbituric</w:t>
      </w:r>
      <w:proofErr w:type="spellEnd"/>
      <w:r>
        <w:t xml:space="preserve"> acid reactive substances assays react with several aldehydes and with carbohydrate degradation products, so the quantity reported is a composite of uncertain composition; Celi (2011) identified this lack of specificity as a principal weakness in ruminant redox measurement. Photometric oxidant and antioxidant assays produce values in arbitrary units that cannot be converted to molar concentrations, which prevents comparison of absolute values across laboratories even when the same commercial kit is used, and their antioxidant readings are strongly influenced by urate and albumin concentrations that vary with hydration, renal function and acute-phase status independently of any change in defence capacity. Enzyme activities, as discussed, carry an ambiguous relationship to functional adequacy. Protein oxidation products such as carbonyls and advanced oxidation protein products offer greater chemical specificity and longer persistence than lipid aldehydes but have been applied only sparsely in transition cow work (Celi &amp; Gabai, 2015).</w:t>
      </w:r>
    </w:p>
    <w:p w14:paraId="71EA9144" w14:textId="77777777" w:rsidR="001474D1" w:rsidRDefault="00000000">
      <w:pPr>
        <w:spacing w:after="120" w:line="360" w:lineRule="auto"/>
        <w:jc w:val="both"/>
      </w:pPr>
      <w:r>
        <w:lastRenderedPageBreak/>
        <w:t>Composite indices were introduced to address part of this problem. Abuelo et al. (2013) proposed an oxidative stress index derived from the ratio of an oxidant measure to an antioxidant measure and showed that it distinguished production stages that neither fraction separated when examined alone. The index improves discrimination, but it inherits the unit-dependence and matrix sensitivity of both its components, and a ratio of two imprecise quantities is not necessarily more informative about tissue redox state than either alone. Its principal value lies in within-study comparison rather than in the establishment of reference intervals.</w:t>
      </w:r>
    </w:p>
    <w:p w14:paraId="4ED3D177" w14:textId="77777777" w:rsidR="001474D1" w:rsidRDefault="00000000">
      <w:pPr>
        <w:pStyle w:val="Heading2"/>
        <w:spacing w:before="240" w:after="120" w:line="360" w:lineRule="auto"/>
      </w:pPr>
      <w:r>
        <w:rPr>
          <w:b/>
          <w:bCs/>
          <w:color w:val="000000"/>
          <w:sz w:val="23"/>
          <w:szCs w:val="23"/>
        </w:rPr>
        <w:t xml:space="preserve">5.2 </w:t>
      </w:r>
      <w:proofErr w:type="spellStart"/>
      <w:r>
        <w:rPr>
          <w:b/>
          <w:bCs/>
          <w:color w:val="000000"/>
          <w:sz w:val="23"/>
          <w:szCs w:val="23"/>
        </w:rPr>
        <w:t>Isoprostanes</w:t>
      </w:r>
      <w:proofErr w:type="spellEnd"/>
      <w:r>
        <w:rPr>
          <w:b/>
          <w:bCs/>
          <w:color w:val="000000"/>
          <w:sz w:val="23"/>
          <w:szCs w:val="23"/>
        </w:rPr>
        <w:t xml:space="preserve"> and </w:t>
      </w:r>
      <w:proofErr w:type="spellStart"/>
      <w:r>
        <w:rPr>
          <w:b/>
          <w:bCs/>
          <w:color w:val="000000"/>
          <w:sz w:val="23"/>
          <w:szCs w:val="23"/>
        </w:rPr>
        <w:t>oxylipids</w:t>
      </w:r>
      <w:proofErr w:type="spellEnd"/>
      <w:r>
        <w:rPr>
          <w:b/>
          <w:bCs/>
          <w:color w:val="000000"/>
          <w:sz w:val="23"/>
          <w:szCs w:val="23"/>
        </w:rPr>
        <w:t xml:space="preserve"> as the current reference standard</w:t>
      </w:r>
    </w:p>
    <w:p w14:paraId="2F17B47F" w14:textId="77777777" w:rsidR="001474D1" w:rsidRDefault="00000000">
      <w:pPr>
        <w:spacing w:after="120" w:line="360" w:lineRule="auto"/>
        <w:jc w:val="both"/>
      </w:pPr>
      <w:proofErr w:type="spellStart"/>
      <w:r>
        <w:t>Isoprostanes</w:t>
      </w:r>
      <w:proofErr w:type="spellEnd"/>
      <w:r>
        <w:t>, formed by free radical-catalysed non-enzymatic rearrangement of arachidonic acid esterified in membrane phospholipids, offer the chemical specificity that colorimetric methods lack, and 15-F2t-isoprostane has become the most widely applied representative. Its utility in cattle has been demonstrated in disease states: cows with acute coliform mastitis show elevated concentrations alongside altered oxidant status, and milk concentrations exceed plasma concentrations, indicating local production within the inflamed gland (</w:t>
      </w:r>
      <w:proofErr w:type="spellStart"/>
      <w:r>
        <w:t>Mavangira</w:t>
      </w:r>
      <w:proofErr w:type="spellEnd"/>
      <w:r>
        <w:t xml:space="preserve"> et al., 2016). The broader class of </w:t>
      </w:r>
      <w:proofErr w:type="spellStart"/>
      <w:r>
        <w:t>oxylipids</w:t>
      </w:r>
      <w:proofErr w:type="spellEnd"/>
      <w:r>
        <w:t>, comprising enzymatic and non-enzymatic oxidation products of polyunsaturated fatty acids, encompasses both pro-inflammatory and pro-resolving mediators, and their profile rather than any single concentration carries the biological information (</w:t>
      </w:r>
      <w:proofErr w:type="spellStart"/>
      <w:r>
        <w:t>Mavangira</w:t>
      </w:r>
      <w:proofErr w:type="spellEnd"/>
      <w:r>
        <w:t xml:space="preserve"> &amp; Sordillo, 2018; Sordillo, 2018). Putman et al. (2022) reported that circulating </w:t>
      </w:r>
      <w:proofErr w:type="spellStart"/>
      <w:r>
        <w:t>oxylipid</w:t>
      </w:r>
      <w:proofErr w:type="spellEnd"/>
      <w:r>
        <w:t xml:space="preserve"> profiles in the postpartum period are associated with subsequent disease risk, which is a stronger claim than association with disease presence and represents one of the few prospective demonstrations in the field.</w:t>
      </w:r>
    </w:p>
    <w:p w14:paraId="3B74460D" w14:textId="77777777" w:rsidR="001474D1" w:rsidRDefault="00000000">
      <w:pPr>
        <w:spacing w:after="120" w:line="360" w:lineRule="auto"/>
        <w:jc w:val="both"/>
      </w:pPr>
      <w:r>
        <w:t xml:space="preserve">The </w:t>
      </w:r>
      <w:proofErr w:type="spellStart"/>
      <w:r>
        <w:t>isoprostane</w:t>
      </w:r>
      <w:proofErr w:type="spellEnd"/>
      <w:r>
        <w:t xml:space="preserve"> literature also supplies the clearest evidence that measurement conditions govern conclusions. Kuhn et al. (2018) quantified 15-F2t-isoprostane in cows at different stages of lactation and demonstrated that concentrations vary with stage in a manner that depends on sampling schedule, and noted explicitly that inconsistency in sampling times and analytical technique must be resolved before this metabolite can serve as a standardised biomarker. A comparable pattern appears in work on the involution transition: Putman et al. (2018) found that reactive species, antioxidant potential and the derived index changed progressively after abrupt cessation of lactation whereas </w:t>
      </w:r>
      <w:proofErr w:type="spellStart"/>
      <w:r>
        <w:t>isoprostane</w:t>
      </w:r>
      <w:proofErr w:type="spellEnd"/>
      <w:r>
        <w:t xml:space="preserve"> concentrations fluctuated without a clear trend, indicating that markers of exposure and markers of damage do not move together and should not be treated as substitutes.</w:t>
      </w:r>
    </w:p>
    <w:p w14:paraId="76B0395C" w14:textId="77777777" w:rsidR="001474D1" w:rsidRDefault="00000000">
      <w:pPr>
        <w:pStyle w:val="Heading2"/>
        <w:spacing w:before="240" w:after="120" w:line="360" w:lineRule="auto"/>
      </w:pPr>
      <w:r>
        <w:rPr>
          <w:b/>
          <w:bCs/>
          <w:color w:val="000000"/>
          <w:sz w:val="23"/>
          <w:szCs w:val="23"/>
        </w:rPr>
        <w:t>5.3 Consequences for the interpretability of the field</w:t>
      </w:r>
    </w:p>
    <w:p w14:paraId="61957A0D" w14:textId="77777777" w:rsidR="001474D1" w:rsidRDefault="00000000">
      <w:pPr>
        <w:spacing w:after="120" w:line="360" w:lineRule="auto"/>
        <w:jc w:val="both"/>
      </w:pPr>
      <w:r>
        <w:t xml:space="preserve">Analytical heterogeneity is not a peripheral limitation; it is the principal reason that the transition cow redox literature cannot be synthesised quantitatively. Because absolute values are not comparable across studies, every investigation is effectively self-referential, comparing treated with control animals or one physiological stage with another within a single analytical environment. Reference intervals cannot be </w:t>
      </w:r>
      <w:r>
        <w:lastRenderedPageBreak/>
        <w:t>established, which prevents the identification of animals with genuinely inadequate antioxidant status; and that in turn prevents the stratified trial designs that the intervention literature most requires. The circularity is complete: the inability to identify deficient animals produces trials conducted in unselected populations, the null or inconsistent results of which are then attributed to the inadequacy of the intervention rather than to the inadequacy of the selection.</w:t>
      </w:r>
    </w:p>
    <w:p w14:paraId="3E7839D6" w14:textId="77777777" w:rsidR="001474D1" w:rsidRDefault="00000000">
      <w:pPr>
        <w:spacing w:after="120" w:line="360" w:lineRule="auto"/>
        <w:jc w:val="both"/>
      </w:pPr>
      <w:r>
        <w:t xml:space="preserve">A second consequence concerns the relationship between circulating and tissue measurements. The mechanistic literature reviewed in Section 3 concerns processes occurring within hepatocytes, adipocytes and mammary epithelial cells. No study identified in this review has demonstrated that a change in any circulating redox marker corresponds quantitatively to a change in mitophagy, </w:t>
      </w:r>
      <w:proofErr w:type="spellStart"/>
      <w:r>
        <w:t>ferroptotic</w:t>
      </w:r>
      <w:proofErr w:type="spellEnd"/>
      <w:r>
        <w:t xml:space="preserve"> signalling or NFE2L2 target gene expression in those tissues. The assumption of correspondence is pervasive and untested.</w:t>
      </w:r>
    </w:p>
    <w:p w14:paraId="254F9CE9" w14:textId="77777777" w:rsidR="001474D1" w:rsidRDefault="00000000">
      <w:pPr>
        <w:spacing w:after="120" w:line="360" w:lineRule="auto"/>
        <w:jc w:val="both"/>
      </w:pPr>
      <w:r>
        <w:t>Table 3 sets out the principal biomarkers, their analytical basis, their specific weaknesses and the contexts in which each retains value. The table makes clear that no single marker is adequate alone, and that the combination most defensible on current evidence pairs a structurally specific damage marker with an independent measure of antioxidant reserve, rather than relying on a composite index derived from two non-specific fractions.</w:t>
      </w:r>
    </w:p>
    <w:p w14:paraId="7A436C22" w14:textId="77777777" w:rsidR="001474D1" w:rsidRDefault="00000000">
      <w:pPr>
        <w:spacing w:before="240" w:after="100" w:line="300" w:lineRule="auto"/>
      </w:pPr>
      <w:r>
        <w:rPr>
          <w:b/>
          <w:bCs/>
          <w:sz w:val="21"/>
          <w:szCs w:val="21"/>
        </w:rPr>
        <w:t>Table 3. Biomarkers of oxidant status applied in transition dairy cow research: analytical basis, limitations and appropriate use</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97"/>
        <w:gridCol w:w="2064"/>
        <w:gridCol w:w="2006"/>
        <w:gridCol w:w="1946"/>
        <w:gridCol w:w="1547"/>
      </w:tblGrid>
      <w:tr w:rsidR="001474D1" w14:paraId="22130F2E" w14:textId="77777777">
        <w:trPr>
          <w:tblHeader/>
        </w:trPr>
        <w:tc>
          <w:tcPr>
            <w:tcW w:w="0" w:type="dxa"/>
            <w:shd w:val="clear" w:color="auto" w:fill="EAEAEA"/>
            <w:tcMar>
              <w:top w:w="60" w:type="dxa"/>
              <w:left w:w="80" w:type="dxa"/>
              <w:bottom w:w="60" w:type="dxa"/>
              <w:right w:w="80" w:type="dxa"/>
            </w:tcMar>
          </w:tcPr>
          <w:p w14:paraId="07985E39" w14:textId="77777777" w:rsidR="001474D1" w:rsidRDefault="00000000">
            <w:r>
              <w:rPr>
                <w:b/>
                <w:bCs/>
                <w:sz w:val="17"/>
                <w:szCs w:val="17"/>
              </w:rPr>
              <w:t>Biomarker</w:t>
            </w:r>
          </w:p>
        </w:tc>
        <w:tc>
          <w:tcPr>
            <w:tcW w:w="0" w:type="dxa"/>
            <w:shd w:val="clear" w:color="auto" w:fill="EAEAEA"/>
            <w:tcMar>
              <w:top w:w="60" w:type="dxa"/>
              <w:left w:w="80" w:type="dxa"/>
              <w:bottom w:w="60" w:type="dxa"/>
              <w:right w:w="80" w:type="dxa"/>
            </w:tcMar>
          </w:tcPr>
          <w:p w14:paraId="7B636C92" w14:textId="77777777" w:rsidR="001474D1" w:rsidRDefault="00000000">
            <w:r>
              <w:rPr>
                <w:b/>
                <w:bCs/>
                <w:sz w:val="17"/>
                <w:szCs w:val="17"/>
              </w:rPr>
              <w:t>Analytical basis</w:t>
            </w:r>
          </w:p>
        </w:tc>
        <w:tc>
          <w:tcPr>
            <w:tcW w:w="0" w:type="dxa"/>
            <w:shd w:val="clear" w:color="auto" w:fill="EAEAEA"/>
            <w:tcMar>
              <w:top w:w="60" w:type="dxa"/>
              <w:left w:w="80" w:type="dxa"/>
              <w:bottom w:w="60" w:type="dxa"/>
              <w:right w:w="80" w:type="dxa"/>
            </w:tcMar>
          </w:tcPr>
          <w:p w14:paraId="30492243" w14:textId="77777777" w:rsidR="001474D1" w:rsidRDefault="00000000">
            <w:r>
              <w:rPr>
                <w:b/>
                <w:bCs/>
                <w:sz w:val="17"/>
                <w:szCs w:val="17"/>
              </w:rPr>
              <w:t>Principal limitations</w:t>
            </w:r>
          </w:p>
        </w:tc>
        <w:tc>
          <w:tcPr>
            <w:tcW w:w="0" w:type="dxa"/>
            <w:shd w:val="clear" w:color="auto" w:fill="EAEAEA"/>
            <w:tcMar>
              <w:top w:w="60" w:type="dxa"/>
              <w:left w:w="80" w:type="dxa"/>
              <w:bottom w:w="60" w:type="dxa"/>
              <w:right w:w="80" w:type="dxa"/>
            </w:tcMar>
          </w:tcPr>
          <w:p w14:paraId="00B43CAF" w14:textId="77777777" w:rsidR="001474D1" w:rsidRDefault="00000000">
            <w:r>
              <w:rPr>
                <w:b/>
                <w:bCs/>
                <w:sz w:val="17"/>
                <w:szCs w:val="17"/>
              </w:rPr>
              <w:t>Context in which the marker retains value</w:t>
            </w:r>
          </w:p>
        </w:tc>
        <w:tc>
          <w:tcPr>
            <w:tcW w:w="0" w:type="dxa"/>
            <w:shd w:val="clear" w:color="auto" w:fill="EAEAEA"/>
            <w:tcMar>
              <w:top w:w="60" w:type="dxa"/>
              <w:left w:w="80" w:type="dxa"/>
              <w:bottom w:w="60" w:type="dxa"/>
              <w:right w:w="80" w:type="dxa"/>
            </w:tcMar>
          </w:tcPr>
          <w:p w14:paraId="1D88BEF9" w14:textId="77777777" w:rsidR="001474D1" w:rsidRDefault="00000000">
            <w:r>
              <w:rPr>
                <w:b/>
                <w:bCs/>
                <w:sz w:val="17"/>
                <w:szCs w:val="17"/>
              </w:rPr>
              <w:t>Supporting references</w:t>
            </w:r>
          </w:p>
        </w:tc>
      </w:tr>
      <w:tr w:rsidR="001474D1" w14:paraId="679001A3" w14:textId="77777777">
        <w:tc>
          <w:tcPr>
            <w:tcW w:w="0" w:type="dxa"/>
            <w:tcMar>
              <w:top w:w="60" w:type="dxa"/>
              <w:left w:w="80" w:type="dxa"/>
              <w:bottom w:w="60" w:type="dxa"/>
              <w:right w:w="80" w:type="dxa"/>
            </w:tcMar>
          </w:tcPr>
          <w:p w14:paraId="503A29F2" w14:textId="77777777" w:rsidR="001474D1" w:rsidRDefault="00000000">
            <w:proofErr w:type="spellStart"/>
            <w:r>
              <w:rPr>
                <w:sz w:val="17"/>
                <w:szCs w:val="17"/>
              </w:rPr>
              <w:t>Thiobarbituric</w:t>
            </w:r>
            <w:proofErr w:type="spellEnd"/>
            <w:r>
              <w:rPr>
                <w:sz w:val="17"/>
                <w:szCs w:val="17"/>
              </w:rPr>
              <w:t xml:space="preserve"> acid reactive substances</w:t>
            </w:r>
          </w:p>
        </w:tc>
        <w:tc>
          <w:tcPr>
            <w:tcW w:w="0" w:type="dxa"/>
            <w:tcMar>
              <w:top w:w="60" w:type="dxa"/>
              <w:left w:w="80" w:type="dxa"/>
              <w:bottom w:w="60" w:type="dxa"/>
              <w:right w:w="80" w:type="dxa"/>
            </w:tcMar>
          </w:tcPr>
          <w:p w14:paraId="6267FD05" w14:textId="77777777" w:rsidR="001474D1" w:rsidRDefault="00000000">
            <w:r>
              <w:rPr>
                <w:sz w:val="17"/>
                <w:szCs w:val="17"/>
              </w:rPr>
              <w:t>Colorimetric reaction with aldehydic lipid peroxidation products</w:t>
            </w:r>
          </w:p>
        </w:tc>
        <w:tc>
          <w:tcPr>
            <w:tcW w:w="0" w:type="dxa"/>
            <w:tcMar>
              <w:top w:w="60" w:type="dxa"/>
              <w:left w:w="80" w:type="dxa"/>
              <w:bottom w:w="60" w:type="dxa"/>
              <w:right w:w="80" w:type="dxa"/>
            </w:tcMar>
          </w:tcPr>
          <w:p w14:paraId="4A6291B7" w14:textId="77777777" w:rsidR="001474D1" w:rsidRDefault="00000000">
            <w:r>
              <w:rPr>
                <w:sz w:val="17"/>
                <w:szCs w:val="17"/>
              </w:rPr>
              <w:t>Reacts with multiple aldehydes and non-lipid species; results depend on assay conditions; not convertible to a defined analyte</w:t>
            </w:r>
          </w:p>
        </w:tc>
        <w:tc>
          <w:tcPr>
            <w:tcW w:w="0" w:type="dxa"/>
            <w:tcMar>
              <w:top w:w="60" w:type="dxa"/>
              <w:left w:w="80" w:type="dxa"/>
              <w:bottom w:w="60" w:type="dxa"/>
              <w:right w:w="80" w:type="dxa"/>
            </w:tcMar>
          </w:tcPr>
          <w:p w14:paraId="427CFEB5" w14:textId="77777777" w:rsidR="001474D1" w:rsidRDefault="00000000">
            <w:r>
              <w:rPr>
                <w:sz w:val="17"/>
                <w:szCs w:val="17"/>
              </w:rPr>
              <w:t>Within-study comparison where no more specific method is available</w:t>
            </w:r>
          </w:p>
        </w:tc>
        <w:tc>
          <w:tcPr>
            <w:tcW w:w="0" w:type="dxa"/>
            <w:tcMar>
              <w:top w:w="60" w:type="dxa"/>
              <w:left w:w="80" w:type="dxa"/>
              <w:bottom w:w="60" w:type="dxa"/>
              <w:right w:w="80" w:type="dxa"/>
            </w:tcMar>
          </w:tcPr>
          <w:p w14:paraId="50444ECD" w14:textId="77777777" w:rsidR="001474D1" w:rsidRDefault="00000000">
            <w:r>
              <w:rPr>
                <w:sz w:val="17"/>
                <w:szCs w:val="17"/>
              </w:rPr>
              <w:t xml:space="preserve">Celi (2011); </w:t>
            </w:r>
            <w:proofErr w:type="spellStart"/>
            <w:r>
              <w:rPr>
                <w:sz w:val="17"/>
                <w:szCs w:val="17"/>
              </w:rPr>
              <w:t>Konvičná</w:t>
            </w:r>
            <w:proofErr w:type="spellEnd"/>
            <w:r>
              <w:rPr>
                <w:sz w:val="17"/>
                <w:szCs w:val="17"/>
              </w:rPr>
              <w:t xml:space="preserve"> et al. (2015)</w:t>
            </w:r>
          </w:p>
        </w:tc>
      </w:tr>
      <w:tr w:rsidR="001474D1" w14:paraId="28976C44" w14:textId="77777777">
        <w:tc>
          <w:tcPr>
            <w:tcW w:w="0" w:type="dxa"/>
            <w:tcMar>
              <w:top w:w="60" w:type="dxa"/>
              <w:left w:w="80" w:type="dxa"/>
              <w:bottom w:w="60" w:type="dxa"/>
              <w:right w:w="80" w:type="dxa"/>
            </w:tcMar>
          </w:tcPr>
          <w:p w14:paraId="1A9BAB06" w14:textId="77777777" w:rsidR="001474D1" w:rsidRDefault="00000000">
            <w:r>
              <w:rPr>
                <w:sz w:val="17"/>
                <w:szCs w:val="17"/>
              </w:rPr>
              <w:t>Reactive oxygen and nitrogen species by photometric kit</w:t>
            </w:r>
          </w:p>
        </w:tc>
        <w:tc>
          <w:tcPr>
            <w:tcW w:w="0" w:type="dxa"/>
            <w:tcMar>
              <w:top w:w="60" w:type="dxa"/>
              <w:left w:w="80" w:type="dxa"/>
              <w:bottom w:w="60" w:type="dxa"/>
              <w:right w:w="80" w:type="dxa"/>
            </w:tcMar>
          </w:tcPr>
          <w:p w14:paraId="60FCD2BB" w14:textId="77777777" w:rsidR="001474D1" w:rsidRDefault="00000000">
            <w:r>
              <w:rPr>
                <w:sz w:val="17"/>
                <w:szCs w:val="17"/>
              </w:rPr>
              <w:t>Oxidation of a chromogenic probe reported in arbitrary units</w:t>
            </w:r>
          </w:p>
        </w:tc>
        <w:tc>
          <w:tcPr>
            <w:tcW w:w="0" w:type="dxa"/>
            <w:tcMar>
              <w:top w:w="60" w:type="dxa"/>
              <w:left w:w="80" w:type="dxa"/>
              <w:bottom w:w="60" w:type="dxa"/>
              <w:right w:w="80" w:type="dxa"/>
            </w:tcMar>
          </w:tcPr>
          <w:p w14:paraId="5E2D29B2" w14:textId="77777777" w:rsidR="001474D1" w:rsidRDefault="00000000">
            <w:r>
              <w:rPr>
                <w:sz w:val="17"/>
                <w:szCs w:val="17"/>
              </w:rPr>
              <w:t>Units are proprietary and non-molar; cross-laboratory comparison not possible</w:t>
            </w:r>
          </w:p>
        </w:tc>
        <w:tc>
          <w:tcPr>
            <w:tcW w:w="0" w:type="dxa"/>
            <w:tcMar>
              <w:top w:w="60" w:type="dxa"/>
              <w:left w:w="80" w:type="dxa"/>
              <w:bottom w:w="60" w:type="dxa"/>
              <w:right w:w="80" w:type="dxa"/>
            </w:tcMar>
          </w:tcPr>
          <w:p w14:paraId="05A582BC" w14:textId="77777777" w:rsidR="001474D1" w:rsidRDefault="00000000">
            <w:r>
              <w:rPr>
                <w:sz w:val="17"/>
                <w:szCs w:val="17"/>
              </w:rPr>
              <w:t>Detection of within-experiment temporal change</w:t>
            </w:r>
          </w:p>
        </w:tc>
        <w:tc>
          <w:tcPr>
            <w:tcW w:w="0" w:type="dxa"/>
            <w:tcMar>
              <w:top w:w="60" w:type="dxa"/>
              <w:left w:w="80" w:type="dxa"/>
              <w:bottom w:w="60" w:type="dxa"/>
              <w:right w:w="80" w:type="dxa"/>
            </w:tcMar>
          </w:tcPr>
          <w:p w14:paraId="39951D72" w14:textId="77777777" w:rsidR="001474D1" w:rsidRDefault="00000000">
            <w:r>
              <w:rPr>
                <w:sz w:val="17"/>
                <w:szCs w:val="17"/>
              </w:rPr>
              <w:t>Putman et al. (2018); Putman et al. (2022)</w:t>
            </w:r>
          </w:p>
        </w:tc>
      </w:tr>
      <w:tr w:rsidR="001474D1" w14:paraId="0D1F7DE2" w14:textId="77777777">
        <w:tc>
          <w:tcPr>
            <w:tcW w:w="0" w:type="dxa"/>
            <w:tcMar>
              <w:top w:w="60" w:type="dxa"/>
              <w:left w:w="80" w:type="dxa"/>
              <w:bottom w:w="60" w:type="dxa"/>
              <w:right w:w="80" w:type="dxa"/>
            </w:tcMar>
          </w:tcPr>
          <w:p w14:paraId="54213BFA" w14:textId="77777777" w:rsidR="001474D1" w:rsidRDefault="00000000">
            <w:r>
              <w:rPr>
                <w:sz w:val="17"/>
                <w:szCs w:val="17"/>
              </w:rPr>
              <w:t>Antioxidant potential or total antioxidant capacity</w:t>
            </w:r>
          </w:p>
        </w:tc>
        <w:tc>
          <w:tcPr>
            <w:tcW w:w="0" w:type="dxa"/>
            <w:tcMar>
              <w:top w:w="60" w:type="dxa"/>
              <w:left w:w="80" w:type="dxa"/>
              <w:bottom w:w="60" w:type="dxa"/>
              <w:right w:w="80" w:type="dxa"/>
            </w:tcMar>
          </w:tcPr>
          <w:p w14:paraId="1A06C668" w14:textId="77777777" w:rsidR="001474D1" w:rsidRDefault="00000000">
            <w:r>
              <w:rPr>
                <w:sz w:val="17"/>
                <w:szCs w:val="17"/>
              </w:rPr>
              <w:t>Reduction of a chromogenic oxidant by the sample</w:t>
            </w:r>
          </w:p>
        </w:tc>
        <w:tc>
          <w:tcPr>
            <w:tcW w:w="0" w:type="dxa"/>
            <w:tcMar>
              <w:top w:w="60" w:type="dxa"/>
              <w:left w:w="80" w:type="dxa"/>
              <w:bottom w:w="60" w:type="dxa"/>
              <w:right w:w="80" w:type="dxa"/>
            </w:tcMar>
          </w:tcPr>
          <w:p w14:paraId="10F63C6E" w14:textId="77777777" w:rsidR="001474D1" w:rsidRDefault="00000000">
            <w:r>
              <w:rPr>
                <w:sz w:val="17"/>
                <w:szCs w:val="17"/>
              </w:rPr>
              <w:t>Dominated by urate and albumin; responds to hydration and acute-phase status independently of defence capacity</w:t>
            </w:r>
          </w:p>
        </w:tc>
        <w:tc>
          <w:tcPr>
            <w:tcW w:w="0" w:type="dxa"/>
            <w:tcMar>
              <w:top w:w="60" w:type="dxa"/>
              <w:left w:w="80" w:type="dxa"/>
              <w:bottom w:w="60" w:type="dxa"/>
              <w:right w:w="80" w:type="dxa"/>
            </w:tcMar>
          </w:tcPr>
          <w:p w14:paraId="517907B9" w14:textId="77777777" w:rsidR="001474D1" w:rsidRDefault="00000000">
            <w:r>
              <w:rPr>
                <w:sz w:val="17"/>
                <w:szCs w:val="17"/>
              </w:rPr>
              <w:t>Screening for gross inadequacy rather than grading of status</w:t>
            </w:r>
          </w:p>
        </w:tc>
        <w:tc>
          <w:tcPr>
            <w:tcW w:w="0" w:type="dxa"/>
            <w:tcMar>
              <w:top w:w="60" w:type="dxa"/>
              <w:left w:w="80" w:type="dxa"/>
              <w:bottom w:w="60" w:type="dxa"/>
              <w:right w:w="80" w:type="dxa"/>
            </w:tcMar>
          </w:tcPr>
          <w:p w14:paraId="2B2A3427" w14:textId="77777777" w:rsidR="001474D1" w:rsidRDefault="00000000">
            <w:r>
              <w:rPr>
                <w:sz w:val="17"/>
                <w:szCs w:val="17"/>
              </w:rPr>
              <w:t>Abuelo et al. (2013); Strickland et al. (2021)</w:t>
            </w:r>
          </w:p>
        </w:tc>
      </w:tr>
      <w:tr w:rsidR="001474D1" w14:paraId="54BA9CB4" w14:textId="77777777">
        <w:tc>
          <w:tcPr>
            <w:tcW w:w="0" w:type="dxa"/>
            <w:tcMar>
              <w:top w:w="60" w:type="dxa"/>
              <w:left w:w="80" w:type="dxa"/>
              <w:bottom w:w="60" w:type="dxa"/>
              <w:right w:w="80" w:type="dxa"/>
            </w:tcMar>
          </w:tcPr>
          <w:p w14:paraId="0C2D060B" w14:textId="77777777" w:rsidR="001474D1" w:rsidRDefault="00000000">
            <w:r>
              <w:rPr>
                <w:sz w:val="17"/>
                <w:szCs w:val="17"/>
              </w:rPr>
              <w:t>Oxidant status index</w:t>
            </w:r>
          </w:p>
        </w:tc>
        <w:tc>
          <w:tcPr>
            <w:tcW w:w="0" w:type="dxa"/>
            <w:tcMar>
              <w:top w:w="60" w:type="dxa"/>
              <w:left w:w="80" w:type="dxa"/>
              <w:bottom w:w="60" w:type="dxa"/>
              <w:right w:w="80" w:type="dxa"/>
            </w:tcMar>
          </w:tcPr>
          <w:p w14:paraId="364D9DA7" w14:textId="77777777" w:rsidR="001474D1" w:rsidRDefault="00000000">
            <w:r>
              <w:rPr>
                <w:sz w:val="17"/>
                <w:szCs w:val="17"/>
              </w:rPr>
              <w:t>Ratio of an oxidant fraction to an antioxidant fraction</w:t>
            </w:r>
          </w:p>
        </w:tc>
        <w:tc>
          <w:tcPr>
            <w:tcW w:w="0" w:type="dxa"/>
            <w:tcMar>
              <w:top w:w="60" w:type="dxa"/>
              <w:left w:w="80" w:type="dxa"/>
              <w:bottom w:w="60" w:type="dxa"/>
              <w:right w:w="80" w:type="dxa"/>
            </w:tcMar>
          </w:tcPr>
          <w:p w14:paraId="5AA5D859" w14:textId="77777777" w:rsidR="001474D1" w:rsidRDefault="00000000">
            <w:r>
              <w:rPr>
                <w:sz w:val="17"/>
                <w:szCs w:val="17"/>
              </w:rPr>
              <w:t>Inherits the limitations of both components; no reference interval established</w:t>
            </w:r>
          </w:p>
        </w:tc>
        <w:tc>
          <w:tcPr>
            <w:tcW w:w="0" w:type="dxa"/>
            <w:tcMar>
              <w:top w:w="60" w:type="dxa"/>
              <w:left w:w="80" w:type="dxa"/>
              <w:bottom w:w="60" w:type="dxa"/>
              <w:right w:w="80" w:type="dxa"/>
            </w:tcMar>
          </w:tcPr>
          <w:p w14:paraId="2769AF84" w14:textId="77777777" w:rsidR="001474D1" w:rsidRDefault="00000000">
            <w:r>
              <w:rPr>
                <w:sz w:val="17"/>
                <w:szCs w:val="17"/>
              </w:rPr>
              <w:t>Improving discrimination between physiological stages within a study</w:t>
            </w:r>
          </w:p>
        </w:tc>
        <w:tc>
          <w:tcPr>
            <w:tcW w:w="0" w:type="dxa"/>
            <w:tcMar>
              <w:top w:w="60" w:type="dxa"/>
              <w:left w:w="80" w:type="dxa"/>
              <w:bottom w:w="60" w:type="dxa"/>
              <w:right w:w="80" w:type="dxa"/>
            </w:tcMar>
          </w:tcPr>
          <w:p w14:paraId="1C7F24FC" w14:textId="77777777" w:rsidR="001474D1" w:rsidRDefault="00000000">
            <w:r>
              <w:rPr>
                <w:sz w:val="17"/>
                <w:szCs w:val="17"/>
              </w:rPr>
              <w:t>Abuelo et al. (2013); Putman et al. (2018)</w:t>
            </w:r>
          </w:p>
        </w:tc>
      </w:tr>
      <w:tr w:rsidR="001474D1" w14:paraId="7C3EA048" w14:textId="77777777">
        <w:tc>
          <w:tcPr>
            <w:tcW w:w="0" w:type="dxa"/>
            <w:tcMar>
              <w:top w:w="60" w:type="dxa"/>
              <w:left w:w="80" w:type="dxa"/>
              <w:bottom w:w="60" w:type="dxa"/>
              <w:right w:w="80" w:type="dxa"/>
            </w:tcMar>
          </w:tcPr>
          <w:p w14:paraId="161A9855" w14:textId="77777777" w:rsidR="001474D1" w:rsidRDefault="00000000">
            <w:r>
              <w:rPr>
                <w:sz w:val="17"/>
                <w:szCs w:val="17"/>
              </w:rPr>
              <w:t>Erythrocyte or plasma antioxidant enzyme activity</w:t>
            </w:r>
          </w:p>
        </w:tc>
        <w:tc>
          <w:tcPr>
            <w:tcW w:w="0" w:type="dxa"/>
            <w:tcMar>
              <w:top w:w="60" w:type="dxa"/>
              <w:left w:w="80" w:type="dxa"/>
              <w:bottom w:w="60" w:type="dxa"/>
              <w:right w:w="80" w:type="dxa"/>
            </w:tcMar>
          </w:tcPr>
          <w:p w14:paraId="1552C0C9" w14:textId="77777777" w:rsidR="001474D1" w:rsidRDefault="00000000">
            <w:r>
              <w:rPr>
                <w:sz w:val="17"/>
                <w:szCs w:val="17"/>
              </w:rPr>
              <w:t>Substrate-specific activity assay</w:t>
            </w:r>
          </w:p>
        </w:tc>
        <w:tc>
          <w:tcPr>
            <w:tcW w:w="0" w:type="dxa"/>
            <w:tcMar>
              <w:top w:w="60" w:type="dxa"/>
              <w:left w:w="80" w:type="dxa"/>
              <w:bottom w:w="60" w:type="dxa"/>
              <w:right w:w="80" w:type="dxa"/>
            </w:tcMar>
          </w:tcPr>
          <w:p w14:paraId="22BA9293" w14:textId="77777777" w:rsidR="001474D1" w:rsidRDefault="00000000">
            <w:r>
              <w:rPr>
                <w:sz w:val="17"/>
                <w:szCs w:val="17"/>
              </w:rPr>
              <w:t>Erythrocyte values reflect status at erythropoiesis; increased activity is ambiguous between adaptation and reserve consumption</w:t>
            </w:r>
          </w:p>
        </w:tc>
        <w:tc>
          <w:tcPr>
            <w:tcW w:w="0" w:type="dxa"/>
            <w:tcMar>
              <w:top w:w="60" w:type="dxa"/>
              <w:left w:w="80" w:type="dxa"/>
              <w:bottom w:w="60" w:type="dxa"/>
              <w:right w:w="80" w:type="dxa"/>
            </w:tcMar>
          </w:tcPr>
          <w:p w14:paraId="6A95C3AD" w14:textId="77777777" w:rsidR="001474D1" w:rsidRDefault="00000000">
            <w:r>
              <w:rPr>
                <w:sz w:val="17"/>
                <w:szCs w:val="17"/>
              </w:rPr>
              <w:t>Assessment of trace element adequacy when interpreted with mineral status</w:t>
            </w:r>
          </w:p>
        </w:tc>
        <w:tc>
          <w:tcPr>
            <w:tcW w:w="0" w:type="dxa"/>
            <w:tcMar>
              <w:top w:w="60" w:type="dxa"/>
              <w:left w:w="80" w:type="dxa"/>
              <w:bottom w:w="60" w:type="dxa"/>
              <w:right w:w="80" w:type="dxa"/>
            </w:tcMar>
          </w:tcPr>
          <w:p w14:paraId="0E80BF7C" w14:textId="77777777" w:rsidR="001474D1" w:rsidRDefault="00000000">
            <w:proofErr w:type="spellStart"/>
            <w:r>
              <w:rPr>
                <w:sz w:val="17"/>
                <w:szCs w:val="17"/>
              </w:rPr>
              <w:t>Bernabucci</w:t>
            </w:r>
            <w:proofErr w:type="spellEnd"/>
            <w:r>
              <w:rPr>
                <w:sz w:val="17"/>
                <w:szCs w:val="17"/>
              </w:rPr>
              <w:t xml:space="preserve"> et al. (2005); Castillo et al. (2005); Tsuchiya et al. (2020)</w:t>
            </w:r>
          </w:p>
        </w:tc>
      </w:tr>
      <w:tr w:rsidR="001474D1" w14:paraId="7FC6F108" w14:textId="77777777">
        <w:tc>
          <w:tcPr>
            <w:tcW w:w="0" w:type="dxa"/>
            <w:tcMar>
              <w:top w:w="60" w:type="dxa"/>
              <w:left w:w="80" w:type="dxa"/>
              <w:bottom w:w="60" w:type="dxa"/>
              <w:right w:w="80" w:type="dxa"/>
            </w:tcMar>
          </w:tcPr>
          <w:p w14:paraId="0997D8C1" w14:textId="77777777" w:rsidR="001474D1" w:rsidRDefault="00000000">
            <w:r>
              <w:rPr>
                <w:sz w:val="17"/>
                <w:szCs w:val="17"/>
              </w:rPr>
              <w:lastRenderedPageBreak/>
              <w:t>15-F2t-isoprostane</w:t>
            </w:r>
          </w:p>
        </w:tc>
        <w:tc>
          <w:tcPr>
            <w:tcW w:w="0" w:type="dxa"/>
            <w:tcMar>
              <w:top w:w="60" w:type="dxa"/>
              <w:left w:w="80" w:type="dxa"/>
              <w:bottom w:w="60" w:type="dxa"/>
              <w:right w:w="80" w:type="dxa"/>
            </w:tcMar>
          </w:tcPr>
          <w:p w14:paraId="21631B7D" w14:textId="77777777" w:rsidR="001474D1" w:rsidRDefault="00000000">
            <w:r>
              <w:rPr>
                <w:sz w:val="17"/>
                <w:szCs w:val="17"/>
              </w:rPr>
              <w:t>Chromatography with mass spectrometric quantification of a defined arachidonic acid oxidation product</w:t>
            </w:r>
          </w:p>
        </w:tc>
        <w:tc>
          <w:tcPr>
            <w:tcW w:w="0" w:type="dxa"/>
            <w:tcMar>
              <w:top w:w="60" w:type="dxa"/>
              <w:left w:w="80" w:type="dxa"/>
              <w:bottom w:w="60" w:type="dxa"/>
              <w:right w:w="80" w:type="dxa"/>
            </w:tcMar>
          </w:tcPr>
          <w:p w14:paraId="722246CD" w14:textId="77777777" w:rsidR="001474D1" w:rsidRDefault="00000000">
            <w:r>
              <w:rPr>
                <w:sz w:val="17"/>
                <w:szCs w:val="17"/>
              </w:rPr>
              <w:t>Requires specialised instrumentation; concentrations vary with lactation stage and sampling schedule</w:t>
            </w:r>
          </w:p>
        </w:tc>
        <w:tc>
          <w:tcPr>
            <w:tcW w:w="0" w:type="dxa"/>
            <w:tcMar>
              <w:top w:w="60" w:type="dxa"/>
              <w:left w:w="80" w:type="dxa"/>
              <w:bottom w:w="60" w:type="dxa"/>
              <w:right w:w="80" w:type="dxa"/>
            </w:tcMar>
          </w:tcPr>
          <w:p w14:paraId="28030FC0" w14:textId="77777777" w:rsidR="001474D1" w:rsidRDefault="00000000">
            <w:r>
              <w:rPr>
                <w:sz w:val="17"/>
                <w:szCs w:val="17"/>
              </w:rPr>
              <w:t>Quantification of lipid peroxidation damage where specificity is required</w:t>
            </w:r>
          </w:p>
        </w:tc>
        <w:tc>
          <w:tcPr>
            <w:tcW w:w="0" w:type="dxa"/>
            <w:tcMar>
              <w:top w:w="60" w:type="dxa"/>
              <w:left w:w="80" w:type="dxa"/>
              <w:bottom w:w="60" w:type="dxa"/>
              <w:right w:w="80" w:type="dxa"/>
            </w:tcMar>
          </w:tcPr>
          <w:p w14:paraId="187FF42C" w14:textId="77777777" w:rsidR="001474D1" w:rsidRDefault="00000000">
            <w:r>
              <w:rPr>
                <w:sz w:val="17"/>
                <w:szCs w:val="17"/>
              </w:rPr>
              <w:t xml:space="preserve">Kuhn et al. (2018); </w:t>
            </w:r>
            <w:proofErr w:type="spellStart"/>
            <w:r>
              <w:rPr>
                <w:sz w:val="17"/>
                <w:szCs w:val="17"/>
              </w:rPr>
              <w:t>Mavangira</w:t>
            </w:r>
            <w:proofErr w:type="spellEnd"/>
            <w:r>
              <w:rPr>
                <w:sz w:val="17"/>
                <w:szCs w:val="17"/>
              </w:rPr>
              <w:t xml:space="preserve"> et al. (2016)</w:t>
            </w:r>
          </w:p>
        </w:tc>
      </w:tr>
      <w:tr w:rsidR="001474D1" w14:paraId="5875C540" w14:textId="77777777">
        <w:tc>
          <w:tcPr>
            <w:tcW w:w="0" w:type="dxa"/>
            <w:tcMar>
              <w:top w:w="60" w:type="dxa"/>
              <w:left w:w="80" w:type="dxa"/>
              <w:bottom w:w="60" w:type="dxa"/>
              <w:right w:w="80" w:type="dxa"/>
            </w:tcMar>
          </w:tcPr>
          <w:p w14:paraId="0E19B0D4" w14:textId="77777777" w:rsidR="001474D1" w:rsidRDefault="00000000">
            <w:proofErr w:type="spellStart"/>
            <w:r>
              <w:rPr>
                <w:sz w:val="17"/>
                <w:szCs w:val="17"/>
              </w:rPr>
              <w:t>Oxylipid</w:t>
            </w:r>
            <w:proofErr w:type="spellEnd"/>
            <w:r>
              <w:rPr>
                <w:sz w:val="17"/>
                <w:szCs w:val="17"/>
              </w:rPr>
              <w:t xml:space="preserve"> profile</w:t>
            </w:r>
          </w:p>
        </w:tc>
        <w:tc>
          <w:tcPr>
            <w:tcW w:w="0" w:type="dxa"/>
            <w:tcMar>
              <w:top w:w="60" w:type="dxa"/>
              <w:left w:w="80" w:type="dxa"/>
              <w:bottom w:w="60" w:type="dxa"/>
              <w:right w:w="80" w:type="dxa"/>
            </w:tcMar>
          </w:tcPr>
          <w:p w14:paraId="0AA15E4E" w14:textId="77777777" w:rsidR="001474D1" w:rsidRDefault="00000000">
            <w:r>
              <w:rPr>
                <w:sz w:val="17"/>
                <w:szCs w:val="17"/>
              </w:rPr>
              <w:t>Multiplexed chromatographic and mass spectrometric quantification of polyunsaturated fatty acid oxidation products</w:t>
            </w:r>
          </w:p>
        </w:tc>
        <w:tc>
          <w:tcPr>
            <w:tcW w:w="0" w:type="dxa"/>
            <w:tcMar>
              <w:top w:w="60" w:type="dxa"/>
              <w:left w:w="80" w:type="dxa"/>
              <w:bottom w:w="60" w:type="dxa"/>
              <w:right w:w="80" w:type="dxa"/>
            </w:tcMar>
          </w:tcPr>
          <w:p w14:paraId="6BAB8D08" w14:textId="77777777" w:rsidR="001474D1" w:rsidRDefault="00000000">
            <w:r>
              <w:rPr>
                <w:sz w:val="17"/>
                <w:szCs w:val="17"/>
              </w:rPr>
              <w:t>Analytically demanding; interpretation requires profile-level rather than single-analyte reasoning</w:t>
            </w:r>
          </w:p>
        </w:tc>
        <w:tc>
          <w:tcPr>
            <w:tcW w:w="0" w:type="dxa"/>
            <w:tcMar>
              <w:top w:w="60" w:type="dxa"/>
              <w:left w:w="80" w:type="dxa"/>
              <w:bottom w:w="60" w:type="dxa"/>
              <w:right w:w="80" w:type="dxa"/>
            </w:tcMar>
          </w:tcPr>
          <w:p w14:paraId="2F4E5CAD" w14:textId="77777777" w:rsidR="001474D1" w:rsidRDefault="00000000">
            <w:r>
              <w:rPr>
                <w:sz w:val="17"/>
                <w:szCs w:val="17"/>
              </w:rPr>
              <w:t>Prospective assessment of disease risk and characterisation of inflammatory resolution</w:t>
            </w:r>
          </w:p>
        </w:tc>
        <w:tc>
          <w:tcPr>
            <w:tcW w:w="0" w:type="dxa"/>
            <w:tcMar>
              <w:top w:w="60" w:type="dxa"/>
              <w:left w:w="80" w:type="dxa"/>
              <w:bottom w:w="60" w:type="dxa"/>
              <w:right w:w="80" w:type="dxa"/>
            </w:tcMar>
          </w:tcPr>
          <w:p w14:paraId="6C461A8F" w14:textId="77777777" w:rsidR="001474D1" w:rsidRDefault="00000000">
            <w:proofErr w:type="spellStart"/>
            <w:r>
              <w:rPr>
                <w:sz w:val="17"/>
                <w:szCs w:val="17"/>
              </w:rPr>
              <w:t>Mavangira</w:t>
            </w:r>
            <w:proofErr w:type="spellEnd"/>
            <w:r>
              <w:rPr>
                <w:sz w:val="17"/>
                <w:szCs w:val="17"/>
              </w:rPr>
              <w:t xml:space="preserve"> and Sordillo (2018); Putman et al. (2022); Sordillo (2018)</w:t>
            </w:r>
          </w:p>
        </w:tc>
      </w:tr>
      <w:tr w:rsidR="001474D1" w14:paraId="039F249C" w14:textId="77777777">
        <w:tc>
          <w:tcPr>
            <w:tcW w:w="0" w:type="dxa"/>
            <w:tcMar>
              <w:top w:w="60" w:type="dxa"/>
              <w:left w:w="80" w:type="dxa"/>
              <w:bottom w:w="60" w:type="dxa"/>
              <w:right w:w="80" w:type="dxa"/>
            </w:tcMar>
          </w:tcPr>
          <w:p w14:paraId="391D1845" w14:textId="77777777" w:rsidR="001474D1" w:rsidRDefault="00000000">
            <w:r>
              <w:rPr>
                <w:sz w:val="17"/>
                <w:szCs w:val="17"/>
              </w:rPr>
              <w:t>Protein oxidation products</w:t>
            </w:r>
          </w:p>
        </w:tc>
        <w:tc>
          <w:tcPr>
            <w:tcW w:w="0" w:type="dxa"/>
            <w:tcMar>
              <w:top w:w="60" w:type="dxa"/>
              <w:left w:w="80" w:type="dxa"/>
              <w:bottom w:w="60" w:type="dxa"/>
              <w:right w:w="80" w:type="dxa"/>
            </w:tcMar>
          </w:tcPr>
          <w:p w14:paraId="2C38D7C0" w14:textId="77777777" w:rsidR="001474D1" w:rsidRDefault="00000000">
            <w:r>
              <w:rPr>
                <w:sz w:val="17"/>
                <w:szCs w:val="17"/>
              </w:rPr>
              <w:t>Quantification of carbonyls and related modifications</w:t>
            </w:r>
          </w:p>
        </w:tc>
        <w:tc>
          <w:tcPr>
            <w:tcW w:w="0" w:type="dxa"/>
            <w:tcMar>
              <w:top w:w="60" w:type="dxa"/>
              <w:left w:w="80" w:type="dxa"/>
              <w:bottom w:w="60" w:type="dxa"/>
              <w:right w:w="80" w:type="dxa"/>
            </w:tcMar>
          </w:tcPr>
          <w:p w14:paraId="1BB99B92" w14:textId="77777777" w:rsidR="001474D1" w:rsidRDefault="00000000">
            <w:r>
              <w:rPr>
                <w:sz w:val="17"/>
                <w:szCs w:val="17"/>
              </w:rPr>
              <w:t>Sparsely applied in cattle; limited comparative data across studies</w:t>
            </w:r>
          </w:p>
        </w:tc>
        <w:tc>
          <w:tcPr>
            <w:tcW w:w="0" w:type="dxa"/>
            <w:tcMar>
              <w:top w:w="60" w:type="dxa"/>
              <w:left w:w="80" w:type="dxa"/>
              <w:bottom w:w="60" w:type="dxa"/>
              <w:right w:w="80" w:type="dxa"/>
            </w:tcMar>
          </w:tcPr>
          <w:p w14:paraId="3A91FA12" w14:textId="77777777" w:rsidR="001474D1" w:rsidRDefault="00000000">
            <w:r>
              <w:rPr>
                <w:sz w:val="17"/>
                <w:szCs w:val="17"/>
              </w:rPr>
              <w:t>Assessment of cumulative oxidative damage with greater persistence than lipid aldehydes</w:t>
            </w:r>
          </w:p>
        </w:tc>
        <w:tc>
          <w:tcPr>
            <w:tcW w:w="0" w:type="dxa"/>
            <w:tcMar>
              <w:top w:w="60" w:type="dxa"/>
              <w:left w:w="80" w:type="dxa"/>
              <w:bottom w:w="60" w:type="dxa"/>
              <w:right w:w="80" w:type="dxa"/>
            </w:tcMar>
          </w:tcPr>
          <w:p w14:paraId="0D3349B4" w14:textId="77777777" w:rsidR="001474D1" w:rsidRDefault="00000000">
            <w:r>
              <w:rPr>
                <w:sz w:val="17"/>
                <w:szCs w:val="17"/>
              </w:rPr>
              <w:t>Celi and Gabai (2015)</w:t>
            </w:r>
          </w:p>
        </w:tc>
      </w:tr>
    </w:tbl>
    <w:p w14:paraId="0B4C1A37" w14:textId="77777777" w:rsidR="001474D1" w:rsidRDefault="00000000">
      <w:pPr>
        <w:spacing w:before="80" w:after="240" w:line="260" w:lineRule="auto"/>
      </w:pPr>
      <w:r>
        <w:rPr>
          <w:i/>
          <w:iCs/>
          <w:sz w:val="17"/>
          <w:szCs w:val="17"/>
        </w:rPr>
        <w:t xml:space="preserve">Note. </w:t>
      </w:r>
      <w:r>
        <w:rPr>
          <w:sz w:val="17"/>
          <w:szCs w:val="17"/>
        </w:rPr>
        <w:t>Values from different analytical traditions are not interconvertible. Selection of a biomarker should follow from the inferential claim intended, distinguishing exposure to oxidants from damage sustained and from residual defence capacity.</w:t>
      </w:r>
    </w:p>
    <w:p w14:paraId="01966389" w14:textId="77777777" w:rsidR="001474D1" w:rsidRDefault="00000000">
      <w:pPr>
        <w:pStyle w:val="Heading1"/>
        <w:spacing w:before="320" w:after="160" w:line="360" w:lineRule="auto"/>
      </w:pPr>
      <w:r>
        <w:rPr>
          <w:b/>
          <w:bCs/>
          <w:color w:val="000000"/>
          <w:sz w:val="26"/>
          <w:szCs w:val="26"/>
        </w:rPr>
        <w:t>6. Redox Status and Periparturient Disease: Direction and Strength of the Association</w:t>
      </w:r>
    </w:p>
    <w:p w14:paraId="0175310D" w14:textId="77777777" w:rsidR="001474D1" w:rsidRDefault="00000000">
      <w:pPr>
        <w:pStyle w:val="Heading2"/>
        <w:spacing w:before="240" w:after="120" w:line="360" w:lineRule="auto"/>
      </w:pPr>
      <w:r>
        <w:rPr>
          <w:b/>
          <w:bCs/>
          <w:color w:val="000000"/>
          <w:sz w:val="23"/>
          <w:szCs w:val="23"/>
        </w:rPr>
        <w:t>6.1 Metabolic disorders</w:t>
      </w:r>
    </w:p>
    <w:p w14:paraId="07E76EA2" w14:textId="77777777" w:rsidR="001474D1" w:rsidRDefault="00000000">
      <w:pPr>
        <w:spacing w:after="120" w:line="360" w:lineRule="auto"/>
        <w:jc w:val="both"/>
      </w:pPr>
      <w:r>
        <w:t xml:space="preserve">The association between redox alteration and metabolic disease is consistent in direction and moderate in strength. Cows developing ketosis or displaced abomasum exhibit higher malondialdehyde and lower antioxidant potential than clinically healthy contemporaries sampled in the same herds, whereas the healthy animals show comparatively little change across the transition (Tsuchiya et al., 2020). Indices of oxidative status correlate with circulating non-esterified fatty acid and beta-hydroxybutyrate concentrations in </w:t>
      </w:r>
      <w:proofErr w:type="spellStart"/>
      <w:r>
        <w:t>ketotic</w:t>
      </w:r>
      <w:proofErr w:type="spellEnd"/>
      <w:r>
        <w:t xml:space="preserve"> cows (Y. Li et al., 2016). Hepatic tissue from cows with fatty liver shows reduced mitophagy marker abundance with corresponding functional consequences demonstrated experimentally (Fang et al., 2022), and adipose tissue from </w:t>
      </w:r>
      <w:proofErr w:type="spellStart"/>
      <w:r>
        <w:t>ketotic</w:t>
      </w:r>
      <w:proofErr w:type="spellEnd"/>
      <w:r>
        <w:t xml:space="preserve"> animals shows the </w:t>
      </w:r>
      <w:proofErr w:type="spellStart"/>
      <w:r>
        <w:t>ferroptotic</w:t>
      </w:r>
      <w:proofErr w:type="spellEnd"/>
      <w:r>
        <w:t xml:space="preserve"> signature described earlier (Fan et al., 2024, 2025).</w:t>
      </w:r>
    </w:p>
    <w:p w14:paraId="548BF096" w14:textId="77777777" w:rsidR="001474D1" w:rsidRDefault="00000000">
      <w:pPr>
        <w:spacing w:after="120" w:line="360" w:lineRule="auto"/>
        <w:jc w:val="both"/>
      </w:pPr>
      <w:r>
        <w:t>Causal direction remains the unresolved question. Redox alteration could be a consequence of the metabolic disturbance, a contributor to it, or a parallel consequence of a shared upstream driver, most plausibly the intensity of lipid mobilisation. The finding by Abuelo et al. (2016) that oxidative status is associated with insulin sensitivity in periparturient cattle is consistent with a bidirectional relationship, since oxidative modification of insulin signalling components is an established mechanism in other species, but the observational design of that study cannot establish direction. The demonstration by Mezzetti et al. (2019) that impaired immune function during the dry period precedes subclinical ketosis provides indirect support for the position that redox and inflammatory alterations may be antecedent rather than consequent, at least in part.</w:t>
      </w:r>
    </w:p>
    <w:p w14:paraId="179990BE" w14:textId="77777777" w:rsidR="001474D1" w:rsidRDefault="00000000">
      <w:pPr>
        <w:pStyle w:val="Heading2"/>
        <w:spacing w:before="240" w:after="120" w:line="360" w:lineRule="auto"/>
      </w:pPr>
      <w:r>
        <w:rPr>
          <w:b/>
          <w:bCs/>
          <w:color w:val="000000"/>
          <w:sz w:val="23"/>
          <w:szCs w:val="23"/>
        </w:rPr>
        <w:t>6.2 Mastitis and udder health</w:t>
      </w:r>
    </w:p>
    <w:p w14:paraId="7952991E" w14:textId="77777777" w:rsidR="001474D1" w:rsidRDefault="00000000">
      <w:pPr>
        <w:spacing w:after="120" w:line="360" w:lineRule="auto"/>
        <w:jc w:val="both"/>
      </w:pPr>
      <w:r>
        <w:lastRenderedPageBreak/>
        <w:t>For intramammary infection the evidence is stronger for a role of redox status in determining severity than in determining susceptibility. Cows with acute coliform mastitis, principally attributable to Escherichia coli, exhibit markedly elevated 15-F2t-isoprostane concentrations with local production in the gland exceeding systemic concentrations, indicating that oxidative injury is a feature of the inflammatory lesion (</w:t>
      </w:r>
      <w:proofErr w:type="spellStart"/>
      <w:r>
        <w:t>Mavangira</w:t>
      </w:r>
      <w:proofErr w:type="spellEnd"/>
      <w:r>
        <w:t xml:space="preserve"> et al., 2016). The </w:t>
      </w:r>
      <w:proofErr w:type="spellStart"/>
      <w:r>
        <w:t>oxylipid</w:t>
      </w:r>
      <w:proofErr w:type="spellEnd"/>
      <w:r>
        <w:t xml:space="preserve"> framework accounts for this in terms of the balance between mediators that amplify and mediators that resolve inflammation, with oxidative stress shifting the balance towards amplification and delayed resolution (Sordillo, 2018).</w:t>
      </w:r>
    </w:p>
    <w:p w14:paraId="70C91AC4" w14:textId="77777777" w:rsidR="001474D1" w:rsidRDefault="00000000">
      <w:pPr>
        <w:spacing w:after="120" w:line="360" w:lineRule="auto"/>
        <w:jc w:val="both"/>
      </w:pPr>
      <w:r>
        <w:t xml:space="preserve">Evidence that redox status determines susceptibility is weaker and derives largely from supplementation trials in animals with inadequate antioxidant intake. Weiss et al. (1997) demonstrated that vitamin E supplementation reduced clinical mastitis in cows fed diets low in selenium, which establishes benefit under deficiency but not a general susceptibility mechanism. The countervailing result of </w:t>
      </w:r>
      <w:proofErr w:type="spellStart"/>
      <w:r>
        <w:t>Bouwstra</w:t>
      </w:r>
      <w:proofErr w:type="spellEnd"/>
      <w:r>
        <w:t>, Nielen, Stegeman, et al. (2010) is discussed in Section 7. Selection for milk yield, herd management and pathogen exposure exert effects on mastitis incidence of a magnitude that makes the marginal contribution of redox status difficult to isolate in field data.</w:t>
      </w:r>
    </w:p>
    <w:p w14:paraId="6E14CF9B" w14:textId="77777777" w:rsidR="001474D1" w:rsidRDefault="00000000">
      <w:pPr>
        <w:pStyle w:val="Heading2"/>
        <w:spacing w:before="240" w:after="120" w:line="360" w:lineRule="auto"/>
      </w:pPr>
      <w:r>
        <w:rPr>
          <w:b/>
          <w:bCs/>
          <w:color w:val="000000"/>
          <w:sz w:val="23"/>
          <w:szCs w:val="23"/>
        </w:rPr>
        <w:t>6.3 Reproductive and immune outcomes</w:t>
      </w:r>
    </w:p>
    <w:p w14:paraId="2F6D57A2" w14:textId="77777777" w:rsidR="001474D1" w:rsidRDefault="00000000">
      <w:pPr>
        <w:spacing w:after="120" w:line="360" w:lineRule="auto"/>
        <w:jc w:val="both"/>
      </w:pPr>
      <w:r>
        <w:t>Retained foetal membranes and impaired uterine involution have long been linked to antioxidant status, principally through the selenium and vitamin E literature. The meta-analysis by Moghimi-</w:t>
      </w:r>
      <w:proofErr w:type="spellStart"/>
      <w:r>
        <w:t>Kandelousi</w:t>
      </w:r>
      <w:proofErr w:type="spellEnd"/>
      <w:r>
        <w:t xml:space="preserve"> et al. (2020) is the most rigorous quantitative treatment available: pooling controlled studies of vitamin E supplementation in transition cows, it reported improvement in reproductive performance variables, including a reduction in days open that scaled with dose, alongside an absence of effect on somatic cell count and colostrum quality. The dissociation between reproductive and udder health outcomes within the same analysis is informative, since it indicates that vitamin E status influences some periparturient processes and not others, and cautions against treating antioxidant supplementation as a general prophylactic.</w:t>
      </w:r>
    </w:p>
    <w:p w14:paraId="10C7B21A" w14:textId="77777777" w:rsidR="001474D1" w:rsidRDefault="00000000">
      <w:pPr>
        <w:spacing w:after="120" w:line="360" w:lineRule="auto"/>
        <w:jc w:val="both"/>
      </w:pPr>
      <w:r>
        <w:t>Immune outcomes occupy an intermediate position. Impairment of neutrophil oxidative burst and phagocytic capacity around calving is well documented, and Sordillo (2016) and Abuelo (2025) both argue that redox imbalance is a principal determinant. Interventions that improve redox indices frequently improve leukocyte function measures in parallel, as reported for rumen-protected methionine (</w:t>
      </w:r>
      <w:proofErr w:type="spellStart"/>
      <w:r>
        <w:t>Batistel</w:t>
      </w:r>
      <w:proofErr w:type="spellEnd"/>
      <w:r>
        <w:t xml:space="preserve"> et al., 2018) and for injectable trace minerals (Silva et al., 2022; </w:t>
      </w:r>
      <w:proofErr w:type="spellStart"/>
      <w:r>
        <w:t>Somagond</w:t>
      </w:r>
      <w:proofErr w:type="spellEnd"/>
      <w:r>
        <w:t xml:space="preserve"> et al., 2023). Whether these functional improvements translate into reduced disease incidence has been demonstrated far less often, and the studies that measured both generally lacked the number of experimental units required to detect plausible differences in incidence.</w:t>
      </w:r>
    </w:p>
    <w:p w14:paraId="58085786" w14:textId="77777777" w:rsidR="001474D1" w:rsidRDefault="00000000">
      <w:pPr>
        <w:spacing w:after="120" w:line="360" w:lineRule="auto"/>
        <w:jc w:val="both"/>
      </w:pPr>
      <w:r>
        <w:t>Table 4 presents representative evidence by disease theme, with attention to design and to the inferential limits of each body of work. The pattern across themes is uniform: associations are consistently detected, prospective demonstrations are rare, and studies powered for clinical incidence are rarer still.</w:t>
      </w:r>
    </w:p>
    <w:p w14:paraId="5312A5D7" w14:textId="77777777" w:rsidR="001474D1" w:rsidRDefault="00000000">
      <w:pPr>
        <w:spacing w:before="240" w:after="100" w:line="300" w:lineRule="auto"/>
      </w:pPr>
      <w:r>
        <w:rPr>
          <w:b/>
          <w:bCs/>
          <w:sz w:val="21"/>
          <w:szCs w:val="21"/>
        </w:rPr>
        <w:lastRenderedPageBreak/>
        <w:t>Table 4. Representative evidence linking redox variables to periparturient disease outcomes</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136"/>
        <w:gridCol w:w="2078"/>
        <w:gridCol w:w="1858"/>
        <w:gridCol w:w="1753"/>
        <w:gridCol w:w="1535"/>
      </w:tblGrid>
      <w:tr w:rsidR="001474D1" w14:paraId="031B409F" w14:textId="77777777">
        <w:trPr>
          <w:tblHeader/>
        </w:trPr>
        <w:tc>
          <w:tcPr>
            <w:tcW w:w="0" w:type="dxa"/>
            <w:shd w:val="clear" w:color="auto" w:fill="EAEAEA"/>
            <w:tcMar>
              <w:top w:w="60" w:type="dxa"/>
              <w:left w:w="80" w:type="dxa"/>
              <w:bottom w:w="60" w:type="dxa"/>
              <w:right w:w="80" w:type="dxa"/>
            </w:tcMar>
          </w:tcPr>
          <w:p w14:paraId="0D71141B" w14:textId="77777777" w:rsidR="001474D1" w:rsidRDefault="00000000">
            <w:r>
              <w:rPr>
                <w:b/>
                <w:bCs/>
                <w:sz w:val="17"/>
                <w:szCs w:val="17"/>
              </w:rPr>
              <w:t>Disease theme</w:t>
            </w:r>
          </w:p>
        </w:tc>
        <w:tc>
          <w:tcPr>
            <w:tcW w:w="0" w:type="dxa"/>
            <w:shd w:val="clear" w:color="auto" w:fill="EAEAEA"/>
            <w:tcMar>
              <w:top w:w="60" w:type="dxa"/>
              <w:left w:w="80" w:type="dxa"/>
              <w:bottom w:w="60" w:type="dxa"/>
              <w:right w:w="80" w:type="dxa"/>
            </w:tcMar>
          </w:tcPr>
          <w:p w14:paraId="461D11F8" w14:textId="77777777" w:rsidR="001474D1" w:rsidRDefault="00000000">
            <w:r>
              <w:rPr>
                <w:b/>
                <w:bCs/>
                <w:sz w:val="17"/>
                <w:szCs w:val="17"/>
              </w:rPr>
              <w:t>Principal redox finding</w:t>
            </w:r>
          </w:p>
        </w:tc>
        <w:tc>
          <w:tcPr>
            <w:tcW w:w="0" w:type="dxa"/>
            <w:shd w:val="clear" w:color="auto" w:fill="EAEAEA"/>
            <w:tcMar>
              <w:top w:w="60" w:type="dxa"/>
              <w:left w:w="80" w:type="dxa"/>
              <w:bottom w:w="60" w:type="dxa"/>
              <w:right w:w="80" w:type="dxa"/>
            </w:tcMar>
          </w:tcPr>
          <w:p w14:paraId="64473FD7" w14:textId="77777777" w:rsidR="001474D1" w:rsidRDefault="00000000">
            <w:r>
              <w:rPr>
                <w:b/>
                <w:bCs/>
                <w:sz w:val="17"/>
                <w:szCs w:val="17"/>
              </w:rPr>
              <w:t>Predominant design</w:t>
            </w:r>
          </w:p>
        </w:tc>
        <w:tc>
          <w:tcPr>
            <w:tcW w:w="0" w:type="dxa"/>
            <w:shd w:val="clear" w:color="auto" w:fill="EAEAEA"/>
            <w:tcMar>
              <w:top w:w="60" w:type="dxa"/>
              <w:left w:w="80" w:type="dxa"/>
              <w:bottom w:w="60" w:type="dxa"/>
              <w:right w:w="80" w:type="dxa"/>
            </w:tcMar>
          </w:tcPr>
          <w:p w14:paraId="1C6918C3" w14:textId="77777777" w:rsidR="001474D1" w:rsidRDefault="00000000">
            <w:r>
              <w:rPr>
                <w:b/>
                <w:bCs/>
                <w:sz w:val="17"/>
                <w:szCs w:val="17"/>
              </w:rPr>
              <w:t>Inferential limitation</w:t>
            </w:r>
          </w:p>
        </w:tc>
        <w:tc>
          <w:tcPr>
            <w:tcW w:w="0" w:type="dxa"/>
            <w:shd w:val="clear" w:color="auto" w:fill="EAEAEA"/>
            <w:tcMar>
              <w:top w:w="60" w:type="dxa"/>
              <w:left w:w="80" w:type="dxa"/>
              <w:bottom w:w="60" w:type="dxa"/>
              <w:right w:w="80" w:type="dxa"/>
            </w:tcMar>
          </w:tcPr>
          <w:p w14:paraId="06E7BBC6" w14:textId="77777777" w:rsidR="001474D1" w:rsidRDefault="00000000">
            <w:r>
              <w:rPr>
                <w:b/>
                <w:bCs/>
                <w:sz w:val="17"/>
                <w:szCs w:val="17"/>
              </w:rPr>
              <w:t>Supporting references</w:t>
            </w:r>
          </w:p>
        </w:tc>
      </w:tr>
      <w:tr w:rsidR="001474D1" w14:paraId="42D4423B" w14:textId="77777777">
        <w:tc>
          <w:tcPr>
            <w:tcW w:w="0" w:type="dxa"/>
            <w:tcMar>
              <w:top w:w="60" w:type="dxa"/>
              <w:left w:w="80" w:type="dxa"/>
              <w:bottom w:w="60" w:type="dxa"/>
              <w:right w:w="80" w:type="dxa"/>
            </w:tcMar>
          </w:tcPr>
          <w:p w14:paraId="478AD540" w14:textId="77777777" w:rsidR="001474D1" w:rsidRDefault="00000000">
            <w:r>
              <w:rPr>
                <w:sz w:val="17"/>
                <w:szCs w:val="17"/>
              </w:rPr>
              <w:t>Hyperketonaemia and fatty liver</w:t>
            </w:r>
          </w:p>
        </w:tc>
        <w:tc>
          <w:tcPr>
            <w:tcW w:w="0" w:type="dxa"/>
            <w:tcMar>
              <w:top w:w="60" w:type="dxa"/>
              <w:left w:w="80" w:type="dxa"/>
              <w:bottom w:w="60" w:type="dxa"/>
              <w:right w:w="80" w:type="dxa"/>
            </w:tcMar>
          </w:tcPr>
          <w:p w14:paraId="3423C8A7" w14:textId="77777777" w:rsidR="001474D1" w:rsidRDefault="00000000">
            <w:r>
              <w:rPr>
                <w:sz w:val="17"/>
                <w:szCs w:val="17"/>
              </w:rPr>
              <w:t xml:space="preserve">Higher lipid peroxidation and lower antioxidant potential in affected cows; reduced hepatic mitophagy markers; adipose </w:t>
            </w:r>
            <w:proofErr w:type="spellStart"/>
            <w:r>
              <w:rPr>
                <w:sz w:val="17"/>
                <w:szCs w:val="17"/>
              </w:rPr>
              <w:t>ferroptotic</w:t>
            </w:r>
            <w:proofErr w:type="spellEnd"/>
            <w:r>
              <w:rPr>
                <w:sz w:val="17"/>
                <w:szCs w:val="17"/>
              </w:rPr>
              <w:t xml:space="preserve"> signature</w:t>
            </w:r>
          </w:p>
        </w:tc>
        <w:tc>
          <w:tcPr>
            <w:tcW w:w="0" w:type="dxa"/>
            <w:tcMar>
              <w:top w:w="60" w:type="dxa"/>
              <w:left w:w="80" w:type="dxa"/>
              <w:bottom w:w="60" w:type="dxa"/>
              <w:right w:w="80" w:type="dxa"/>
            </w:tcMar>
          </w:tcPr>
          <w:p w14:paraId="5BD57553" w14:textId="77777777" w:rsidR="001474D1" w:rsidRDefault="00000000">
            <w:r>
              <w:rPr>
                <w:sz w:val="17"/>
                <w:szCs w:val="17"/>
              </w:rPr>
              <w:t>Case-control comparison with supporting cell experiments</w:t>
            </w:r>
          </w:p>
        </w:tc>
        <w:tc>
          <w:tcPr>
            <w:tcW w:w="0" w:type="dxa"/>
            <w:tcMar>
              <w:top w:w="60" w:type="dxa"/>
              <w:left w:w="80" w:type="dxa"/>
              <w:bottom w:w="60" w:type="dxa"/>
              <w:right w:w="80" w:type="dxa"/>
            </w:tcMar>
          </w:tcPr>
          <w:p w14:paraId="2702D602" w14:textId="77777777" w:rsidR="001474D1" w:rsidRDefault="00000000">
            <w:r>
              <w:rPr>
                <w:sz w:val="17"/>
                <w:szCs w:val="17"/>
              </w:rPr>
              <w:t>Causal direction unresolved; shared upstream driver plausible</w:t>
            </w:r>
          </w:p>
        </w:tc>
        <w:tc>
          <w:tcPr>
            <w:tcW w:w="0" w:type="dxa"/>
            <w:tcMar>
              <w:top w:w="60" w:type="dxa"/>
              <w:left w:w="80" w:type="dxa"/>
              <w:bottom w:w="60" w:type="dxa"/>
              <w:right w:w="80" w:type="dxa"/>
            </w:tcMar>
          </w:tcPr>
          <w:p w14:paraId="32D8D0EF" w14:textId="77777777" w:rsidR="001474D1" w:rsidRDefault="00000000">
            <w:r>
              <w:rPr>
                <w:sz w:val="17"/>
                <w:szCs w:val="17"/>
              </w:rPr>
              <w:t>Fan et al. (2024); Fan et al. (2025); Fang et al. (2022); Y. Li et al. (2016); Tsuchiya et al. (2020)</w:t>
            </w:r>
          </w:p>
        </w:tc>
      </w:tr>
      <w:tr w:rsidR="001474D1" w14:paraId="23B8B273" w14:textId="77777777">
        <w:tc>
          <w:tcPr>
            <w:tcW w:w="0" w:type="dxa"/>
            <w:tcMar>
              <w:top w:w="60" w:type="dxa"/>
              <w:left w:w="80" w:type="dxa"/>
              <w:bottom w:w="60" w:type="dxa"/>
              <w:right w:w="80" w:type="dxa"/>
            </w:tcMar>
          </w:tcPr>
          <w:p w14:paraId="63FDB05E" w14:textId="77777777" w:rsidR="001474D1" w:rsidRDefault="00000000">
            <w:r>
              <w:rPr>
                <w:sz w:val="17"/>
                <w:szCs w:val="17"/>
              </w:rPr>
              <w:t>Displaced abomasum</w:t>
            </w:r>
          </w:p>
        </w:tc>
        <w:tc>
          <w:tcPr>
            <w:tcW w:w="0" w:type="dxa"/>
            <w:tcMar>
              <w:top w:w="60" w:type="dxa"/>
              <w:left w:w="80" w:type="dxa"/>
              <w:bottom w:w="60" w:type="dxa"/>
              <w:right w:w="80" w:type="dxa"/>
            </w:tcMar>
          </w:tcPr>
          <w:p w14:paraId="1663E54F" w14:textId="77777777" w:rsidR="001474D1" w:rsidRDefault="00000000">
            <w:r>
              <w:rPr>
                <w:sz w:val="17"/>
                <w:szCs w:val="17"/>
              </w:rPr>
              <w:t xml:space="preserve">Elevated malondialdehyde and depressed antioxidant potential relative to healthy </w:t>
            </w:r>
            <w:proofErr w:type="spellStart"/>
            <w:r>
              <w:rPr>
                <w:sz w:val="17"/>
                <w:szCs w:val="17"/>
              </w:rPr>
              <w:t>herdmates</w:t>
            </w:r>
            <w:proofErr w:type="spellEnd"/>
          </w:p>
        </w:tc>
        <w:tc>
          <w:tcPr>
            <w:tcW w:w="0" w:type="dxa"/>
            <w:tcMar>
              <w:top w:w="60" w:type="dxa"/>
              <w:left w:w="80" w:type="dxa"/>
              <w:bottom w:w="60" w:type="dxa"/>
              <w:right w:w="80" w:type="dxa"/>
            </w:tcMar>
          </w:tcPr>
          <w:p w14:paraId="1160D567" w14:textId="77777777" w:rsidR="001474D1" w:rsidRDefault="00000000">
            <w:r>
              <w:rPr>
                <w:sz w:val="17"/>
                <w:szCs w:val="17"/>
              </w:rPr>
              <w:t>Observational cohort within commercial herds</w:t>
            </w:r>
          </w:p>
        </w:tc>
        <w:tc>
          <w:tcPr>
            <w:tcW w:w="0" w:type="dxa"/>
            <w:tcMar>
              <w:top w:w="60" w:type="dxa"/>
              <w:left w:w="80" w:type="dxa"/>
              <w:bottom w:w="60" w:type="dxa"/>
              <w:right w:w="80" w:type="dxa"/>
            </w:tcMar>
          </w:tcPr>
          <w:p w14:paraId="4AE791C1" w14:textId="77777777" w:rsidR="001474D1" w:rsidRDefault="00000000">
            <w:r>
              <w:rPr>
                <w:sz w:val="17"/>
                <w:szCs w:val="17"/>
              </w:rPr>
              <w:t>Small numbers of affected animals; concurrent disease confounding</w:t>
            </w:r>
          </w:p>
        </w:tc>
        <w:tc>
          <w:tcPr>
            <w:tcW w:w="0" w:type="dxa"/>
            <w:tcMar>
              <w:top w:w="60" w:type="dxa"/>
              <w:left w:w="80" w:type="dxa"/>
              <w:bottom w:w="60" w:type="dxa"/>
              <w:right w:w="80" w:type="dxa"/>
            </w:tcMar>
          </w:tcPr>
          <w:p w14:paraId="30CF81F0" w14:textId="77777777" w:rsidR="001474D1" w:rsidRDefault="00000000">
            <w:r>
              <w:rPr>
                <w:sz w:val="17"/>
                <w:szCs w:val="17"/>
              </w:rPr>
              <w:t>Tsuchiya et al. (2020)</w:t>
            </w:r>
          </w:p>
        </w:tc>
      </w:tr>
      <w:tr w:rsidR="001474D1" w14:paraId="11AD000C" w14:textId="77777777">
        <w:tc>
          <w:tcPr>
            <w:tcW w:w="0" w:type="dxa"/>
            <w:tcMar>
              <w:top w:w="60" w:type="dxa"/>
              <w:left w:w="80" w:type="dxa"/>
              <w:bottom w:w="60" w:type="dxa"/>
              <w:right w:w="80" w:type="dxa"/>
            </w:tcMar>
          </w:tcPr>
          <w:p w14:paraId="7FA2AC95" w14:textId="77777777" w:rsidR="001474D1" w:rsidRDefault="00000000">
            <w:r>
              <w:rPr>
                <w:sz w:val="17"/>
                <w:szCs w:val="17"/>
              </w:rPr>
              <w:t>Coliform mastitis</w:t>
            </w:r>
          </w:p>
        </w:tc>
        <w:tc>
          <w:tcPr>
            <w:tcW w:w="0" w:type="dxa"/>
            <w:tcMar>
              <w:top w:w="60" w:type="dxa"/>
              <w:left w:w="80" w:type="dxa"/>
              <w:bottom w:w="60" w:type="dxa"/>
              <w:right w:w="80" w:type="dxa"/>
            </w:tcMar>
          </w:tcPr>
          <w:p w14:paraId="1EC3C2EC" w14:textId="77777777" w:rsidR="001474D1" w:rsidRDefault="00000000">
            <w:r>
              <w:rPr>
                <w:sz w:val="17"/>
                <w:szCs w:val="17"/>
              </w:rPr>
              <w:t>Marked elevation of 15-F2t-isoprostane with local production exceeding systemic concentrations</w:t>
            </w:r>
          </w:p>
        </w:tc>
        <w:tc>
          <w:tcPr>
            <w:tcW w:w="0" w:type="dxa"/>
            <w:tcMar>
              <w:top w:w="60" w:type="dxa"/>
              <w:left w:w="80" w:type="dxa"/>
              <w:bottom w:w="60" w:type="dxa"/>
              <w:right w:w="80" w:type="dxa"/>
            </w:tcMar>
          </w:tcPr>
          <w:p w14:paraId="571995B3" w14:textId="77777777" w:rsidR="001474D1" w:rsidRDefault="00000000">
            <w:r>
              <w:rPr>
                <w:sz w:val="17"/>
                <w:szCs w:val="17"/>
              </w:rPr>
              <w:t>Clinical case series with quantitative mass spectrometry</w:t>
            </w:r>
          </w:p>
        </w:tc>
        <w:tc>
          <w:tcPr>
            <w:tcW w:w="0" w:type="dxa"/>
            <w:tcMar>
              <w:top w:w="60" w:type="dxa"/>
              <w:left w:w="80" w:type="dxa"/>
              <w:bottom w:w="60" w:type="dxa"/>
              <w:right w:w="80" w:type="dxa"/>
            </w:tcMar>
          </w:tcPr>
          <w:p w14:paraId="0B90D630" w14:textId="77777777" w:rsidR="001474D1" w:rsidRDefault="00000000">
            <w:r>
              <w:rPr>
                <w:sz w:val="17"/>
                <w:szCs w:val="17"/>
              </w:rPr>
              <w:t>Establishes severity association, not susceptibility</w:t>
            </w:r>
          </w:p>
        </w:tc>
        <w:tc>
          <w:tcPr>
            <w:tcW w:w="0" w:type="dxa"/>
            <w:tcMar>
              <w:top w:w="60" w:type="dxa"/>
              <w:left w:w="80" w:type="dxa"/>
              <w:bottom w:w="60" w:type="dxa"/>
              <w:right w:w="80" w:type="dxa"/>
            </w:tcMar>
          </w:tcPr>
          <w:p w14:paraId="4E75A0F7" w14:textId="77777777" w:rsidR="001474D1" w:rsidRDefault="00000000">
            <w:proofErr w:type="spellStart"/>
            <w:r>
              <w:rPr>
                <w:sz w:val="17"/>
                <w:szCs w:val="17"/>
              </w:rPr>
              <w:t>Mavangira</w:t>
            </w:r>
            <w:proofErr w:type="spellEnd"/>
            <w:r>
              <w:rPr>
                <w:sz w:val="17"/>
                <w:szCs w:val="17"/>
              </w:rPr>
              <w:t xml:space="preserve"> et al. (2016); Sordillo (2018)</w:t>
            </w:r>
          </w:p>
        </w:tc>
      </w:tr>
      <w:tr w:rsidR="001474D1" w14:paraId="66453099" w14:textId="77777777">
        <w:tc>
          <w:tcPr>
            <w:tcW w:w="0" w:type="dxa"/>
            <w:tcMar>
              <w:top w:w="60" w:type="dxa"/>
              <w:left w:w="80" w:type="dxa"/>
              <w:bottom w:w="60" w:type="dxa"/>
              <w:right w:w="80" w:type="dxa"/>
            </w:tcMar>
          </w:tcPr>
          <w:p w14:paraId="34E77772" w14:textId="77777777" w:rsidR="001474D1" w:rsidRDefault="00000000">
            <w:r>
              <w:rPr>
                <w:sz w:val="17"/>
                <w:szCs w:val="17"/>
              </w:rPr>
              <w:t>Mastitis susceptibility</w:t>
            </w:r>
          </w:p>
        </w:tc>
        <w:tc>
          <w:tcPr>
            <w:tcW w:w="0" w:type="dxa"/>
            <w:tcMar>
              <w:top w:w="60" w:type="dxa"/>
              <w:left w:w="80" w:type="dxa"/>
              <w:bottom w:w="60" w:type="dxa"/>
              <w:right w:w="80" w:type="dxa"/>
            </w:tcMar>
          </w:tcPr>
          <w:p w14:paraId="2EDE14E6" w14:textId="77777777" w:rsidR="001474D1" w:rsidRDefault="00000000">
            <w:r>
              <w:rPr>
                <w:sz w:val="17"/>
                <w:szCs w:val="17"/>
              </w:rPr>
              <w:t>Reduced clinical incidence with vitamin E supplementation in low-selenium diets; increased incidence with supplementation in replete cows</w:t>
            </w:r>
          </w:p>
        </w:tc>
        <w:tc>
          <w:tcPr>
            <w:tcW w:w="0" w:type="dxa"/>
            <w:tcMar>
              <w:top w:w="60" w:type="dxa"/>
              <w:left w:w="80" w:type="dxa"/>
              <w:bottom w:w="60" w:type="dxa"/>
              <w:right w:w="80" w:type="dxa"/>
            </w:tcMar>
          </w:tcPr>
          <w:p w14:paraId="18D49625" w14:textId="77777777" w:rsidR="001474D1" w:rsidRDefault="00000000">
            <w:r>
              <w:rPr>
                <w:sz w:val="17"/>
                <w:szCs w:val="17"/>
              </w:rPr>
              <w:t>Randomised controlled trials in contrasting nutritional contexts</w:t>
            </w:r>
          </w:p>
        </w:tc>
        <w:tc>
          <w:tcPr>
            <w:tcW w:w="0" w:type="dxa"/>
            <w:tcMar>
              <w:top w:w="60" w:type="dxa"/>
              <w:left w:w="80" w:type="dxa"/>
              <w:bottom w:w="60" w:type="dxa"/>
              <w:right w:w="80" w:type="dxa"/>
            </w:tcMar>
          </w:tcPr>
          <w:p w14:paraId="2E90D412" w14:textId="77777777" w:rsidR="001474D1" w:rsidRDefault="00000000">
            <w:r>
              <w:rPr>
                <w:sz w:val="17"/>
                <w:szCs w:val="17"/>
              </w:rPr>
              <w:t>Effect direction contingent on baseline status</w:t>
            </w:r>
          </w:p>
        </w:tc>
        <w:tc>
          <w:tcPr>
            <w:tcW w:w="0" w:type="dxa"/>
            <w:tcMar>
              <w:top w:w="60" w:type="dxa"/>
              <w:left w:w="80" w:type="dxa"/>
              <w:bottom w:w="60" w:type="dxa"/>
              <w:right w:w="80" w:type="dxa"/>
            </w:tcMar>
          </w:tcPr>
          <w:p w14:paraId="05248D16" w14:textId="77777777" w:rsidR="001474D1" w:rsidRDefault="00000000">
            <w:proofErr w:type="spellStart"/>
            <w:r>
              <w:rPr>
                <w:sz w:val="17"/>
                <w:szCs w:val="17"/>
              </w:rPr>
              <w:t>Bouwstra</w:t>
            </w:r>
            <w:proofErr w:type="spellEnd"/>
            <w:r>
              <w:rPr>
                <w:sz w:val="17"/>
                <w:szCs w:val="17"/>
              </w:rPr>
              <w:t>, Nielen, Stegeman, et al. (2010); Weiss et al. (1997)</w:t>
            </w:r>
          </w:p>
        </w:tc>
      </w:tr>
      <w:tr w:rsidR="001474D1" w14:paraId="4F92A5A3" w14:textId="77777777">
        <w:tc>
          <w:tcPr>
            <w:tcW w:w="0" w:type="dxa"/>
            <w:tcMar>
              <w:top w:w="60" w:type="dxa"/>
              <w:left w:w="80" w:type="dxa"/>
              <w:bottom w:w="60" w:type="dxa"/>
              <w:right w:w="80" w:type="dxa"/>
            </w:tcMar>
          </w:tcPr>
          <w:p w14:paraId="076652D9" w14:textId="77777777" w:rsidR="001474D1" w:rsidRDefault="00000000">
            <w:r>
              <w:rPr>
                <w:sz w:val="17"/>
                <w:szCs w:val="17"/>
              </w:rPr>
              <w:t>Reproductive performance</w:t>
            </w:r>
          </w:p>
        </w:tc>
        <w:tc>
          <w:tcPr>
            <w:tcW w:w="0" w:type="dxa"/>
            <w:tcMar>
              <w:top w:w="60" w:type="dxa"/>
              <w:left w:w="80" w:type="dxa"/>
              <w:bottom w:w="60" w:type="dxa"/>
              <w:right w:w="80" w:type="dxa"/>
            </w:tcMar>
          </w:tcPr>
          <w:p w14:paraId="7B850C92" w14:textId="77777777" w:rsidR="001474D1" w:rsidRDefault="00000000">
            <w:r>
              <w:rPr>
                <w:sz w:val="17"/>
                <w:szCs w:val="17"/>
              </w:rPr>
              <w:t>Improved reproductive variables with vitamin E supplementation, with dose-related reduction in days open; no effect on somatic cell count</w:t>
            </w:r>
          </w:p>
        </w:tc>
        <w:tc>
          <w:tcPr>
            <w:tcW w:w="0" w:type="dxa"/>
            <w:tcMar>
              <w:top w:w="60" w:type="dxa"/>
              <w:left w:w="80" w:type="dxa"/>
              <w:bottom w:w="60" w:type="dxa"/>
              <w:right w:w="80" w:type="dxa"/>
            </w:tcMar>
          </w:tcPr>
          <w:p w14:paraId="3A4030A7" w14:textId="77777777" w:rsidR="001474D1" w:rsidRDefault="00000000">
            <w:r>
              <w:rPr>
                <w:sz w:val="17"/>
                <w:szCs w:val="17"/>
              </w:rPr>
              <w:t>Meta-analysis and meta-regression of controlled studies</w:t>
            </w:r>
          </w:p>
        </w:tc>
        <w:tc>
          <w:tcPr>
            <w:tcW w:w="0" w:type="dxa"/>
            <w:tcMar>
              <w:top w:w="60" w:type="dxa"/>
              <w:left w:w="80" w:type="dxa"/>
              <w:bottom w:w="60" w:type="dxa"/>
              <w:right w:w="80" w:type="dxa"/>
            </w:tcMar>
          </w:tcPr>
          <w:p w14:paraId="4B975AFF" w14:textId="77777777" w:rsidR="001474D1" w:rsidRDefault="00000000">
            <w:r>
              <w:rPr>
                <w:sz w:val="17"/>
                <w:szCs w:val="17"/>
              </w:rPr>
              <w:t>Heterogeneity in dose, route and baseline status among pooled studies</w:t>
            </w:r>
          </w:p>
        </w:tc>
        <w:tc>
          <w:tcPr>
            <w:tcW w:w="0" w:type="dxa"/>
            <w:tcMar>
              <w:top w:w="60" w:type="dxa"/>
              <w:left w:w="80" w:type="dxa"/>
              <w:bottom w:w="60" w:type="dxa"/>
              <w:right w:w="80" w:type="dxa"/>
            </w:tcMar>
          </w:tcPr>
          <w:p w14:paraId="088ACACC" w14:textId="77777777" w:rsidR="001474D1" w:rsidRDefault="00000000">
            <w:r>
              <w:rPr>
                <w:sz w:val="17"/>
                <w:szCs w:val="17"/>
              </w:rPr>
              <w:t>Moghimi-</w:t>
            </w:r>
            <w:proofErr w:type="spellStart"/>
            <w:r>
              <w:rPr>
                <w:sz w:val="17"/>
                <w:szCs w:val="17"/>
              </w:rPr>
              <w:t>Kandelousi</w:t>
            </w:r>
            <w:proofErr w:type="spellEnd"/>
            <w:r>
              <w:rPr>
                <w:sz w:val="17"/>
                <w:szCs w:val="17"/>
              </w:rPr>
              <w:t xml:space="preserve"> et al. (2020)</w:t>
            </w:r>
          </w:p>
        </w:tc>
      </w:tr>
      <w:tr w:rsidR="001474D1" w14:paraId="3221C1E1" w14:textId="77777777">
        <w:tc>
          <w:tcPr>
            <w:tcW w:w="0" w:type="dxa"/>
            <w:tcMar>
              <w:top w:w="60" w:type="dxa"/>
              <w:left w:w="80" w:type="dxa"/>
              <w:bottom w:w="60" w:type="dxa"/>
              <w:right w:w="80" w:type="dxa"/>
            </w:tcMar>
          </w:tcPr>
          <w:p w14:paraId="47E93A87" w14:textId="77777777" w:rsidR="001474D1" w:rsidRDefault="00000000">
            <w:r>
              <w:rPr>
                <w:sz w:val="17"/>
                <w:szCs w:val="17"/>
              </w:rPr>
              <w:t>Insulin sensitivity</w:t>
            </w:r>
          </w:p>
        </w:tc>
        <w:tc>
          <w:tcPr>
            <w:tcW w:w="0" w:type="dxa"/>
            <w:tcMar>
              <w:top w:w="60" w:type="dxa"/>
              <w:left w:w="80" w:type="dxa"/>
              <w:bottom w:w="60" w:type="dxa"/>
              <w:right w:w="80" w:type="dxa"/>
            </w:tcMar>
          </w:tcPr>
          <w:p w14:paraId="59771E7D" w14:textId="77777777" w:rsidR="001474D1" w:rsidRDefault="00000000">
            <w:r>
              <w:rPr>
                <w:sz w:val="17"/>
                <w:szCs w:val="17"/>
              </w:rPr>
              <w:t>Association between oxidative status indices and insulin sensitivity around calving</w:t>
            </w:r>
          </w:p>
        </w:tc>
        <w:tc>
          <w:tcPr>
            <w:tcW w:w="0" w:type="dxa"/>
            <w:tcMar>
              <w:top w:w="60" w:type="dxa"/>
              <w:left w:w="80" w:type="dxa"/>
              <w:bottom w:w="60" w:type="dxa"/>
              <w:right w:w="80" w:type="dxa"/>
            </w:tcMar>
          </w:tcPr>
          <w:p w14:paraId="49D98C42" w14:textId="77777777" w:rsidR="001474D1" w:rsidRDefault="00000000">
            <w:r>
              <w:rPr>
                <w:sz w:val="17"/>
                <w:szCs w:val="17"/>
              </w:rPr>
              <w:t>Observational study with surrogate indices</w:t>
            </w:r>
          </w:p>
        </w:tc>
        <w:tc>
          <w:tcPr>
            <w:tcW w:w="0" w:type="dxa"/>
            <w:tcMar>
              <w:top w:w="60" w:type="dxa"/>
              <w:left w:w="80" w:type="dxa"/>
              <w:bottom w:w="60" w:type="dxa"/>
              <w:right w:w="80" w:type="dxa"/>
            </w:tcMar>
          </w:tcPr>
          <w:p w14:paraId="39E69A91" w14:textId="77777777" w:rsidR="001474D1" w:rsidRDefault="00000000">
            <w:r>
              <w:rPr>
                <w:sz w:val="17"/>
                <w:szCs w:val="17"/>
              </w:rPr>
              <w:t>Observational design precludes causal inference</w:t>
            </w:r>
          </w:p>
        </w:tc>
        <w:tc>
          <w:tcPr>
            <w:tcW w:w="0" w:type="dxa"/>
            <w:tcMar>
              <w:top w:w="60" w:type="dxa"/>
              <w:left w:w="80" w:type="dxa"/>
              <w:bottom w:w="60" w:type="dxa"/>
              <w:right w:w="80" w:type="dxa"/>
            </w:tcMar>
          </w:tcPr>
          <w:p w14:paraId="5EC4774E" w14:textId="77777777" w:rsidR="001474D1" w:rsidRDefault="00000000">
            <w:r>
              <w:rPr>
                <w:sz w:val="17"/>
                <w:szCs w:val="17"/>
              </w:rPr>
              <w:t>Abuelo et al. (2016)</w:t>
            </w:r>
          </w:p>
        </w:tc>
      </w:tr>
      <w:tr w:rsidR="001474D1" w14:paraId="2623D2FF" w14:textId="77777777">
        <w:tc>
          <w:tcPr>
            <w:tcW w:w="0" w:type="dxa"/>
            <w:tcMar>
              <w:top w:w="60" w:type="dxa"/>
              <w:left w:w="80" w:type="dxa"/>
              <w:bottom w:w="60" w:type="dxa"/>
              <w:right w:w="80" w:type="dxa"/>
            </w:tcMar>
          </w:tcPr>
          <w:p w14:paraId="5417A6B5" w14:textId="77777777" w:rsidR="001474D1" w:rsidRDefault="00000000">
            <w:r>
              <w:rPr>
                <w:sz w:val="17"/>
                <w:szCs w:val="17"/>
              </w:rPr>
              <w:t>Immune competence</w:t>
            </w:r>
          </w:p>
        </w:tc>
        <w:tc>
          <w:tcPr>
            <w:tcW w:w="0" w:type="dxa"/>
            <w:tcMar>
              <w:top w:w="60" w:type="dxa"/>
              <w:left w:w="80" w:type="dxa"/>
              <w:bottom w:w="60" w:type="dxa"/>
              <w:right w:w="80" w:type="dxa"/>
            </w:tcMar>
          </w:tcPr>
          <w:p w14:paraId="2A636305" w14:textId="77777777" w:rsidR="001474D1" w:rsidRDefault="00000000">
            <w:r>
              <w:rPr>
                <w:sz w:val="17"/>
                <w:szCs w:val="17"/>
              </w:rPr>
              <w:t>Impaired leukocyte function concurrent with redox alteration; functional improvement with several interventions</w:t>
            </w:r>
          </w:p>
        </w:tc>
        <w:tc>
          <w:tcPr>
            <w:tcW w:w="0" w:type="dxa"/>
            <w:tcMar>
              <w:top w:w="60" w:type="dxa"/>
              <w:left w:w="80" w:type="dxa"/>
              <w:bottom w:w="60" w:type="dxa"/>
              <w:right w:w="80" w:type="dxa"/>
            </w:tcMar>
          </w:tcPr>
          <w:p w14:paraId="41DA748F" w14:textId="77777777" w:rsidR="001474D1" w:rsidRDefault="00000000">
            <w:r>
              <w:rPr>
                <w:sz w:val="17"/>
                <w:szCs w:val="17"/>
              </w:rPr>
              <w:t>Controlled trials with immunological endpoints</w:t>
            </w:r>
          </w:p>
        </w:tc>
        <w:tc>
          <w:tcPr>
            <w:tcW w:w="0" w:type="dxa"/>
            <w:tcMar>
              <w:top w:w="60" w:type="dxa"/>
              <w:left w:w="80" w:type="dxa"/>
              <w:bottom w:w="60" w:type="dxa"/>
              <w:right w:w="80" w:type="dxa"/>
            </w:tcMar>
          </w:tcPr>
          <w:p w14:paraId="74B65F33" w14:textId="77777777" w:rsidR="001474D1" w:rsidRDefault="00000000">
            <w:r>
              <w:rPr>
                <w:sz w:val="17"/>
                <w:szCs w:val="17"/>
              </w:rPr>
              <w:t>Rarely powered for clinical incidence outcomes</w:t>
            </w:r>
          </w:p>
        </w:tc>
        <w:tc>
          <w:tcPr>
            <w:tcW w:w="0" w:type="dxa"/>
            <w:tcMar>
              <w:top w:w="60" w:type="dxa"/>
              <w:left w:w="80" w:type="dxa"/>
              <w:bottom w:w="60" w:type="dxa"/>
              <w:right w:w="80" w:type="dxa"/>
            </w:tcMar>
          </w:tcPr>
          <w:p w14:paraId="136F0BC9" w14:textId="77777777" w:rsidR="001474D1" w:rsidRDefault="00000000">
            <w:r>
              <w:rPr>
                <w:sz w:val="17"/>
                <w:szCs w:val="17"/>
              </w:rPr>
              <w:t xml:space="preserve">Abuelo (2025); </w:t>
            </w:r>
            <w:proofErr w:type="spellStart"/>
            <w:r>
              <w:rPr>
                <w:sz w:val="17"/>
                <w:szCs w:val="17"/>
              </w:rPr>
              <w:t>Batistel</w:t>
            </w:r>
            <w:proofErr w:type="spellEnd"/>
            <w:r>
              <w:rPr>
                <w:sz w:val="17"/>
                <w:szCs w:val="17"/>
              </w:rPr>
              <w:t xml:space="preserve"> et al. (2018); Silva et al. (2022); </w:t>
            </w:r>
            <w:proofErr w:type="spellStart"/>
            <w:r>
              <w:rPr>
                <w:sz w:val="17"/>
                <w:szCs w:val="17"/>
              </w:rPr>
              <w:t>Somagond</w:t>
            </w:r>
            <w:proofErr w:type="spellEnd"/>
            <w:r>
              <w:rPr>
                <w:sz w:val="17"/>
                <w:szCs w:val="17"/>
              </w:rPr>
              <w:t xml:space="preserve"> et al. (2023); Sordillo (2016)</w:t>
            </w:r>
          </w:p>
        </w:tc>
      </w:tr>
      <w:tr w:rsidR="001474D1" w14:paraId="2826909C" w14:textId="77777777">
        <w:tc>
          <w:tcPr>
            <w:tcW w:w="0" w:type="dxa"/>
            <w:tcMar>
              <w:top w:w="60" w:type="dxa"/>
              <w:left w:w="80" w:type="dxa"/>
              <w:bottom w:w="60" w:type="dxa"/>
              <w:right w:w="80" w:type="dxa"/>
            </w:tcMar>
          </w:tcPr>
          <w:p w14:paraId="47624439" w14:textId="77777777" w:rsidR="001474D1" w:rsidRDefault="00000000">
            <w:r>
              <w:rPr>
                <w:sz w:val="17"/>
                <w:szCs w:val="17"/>
              </w:rPr>
              <w:t>Composite postpartum disease risk</w:t>
            </w:r>
          </w:p>
        </w:tc>
        <w:tc>
          <w:tcPr>
            <w:tcW w:w="0" w:type="dxa"/>
            <w:tcMar>
              <w:top w:w="60" w:type="dxa"/>
              <w:left w:w="80" w:type="dxa"/>
              <w:bottom w:w="60" w:type="dxa"/>
              <w:right w:w="80" w:type="dxa"/>
            </w:tcMar>
          </w:tcPr>
          <w:p w14:paraId="1FE01267" w14:textId="77777777" w:rsidR="001474D1" w:rsidRDefault="00000000">
            <w:r>
              <w:rPr>
                <w:sz w:val="17"/>
                <w:szCs w:val="17"/>
              </w:rPr>
              <w:t xml:space="preserve">Circulating </w:t>
            </w:r>
            <w:proofErr w:type="spellStart"/>
            <w:r>
              <w:rPr>
                <w:sz w:val="17"/>
                <w:szCs w:val="17"/>
              </w:rPr>
              <w:t>oxylipid</w:t>
            </w:r>
            <w:proofErr w:type="spellEnd"/>
            <w:r>
              <w:rPr>
                <w:sz w:val="17"/>
                <w:szCs w:val="17"/>
              </w:rPr>
              <w:t xml:space="preserve"> profiles associated with subsequent disease occurrence</w:t>
            </w:r>
          </w:p>
        </w:tc>
        <w:tc>
          <w:tcPr>
            <w:tcW w:w="0" w:type="dxa"/>
            <w:tcMar>
              <w:top w:w="60" w:type="dxa"/>
              <w:left w:w="80" w:type="dxa"/>
              <w:bottom w:w="60" w:type="dxa"/>
              <w:right w:w="80" w:type="dxa"/>
            </w:tcMar>
          </w:tcPr>
          <w:p w14:paraId="722ECF22" w14:textId="77777777" w:rsidR="001474D1" w:rsidRDefault="00000000">
            <w:r>
              <w:rPr>
                <w:sz w:val="17"/>
                <w:szCs w:val="17"/>
              </w:rPr>
              <w:t>Prospective cohort with multiplexed analyte quantification</w:t>
            </w:r>
          </w:p>
        </w:tc>
        <w:tc>
          <w:tcPr>
            <w:tcW w:w="0" w:type="dxa"/>
            <w:tcMar>
              <w:top w:w="60" w:type="dxa"/>
              <w:left w:w="80" w:type="dxa"/>
              <w:bottom w:w="60" w:type="dxa"/>
              <w:right w:w="80" w:type="dxa"/>
            </w:tcMar>
          </w:tcPr>
          <w:p w14:paraId="08CD43C4" w14:textId="77777777" w:rsidR="001474D1" w:rsidRDefault="00000000">
            <w:r>
              <w:rPr>
                <w:sz w:val="17"/>
                <w:szCs w:val="17"/>
              </w:rPr>
              <w:t>Requires replication and external validation of profile thresholds</w:t>
            </w:r>
          </w:p>
        </w:tc>
        <w:tc>
          <w:tcPr>
            <w:tcW w:w="0" w:type="dxa"/>
            <w:tcMar>
              <w:top w:w="60" w:type="dxa"/>
              <w:left w:w="80" w:type="dxa"/>
              <w:bottom w:w="60" w:type="dxa"/>
              <w:right w:w="80" w:type="dxa"/>
            </w:tcMar>
          </w:tcPr>
          <w:p w14:paraId="45AD65C8" w14:textId="77777777" w:rsidR="001474D1" w:rsidRDefault="00000000">
            <w:r>
              <w:rPr>
                <w:sz w:val="17"/>
                <w:szCs w:val="17"/>
              </w:rPr>
              <w:t>Putman et al. (2022)</w:t>
            </w:r>
          </w:p>
        </w:tc>
      </w:tr>
    </w:tbl>
    <w:p w14:paraId="6A867A2D" w14:textId="77777777" w:rsidR="001474D1" w:rsidRDefault="00000000">
      <w:pPr>
        <w:spacing w:before="80" w:after="240" w:line="260" w:lineRule="auto"/>
      </w:pPr>
      <w:r>
        <w:rPr>
          <w:i/>
          <w:iCs/>
          <w:sz w:val="17"/>
          <w:szCs w:val="17"/>
        </w:rPr>
        <w:t xml:space="preserve">Note. </w:t>
      </w:r>
      <w:r>
        <w:rPr>
          <w:sz w:val="17"/>
          <w:szCs w:val="17"/>
        </w:rPr>
        <w:t>Inferential limitation identifies the principal constraint on interpretation rather than an exhaustive appraisal of study quality.</w:t>
      </w:r>
    </w:p>
    <w:p w14:paraId="4409F174" w14:textId="77777777" w:rsidR="001474D1" w:rsidRDefault="00000000">
      <w:pPr>
        <w:pStyle w:val="Heading1"/>
        <w:spacing w:before="320" w:after="160" w:line="360" w:lineRule="auto"/>
      </w:pPr>
      <w:r>
        <w:rPr>
          <w:b/>
          <w:bCs/>
          <w:color w:val="000000"/>
          <w:sz w:val="26"/>
          <w:szCs w:val="26"/>
        </w:rPr>
        <w:t>7. Antioxidant Interventions and the Reconciliation of Conflicting Trial Evidence</w:t>
      </w:r>
    </w:p>
    <w:p w14:paraId="4C80D890" w14:textId="77777777" w:rsidR="001474D1" w:rsidRDefault="00000000">
      <w:pPr>
        <w:pStyle w:val="Heading2"/>
        <w:spacing w:before="240" w:after="120" w:line="360" w:lineRule="auto"/>
      </w:pPr>
      <w:r>
        <w:rPr>
          <w:b/>
          <w:bCs/>
          <w:color w:val="000000"/>
          <w:sz w:val="23"/>
          <w:szCs w:val="23"/>
        </w:rPr>
        <w:t>7.1 The vitamin E problem</w:t>
      </w:r>
    </w:p>
    <w:p w14:paraId="0600FBF6" w14:textId="77777777" w:rsidR="001474D1" w:rsidRDefault="00000000">
      <w:pPr>
        <w:spacing w:after="120" w:line="360" w:lineRule="auto"/>
        <w:jc w:val="both"/>
      </w:pPr>
      <w:r>
        <w:t xml:space="preserve">No episode in this literature is more instructive than the divergence in vitamin E trial outcomes. Weiss et al. (1997) supplemented cows fed diets low in selenium and reported reduced clinical mastitis, a result consistent with the deficiency-correction paradigm inherited from the earliest selenium and vitamin E work in cattle. More than a decade later, </w:t>
      </w:r>
      <w:proofErr w:type="spellStart"/>
      <w:r>
        <w:t>Bouwstra</w:t>
      </w:r>
      <w:proofErr w:type="spellEnd"/>
      <w:r>
        <w:t xml:space="preserve">, Nielen, Stegeman, et al. (2010) conducted a double-blind randomised field trial of vitamin E supplementation during the dry period in a population whose vitamin E status was adequate and found an increase in clinical mastitis incidence postpartum. </w:t>
      </w:r>
      <w:r>
        <w:lastRenderedPageBreak/>
        <w:t>The companion analysis reported that supplementation was associated with altered oxidative stress indices, and the authors proposed that supplementation may have produced a pro-oxidant shift under conditions of adequacy (</w:t>
      </w:r>
      <w:proofErr w:type="spellStart"/>
      <w:r>
        <w:t>Bouwstra</w:t>
      </w:r>
      <w:proofErr w:type="spellEnd"/>
      <w:r>
        <w:t>, Nielen, Newbold, et al., 2010).</w:t>
      </w:r>
    </w:p>
    <w:p w14:paraId="6ECEB234" w14:textId="77777777" w:rsidR="001474D1" w:rsidRDefault="00000000">
      <w:pPr>
        <w:spacing w:after="120" w:line="360" w:lineRule="auto"/>
        <w:jc w:val="both"/>
      </w:pPr>
      <w:r>
        <w:t>Three features of this divergence deserve emphasis. First, the two trials tested different biological questions despite testing the same compound: one asked whether correcting a deficiency improves outcomes, the other whether supplementation above adequacy confers further benefit. Conflating these questions has generated much of the apparent inconsistency in the wider antioxidant literature. Second, the direction of the discrepant result is biologically interpretable rather than anomalous, since alpha-tocopherol becomes a pro-oxidant radical after scavenging and requires regeneration by co-antioxidants that may be limiting when tocopherol is supplied in excess. Third, the meta-analysis by Moghimi-</w:t>
      </w:r>
      <w:proofErr w:type="spellStart"/>
      <w:r>
        <w:t>Kandelousi</w:t>
      </w:r>
      <w:proofErr w:type="spellEnd"/>
      <w:r>
        <w:t xml:space="preserve"> et al. (2020) subsequently found reliable enrichment of serum vitamin E with supplementation, benefit for several reproductive variables, and no effect on somatic cell count, which is consistent with an effect that is real, nutrient-specific and outcome-specific rather than a general antioxidant benefit. Abuelo et al. (2015) anticipated the substance of this resolution by arguing that most supplementation trials failed because they did not assess antioxidant status before treatment, and Abuelo (2025) has since reiterated that excessive supplementation may itself be harmful and that optimal supplementation guidelines remain undefined.</w:t>
      </w:r>
    </w:p>
    <w:p w14:paraId="0A976AAE" w14:textId="77777777" w:rsidR="001474D1" w:rsidRDefault="00000000">
      <w:pPr>
        <w:pStyle w:val="Heading2"/>
        <w:spacing w:before="240" w:after="120" w:line="360" w:lineRule="auto"/>
      </w:pPr>
      <w:r>
        <w:rPr>
          <w:b/>
          <w:bCs/>
          <w:color w:val="000000"/>
          <w:sz w:val="23"/>
          <w:szCs w:val="23"/>
        </w:rPr>
        <w:t>7.2 Selenium and trace elements</w:t>
      </w:r>
    </w:p>
    <w:p w14:paraId="6DE45D5D" w14:textId="77777777" w:rsidR="001474D1" w:rsidRDefault="00000000">
      <w:pPr>
        <w:spacing w:after="120" w:line="360" w:lineRule="auto"/>
        <w:jc w:val="both"/>
      </w:pPr>
      <w:r>
        <w:t xml:space="preserve">Selenium occupies a firmer position than vitamin E because its principal mechanism is defined: incorporation into selenocysteine at the active site of glutathione peroxidases and thioredoxin reductases, which places a hard ceiling on the activity of those enzymes when supply is inadequate. Organic selenium supplementation in cows already classified as selenium-adequate nonetheless improved selenium status and antioxidant indices during the periparturient period (Gong &amp; Xiao, 2018), and a hydroxy-analogue of </w:t>
      </w:r>
      <w:proofErr w:type="spellStart"/>
      <w:r>
        <w:t>selenomethionine</w:t>
      </w:r>
      <w:proofErr w:type="spellEnd"/>
      <w:r>
        <w:t xml:space="preserve"> improved antioxidant status and raised selenium concentrations in milk and plasma in lactating cows (Sun et al., 2017). These results indicate that the relationship between selenium intake and antioxidant function is not a simple threshold, and that source and chemical form influence tissue incorporation. The evidence base connecting these biochemical improvements to clinical outcomes is substantially thinner, and Spears and Weiss (2008) had already noted that responses to trace element supplementation depend heavily on the basal status of the herd.</w:t>
      </w:r>
    </w:p>
    <w:p w14:paraId="6CDEB5EA" w14:textId="77777777" w:rsidR="001474D1" w:rsidRDefault="00000000">
      <w:pPr>
        <w:spacing w:after="120" w:line="360" w:lineRule="auto"/>
        <w:jc w:val="both"/>
      </w:pPr>
      <w:r>
        <w:t xml:space="preserve">Parenteral trace mineral administration has attracted renewed interest because it circumvents ruminal antagonism and dietary variability. Silva et al. (2022) reported improvements in polymorphonuclear leukocyte function and antioxidant enzyme activity in cows under semi-arid conditions, and </w:t>
      </w:r>
      <w:proofErr w:type="spellStart"/>
      <w:r>
        <w:t>Somagond</w:t>
      </w:r>
      <w:proofErr w:type="spellEnd"/>
      <w:r>
        <w:t xml:space="preserve"> et al. (2023) reported suppression of inflammatory and oxidative markers in cows and their calves following repeated injection of multivitamin and multimineral preparations. Both studies used composite preparations, which prevents attribution of the effect to any single element and complicates </w:t>
      </w:r>
      <w:r>
        <w:lastRenderedPageBreak/>
        <w:t>dose-response reasoning; both were also conducted in environments with substantial thermal load, where the scope for benefit may exceed that in temperate systems.</w:t>
      </w:r>
    </w:p>
    <w:p w14:paraId="36F5B909" w14:textId="77777777" w:rsidR="001474D1" w:rsidRDefault="00000000">
      <w:pPr>
        <w:pStyle w:val="Heading2"/>
        <w:spacing w:before="240" w:after="120" w:line="360" w:lineRule="auto"/>
      </w:pPr>
      <w:r>
        <w:rPr>
          <w:b/>
          <w:bCs/>
          <w:color w:val="000000"/>
          <w:sz w:val="23"/>
          <w:szCs w:val="23"/>
        </w:rPr>
        <w:t>7.3 Methyl donors, amino acids and glutathione precursors</w:t>
      </w:r>
    </w:p>
    <w:p w14:paraId="0BC85ED2" w14:textId="77777777" w:rsidR="001474D1" w:rsidRDefault="00000000">
      <w:pPr>
        <w:spacing w:after="120" w:line="360" w:lineRule="auto"/>
        <w:jc w:val="both"/>
      </w:pPr>
      <w:r>
        <w:t xml:space="preserve">Interventions targeting one-carbon metabolism represent the most mechanistically coherent group. Because glutathione synthesis depends on cysteine, and cysteine in the ruminant derives substantially from methionine through </w:t>
      </w:r>
      <w:proofErr w:type="spellStart"/>
      <w:r>
        <w:t>transsulphuration</w:t>
      </w:r>
      <w:proofErr w:type="spellEnd"/>
      <w:r>
        <w:t xml:space="preserve">, methionine supply constitutes a rate-limiting input to the principal intracellular antioxidant buffer (Coleman et al., 2020). Osorio et al. (2014) demonstrated that </w:t>
      </w:r>
      <w:proofErr w:type="spellStart"/>
      <w:r>
        <w:t>peripartal</w:t>
      </w:r>
      <w:proofErr w:type="spellEnd"/>
      <w:r>
        <w:t xml:space="preserve"> supplementation with rumen-protected methionine sources altered hepatic expression of gene networks in one-carbon metabolism, inflammation and oxidative stress. </w:t>
      </w:r>
      <w:proofErr w:type="spellStart"/>
      <w:r>
        <w:t>Batistel</w:t>
      </w:r>
      <w:proofErr w:type="spellEnd"/>
      <w:r>
        <w:t xml:space="preserve"> et al. (2018) reported improved biomarkers of inflammation and oxidative stress together with enhanced neutrophil function in cows supplemented from four weeks before expected calving. Zhou et al. (2016) found that rumen-protected methionine compared favourably with rumen-protected choline on composite </w:t>
      </w:r>
      <w:proofErr w:type="spellStart"/>
      <w:r>
        <w:t>immunometabolic</w:t>
      </w:r>
      <w:proofErr w:type="spellEnd"/>
      <w:r>
        <w:t xml:space="preserve"> indices, indicating that the effect is not attributable to methyl donation alone.</w:t>
      </w:r>
    </w:p>
    <w:p w14:paraId="20EA5BE2" w14:textId="77777777" w:rsidR="001474D1" w:rsidRDefault="00000000">
      <w:pPr>
        <w:spacing w:after="120" w:line="360" w:lineRule="auto"/>
        <w:jc w:val="both"/>
      </w:pPr>
      <w:r>
        <w:t>Choline supplementation presents a more equivocal picture. Swartz et al. (2023) supplemented periparturient cattle with rumen-protected choline and imposed an intramammary lipopolysaccharide challenge; the higher dose increased plasma antioxidant potential before challenge and reduced methionine sulfoxide concentrations during it, indicating improved oxidant status, yet inflammatory markers including haptoglobin and tumour necrosis factor alpha were unaffected. The authors concluded that production responses to choline are more plausibly mediated through metabolic pathways than through resolution of inflammation. This dissociation between redox and inflammatory endpoints within a single well-designed experiment is among the most direct challenges to the assumption that improving redox status necessarily improves inflammatory regulation.</w:t>
      </w:r>
    </w:p>
    <w:p w14:paraId="59D3AC6A" w14:textId="77777777" w:rsidR="001474D1" w:rsidRDefault="00000000">
      <w:pPr>
        <w:spacing w:after="120" w:line="360" w:lineRule="auto"/>
        <w:jc w:val="both"/>
      </w:pPr>
      <w:r>
        <w:t>Direct provision of the antioxidant itself has been attempted with rumen-protected glutathione, reported to reduce somatic cell count, improve feed efficiency, increase antioxidant capacity and reduce inflammatory markers in transition cows (Hao et al., 2025). The finding is biologically plausible given the central role of glutathione, but the study is single-centre and recent, and the extent of intestinal absorption of intact glutathione in ruminants is not well characterised. Khan et al. (2023) provide a broader synthesis of amino acid and choline effects on periparturient immunity and antioxidant status, and note the same pattern of consistent biochemical responses with inconsistent health outcomes.</w:t>
      </w:r>
    </w:p>
    <w:p w14:paraId="288A4B01" w14:textId="77777777" w:rsidR="001474D1" w:rsidRDefault="00000000">
      <w:pPr>
        <w:pStyle w:val="Heading2"/>
        <w:spacing w:before="240" w:after="120" w:line="360" w:lineRule="auto"/>
      </w:pPr>
      <w:r>
        <w:rPr>
          <w:b/>
          <w:bCs/>
          <w:color w:val="000000"/>
          <w:sz w:val="23"/>
          <w:szCs w:val="23"/>
        </w:rPr>
        <w:t>7.4 Plant-derived compounds and combined preparations</w:t>
      </w:r>
    </w:p>
    <w:p w14:paraId="5C6C3FCD" w14:textId="77777777" w:rsidR="001474D1" w:rsidRDefault="00000000">
      <w:pPr>
        <w:spacing w:after="120" w:line="360" w:lineRule="auto"/>
        <w:jc w:val="both"/>
      </w:pPr>
      <w:r>
        <w:t xml:space="preserve">Polyphenol-rich by-products have been evaluated both as direct radical scavengers and as inducers of endogenous defence. Safari et al. (2018) supplemented transition cows with by-products of pomegranate, Punica granatum L., and reported improvements in oxidative status and metabolic profile with associated performance effects. The grape-derived work discussed in Section 4 acted at least partly </w:t>
      </w:r>
      <w:r>
        <w:lastRenderedPageBreak/>
        <w:t>through hepatic gene expression rather than through direct scavenging (Gessner et al., 2015; Gessner, Winkler, et al., 2017). Interpretation across this group is limited by compositional variability among plant materials, by incomplete characterisation of the metabolites that survive ruminal fermentation and reach target tissues, and by the difficulty of separating antioxidant effects from effects on rumen function and nutrient supply.</w:t>
      </w:r>
    </w:p>
    <w:p w14:paraId="3FD87E87" w14:textId="77777777" w:rsidR="001474D1" w:rsidRDefault="00000000">
      <w:pPr>
        <w:spacing w:after="120" w:line="360" w:lineRule="auto"/>
        <w:jc w:val="both"/>
      </w:pPr>
      <w:r>
        <w:t xml:space="preserve">Combined preparations complicate attribution further. Zhang et al. (2024) reported that a composite additive containing water-soluble and fat-soluble vitamins, </w:t>
      </w:r>
      <w:proofErr w:type="spellStart"/>
      <w:r>
        <w:t>selenomethionine</w:t>
      </w:r>
      <w:proofErr w:type="spellEnd"/>
      <w:r>
        <w:t xml:space="preserve"> and live Saccharomyces cerevisiae improved production in periparturient cows and improved antioxidative stability in the cows and their offspring. Y. Ding et al. (2025) compared vitamin E, selenium and their combination in transition cows and reported that the combination produced the greatest improvement in antioxidant and immune indices with reduced metabolic disease incidence and improved economic return. Both studies address a question of practical relevance, since commercial supplementation is almost always multi-component, but neither design permits determination of which component or interaction produced the effect, and the number of animals per treatment in the latter study was small relative to the disease incidence differences reported.</w:t>
      </w:r>
    </w:p>
    <w:p w14:paraId="6F7ADFD3" w14:textId="77777777" w:rsidR="001474D1" w:rsidRDefault="00000000">
      <w:pPr>
        <w:spacing w:after="120" w:line="360" w:lineRule="auto"/>
        <w:jc w:val="both"/>
      </w:pPr>
      <w:r>
        <w:t>Table 5 organises the principal conflicting findings in the intervention literature together with the explanations most consistent with the available evidence. The recurring explanation is not that the interventions are ineffective but that effect direction and magnitude depend on baseline status, chemical form, outcome selected and the adequacy of the design to detect the outcome claimed.</w:t>
      </w:r>
    </w:p>
    <w:p w14:paraId="57E9993D" w14:textId="77777777" w:rsidR="001474D1" w:rsidRDefault="00000000">
      <w:pPr>
        <w:spacing w:before="240" w:after="100" w:line="300" w:lineRule="auto"/>
      </w:pPr>
      <w:r>
        <w:rPr>
          <w:b/>
          <w:bCs/>
          <w:sz w:val="21"/>
          <w:szCs w:val="21"/>
        </w:rPr>
        <w:t>Table 5. Conflicting findings in antioxidant intervention studies and the explanations most consistent with the evidence</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974"/>
        <w:gridCol w:w="2147"/>
        <w:gridCol w:w="1973"/>
        <w:gridCol w:w="1755"/>
        <w:gridCol w:w="1511"/>
      </w:tblGrid>
      <w:tr w:rsidR="001474D1" w14:paraId="659A74DE" w14:textId="77777777">
        <w:trPr>
          <w:tblHeader/>
        </w:trPr>
        <w:tc>
          <w:tcPr>
            <w:tcW w:w="0" w:type="dxa"/>
            <w:shd w:val="clear" w:color="auto" w:fill="EAEAEA"/>
            <w:tcMar>
              <w:top w:w="60" w:type="dxa"/>
              <w:left w:w="80" w:type="dxa"/>
              <w:bottom w:w="60" w:type="dxa"/>
              <w:right w:w="80" w:type="dxa"/>
            </w:tcMar>
          </w:tcPr>
          <w:p w14:paraId="37A88F1B" w14:textId="77777777" w:rsidR="001474D1" w:rsidRDefault="00000000">
            <w:r>
              <w:rPr>
                <w:b/>
                <w:bCs/>
                <w:sz w:val="17"/>
                <w:szCs w:val="17"/>
              </w:rPr>
              <w:t>Point of conflict</w:t>
            </w:r>
          </w:p>
        </w:tc>
        <w:tc>
          <w:tcPr>
            <w:tcW w:w="0" w:type="dxa"/>
            <w:shd w:val="clear" w:color="auto" w:fill="EAEAEA"/>
            <w:tcMar>
              <w:top w:w="60" w:type="dxa"/>
              <w:left w:w="80" w:type="dxa"/>
              <w:bottom w:w="60" w:type="dxa"/>
              <w:right w:w="80" w:type="dxa"/>
            </w:tcMar>
          </w:tcPr>
          <w:p w14:paraId="5886BF65" w14:textId="77777777" w:rsidR="001474D1" w:rsidRDefault="00000000">
            <w:r>
              <w:rPr>
                <w:b/>
                <w:bCs/>
                <w:sz w:val="17"/>
                <w:szCs w:val="17"/>
              </w:rPr>
              <w:t>Contrasting findings</w:t>
            </w:r>
          </w:p>
        </w:tc>
        <w:tc>
          <w:tcPr>
            <w:tcW w:w="0" w:type="dxa"/>
            <w:shd w:val="clear" w:color="auto" w:fill="EAEAEA"/>
            <w:tcMar>
              <w:top w:w="60" w:type="dxa"/>
              <w:left w:w="80" w:type="dxa"/>
              <w:bottom w:w="60" w:type="dxa"/>
              <w:right w:w="80" w:type="dxa"/>
            </w:tcMar>
          </w:tcPr>
          <w:p w14:paraId="4469758F" w14:textId="77777777" w:rsidR="001474D1" w:rsidRDefault="00000000">
            <w:r>
              <w:rPr>
                <w:b/>
                <w:bCs/>
                <w:sz w:val="17"/>
                <w:szCs w:val="17"/>
              </w:rPr>
              <w:t>Most consistent explanation</w:t>
            </w:r>
          </w:p>
        </w:tc>
        <w:tc>
          <w:tcPr>
            <w:tcW w:w="0" w:type="dxa"/>
            <w:shd w:val="clear" w:color="auto" w:fill="EAEAEA"/>
            <w:tcMar>
              <w:top w:w="60" w:type="dxa"/>
              <w:left w:w="80" w:type="dxa"/>
              <w:bottom w:w="60" w:type="dxa"/>
              <w:right w:w="80" w:type="dxa"/>
            </w:tcMar>
          </w:tcPr>
          <w:p w14:paraId="1CCFD00F" w14:textId="77777777" w:rsidR="001474D1" w:rsidRDefault="00000000">
            <w:r>
              <w:rPr>
                <w:b/>
                <w:bCs/>
                <w:sz w:val="17"/>
                <w:szCs w:val="17"/>
              </w:rPr>
              <w:t>Residual uncertainty</w:t>
            </w:r>
          </w:p>
        </w:tc>
        <w:tc>
          <w:tcPr>
            <w:tcW w:w="0" w:type="dxa"/>
            <w:shd w:val="clear" w:color="auto" w:fill="EAEAEA"/>
            <w:tcMar>
              <w:top w:w="60" w:type="dxa"/>
              <w:left w:w="80" w:type="dxa"/>
              <w:bottom w:w="60" w:type="dxa"/>
              <w:right w:w="80" w:type="dxa"/>
            </w:tcMar>
          </w:tcPr>
          <w:p w14:paraId="6B6D9282" w14:textId="77777777" w:rsidR="001474D1" w:rsidRDefault="00000000">
            <w:r>
              <w:rPr>
                <w:b/>
                <w:bCs/>
                <w:sz w:val="17"/>
                <w:szCs w:val="17"/>
              </w:rPr>
              <w:t>Supporting references</w:t>
            </w:r>
          </w:p>
        </w:tc>
      </w:tr>
      <w:tr w:rsidR="001474D1" w14:paraId="74F4B411" w14:textId="77777777">
        <w:tc>
          <w:tcPr>
            <w:tcW w:w="0" w:type="dxa"/>
            <w:tcMar>
              <w:top w:w="60" w:type="dxa"/>
              <w:left w:w="80" w:type="dxa"/>
              <w:bottom w:w="60" w:type="dxa"/>
              <w:right w:w="80" w:type="dxa"/>
            </w:tcMar>
          </w:tcPr>
          <w:p w14:paraId="71825B5C" w14:textId="77777777" w:rsidR="001474D1" w:rsidRDefault="00000000">
            <w:r>
              <w:rPr>
                <w:sz w:val="17"/>
                <w:szCs w:val="17"/>
              </w:rPr>
              <w:t>Vitamin E and clinical mastitis</w:t>
            </w:r>
          </w:p>
        </w:tc>
        <w:tc>
          <w:tcPr>
            <w:tcW w:w="0" w:type="dxa"/>
            <w:tcMar>
              <w:top w:w="60" w:type="dxa"/>
              <w:left w:w="80" w:type="dxa"/>
              <w:bottom w:w="60" w:type="dxa"/>
              <w:right w:w="80" w:type="dxa"/>
            </w:tcMar>
          </w:tcPr>
          <w:p w14:paraId="30F7DC26" w14:textId="77777777" w:rsidR="001474D1" w:rsidRDefault="00000000">
            <w:r>
              <w:rPr>
                <w:sz w:val="17"/>
                <w:szCs w:val="17"/>
              </w:rPr>
              <w:t>Reduced incidence in cows fed low-selenium diets; increased incidence in replete cows supplemented during the dry period</w:t>
            </w:r>
          </w:p>
        </w:tc>
        <w:tc>
          <w:tcPr>
            <w:tcW w:w="0" w:type="dxa"/>
            <w:tcMar>
              <w:top w:w="60" w:type="dxa"/>
              <w:left w:w="80" w:type="dxa"/>
              <w:bottom w:w="60" w:type="dxa"/>
              <w:right w:w="80" w:type="dxa"/>
            </w:tcMar>
          </w:tcPr>
          <w:p w14:paraId="2FC55DDF" w14:textId="77777777" w:rsidR="001474D1" w:rsidRDefault="00000000">
            <w:r>
              <w:rPr>
                <w:sz w:val="17"/>
                <w:szCs w:val="17"/>
              </w:rPr>
              <w:t xml:space="preserve">Effect direction depends on pre-treatment vitamin E and selenium status; supplementation above adequacy may shift the </w:t>
            </w:r>
            <w:proofErr w:type="spellStart"/>
            <w:r>
              <w:rPr>
                <w:sz w:val="17"/>
                <w:szCs w:val="17"/>
              </w:rPr>
              <w:t>tocopheroxyl</w:t>
            </w:r>
            <w:proofErr w:type="spellEnd"/>
            <w:r>
              <w:rPr>
                <w:sz w:val="17"/>
                <w:szCs w:val="17"/>
              </w:rPr>
              <w:t xml:space="preserve"> radical balance</w:t>
            </w:r>
          </w:p>
        </w:tc>
        <w:tc>
          <w:tcPr>
            <w:tcW w:w="0" w:type="dxa"/>
            <w:tcMar>
              <w:top w:w="60" w:type="dxa"/>
              <w:left w:w="80" w:type="dxa"/>
              <w:bottom w:w="60" w:type="dxa"/>
              <w:right w:w="80" w:type="dxa"/>
            </w:tcMar>
          </w:tcPr>
          <w:p w14:paraId="41AEF31A" w14:textId="77777777" w:rsidR="001474D1" w:rsidRDefault="00000000">
            <w:r>
              <w:rPr>
                <w:sz w:val="17"/>
                <w:szCs w:val="17"/>
              </w:rPr>
              <w:t>Threshold of adequacy above which risk emerges is undefined</w:t>
            </w:r>
          </w:p>
        </w:tc>
        <w:tc>
          <w:tcPr>
            <w:tcW w:w="0" w:type="dxa"/>
            <w:tcMar>
              <w:top w:w="60" w:type="dxa"/>
              <w:left w:w="80" w:type="dxa"/>
              <w:bottom w:w="60" w:type="dxa"/>
              <w:right w:w="80" w:type="dxa"/>
            </w:tcMar>
          </w:tcPr>
          <w:p w14:paraId="6FB10409" w14:textId="77777777" w:rsidR="001474D1" w:rsidRDefault="00000000">
            <w:proofErr w:type="spellStart"/>
            <w:r>
              <w:rPr>
                <w:sz w:val="17"/>
                <w:szCs w:val="17"/>
              </w:rPr>
              <w:t>Bouwstra</w:t>
            </w:r>
            <w:proofErr w:type="spellEnd"/>
            <w:r>
              <w:rPr>
                <w:sz w:val="17"/>
                <w:szCs w:val="17"/>
              </w:rPr>
              <w:t xml:space="preserve">, Nielen, Stegeman, et al. (2010); </w:t>
            </w:r>
            <w:proofErr w:type="spellStart"/>
            <w:r>
              <w:rPr>
                <w:sz w:val="17"/>
                <w:szCs w:val="17"/>
              </w:rPr>
              <w:t>Bouwstra</w:t>
            </w:r>
            <w:proofErr w:type="spellEnd"/>
            <w:r>
              <w:rPr>
                <w:sz w:val="17"/>
                <w:szCs w:val="17"/>
              </w:rPr>
              <w:t>, Nielen, Newbold, et al. (2010); Weiss et al. (1997)</w:t>
            </w:r>
          </w:p>
        </w:tc>
      </w:tr>
      <w:tr w:rsidR="001474D1" w14:paraId="34B0CC12" w14:textId="77777777">
        <w:tc>
          <w:tcPr>
            <w:tcW w:w="0" w:type="dxa"/>
            <w:tcMar>
              <w:top w:w="60" w:type="dxa"/>
              <w:left w:w="80" w:type="dxa"/>
              <w:bottom w:w="60" w:type="dxa"/>
              <w:right w:w="80" w:type="dxa"/>
            </w:tcMar>
          </w:tcPr>
          <w:p w14:paraId="6AACF878" w14:textId="77777777" w:rsidR="001474D1" w:rsidRDefault="00000000">
            <w:r>
              <w:rPr>
                <w:sz w:val="17"/>
                <w:szCs w:val="17"/>
              </w:rPr>
              <w:t>Vitamin E across outcome domains</w:t>
            </w:r>
          </w:p>
        </w:tc>
        <w:tc>
          <w:tcPr>
            <w:tcW w:w="0" w:type="dxa"/>
            <w:tcMar>
              <w:top w:w="60" w:type="dxa"/>
              <w:left w:w="80" w:type="dxa"/>
              <w:bottom w:w="60" w:type="dxa"/>
              <w:right w:w="80" w:type="dxa"/>
            </w:tcMar>
          </w:tcPr>
          <w:p w14:paraId="08C4FD06" w14:textId="77777777" w:rsidR="001474D1" w:rsidRDefault="00000000">
            <w:r>
              <w:rPr>
                <w:sz w:val="17"/>
                <w:szCs w:val="17"/>
              </w:rPr>
              <w:t>Reproductive variables improve while somatic cell count and colostrum quality do not</w:t>
            </w:r>
          </w:p>
        </w:tc>
        <w:tc>
          <w:tcPr>
            <w:tcW w:w="0" w:type="dxa"/>
            <w:tcMar>
              <w:top w:w="60" w:type="dxa"/>
              <w:left w:w="80" w:type="dxa"/>
              <w:bottom w:w="60" w:type="dxa"/>
              <w:right w:w="80" w:type="dxa"/>
            </w:tcMar>
          </w:tcPr>
          <w:p w14:paraId="082B721A" w14:textId="77777777" w:rsidR="001474D1" w:rsidRDefault="00000000">
            <w:r>
              <w:rPr>
                <w:sz w:val="17"/>
                <w:szCs w:val="17"/>
              </w:rPr>
              <w:t>Nutrient effects are outcome-specific rather than generally prophylactic</w:t>
            </w:r>
          </w:p>
        </w:tc>
        <w:tc>
          <w:tcPr>
            <w:tcW w:w="0" w:type="dxa"/>
            <w:tcMar>
              <w:top w:w="60" w:type="dxa"/>
              <w:left w:w="80" w:type="dxa"/>
              <w:bottom w:w="60" w:type="dxa"/>
              <w:right w:w="80" w:type="dxa"/>
            </w:tcMar>
          </w:tcPr>
          <w:p w14:paraId="05C4F54A" w14:textId="77777777" w:rsidR="001474D1" w:rsidRDefault="00000000">
            <w:r>
              <w:rPr>
                <w:sz w:val="17"/>
                <w:szCs w:val="17"/>
              </w:rPr>
              <w:t>Mechanism of the reproductive effect is not established</w:t>
            </w:r>
          </w:p>
        </w:tc>
        <w:tc>
          <w:tcPr>
            <w:tcW w:w="0" w:type="dxa"/>
            <w:tcMar>
              <w:top w:w="60" w:type="dxa"/>
              <w:left w:w="80" w:type="dxa"/>
              <w:bottom w:w="60" w:type="dxa"/>
              <w:right w:w="80" w:type="dxa"/>
            </w:tcMar>
          </w:tcPr>
          <w:p w14:paraId="7002C0F1" w14:textId="77777777" w:rsidR="001474D1" w:rsidRDefault="00000000">
            <w:r>
              <w:rPr>
                <w:sz w:val="17"/>
                <w:szCs w:val="17"/>
              </w:rPr>
              <w:t>Moghimi-</w:t>
            </w:r>
            <w:proofErr w:type="spellStart"/>
            <w:r>
              <w:rPr>
                <w:sz w:val="17"/>
                <w:szCs w:val="17"/>
              </w:rPr>
              <w:t>Kandelousi</w:t>
            </w:r>
            <w:proofErr w:type="spellEnd"/>
            <w:r>
              <w:rPr>
                <w:sz w:val="17"/>
                <w:szCs w:val="17"/>
              </w:rPr>
              <w:t xml:space="preserve"> et al. (2020)</w:t>
            </w:r>
          </w:p>
        </w:tc>
      </w:tr>
      <w:tr w:rsidR="001474D1" w14:paraId="5E683EF4" w14:textId="77777777">
        <w:tc>
          <w:tcPr>
            <w:tcW w:w="0" w:type="dxa"/>
            <w:tcMar>
              <w:top w:w="60" w:type="dxa"/>
              <w:left w:w="80" w:type="dxa"/>
              <w:bottom w:w="60" w:type="dxa"/>
              <w:right w:w="80" w:type="dxa"/>
            </w:tcMar>
          </w:tcPr>
          <w:p w14:paraId="7D91A561" w14:textId="77777777" w:rsidR="001474D1" w:rsidRDefault="00000000">
            <w:r>
              <w:rPr>
                <w:sz w:val="17"/>
                <w:szCs w:val="17"/>
              </w:rPr>
              <w:t>Selenium supplementation of adequate herds</w:t>
            </w:r>
          </w:p>
        </w:tc>
        <w:tc>
          <w:tcPr>
            <w:tcW w:w="0" w:type="dxa"/>
            <w:tcMar>
              <w:top w:w="60" w:type="dxa"/>
              <w:left w:w="80" w:type="dxa"/>
              <w:bottom w:w="60" w:type="dxa"/>
              <w:right w:w="80" w:type="dxa"/>
            </w:tcMar>
          </w:tcPr>
          <w:p w14:paraId="57826815" w14:textId="77777777" w:rsidR="001474D1" w:rsidRDefault="00000000">
            <w:r>
              <w:rPr>
                <w:sz w:val="17"/>
                <w:szCs w:val="17"/>
              </w:rPr>
              <w:t>Further improvement in antioxidant indices despite classification as adequate</w:t>
            </w:r>
          </w:p>
        </w:tc>
        <w:tc>
          <w:tcPr>
            <w:tcW w:w="0" w:type="dxa"/>
            <w:tcMar>
              <w:top w:w="60" w:type="dxa"/>
              <w:left w:w="80" w:type="dxa"/>
              <w:bottom w:w="60" w:type="dxa"/>
              <w:right w:w="80" w:type="dxa"/>
            </w:tcMar>
          </w:tcPr>
          <w:p w14:paraId="40DFD28F" w14:textId="77777777" w:rsidR="001474D1" w:rsidRDefault="00000000">
            <w:r>
              <w:rPr>
                <w:sz w:val="17"/>
                <w:szCs w:val="17"/>
              </w:rPr>
              <w:t xml:space="preserve">Adequacy definitions are based on assays that do not capture tissue </w:t>
            </w:r>
            <w:proofErr w:type="spellStart"/>
            <w:r>
              <w:rPr>
                <w:sz w:val="17"/>
                <w:szCs w:val="17"/>
              </w:rPr>
              <w:t>selenoprotein</w:t>
            </w:r>
            <w:proofErr w:type="spellEnd"/>
            <w:r>
              <w:rPr>
                <w:sz w:val="17"/>
                <w:szCs w:val="17"/>
              </w:rPr>
              <w:t xml:space="preserve"> saturation; chemical form affects incorporation</w:t>
            </w:r>
          </w:p>
        </w:tc>
        <w:tc>
          <w:tcPr>
            <w:tcW w:w="0" w:type="dxa"/>
            <w:tcMar>
              <w:top w:w="60" w:type="dxa"/>
              <w:left w:w="80" w:type="dxa"/>
              <w:bottom w:w="60" w:type="dxa"/>
              <w:right w:w="80" w:type="dxa"/>
            </w:tcMar>
          </w:tcPr>
          <w:p w14:paraId="659D8520" w14:textId="77777777" w:rsidR="001474D1" w:rsidRDefault="00000000">
            <w:r>
              <w:rPr>
                <w:sz w:val="17"/>
                <w:szCs w:val="17"/>
              </w:rPr>
              <w:t>Clinical relevance of the additional biochemical improvement is unproven</w:t>
            </w:r>
          </w:p>
        </w:tc>
        <w:tc>
          <w:tcPr>
            <w:tcW w:w="0" w:type="dxa"/>
            <w:tcMar>
              <w:top w:w="60" w:type="dxa"/>
              <w:left w:w="80" w:type="dxa"/>
              <w:bottom w:w="60" w:type="dxa"/>
              <w:right w:w="80" w:type="dxa"/>
            </w:tcMar>
          </w:tcPr>
          <w:p w14:paraId="6708F9E9" w14:textId="77777777" w:rsidR="001474D1" w:rsidRDefault="00000000">
            <w:r>
              <w:rPr>
                <w:sz w:val="17"/>
                <w:szCs w:val="17"/>
              </w:rPr>
              <w:t>Gong and Xiao (2018); Spears and Weiss (2008); Sun et al. (2017)</w:t>
            </w:r>
          </w:p>
        </w:tc>
      </w:tr>
      <w:tr w:rsidR="001474D1" w14:paraId="590C30A1" w14:textId="77777777">
        <w:tc>
          <w:tcPr>
            <w:tcW w:w="0" w:type="dxa"/>
            <w:tcMar>
              <w:top w:w="60" w:type="dxa"/>
              <w:left w:w="80" w:type="dxa"/>
              <w:bottom w:w="60" w:type="dxa"/>
              <w:right w:w="80" w:type="dxa"/>
            </w:tcMar>
          </w:tcPr>
          <w:p w14:paraId="6043F247" w14:textId="77777777" w:rsidR="001474D1" w:rsidRDefault="00000000">
            <w:r>
              <w:rPr>
                <w:sz w:val="17"/>
                <w:szCs w:val="17"/>
              </w:rPr>
              <w:t>Choline and inflammation</w:t>
            </w:r>
          </w:p>
        </w:tc>
        <w:tc>
          <w:tcPr>
            <w:tcW w:w="0" w:type="dxa"/>
            <w:tcMar>
              <w:top w:w="60" w:type="dxa"/>
              <w:left w:w="80" w:type="dxa"/>
              <w:bottom w:w="60" w:type="dxa"/>
              <w:right w:w="80" w:type="dxa"/>
            </w:tcMar>
          </w:tcPr>
          <w:p w14:paraId="29B26D41" w14:textId="77777777" w:rsidR="001474D1" w:rsidRDefault="00000000">
            <w:r>
              <w:rPr>
                <w:sz w:val="17"/>
                <w:szCs w:val="17"/>
              </w:rPr>
              <w:t>Improved oxidant status indices without change in haptoglobin or tumour necrosis factor alpha</w:t>
            </w:r>
          </w:p>
        </w:tc>
        <w:tc>
          <w:tcPr>
            <w:tcW w:w="0" w:type="dxa"/>
            <w:tcMar>
              <w:top w:w="60" w:type="dxa"/>
              <w:left w:w="80" w:type="dxa"/>
              <w:bottom w:w="60" w:type="dxa"/>
              <w:right w:w="80" w:type="dxa"/>
            </w:tcMar>
          </w:tcPr>
          <w:p w14:paraId="3D1619D3" w14:textId="77777777" w:rsidR="001474D1" w:rsidRDefault="00000000">
            <w:r>
              <w:rPr>
                <w:sz w:val="17"/>
                <w:szCs w:val="17"/>
              </w:rPr>
              <w:t>Redox and inflammatory endpoints are dissociable; production effects are plausibly metabolic in origin</w:t>
            </w:r>
          </w:p>
        </w:tc>
        <w:tc>
          <w:tcPr>
            <w:tcW w:w="0" w:type="dxa"/>
            <w:tcMar>
              <w:top w:w="60" w:type="dxa"/>
              <w:left w:w="80" w:type="dxa"/>
              <w:bottom w:w="60" w:type="dxa"/>
              <w:right w:w="80" w:type="dxa"/>
            </w:tcMar>
          </w:tcPr>
          <w:p w14:paraId="13E98ADF" w14:textId="77777777" w:rsidR="001474D1" w:rsidRDefault="00000000">
            <w:r>
              <w:rPr>
                <w:sz w:val="17"/>
                <w:szCs w:val="17"/>
              </w:rPr>
              <w:t>Whether the dissociation generalises beyond the challenge model used</w:t>
            </w:r>
          </w:p>
        </w:tc>
        <w:tc>
          <w:tcPr>
            <w:tcW w:w="0" w:type="dxa"/>
            <w:tcMar>
              <w:top w:w="60" w:type="dxa"/>
              <w:left w:w="80" w:type="dxa"/>
              <w:bottom w:w="60" w:type="dxa"/>
              <w:right w:w="80" w:type="dxa"/>
            </w:tcMar>
          </w:tcPr>
          <w:p w14:paraId="018150FA" w14:textId="77777777" w:rsidR="001474D1" w:rsidRDefault="00000000">
            <w:r>
              <w:rPr>
                <w:sz w:val="17"/>
                <w:szCs w:val="17"/>
              </w:rPr>
              <w:t>Swartz et al. (2023)</w:t>
            </w:r>
          </w:p>
        </w:tc>
      </w:tr>
      <w:tr w:rsidR="001474D1" w14:paraId="178A5D34" w14:textId="77777777">
        <w:tc>
          <w:tcPr>
            <w:tcW w:w="0" w:type="dxa"/>
            <w:tcMar>
              <w:top w:w="60" w:type="dxa"/>
              <w:left w:w="80" w:type="dxa"/>
              <w:bottom w:w="60" w:type="dxa"/>
              <w:right w:w="80" w:type="dxa"/>
            </w:tcMar>
          </w:tcPr>
          <w:p w14:paraId="43B277F7" w14:textId="77777777" w:rsidR="001474D1" w:rsidRDefault="00000000">
            <w:r>
              <w:rPr>
                <w:sz w:val="17"/>
                <w:szCs w:val="17"/>
              </w:rPr>
              <w:lastRenderedPageBreak/>
              <w:t>Methyl donor comparisons</w:t>
            </w:r>
          </w:p>
        </w:tc>
        <w:tc>
          <w:tcPr>
            <w:tcW w:w="0" w:type="dxa"/>
            <w:tcMar>
              <w:top w:w="60" w:type="dxa"/>
              <w:left w:w="80" w:type="dxa"/>
              <w:bottom w:w="60" w:type="dxa"/>
              <w:right w:w="80" w:type="dxa"/>
            </w:tcMar>
          </w:tcPr>
          <w:p w14:paraId="30B11E1E" w14:textId="77777777" w:rsidR="001474D1" w:rsidRDefault="00000000">
            <w:r>
              <w:rPr>
                <w:sz w:val="17"/>
                <w:szCs w:val="17"/>
              </w:rPr>
              <w:t xml:space="preserve">Rumen-protected methionine outperforms rumen-protected choline on composite </w:t>
            </w:r>
            <w:proofErr w:type="spellStart"/>
            <w:r>
              <w:rPr>
                <w:sz w:val="17"/>
                <w:szCs w:val="17"/>
              </w:rPr>
              <w:t>immunometabolic</w:t>
            </w:r>
            <w:proofErr w:type="spellEnd"/>
            <w:r>
              <w:rPr>
                <w:sz w:val="17"/>
                <w:szCs w:val="17"/>
              </w:rPr>
              <w:t xml:space="preserve"> indices</w:t>
            </w:r>
          </w:p>
        </w:tc>
        <w:tc>
          <w:tcPr>
            <w:tcW w:w="0" w:type="dxa"/>
            <w:tcMar>
              <w:top w:w="60" w:type="dxa"/>
              <w:left w:w="80" w:type="dxa"/>
              <w:bottom w:w="60" w:type="dxa"/>
              <w:right w:w="80" w:type="dxa"/>
            </w:tcMar>
          </w:tcPr>
          <w:p w14:paraId="15DD2125" w14:textId="77777777" w:rsidR="001474D1" w:rsidRDefault="00000000">
            <w:r>
              <w:rPr>
                <w:sz w:val="17"/>
                <w:szCs w:val="17"/>
              </w:rPr>
              <w:t>Methionine acts through cysteine and glutathione supply in addition to methyl donation</w:t>
            </w:r>
          </w:p>
        </w:tc>
        <w:tc>
          <w:tcPr>
            <w:tcW w:w="0" w:type="dxa"/>
            <w:tcMar>
              <w:top w:w="60" w:type="dxa"/>
              <w:left w:w="80" w:type="dxa"/>
              <w:bottom w:w="60" w:type="dxa"/>
              <w:right w:w="80" w:type="dxa"/>
            </w:tcMar>
          </w:tcPr>
          <w:p w14:paraId="5F4D3D6A" w14:textId="77777777" w:rsidR="001474D1" w:rsidRDefault="00000000">
            <w:r>
              <w:rPr>
                <w:sz w:val="17"/>
                <w:szCs w:val="17"/>
              </w:rPr>
              <w:t>Relative contribution of the two pathways is unquantified</w:t>
            </w:r>
          </w:p>
        </w:tc>
        <w:tc>
          <w:tcPr>
            <w:tcW w:w="0" w:type="dxa"/>
            <w:tcMar>
              <w:top w:w="60" w:type="dxa"/>
              <w:left w:w="80" w:type="dxa"/>
              <w:bottom w:w="60" w:type="dxa"/>
              <w:right w:w="80" w:type="dxa"/>
            </w:tcMar>
          </w:tcPr>
          <w:p w14:paraId="3139F575" w14:textId="77777777" w:rsidR="001474D1" w:rsidRDefault="00000000">
            <w:proofErr w:type="spellStart"/>
            <w:r>
              <w:rPr>
                <w:sz w:val="17"/>
                <w:szCs w:val="17"/>
              </w:rPr>
              <w:t>Batistel</w:t>
            </w:r>
            <w:proofErr w:type="spellEnd"/>
            <w:r>
              <w:rPr>
                <w:sz w:val="17"/>
                <w:szCs w:val="17"/>
              </w:rPr>
              <w:t xml:space="preserve"> et al. (2018); Coleman et al. (2020); Osorio et al. (2014); Zhou et al. (2016)</w:t>
            </w:r>
          </w:p>
        </w:tc>
      </w:tr>
      <w:tr w:rsidR="001474D1" w14:paraId="3AD87B63" w14:textId="77777777">
        <w:tc>
          <w:tcPr>
            <w:tcW w:w="0" w:type="dxa"/>
            <w:tcMar>
              <w:top w:w="60" w:type="dxa"/>
              <w:left w:w="80" w:type="dxa"/>
              <w:bottom w:w="60" w:type="dxa"/>
              <w:right w:w="80" w:type="dxa"/>
            </w:tcMar>
          </w:tcPr>
          <w:p w14:paraId="3226433F" w14:textId="77777777" w:rsidR="001474D1" w:rsidRDefault="00000000">
            <w:r>
              <w:rPr>
                <w:sz w:val="17"/>
                <w:szCs w:val="17"/>
              </w:rPr>
              <w:t>Composite commercial preparations</w:t>
            </w:r>
          </w:p>
        </w:tc>
        <w:tc>
          <w:tcPr>
            <w:tcW w:w="0" w:type="dxa"/>
            <w:tcMar>
              <w:top w:w="60" w:type="dxa"/>
              <w:left w:w="80" w:type="dxa"/>
              <w:bottom w:w="60" w:type="dxa"/>
              <w:right w:w="80" w:type="dxa"/>
            </w:tcMar>
          </w:tcPr>
          <w:p w14:paraId="00EE99F0" w14:textId="77777777" w:rsidR="001474D1" w:rsidRDefault="00000000">
            <w:r>
              <w:rPr>
                <w:sz w:val="17"/>
                <w:szCs w:val="17"/>
              </w:rPr>
              <w:t>Consistent benefit reported for multi-component products</w:t>
            </w:r>
          </w:p>
        </w:tc>
        <w:tc>
          <w:tcPr>
            <w:tcW w:w="0" w:type="dxa"/>
            <w:tcMar>
              <w:top w:w="60" w:type="dxa"/>
              <w:left w:w="80" w:type="dxa"/>
              <w:bottom w:w="60" w:type="dxa"/>
              <w:right w:w="80" w:type="dxa"/>
            </w:tcMar>
          </w:tcPr>
          <w:p w14:paraId="5C943BB1" w14:textId="77777777" w:rsidR="001474D1" w:rsidRDefault="00000000">
            <w:r>
              <w:rPr>
                <w:sz w:val="17"/>
                <w:szCs w:val="17"/>
              </w:rPr>
              <w:t>Combination effects may be additive, synergistic or attributable to a single component</w:t>
            </w:r>
          </w:p>
        </w:tc>
        <w:tc>
          <w:tcPr>
            <w:tcW w:w="0" w:type="dxa"/>
            <w:tcMar>
              <w:top w:w="60" w:type="dxa"/>
              <w:left w:w="80" w:type="dxa"/>
              <w:bottom w:w="60" w:type="dxa"/>
              <w:right w:w="80" w:type="dxa"/>
            </w:tcMar>
          </w:tcPr>
          <w:p w14:paraId="3DC2D549" w14:textId="77777777" w:rsidR="001474D1" w:rsidRDefault="00000000">
            <w:r>
              <w:rPr>
                <w:sz w:val="17"/>
                <w:szCs w:val="17"/>
              </w:rPr>
              <w:t>Attribution impossible without factorial designs</w:t>
            </w:r>
          </w:p>
        </w:tc>
        <w:tc>
          <w:tcPr>
            <w:tcW w:w="0" w:type="dxa"/>
            <w:tcMar>
              <w:top w:w="60" w:type="dxa"/>
              <w:left w:w="80" w:type="dxa"/>
              <w:bottom w:w="60" w:type="dxa"/>
              <w:right w:w="80" w:type="dxa"/>
            </w:tcMar>
          </w:tcPr>
          <w:p w14:paraId="767D2A9B" w14:textId="77777777" w:rsidR="001474D1" w:rsidRDefault="00000000">
            <w:r>
              <w:rPr>
                <w:sz w:val="17"/>
                <w:szCs w:val="17"/>
              </w:rPr>
              <w:t xml:space="preserve">Y. Ding et al. (2025); Silva et al. (2022); </w:t>
            </w:r>
            <w:proofErr w:type="spellStart"/>
            <w:r>
              <w:rPr>
                <w:sz w:val="17"/>
                <w:szCs w:val="17"/>
              </w:rPr>
              <w:t>Somagond</w:t>
            </w:r>
            <w:proofErr w:type="spellEnd"/>
            <w:r>
              <w:rPr>
                <w:sz w:val="17"/>
                <w:szCs w:val="17"/>
              </w:rPr>
              <w:t xml:space="preserve"> et al. (2023); Zhang et al. (2024)</w:t>
            </w:r>
          </w:p>
        </w:tc>
      </w:tr>
      <w:tr w:rsidR="001474D1" w14:paraId="2DF95ECC" w14:textId="77777777">
        <w:tc>
          <w:tcPr>
            <w:tcW w:w="0" w:type="dxa"/>
            <w:tcMar>
              <w:top w:w="60" w:type="dxa"/>
              <w:left w:w="80" w:type="dxa"/>
              <w:bottom w:w="60" w:type="dxa"/>
              <w:right w:w="80" w:type="dxa"/>
            </w:tcMar>
          </w:tcPr>
          <w:p w14:paraId="1E026134" w14:textId="77777777" w:rsidR="001474D1" w:rsidRDefault="00000000">
            <w:r>
              <w:rPr>
                <w:sz w:val="17"/>
                <w:szCs w:val="17"/>
              </w:rPr>
              <w:t>Plant polyphenols</w:t>
            </w:r>
          </w:p>
        </w:tc>
        <w:tc>
          <w:tcPr>
            <w:tcW w:w="0" w:type="dxa"/>
            <w:tcMar>
              <w:top w:w="60" w:type="dxa"/>
              <w:left w:w="80" w:type="dxa"/>
              <w:bottom w:w="60" w:type="dxa"/>
              <w:right w:w="80" w:type="dxa"/>
            </w:tcMar>
          </w:tcPr>
          <w:p w14:paraId="5C57D25E" w14:textId="77777777" w:rsidR="001474D1" w:rsidRDefault="00000000">
            <w:r>
              <w:rPr>
                <w:sz w:val="17"/>
                <w:szCs w:val="17"/>
              </w:rPr>
              <w:t>Improvement in oxidative status and hepatic stress gene expression with variable performance effects</w:t>
            </w:r>
          </w:p>
        </w:tc>
        <w:tc>
          <w:tcPr>
            <w:tcW w:w="0" w:type="dxa"/>
            <w:tcMar>
              <w:top w:w="60" w:type="dxa"/>
              <w:left w:w="80" w:type="dxa"/>
              <w:bottom w:w="60" w:type="dxa"/>
              <w:right w:w="80" w:type="dxa"/>
            </w:tcMar>
          </w:tcPr>
          <w:p w14:paraId="302E4F1E" w14:textId="77777777" w:rsidR="001474D1" w:rsidRDefault="00000000">
            <w:r>
              <w:rPr>
                <w:sz w:val="17"/>
                <w:szCs w:val="17"/>
              </w:rPr>
              <w:t>Action is partly through induction of endogenous defence rather than direct scavenging; material composition varies</w:t>
            </w:r>
          </w:p>
        </w:tc>
        <w:tc>
          <w:tcPr>
            <w:tcW w:w="0" w:type="dxa"/>
            <w:tcMar>
              <w:top w:w="60" w:type="dxa"/>
              <w:left w:w="80" w:type="dxa"/>
              <w:bottom w:w="60" w:type="dxa"/>
              <w:right w:w="80" w:type="dxa"/>
            </w:tcMar>
          </w:tcPr>
          <w:p w14:paraId="7B9E0C1C" w14:textId="77777777" w:rsidR="001474D1" w:rsidRDefault="00000000">
            <w:r>
              <w:rPr>
                <w:sz w:val="17"/>
                <w:szCs w:val="17"/>
              </w:rPr>
              <w:t>Identity and bioavailability of the active metabolites after ruminal fermentation</w:t>
            </w:r>
          </w:p>
        </w:tc>
        <w:tc>
          <w:tcPr>
            <w:tcW w:w="0" w:type="dxa"/>
            <w:tcMar>
              <w:top w:w="60" w:type="dxa"/>
              <w:left w:w="80" w:type="dxa"/>
              <w:bottom w:w="60" w:type="dxa"/>
              <w:right w:w="80" w:type="dxa"/>
            </w:tcMar>
          </w:tcPr>
          <w:p w14:paraId="794382AF" w14:textId="77777777" w:rsidR="001474D1" w:rsidRDefault="00000000">
            <w:r>
              <w:rPr>
                <w:sz w:val="17"/>
                <w:szCs w:val="17"/>
              </w:rPr>
              <w:t xml:space="preserve">Gessner et al. (2015); Gessner, </w:t>
            </w:r>
            <w:proofErr w:type="spellStart"/>
            <w:r>
              <w:rPr>
                <w:sz w:val="17"/>
                <w:szCs w:val="17"/>
              </w:rPr>
              <w:t>Ringseis</w:t>
            </w:r>
            <w:proofErr w:type="spellEnd"/>
            <w:r>
              <w:rPr>
                <w:sz w:val="17"/>
                <w:szCs w:val="17"/>
              </w:rPr>
              <w:t>, and Eder (2017); Gessner, Winkler, et al. (2017); Safari et al. (2018)</w:t>
            </w:r>
          </w:p>
        </w:tc>
      </w:tr>
    </w:tbl>
    <w:p w14:paraId="52B68F40" w14:textId="77777777" w:rsidR="001474D1" w:rsidRDefault="00000000">
      <w:pPr>
        <w:spacing w:before="80" w:after="240" w:line="260" w:lineRule="auto"/>
      </w:pPr>
      <w:r>
        <w:rPr>
          <w:i/>
          <w:iCs/>
          <w:sz w:val="17"/>
          <w:szCs w:val="17"/>
        </w:rPr>
        <w:t xml:space="preserve">Note. </w:t>
      </w:r>
      <w:r>
        <w:rPr>
          <w:sz w:val="17"/>
          <w:szCs w:val="17"/>
        </w:rPr>
        <w:t>Residual uncertainty identifies the question that the cited evidence leaves unresolved rather than a general assessment of study quality.</w:t>
      </w:r>
    </w:p>
    <w:p w14:paraId="40A26D9B" w14:textId="77777777" w:rsidR="001474D1" w:rsidRDefault="00000000">
      <w:pPr>
        <w:pStyle w:val="Heading1"/>
        <w:spacing w:before="320" w:after="160" w:line="360" w:lineRule="auto"/>
      </w:pPr>
      <w:r>
        <w:rPr>
          <w:b/>
          <w:bCs/>
          <w:color w:val="000000"/>
          <w:sz w:val="26"/>
          <w:szCs w:val="26"/>
        </w:rPr>
        <w:t>8. Cross-Cutting Methodological Weaknesses</w:t>
      </w:r>
    </w:p>
    <w:p w14:paraId="3253A79B" w14:textId="77777777" w:rsidR="001474D1" w:rsidRDefault="00000000">
      <w:pPr>
        <w:spacing w:after="120" w:line="360" w:lineRule="auto"/>
        <w:jc w:val="both"/>
      </w:pPr>
      <w:r>
        <w:t>Several deficiencies recur across the literature with sufficient regularity to constitute structural features rather than isolated shortcomings, and they jointly explain much of the apparent inconsistency described in preceding sections.</w:t>
      </w:r>
    </w:p>
    <w:p w14:paraId="4E51A60C" w14:textId="77777777" w:rsidR="001474D1" w:rsidRDefault="00000000">
      <w:pPr>
        <w:spacing w:after="120" w:line="360" w:lineRule="auto"/>
        <w:jc w:val="both"/>
      </w:pPr>
      <w:r>
        <w:t>Baseline antioxidant status is seldom characterised before intervention. This omission, identified by Abuelo et al. (2015) and still evident in trials published a decade later, means that the population tested is of unknown status with respect to the very variable the intervention targets. A trial conducted in replete animals and a trial conducted in deficient animals will yield different results for reasons that have nothing to do with the efficacy of the compound, and reporting both as tests of the same hypothesis generates spurious heterogeneity.</w:t>
      </w:r>
    </w:p>
    <w:p w14:paraId="2D5BF1CD" w14:textId="77777777" w:rsidR="001474D1" w:rsidRDefault="00000000">
      <w:pPr>
        <w:spacing w:after="120" w:line="360" w:lineRule="auto"/>
        <w:jc w:val="both"/>
      </w:pPr>
      <w:r>
        <w:t>Experimental units are frequently too few for the outcomes claimed. Studies reporting differences in the incidence of clinical disease with fewer than twenty animals per treatment group cannot distinguish a genuine effect from sampling variation at the incidence rates typical of periparturient disorders, and the practice of reporting such differences alongside adequately powered biochemical outcomes obscures the distinction between them. Where cows are managed in group pens but analysed as individuals, the effective unit of replication is smaller than the reported number, and few studies address this explicitly.</w:t>
      </w:r>
    </w:p>
    <w:p w14:paraId="3B581E57" w14:textId="77777777" w:rsidR="001474D1" w:rsidRDefault="00000000">
      <w:pPr>
        <w:spacing w:after="120" w:line="360" w:lineRule="auto"/>
        <w:jc w:val="both"/>
      </w:pPr>
      <w:r>
        <w:t xml:space="preserve">Sampling schedules are frequently too sparse relative to the speed of periparturient change. Concentrations of non-esterified fatty acids, calcium and inflammatory mediators change over hours around calving, and weekly sampling cannot resolve these dynamics. Kuhn et al. (2018) demonstrated that the apparent direction of change in a lipid peroxidation marker depends on when sampling occurs, </w:t>
      </w:r>
      <w:r>
        <w:lastRenderedPageBreak/>
        <w:t>which implies that studies with different schedules may reach opposite conclusions from identical underlying biology.</w:t>
      </w:r>
    </w:p>
    <w:p w14:paraId="3E90B36A" w14:textId="77777777" w:rsidR="001474D1" w:rsidRDefault="00000000">
      <w:pPr>
        <w:spacing w:after="120" w:line="360" w:lineRule="auto"/>
        <w:jc w:val="both"/>
      </w:pPr>
      <w:r>
        <w:t>Cohorts are predominantly composed of clinically healthy animals, because sick cows are commonly excluded to reduce variance. This design choice removes the animals in which redox alteration is most pronounced and creates a systematic bias towards null findings. Tsuchiya et al. (2020) illustrate the consequence: the healthy cows showed little change across the transition while the diseased animals showed substantial change, so a study restricted to healthy cows would have concluded that the transition produces minimal oxidative alteration.</w:t>
      </w:r>
    </w:p>
    <w:p w14:paraId="503FD21B" w14:textId="77777777" w:rsidR="001474D1" w:rsidRDefault="00000000">
      <w:pPr>
        <w:spacing w:after="120" w:line="360" w:lineRule="auto"/>
        <w:jc w:val="both"/>
      </w:pPr>
      <w:r>
        <w:t>Geographical and system representation is uneven. Confined high-input systems in temperate regions dominate the intervention literature, while pasture-based systems, tropical and subtropical environments and crossbred genotypes are represented sparsely, often through studies with limited analytical resources. Because thermal load, dietary antioxidant supply and genetic potential for milk yield all modify redox responses, the generalisability of the dominant findings to the majority of the world dairy population is not established.</w:t>
      </w:r>
    </w:p>
    <w:p w14:paraId="3B6C4587" w14:textId="77777777" w:rsidR="001474D1" w:rsidRDefault="00000000">
      <w:pPr>
        <w:spacing w:after="120" w:line="360" w:lineRule="auto"/>
        <w:jc w:val="both"/>
      </w:pPr>
      <w:r>
        <w:t xml:space="preserve">Finally, publication and reporting practices favour positive biochemical findings. Antioxidant indices are numerous, correlated and easily measured, which creates scope for selective reporting of the subset showing treatment differences. </w:t>
      </w:r>
      <w:proofErr w:type="spellStart"/>
      <w:r>
        <w:t>Prespecification</w:t>
      </w:r>
      <w:proofErr w:type="spellEnd"/>
      <w:r>
        <w:t xml:space="preserve"> of primary redox endpoints is rare, and trial registration is almost unknown in this literature. The consequence is that the apparent consistency of biochemical responses to antioxidant supplementation may be partly an artefact of reporting rather than a property of the biology.</w:t>
      </w:r>
    </w:p>
    <w:p w14:paraId="43B41F37" w14:textId="77777777" w:rsidR="001474D1" w:rsidRDefault="00000000">
      <w:pPr>
        <w:pStyle w:val="Heading1"/>
        <w:spacing w:before="320" w:after="160" w:line="360" w:lineRule="auto"/>
      </w:pPr>
      <w:r>
        <w:rPr>
          <w:b/>
          <w:bCs/>
          <w:color w:val="000000"/>
          <w:sz w:val="26"/>
          <w:szCs w:val="26"/>
        </w:rPr>
        <w:t>9. Future Directions</w:t>
      </w:r>
    </w:p>
    <w:p w14:paraId="701E4C48" w14:textId="77777777" w:rsidR="001474D1" w:rsidRDefault="00000000">
      <w:pPr>
        <w:spacing w:after="120" w:line="360" w:lineRule="auto"/>
        <w:jc w:val="both"/>
      </w:pPr>
      <w:r>
        <w:t>The priorities set out below are ordered by the extent to which resolving them would unlock progress elsewhere. The first three are immediate in the sense that the methods required already exist and the obstacle is coordination rather than invention. The remainder require methodological development and are correspondingly longer-term.</w:t>
      </w:r>
    </w:p>
    <w:p w14:paraId="5561550D" w14:textId="77777777" w:rsidR="001474D1" w:rsidRDefault="00000000">
      <w:pPr>
        <w:spacing w:after="120" w:line="360" w:lineRule="auto"/>
        <w:jc w:val="both"/>
      </w:pPr>
      <w:r>
        <w:t xml:space="preserve">Harmonisation of redox measurement is the precondition for everything else. The field requires an agreed minimum panel, reported in defined chemical units, comprising at least one structurally specific damage marker and one measure of defence capacity that is not dominated by urate and albumin. </w:t>
      </w:r>
      <w:proofErr w:type="spellStart"/>
      <w:r>
        <w:t>Isoprostane</w:t>
      </w:r>
      <w:proofErr w:type="spellEnd"/>
      <w:r>
        <w:t xml:space="preserve"> quantification by chromatography with mass spectrometric detection is the strongest candidate for the damage component on grounds of chemical specificity and demonstrated responsiveness in bovine disease states, although its adoption requires resolution of the sampling-schedule dependence identified by Kuhn et al. (2018). Achieving harmonisation would require a multi-laboratory ring trial using shared reference material, reporting of assay performance characteristics alongside biological results, and journal-level expectation that arbitrary-unit values be accompanied by </w:t>
      </w:r>
      <w:r>
        <w:lastRenderedPageBreak/>
        <w:t>at least one analyte reported in molar terms. The immediate benefit would be the establishment of reference intervals, which are presently unavailable and without which no animal can be classified as antioxidant-deficient with confidence.</w:t>
      </w:r>
    </w:p>
    <w:p w14:paraId="1208A6F9" w14:textId="77777777" w:rsidR="001474D1" w:rsidRDefault="00000000">
      <w:pPr>
        <w:spacing w:after="120" w:line="360" w:lineRule="auto"/>
        <w:jc w:val="both"/>
      </w:pPr>
      <w:r>
        <w:t>Stratified intervention trials constitute the second priority and depend on the first. The central unresolved question in applied redox nutrition is not whether antioxidants work but for which animals, and the vitamin E evidence indicates that the answer differs by baseline status in direction and not merely in magnitude (</w:t>
      </w:r>
      <w:proofErr w:type="spellStart"/>
      <w:r>
        <w:t>Bouwstra</w:t>
      </w:r>
      <w:proofErr w:type="spellEnd"/>
      <w:r>
        <w:t>, Nielen, Stegeman, et al., 2010; Weiss et al., 1997). The appropriate design randomises within strata defined by pre-treatment antioxidant or trace element status, prespecifies clinical incidence as the primary outcome, uses the pen or the cow as the unit of analysis according to the unit of allocation, and enrols sufficient animals to detect a difference in incidence of the magnitude that would justify commercial adoption. Given typical periparturient disease incidence, this implies multi-herd studies with several hundred animals per stratum, which in turn implies consortium funding rather than single-institution work. Outcome measures should include clinical disease incidence, culling and reproductive performance to at least first service, together with the harmonised redox panel to permit mechanistic interpretation of any effect observed.</w:t>
      </w:r>
    </w:p>
    <w:p w14:paraId="70FA4A5D" w14:textId="77777777" w:rsidR="001474D1" w:rsidRDefault="00000000">
      <w:pPr>
        <w:spacing w:after="120" w:line="360" w:lineRule="auto"/>
        <w:jc w:val="both"/>
      </w:pPr>
      <w:r>
        <w:t xml:space="preserve">Establishing the correspondence between circulating markers and tissue processes is the third immediate priority, and it is the specific link whose absence separates the mechanistic and applied literatures. The required study design pairs serial blood sampling with sequential biopsy of liver and subcutaneous adipose tissue in the same animals across the transition, quantifying circulating redox markers alongside tissue measures of mitophagy marker abundance, NFE2L2 target gene expression and </w:t>
      </w:r>
      <w:proofErr w:type="spellStart"/>
      <w:r>
        <w:t>ferroptotic</w:t>
      </w:r>
      <w:proofErr w:type="spellEnd"/>
      <w:r>
        <w:t xml:space="preserve"> signalling of the kind characterised by Fan et al. (2025) and Fang et al. (2022). A cohort of moderate size, perhaps forty to sixty cows spanning a range of body condition at calving, would be sufficient to determine whether circulating markers track tissue processes at all. A negative result would be as valuable as a positive one, since it would require the field to abandon the interpretation of plasma indices as proxies for tissue redox state.</w:t>
      </w:r>
    </w:p>
    <w:p w14:paraId="4D03BC8F" w14:textId="77777777" w:rsidR="001474D1" w:rsidRDefault="00000000">
      <w:pPr>
        <w:spacing w:after="120" w:line="360" w:lineRule="auto"/>
        <w:jc w:val="both"/>
      </w:pPr>
      <w:r>
        <w:t>Resolution of causal direction between redox alteration, metabolic disturbance and immune dysfunction requires designs beyond observation. The observation by Mezzetti et al. (2019) that dry-period immune impairment precedes subclinical ketosis, and the reinterpretation of ketone bodies as signalling molecules rather than passive indices (Rico &amp; Barrientos-Blanco, 2024), both indicate that the conventional causal ordering may be wrong or incomplete. Mendelian randomisation using genetic variants affecting antioxidant enzyme activity, or targeted manipulation of a single defence component with all other variables held constant, would provide stronger evidence than the correlational designs that presently dominate. Longitudinal studies with sampling frequency matched to the speed of periparturient change, sampling at intervals of hours rather than weeks in the immediate peripartum window, would at minimum establish the temporal ordering of events.</w:t>
      </w:r>
    </w:p>
    <w:p w14:paraId="23658DA5" w14:textId="77777777" w:rsidR="001474D1" w:rsidRDefault="00000000">
      <w:pPr>
        <w:spacing w:after="120" w:line="360" w:lineRule="auto"/>
        <w:jc w:val="both"/>
      </w:pPr>
      <w:r>
        <w:lastRenderedPageBreak/>
        <w:t>Extension to underrepresented production systems and genotypes is a longer-term requirement with immediate practical importance. Pasture-based systems differ in dietary antioxidant supply, in the pattern of energy deficit and in thermal exposure; tropical and subtropical systems impose thermal loads under which the redox consequences documented in temperate confinement may be quantitatively or qualitatively different (</w:t>
      </w:r>
      <w:proofErr w:type="spellStart"/>
      <w:r>
        <w:t>Alberghina</w:t>
      </w:r>
      <w:proofErr w:type="spellEnd"/>
      <w:r>
        <w:t xml:space="preserve"> et al., 2024; H. Li et al., 2021; Tao &amp; Dahl, 2013). Crossbred and locally adapted genotypes, which constitute the majority of the global dairy population, are almost absent from the mechanistic literature. Studies in these contexts should apply the harmonised panel to permit comparison with temperate confinement data rather than generating a parallel and incommensurable evidence base.</w:t>
      </w:r>
    </w:p>
    <w:p w14:paraId="09F7C8AA" w14:textId="77777777" w:rsidR="001474D1" w:rsidRDefault="00000000">
      <w:pPr>
        <w:spacing w:after="120" w:line="360" w:lineRule="auto"/>
        <w:jc w:val="both"/>
      </w:pPr>
      <w:r>
        <w:t xml:space="preserve">Determination of upper limits and adverse effects has been neglected relative to its importance. The vitamin E findings of </w:t>
      </w:r>
      <w:proofErr w:type="spellStart"/>
      <w:r>
        <w:t>Bouwstra</w:t>
      </w:r>
      <w:proofErr w:type="spellEnd"/>
      <w:r>
        <w:t xml:space="preserve">, Nielen, Stegeman, et al. (2010) and </w:t>
      </w:r>
      <w:proofErr w:type="spellStart"/>
      <w:r>
        <w:t>Bouwstra</w:t>
      </w:r>
      <w:proofErr w:type="spellEnd"/>
      <w:r>
        <w:t xml:space="preserve">, Nielen, Newbold, et al. (2010) demonstrate that harm is possible, and Abuelo (2025) has identified the absence of optimal supplementation guidelines as a substantive gap. Dose-response studies extending into the </w:t>
      </w:r>
      <w:proofErr w:type="spellStart"/>
      <w:r>
        <w:t>supranutritional</w:t>
      </w:r>
      <w:proofErr w:type="spellEnd"/>
      <w:r>
        <w:t xml:space="preserve"> range, with clinical outcomes rather than only biochemical indices, are required for each of the principal supplements in commercial use. Such studies are unattractive commercially and are therefore likely to require public funding.</w:t>
      </w:r>
    </w:p>
    <w:p w14:paraId="01D9CD72" w14:textId="77777777" w:rsidR="001474D1" w:rsidRDefault="00000000">
      <w:pPr>
        <w:spacing w:after="120" w:line="360" w:lineRule="auto"/>
        <w:jc w:val="both"/>
      </w:pPr>
      <w:r>
        <w:t xml:space="preserve">Finally, the translation of organelle-level mechanisms into intervention targets should be pursued with explicit attention to the intermediate steps that have been omitted in comparable fields. Ferroptosis inhibition and mitophagy enhancement are attractive conceptually, but no compound with demonstrated activity on these pathways has been shown to be safe, orally available, </w:t>
      </w:r>
      <w:proofErr w:type="spellStart"/>
      <w:r>
        <w:t>ruminally</w:t>
      </w:r>
      <w:proofErr w:type="spellEnd"/>
      <w:r>
        <w:t xml:space="preserve"> stable and effective at tissue level in cattle. Before intervention trials are contemplated, the field requires confirmation that the pathways operate at physiologically relevant substrate concentrations in vivo, quantification of their contribution to tissue dysfunction relative to other mechanisms, and identification of a measurable intermediate endpoint that could serve as a proof-of-mechanism outcome in a small preliminary study.</w:t>
      </w:r>
    </w:p>
    <w:p w14:paraId="1BAB3DEC" w14:textId="77777777" w:rsidR="001474D1" w:rsidRDefault="00000000">
      <w:pPr>
        <w:pStyle w:val="Heading1"/>
        <w:spacing w:before="320" w:after="160" w:line="360" w:lineRule="auto"/>
      </w:pPr>
      <w:r>
        <w:rPr>
          <w:b/>
          <w:bCs/>
          <w:color w:val="000000"/>
          <w:sz w:val="26"/>
          <w:szCs w:val="26"/>
        </w:rPr>
        <w:t>10. Conclusions</w:t>
      </w:r>
    </w:p>
    <w:p w14:paraId="1373405C" w14:textId="77777777" w:rsidR="001474D1" w:rsidRDefault="00000000">
      <w:pPr>
        <w:spacing w:after="120" w:line="360" w:lineRule="auto"/>
        <w:jc w:val="both"/>
      </w:pPr>
      <w:r>
        <w:t>Three propositions in this field are supported strongly enough to be treated as established. Periparturient dairy cows experience an increase in oxidant exposure and a shift in redox balance relative to mid-gestation and mid-lactation reference states, and this occurs in animals across production systems, breeds and analytical traditions. The mobilisation of adipose triacylglycerol and the consequent hepatic oxidation of non-esterified fatty acids constitute the principal endogenous driver, a conclusion supported by the convergence of body condition contrasts in vivo with direct demonstration of reactive species generation in bovine hepatocytes exposed to fatty acids. Correcting a genuine deficiency of selenium or vitamin E improves antioxidant enzyme function and reduces the incidence of several periparturient disorders, which remains the most robust practical finding in the applied literature.</w:t>
      </w:r>
    </w:p>
    <w:p w14:paraId="4778C7B0" w14:textId="77777777" w:rsidR="001474D1" w:rsidRDefault="00000000">
      <w:pPr>
        <w:spacing w:after="120" w:line="360" w:lineRule="auto"/>
        <w:jc w:val="both"/>
      </w:pPr>
      <w:r>
        <w:lastRenderedPageBreak/>
        <w:t>An equal number of propositions that are widely assumed do not survive critical examination. There is no evidence that any single circulating biomarker adequately represents tissue redox state, and the correspondence between plasma indices and the organelle-level processes now dominating mechanistic research has never been tested. Antioxidant supplementation of animals whose status is already adequate has not been shown to confer benefit and has, in at least one well-conducted randomised trial, been associated with harm. The causal ordering placing redox imbalance upstream of metabolic and immune dysfunction is plausible but unproven; the available evidence is equally consistent with redox alteration, inflammatory activation and metabolic disturbance being parallel consequences of the intensity of lipid mobilisation, and at least one prospective study points towards immune impairment preceding metabolic disease rather than following it.</w:t>
      </w:r>
    </w:p>
    <w:p w14:paraId="7F91829A" w14:textId="77777777" w:rsidR="001474D1" w:rsidRDefault="00000000">
      <w:pPr>
        <w:spacing w:after="120" w:line="360" w:lineRule="auto"/>
        <w:jc w:val="both"/>
      </w:pPr>
      <w:r>
        <w:t>The integrating theme of this review is that the field has become stratified into three literatures with weak connections between them. Mechanistic work has advanced rapidly to the level of mitochondrial quality control, iron-dependent cell death and transcriptional regulation of cytoprotective gene batteries, and this work is of high technical quality. Observational work continues to detect associations between redox variables and disease, but with assays whose specificity and comparability are limited. Intervention work continues to produce reliable biochemical responses accompanied by inconsistent clinical outcomes. The disconnection is not a matter of insufficient effort within each stratum but of the absence of the specific studies that would join them, principally studies relating circulating markers to tissue processes and studies stratifying intervention by baseline status.</w:t>
      </w:r>
    </w:p>
    <w:p w14:paraId="0C4C3BB8" w14:textId="77777777" w:rsidR="001474D1" w:rsidRDefault="00000000">
      <w:pPr>
        <w:spacing w:after="120" w:line="360" w:lineRule="auto"/>
        <w:jc w:val="both"/>
      </w:pPr>
      <w:r>
        <w:t>The practical implication is that antioxidant supplementation should be understood as targeted correction of identified inadequacy rather than as general prophylaxis. Blanket supplementation of herds whose antioxidant status has not been assessed is not supported by the evidence, is unlikely to be economically justified, and carries a small but demonstrated risk of adverse outcome. The scientific implication is that further descriptive documentation of redox change during the transition, using non-specific colorimetric assays in small cohorts of clinically healthy cows, is unlikely to advance understanding. The constraint on progress is now methodological standardisation and study design rather than the absence of biological hypotheses, and until measurement is harmonised and interventions are stratified by baseline status, additional studies of the conventional type will continue to expand the literature without resolving its central ambiguities.</w:t>
      </w:r>
    </w:p>
    <w:p w14:paraId="639BB95D" w14:textId="77777777" w:rsidR="001474D1" w:rsidRDefault="00000000">
      <w:pPr>
        <w:pStyle w:val="Heading1"/>
        <w:spacing w:before="320" w:after="160" w:line="360" w:lineRule="auto"/>
      </w:pPr>
      <w:r>
        <w:rPr>
          <w:b/>
          <w:bCs/>
          <w:color w:val="000000"/>
          <w:sz w:val="26"/>
          <w:szCs w:val="26"/>
        </w:rPr>
        <w:t>11. Limitations</w:t>
      </w:r>
    </w:p>
    <w:p w14:paraId="6823157A" w14:textId="77777777" w:rsidR="001474D1" w:rsidRDefault="00000000">
      <w:pPr>
        <w:spacing w:after="120" w:line="360" w:lineRule="auto"/>
        <w:jc w:val="both"/>
      </w:pPr>
      <w:r>
        <w:t xml:space="preserve">This review is a narrative synthesis and carries the limitations intrinsic to that design. Study identification was purposive rather than exhaustive, selection of sources reflected judgements about relevance and quality that another reviewer might have made differently, and the weighting of evidence within the synthesis depended on interpretation that was not formally protocolised. Selection bias and interpretive bias cannot be excluded despite the transparent description of the search, the explicit </w:t>
      </w:r>
      <w:r>
        <w:lastRenderedPageBreak/>
        <w:t>eligibility rules and the systematic appraisal approach applied to retained studies. No second reviewer independently screened records or appraised studies, so the consistency of these judgements was not tested.</w:t>
      </w:r>
    </w:p>
    <w:p w14:paraId="24FBCA5B" w14:textId="77777777" w:rsidR="001474D1" w:rsidRDefault="00000000">
      <w:pPr>
        <w:spacing w:after="120" w:line="360" w:lineRule="auto"/>
        <w:jc w:val="both"/>
      </w:pPr>
      <w:r>
        <w:t>Access to subscription bibliographic databases was not available. Searching relied on general and scholarly web resources together with bibliographic metadata verification, and although these routes retrieve a substantial proportion of the indexed literature, coverage was necessarily less complete than a search of the major subscription indexes would have provided. Studies indexed only in those databases, and studies whose full text was inaccessible and whose methods could not be adequately assessed from the available record, may have been missed or excluded.</w:t>
      </w:r>
    </w:p>
    <w:p w14:paraId="6A8EC126" w14:textId="77777777" w:rsidR="001474D1" w:rsidRDefault="00000000">
      <w:pPr>
        <w:spacing w:after="120" w:line="360" w:lineRule="auto"/>
        <w:jc w:val="both"/>
      </w:pPr>
      <w:r>
        <w:t>Language restriction to English will have excluded relevant work, and this restriction interacts with the uneven geographical representation identified in the synthesis, since research from several major dairy-producing regions is published substantially in other languages. The geographical concentration of the underlying evidence in temperate confinement systems is a property of the literature rather than of this review, but it limits the confidence with which any conclusion can be extended to pasture-based, tropical or crossbred production contexts.</w:t>
      </w:r>
    </w:p>
    <w:p w14:paraId="0194C293" w14:textId="77777777" w:rsidR="001474D1" w:rsidRDefault="00000000">
      <w:pPr>
        <w:spacing w:after="120" w:line="360" w:lineRule="auto"/>
        <w:jc w:val="both"/>
      </w:pPr>
      <w:r>
        <w:t>Quantitative synthesis was not attempted and would not have been defensible. The heterogeneity of analytical methods, the reporting of key variables in proprietary arbitrary units, and the diversity of study designs spanning cell culture to field trials preclude meaningful pooling of effect estimates. Consequently, no statement in this review should be read as a quantitative estimate of effect size, and the qualitative assessments of evidence strength presented in the tables are judgements rather than the output of a validated grading instrument. Formal risk-of-bias scoring was not applied because the information reported in most studies was insufficient to populate a recognised tool.</w:t>
      </w:r>
    </w:p>
    <w:p w14:paraId="42F926DE" w14:textId="77777777" w:rsidR="001474D1" w:rsidRDefault="00000000">
      <w:pPr>
        <w:spacing w:after="120" w:line="360" w:lineRule="auto"/>
        <w:jc w:val="both"/>
      </w:pPr>
      <w:r>
        <w:t>The mechanistic literature reviewed is developing quickly, and several of the processes discussed have been characterised only within the past few years and by a small number of research groups. Conclusions concerning those mechanisms are correspondingly provisional and may require revision as independent replication accumulates. The evidence base also relies heavily on observational designs and on cross-sectional comparison between healthy and diseased animals, which constrains causal inference throughout, and long-term follow-up beyond early lactation is scarce, so effects on lifetime productivity and longevity remain essentially unstudied.</w:t>
      </w:r>
    </w:p>
    <w:p w14:paraId="35AF7AF7" w14:textId="77777777" w:rsidR="004F1E53" w:rsidRPr="000839CE" w:rsidRDefault="004F1E53" w:rsidP="004F1E53">
      <w:pPr>
        <w:rPr>
          <w:b/>
        </w:rPr>
      </w:pPr>
      <w:r w:rsidRPr="000839CE">
        <w:rPr>
          <w:b/>
        </w:rPr>
        <w:t>Declaration of AI Use</w:t>
      </w:r>
    </w:p>
    <w:p w14:paraId="280D16EB" w14:textId="77777777" w:rsidR="004F1E53" w:rsidRPr="000839CE" w:rsidRDefault="004F1E53" w:rsidP="004F1E53"/>
    <w:p w14:paraId="19351043" w14:textId="77777777" w:rsidR="004F1E53" w:rsidRPr="000839CE" w:rsidRDefault="004F1E53" w:rsidP="004F1E53">
      <w:pPr>
        <w:jc w:val="both"/>
      </w:pPr>
      <w:r w:rsidRPr="00C56790">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w:t>
      </w:r>
      <w:r w:rsidRPr="00C56790">
        <w:lastRenderedPageBreak/>
        <w:t>and approved by the author(s). The author(s) accept full responsibility for the accuracy, integrity, and final content of the manuscript.</w:t>
      </w:r>
    </w:p>
    <w:p w14:paraId="27D1C641" w14:textId="77777777" w:rsidR="004F1E53" w:rsidRDefault="004F1E53">
      <w:pPr>
        <w:spacing w:after="120" w:line="360" w:lineRule="auto"/>
        <w:jc w:val="both"/>
      </w:pPr>
    </w:p>
    <w:p w14:paraId="6B54E598" w14:textId="77777777" w:rsidR="001474D1" w:rsidRDefault="00000000">
      <w:pPr>
        <w:pStyle w:val="Heading1"/>
        <w:spacing w:before="320" w:after="160" w:line="360" w:lineRule="auto"/>
      </w:pPr>
      <w:r>
        <w:rPr>
          <w:b/>
          <w:bCs/>
          <w:color w:val="000000"/>
          <w:sz w:val="26"/>
          <w:szCs w:val="26"/>
        </w:rPr>
        <w:t>References</w:t>
      </w:r>
    </w:p>
    <w:p w14:paraId="32F8E072" w14:textId="77777777" w:rsidR="001474D1" w:rsidRDefault="00000000">
      <w:pPr>
        <w:spacing w:after="120" w:line="360" w:lineRule="auto"/>
        <w:ind w:left="720" w:hanging="720"/>
      </w:pPr>
      <w:r>
        <w:t xml:space="preserve">Abuelo, A. (2025). ADSA Foundation Scholar Award: Shakin' off the rust—Oxidative stress and redox status as underlying factors of immune dysfunction in periparturient cows and preweaning calves. </w:t>
      </w:r>
      <w:r>
        <w:rPr>
          <w:i/>
          <w:iCs/>
        </w:rPr>
        <w:t>Journal of Dairy Science, 108</w:t>
      </w:r>
      <w:r>
        <w:t>(8), 7861–7875. https://doi.org/10.3168/jds.2025-26707</w:t>
      </w:r>
    </w:p>
    <w:p w14:paraId="10C7425E" w14:textId="77777777" w:rsidR="001474D1" w:rsidRDefault="00000000">
      <w:pPr>
        <w:spacing w:after="120" w:line="360" w:lineRule="auto"/>
        <w:ind w:left="720" w:hanging="720"/>
      </w:pPr>
      <w:r>
        <w:t>Abuelo, A., Hernández, J., Benedito, J. L., &amp; Castillo, C. (2013). Oxidative stress index (</w:t>
      </w:r>
      <w:proofErr w:type="spellStart"/>
      <w:r>
        <w:t>OSi</w:t>
      </w:r>
      <w:proofErr w:type="spellEnd"/>
      <w:r>
        <w:t xml:space="preserve">) as a new tool to assess redox status in dairy cattle during the transition period. </w:t>
      </w:r>
      <w:r>
        <w:rPr>
          <w:i/>
          <w:iCs/>
        </w:rPr>
        <w:t>Animal, 7</w:t>
      </w:r>
      <w:r>
        <w:t>(8), 1374–1378. https://doi.org/10.1017/S1751731113000396</w:t>
      </w:r>
    </w:p>
    <w:p w14:paraId="4749D887" w14:textId="77777777" w:rsidR="001474D1" w:rsidRDefault="00000000">
      <w:pPr>
        <w:spacing w:after="120" w:line="360" w:lineRule="auto"/>
        <w:ind w:left="720" w:hanging="720"/>
      </w:pPr>
      <w:r>
        <w:t xml:space="preserve">Abuelo, A., Hernández, J., Benedito, J. L., &amp; Castillo, C. (2015). The importance of the oxidative status of dairy cattle in the periparturient period: Revisiting antioxidant supplementation. </w:t>
      </w:r>
      <w:r>
        <w:rPr>
          <w:i/>
          <w:iCs/>
        </w:rPr>
        <w:t>Journal of Animal Physiology and Animal Nutrition, 99</w:t>
      </w:r>
      <w:r>
        <w:t>(6), 1003–1016. https://doi.org/10.1111/jpn.12273</w:t>
      </w:r>
    </w:p>
    <w:p w14:paraId="77049EB6" w14:textId="77777777" w:rsidR="001474D1" w:rsidRDefault="00000000">
      <w:pPr>
        <w:spacing w:after="120" w:line="360" w:lineRule="auto"/>
        <w:ind w:left="720" w:hanging="720"/>
      </w:pPr>
      <w:r>
        <w:t xml:space="preserve">Abuelo, A., Hernández, J., Benedito, J. L., &amp; Castillo, C. (2016). Association of oxidative status and insulin sensitivity in periparturient dairy cattle: An observational study. </w:t>
      </w:r>
      <w:r>
        <w:rPr>
          <w:i/>
          <w:iCs/>
        </w:rPr>
        <w:t>Journal of Animal Physiology and Animal Nutrition, 100</w:t>
      </w:r>
      <w:r>
        <w:t>(2), 279–286. https://doi.org/10.1111/jpn.12365</w:t>
      </w:r>
    </w:p>
    <w:p w14:paraId="0749ACFF" w14:textId="77777777" w:rsidR="001474D1" w:rsidRDefault="00000000">
      <w:pPr>
        <w:spacing w:after="120" w:line="360" w:lineRule="auto"/>
        <w:ind w:left="720" w:hanging="720"/>
      </w:pPr>
      <w:r>
        <w:t xml:space="preserve">Abuelo, A., Hernández, J., Benedito, J. L., &amp; Castillo, C. (2019). Redox biology in transition periods of dairy cattle: Role in the health of periparturient and neonatal animals. </w:t>
      </w:r>
      <w:r>
        <w:rPr>
          <w:i/>
          <w:iCs/>
        </w:rPr>
        <w:t>Antioxidants, 8</w:t>
      </w:r>
      <w:r>
        <w:t>(1), 20. https://doi.org/10.3390/antiox8010020</w:t>
      </w:r>
    </w:p>
    <w:p w14:paraId="307E764C" w14:textId="77777777" w:rsidR="001474D1" w:rsidRDefault="00000000">
      <w:pPr>
        <w:spacing w:after="120" w:line="360" w:lineRule="auto"/>
        <w:ind w:left="720" w:hanging="720"/>
      </w:pPr>
      <w:r>
        <w:t xml:space="preserve">Aitken, S. L., Karcher, E. L., </w:t>
      </w:r>
      <w:proofErr w:type="spellStart"/>
      <w:r>
        <w:t>Rezamand</w:t>
      </w:r>
      <w:proofErr w:type="spellEnd"/>
      <w:r>
        <w:t xml:space="preserve">, P., Gandy, J. C., </w:t>
      </w:r>
      <w:proofErr w:type="spellStart"/>
      <w:r>
        <w:t>VandeHaar</w:t>
      </w:r>
      <w:proofErr w:type="spellEnd"/>
      <w:r>
        <w:t xml:space="preserve">, M. J., </w:t>
      </w:r>
      <w:proofErr w:type="spellStart"/>
      <w:r>
        <w:t>Capuco</w:t>
      </w:r>
      <w:proofErr w:type="spellEnd"/>
      <w:r>
        <w:t xml:space="preserve">, A. V., &amp; Sordillo, L. M. (2009). Evaluation of antioxidant and proinflammatory gene expression in bovine mammary tissue during the periparturient period. </w:t>
      </w:r>
      <w:r>
        <w:rPr>
          <w:i/>
          <w:iCs/>
        </w:rPr>
        <w:t>Journal of Dairy Science, 92</w:t>
      </w:r>
      <w:r>
        <w:t>(2), 589–598. https://doi.org/10.3168/jds.2008-1551</w:t>
      </w:r>
    </w:p>
    <w:p w14:paraId="7E8D1C45" w14:textId="77777777" w:rsidR="001474D1" w:rsidRDefault="00000000">
      <w:pPr>
        <w:spacing w:after="120" w:line="360" w:lineRule="auto"/>
        <w:ind w:left="720" w:hanging="720"/>
      </w:pPr>
      <w:proofErr w:type="spellStart"/>
      <w:r>
        <w:t>Alberghina</w:t>
      </w:r>
      <w:proofErr w:type="spellEnd"/>
      <w:r>
        <w:t xml:space="preserve">, D., Amato, A., Brancato, G., Cavallo, C., Liotta, L., &amp; Lopreiato, V. (2024). Impact of heat stress on the balance between oxidative markers and the antioxidant defence system in the plasma of mid-lactating </w:t>
      </w:r>
      <w:proofErr w:type="spellStart"/>
      <w:r>
        <w:t>Modicana</w:t>
      </w:r>
      <w:proofErr w:type="spellEnd"/>
      <w:r>
        <w:t xml:space="preserve"> dairy cows. </w:t>
      </w:r>
      <w:r>
        <w:rPr>
          <w:i/>
          <w:iCs/>
        </w:rPr>
        <w:t>Animals, 14</w:t>
      </w:r>
      <w:r>
        <w:t>(14), 2034. https://doi.org/10.3390/ani14142034</w:t>
      </w:r>
    </w:p>
    <w:p w14:paraId="06827B08" w14:textId="77777777" w:rsidR="001474D1" w:rsidRDefault="00000000">
      <w:pPr>
        <w:spacing w:after="120" w:line="360" w:lineRule="auto"/>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 4</w:t>
      </w:r>
      <w:r>
        <w:t>, 5. https://doi.org/10.1186/s41073-019-0064-8</w:t>
      </w:r>
    </w:p>
    <w:p w14:paraId="56B68E0A" w14:textId="77777777" w:rsidR="001474D1" w:rsidRDefault="00000000">
      <w:pPr>
        <w:spacing w:after="120" w:line="360" w:lineRule="auto"/>
        <w:ind w:left="720" w:hanging="720"/>
      </w:pPr>
      <w:proofErr w:type="spellStart"/>
      <w:r>
        <w:lastRenderedPageBreak/>
        <w:t>Batistel</w:t>
      </w:r>
      <w:proofErr w:type="spellEnd"/>
      <w:r>
        <w:t xml:space="preserve">, F., Arroyo, J. M., Garces, C. I. M., </w:t>
      </w:r>
      <w:proofErr w:type="spellStart"/>
      <w:r>
        <w:t>Trevisi</w:t>
      </w:r>
      <w:proofErr w:type="spellEnd"/>
      <w:r>
        <w:t xml:space="preserve">, E., Parys, C., Ballou, M. A., Cardoso, F. C., &amp; Loor, J. J. (2018). Ethyl-cellulose rumen-protected methionine alleviates inflammation and oxidative stress and improves neutrophil function during the periparturient period and early lactation in Holstein dairy cows. </w:t>
      </w:r>
      <w:r>
        <w:rPr>
          <w:i/>
          <w:iCs/>
        </w:rPr>
        <w:t>Journal of Dairy Science, 101</w:t>
      </w:r>
      <w:r>
        <w:t>(1), 480–490. https://doi.org/10.3168/jds.2017-13185</w:t>
      </w:r>
    </w:p>
    <w:p w14:paraId="3473EEF3" w14:textId="77777777" w:rsidR="001474D1" w:rsidRDefault="00000000">
      <w:pPr>
        <w:spacing w:after="120" w:line="360" w:lineRule="auto"/>
        <w:ind w:left="720" w:hanging="720"/>
      </w:pPr>
      <w:r>
        <w:t xml:space="preserve">Bernabucci, U., Ronchi, B., </w:t>
      </w:r>
      <w:proofErr w:type="spellStart"/>
      <w:r>
        <w:t>Lacetera</w:t>
      </w:r>
      <w:proofErr w:type="spellEnd"/>
      <w:r>
        <w:t xml:space="preserve">, N., &amp; Nardone, A. (2002). Markers of oxidative status in plasma and erythrocytes of transition dairy cows during hot season. </w:t>
      </w:r>
      <w:r>
        <w:rPr>
          <w:i/>
          <w:iCs/>
        </w:rPr>
        <w:t>Journal of Dairy Science, 85</w:t>
      </w:r>
      <w:r>
        <w:t>(9), 2173–2179. https://doi.org/10.3168/jds.S0022-0302(02)74296-3</w:t>
      </w:r>
    </w:p>
    <w:p w14:paraId="5EA2A788" w14:textId="77777777" w:rsidR="001474D1" w:rsidRDefault="00000000">
      <w:pPr>
        <w:spacing w:after="120" w:line="360" w:lineRule="auto"/>
        <w:ind w:left="720" w:hanging="720"/>
      </w:pPr>
      <w:r>
        <w:t xml:space="preserve">Bernabucci, U., Ronchi, B., </w:t>
      </w:r>
      <w:proofErr w:type="spellStart"/>
      <w:r>
        <w:t>Lacetera</w:t>
      </w:r>
      <w:proofErr w:type="spellEnd"/>
      <w:r>
        <w:t xml:space="preserve">, N., &amp; Nardone, A. (2005). Influence of body condition score on relationships between metabolic status and oxidative stress in periparturient dairy cows. </w:t>
      </w:r>
      <w:r>
        <w:rPr>
          <w:i/>
          <w:iCs/>
        </w:rPr>
        <w:t>Journal of Dairy Science, 88</w:t>
      </w:r>
      <w:r>
        <w:t>(6), 2017–2026. https://doi.org/10.3168/jds.S0022-0302(05)72878-2</w:t>
      </w:r>
    </w:p>
    <w:p w14:paraId="210202A5" w14:textId="77777777" w:rsidR="001474D1" w:rsidRDefault="00000000">
      <w:pPr>
        <w:spacing w:after="120" w:line="360" w:lineRule="auto"/>
        <w:ind w:left="720" w:hanging="720"/>
      </w:pPr>
      <w:proofErr w:type="spellStart"/>
      <w:r>
        <w:t>Bouwstra</w:t>
      </w:r>
      <w:proofErr w:type="spellEnd"/>
      <w:r>
        <w:t xml:space="preserve">, R. J., Nielen, M., Newbold, J. R., Jansen, E. H. J. M., Jelinek, H. F., &amp; van Werven, T. (2010). Vitamin E supplementation during the dry period in dairy cattle. Part II: Oxidative stress following vitamin E supplementation may increase clinical mastitis incidence postpartum. </w:t>
      </w:r>
      <w:r>
        <w:rPr>
          <w:i/>
          <w:iCs/>
        </w:rPr>
        <w:t>Journal of Dairy Science, 93</w:t>
      </w:r>
      <w:r>
        <w:t>(12), 5696–5706. https://doi.org/10.3168/jds.2010-3161</w:t>
      </w:r>
    </w:p>
    <w:p w14:paraId="652C3F8B" w14:textId="77777777" w:rsidR="001474D1" w:rsidRDefault="00000000">
      <w:pPr>
        <w:spacing w:after="120" w:line="360" w:lineRule="auto"/>
        <w:ind w:left="720" w:hanging="720"/>
      </w:pPr>
      <w:proofErr w:type="spellStart"/>
      <w:r>
        <w:t>Bouwstra</w:t>
      </w:r>
      <w:proofErr w:type="spellEnd"/>
      <w:r>
        <w:t xml:space="preserve">, R. J., Nielen, M., Stegeman, J. A., </w:t>
      </w:r>
      <w:proofErr w:type="spellStart"/>
      <w:r>
        <w:t>Dobbelaar</w:t>
      </w:r>
      <w:proofErr w:type="spellEnd"/>
      <w:r>
        <w:t xml:space="preserve">, P., Newbold, J. R., Jansen, E. H. J. M., &amp; van Werven, T. (2010). Vitamin E supplementation during the dry period in dairy cattle. Part I: Adverse effect on incidence of mastitis postpartum in a double-blind randomized field trial. </w:t>
      </w:r>
      <w:r>
        <w:rPr>
          <w:i/>
          <w:iCs/>
        </w:rPr>
        <w:t>Journal of Dairy Science, 93</w:t>
      </w:r>
      <w:r>
        <w:t>(12), 5684–5695. https://doi.org/10.3168/jds.2010-3159</w:t>
      </w:r>
    </w:p>
    <w:p w14:paraId="6D8E9BE6" w14:textId="77777777" w:rsidR="001474D1" w:rsidRDefault="00000000">
      <w:pPr>
        <w:spacing w:after="120" w:line="360" w:lineRule="auto"/>
        <w:ind w:left="720" w:hanging="720"/>
      </w:pPr>
      <w:r>
        <w:t xml:space="preserve">Bradford, B. J., Yuan, K., Farney, J. K., Mamedova, L. K., &amp; Carpenter, A. J. (2015). Invited review: Inflammation during the transition to lactation: New adventures with an old flame. </w:t>
      </w:r>
      <w:r>
        <w:rPr>
          <w:i/>
          <w:iCs/>
        </w:rPr>
        <w:t>Journal of Dairy Science, 98</w:t>
      </w:r>
      <w:r>
        <w:t>(10), 6631–6650. https://doi.org/10.3168/jds.2015-9683</w:t>
      </w:r>
    </w:p>
    <w:p w14:paraId="12FFAFAF" w14:textId="77777777" w:rsidR="001474D1" w:rsidRDefault="00000000">
      <w:pPr>
        <w:spacing w:after="120" w:line="360" w:lineRule="auto"/>
        <w:ind w:left="720" w:hanging="720"/>
      </w:pPr>
      <w:r>
        <w:t xml:space="preserve">Castillo, C., Hernandez, J., Bravo, A., Lopez-Alonso, M., Pereira, V., &amp; Benedito, J. L. (2005). Oxidative status during late pregnancy and early lactation in dairy cows. </w:t>
      </w:r>
      <w:r>
        <w:rPr>
          <w:i/>
          <w:iCs/>
        </w:rPr>
        <w:t>The Veterinary Journal, 169</w:t>
      </w:r>
      <w:r>
        <w:t>(2), 286–292. https://doi.org/10.1016/j.tvjl.2004.02.001</w:t>
      </w:r>
    </w:p>
    <w:p w14:paraId="76037A0D" w14:textId="77777777" w:rsidR="001474D1" w:rsidRDefault="00000000">
      <w:pPr>
        <w:spacing w:after="120" w:line="360" w:lineRule="auto"/>
        <w:ind w:left="720" w:hanging="720"/>
      </w:pPr>
      <w:r>
        <w:t xml:space="preserve">Celi, P. (2011). Biomarkers of oxidative stress in ruminant medicine. </w:t>
      </w:r>
      <w:r>
        <w:rPr>
          <w:i/>
          <w:iCs/>
        </w:rPr>
        <w:t>Immunopharmacology and Immunotoxicology, 33</w:t>
      </w:r>
      <w:r>
        <w:t>(2), 233–240. https://doi.org/10.3109/08923973.2010.514917</w:t>
      </w:r>
    </w:p>
    <w:p w14:paraId="7E6E4EBD" w14:textId="77777777" w:rsidR="001474D1" w:rsidRDefault="00000000">
      <w:pPr>
        <w:spacing w:after="120" w:line="360" w:lineRule="auto"/>
        <w:ind w:left="720" w:hanging="720"/>
      </w:pPr>
      <w:r>
        <w:t xml:space="preserve">Celi, P., &amp; Gabai, G. (2015). Oxidant/antioxidant balance in animal nutrition and health: The role of protein oxidation. </w:t>
      </w:r>
      <w:r>
        <w:rPr>
          <w:i/>
          <w:iCs/>
        </w:rPr>
        <w:t>Frontiers in Veterinary Science, 2</w:t>
      </w:r>
      <w:r>
        <w:t>, 48. https://doi.org/10.3389/fvets.2015.00048</w:t>
      </w:r>
    </w:p>
    <w:p w14:paraId="68CF98FA" w14:textId="77777777" w:rsidR="001474D1" w:rsidRDefault="00000000">
      <w:pPr>
        <w:spacing w:after="120" w:line="360" w:lineRule="auto"/>
        <w:ind w:left="720" w:hanging="720"/>
      </w:pPr>
      <w:r>
        <w:lastRenderedPageBreak/>
        <w:t xml:space="preserve">Coleman, D. N., Lopreiato, V., Alharthi, A., &amp; Loor, J. J. (2020). Amino acids and the regulation of oxidative stress and immune function in dairy cattle. </w:t>
      </w:r>
      <w:r>
        <w:rPr>
          <w:i/>
          <w:iCs/>
        </w:rPr>
        <w:t>Journal of Animal Science, 98</w:t>
      </w:r>
      <w:r>
        <w:t>(Suppl. 1), S175–S193. https://doi.org/10.1093/jas/skaa138</w:t>
      </w:r>
    </w:p>
    <w:p w14:paraId="7F2C9372" w14:textId="77777777" w:rsidR="001474D1" w:rsidRDefault="00000000">
      <w:pPr>
        <w:spacing w:after="120" w:line="360" w:lineRule="auto"/>
        <w:ind w:left="720" w:hanging="720"/>
      </w:pPr>
      <w:r>
        <w:t xml:space="preserve">Contreras, G. A., &amp; Sordillo, L. M. (2011). Lipid mobilization and inflammatory responses during the transition period of dairy cows. </w:t>
      </w:r>
      <w:r>
        <w:rPr>
          <w:i/>
          <w:iCs/>
        </w:rPr>
        <w:t>Comparative Immunology, Microbiology and Infectious Diseases, 34</w:t>
      </w:r>
      <w:r>
        <w:t>(3), 281–289. https://doi.org/10.1016/j.cimid.2011.01.004</w:t>
      </w:r>
    </w:p>
    <w:p w14:paraId="6C217A71" w14:textId="77777777" w:rsidR="001474D1" w:rsidRDefault="00000000">
      <w:pPr>
        <w:spacing w:after="120" w:line="360" w:lineRule="auto"/>
        <w:ind w:left="720" w:hanging="720"/>
      </w:pPr>
      <w:r>
        <w:t xml:space="preserve">Contreras, G. A., Strieder-Barboza, C., &amp; Raphael, W. (2017). Adipose tissue lipolysis and </w:t>
      </w:r>
      <w:proofErr w:type="spellStart"/>
      <w:r>
        <w:t>remodeling</w:t>
      </w:r>
      <w:proofErr w:type="spellEnd"/>
      <w:r>
        <w:t xml:space="preserve"> during the transition period of dairy cows. </w:t>
      </w:r>
      <w:r>
        <w:rPr>
          <w:i/>
          <w:iCs/>
        </w:rPr>
        <w:t>Journal of Animal Science and Biotechnology, 8</w:t>
      </w:r>
      <w:r>
        <w:t>, 41. https://doi.org/10.1186/s40104-017-0174-4</w:t>
      </w:r>
    </w:p>
    <w:p w14:paraId="5B632EF8" w14:textId="77777777" w:rsidR="001474D1" w:rsidRDefault="00000000">
      <w:pPr>
        <w:spacing w:after="120" w:line="360" w:lineRule="auto"/>
        <w:ind w:left="720" w:hanging="720"/>
      </w:pPr>
      <w:r>
        <w:t xml:space="preserve">Ding, H., Yan, W., Zhang, D., Wang, L., Yang, Y., Zhao, C., Feng, S., Wang, X., Tang, J., Wu, D., Wu, J., &amp; Li, Y. (2025). Rutin attenuates H2O2-mediated oxidative stress, inflammation, endoplasmic reticulum stress and apoptosis in bovine mammary epithelial cells via the AMPK/NFE2L2 </w:t>
      </w:r>
      <w:proofErr w:type="spellStart"/>
      <w:r>
        <w:t>signaling</w:t>
      </w:r>
      <w:proofErr w:type="spellEnd"/>
      <w:r>
        <w:t xml:space="preserve"> pathway. </w:t>
      </w:r>
      <w:r>
        <w:rPr>
          <w:i/>
          <w:iCs/>
        </w:rPr>
        <w:t>International Journal of Molecular Sciences, 26</w:t>
      </w:r>
      <w:r>
        <w:t>(10), 4788. https://doi.org/10.3390/ijms26104788</w:t>
      </w:r>
    </w:p>
    <w:p w14:paraId="070DCBEB" w14:textId="77777777" w:rsidR="001474D1" w:rsidRDefault="00000000">
      <w:pPr>
        <w:spacing w:after="120" w:line="360" w:lineRule="auto"/>
        <w:ind w:left="720" w:hanging="720"/>
      </w:pPr>
      <w:r>
        <w:t xml:space="preserve">Ding, Y., Sun, R., Jiang, X., Hao, Y., Song, Y., Jia, X., Bai, Y., &amp; Xia, C. (2025). Combined vitamin E and selenium supplementation enhances antioxidant status, reduces disease incidence, and improves economic returns in transition dairy cows. </w:t>
      </w:r>
      <w:r>
        <w:rPr>
          <w:i/>
          <w:iCs/>
        </w:rPr>
        <w:t>Veterinary World, 18</w:t>
      </w:r>
      <w:r>
        <w:t>(8), 2439–2449. https://doi.org/10.14202/vetworld.2025.2439-2449</w:t>
      </w:r>
    </w:p>
    <w:p w14:paraId="3754B875" w14:textId="77777777" w:rsidR="001474D1" w:rsidRDefault="00000000">
      <w:pPr>
        <w:spacing w:after="120" w:line="360" w:lineRule="auto"/>
        <w:ind w:left="720" w:hanging="720"/>
      </w:pPr>
      <w:r>
        <w:t xml:space="preserve">Drackley, J. K. (1999). Biology of dairy cows during the transition period: The final frontier? </w:t>
      </w:r>
      <w:r>
        <w:rPr>
          <w:i/>
          <w:iCs/>
        </w:rPr>
        <w:t>Journal of Dairy Science, 82</w:t>
      </w:r>
      <w:r>
        <w:t>(11), 2259–2273. https://doi.org/10.3168/jds.S0022-0302(99)75474-3</w:t>
      </w:r>
    </w:p>
    <w:p w14:paraId="48354249" w14:textId="77777777" w:rsidR="001474D1" w:rsidRDefault="00000000">
      <w:pPr>
        <w:spacing w:after="120" w:line="360" w:lineRule="auto"/>
        <w:ind w:left="720" w:hanging="720"/>
      </w:pPr>
      <w:r>
        <w:t xml:space="preserve">Fan, Y., Ma, L., Fang, X., Du, S., Mauck, J., Loor, J. J., Sun, X., Jia, H., Xu, C., &amp; Xu, Q. (2024). Role of hypoxia-inducible-factor-1α (HIF-1α) in ferroptosis of adipose tissue during ketosis. </w:t>
      </w:r>
      <w:r>
        <w:rPr>
          <w:i/>
          <w:iCs/>
        </w:rPr>
        <w:t>Journal of Dairy Science, 107</w:t>
      </w:r>
      <w:r>
        <w:t>(12), 10611–10627. https://doi.org/10.3168/jds.2024-24822</w:t>
      </w:r>
    </w:p>
    <w:p w14:paraId="3E3CC5EF" w14:textId="77777777" w:rsidR="001474D1" w:rsidRDefault="00000000">
      <w:pPr>
        <w:spacing w:after="120" w:line="360" w:lineRule="auto"/>
        <w:ind w:left="720" w:hanging="720"/>
      </w:pPr>
      <w:r>
        <w:t xml:space="preserve">Fan, Y., Ma, L., Xu, X., Fang, X., Mauck, J., Loor, J. J., Sun, X., Jia, H., Xu, C., &amp; Xu, Q. (2025). Heat shock protein B1-mediated ferroptosis regulates mitochondrial dysfunction in adipose tissue of </w:t>
      </w:r>
      <w:proofErr w:type="spellStart"/>
      <w:r>
        <w:t>ketotic</w:t>
      </w:r>
      <w:proofErr w:type="spellEnd"/>
      <w:r>
        <w:t xml:space="preserve"> dairy cows. </w:t>
      </w:r>
      <w:r>
        <w:rPr>
          <w:i/>
          <w:iCs/>
        </w:rPr>
        <w:t>Journal of Dairy Science, 108</w:t>
      </w:r>
      <w:r>
        <w:t>(7), 7815–7836. https://doi.org/10.3168/jds.2025-26265</w:t>
      </w:r>
    </w:p>
    <w:p w14:paraId="3C822C61" w14:textId="77777777" w:rsidR="001474D1" w:rsidRDefault="00000000">
      <w:pPr>
        <w:spacing w:after="120" w:line="360" w:lineRule="auto"/>
        <w:ind w:left="720" w:hanging="720"/>
      </w:pPr>
      <w:r>
        <w:t xml:space="preserve">Fang, Z., Liu, G., Zhu, M., Wang, S., Jiang, Q., Loor, J. J., Yu, H., Hao, X., Chen, M., Gao, W., Lei, L., Song, Y., Wang, Z., Du, X., &amp; Li, X. (2022). Low abundance of mitophagy markers is associated with reactive oxygen species overproduction in cows with fatty liver and causes reactive oxygen species overproduction and lipid accumulation in calf hepatocytes. </w:t>
      </w:r>
      <w:r>
        <w:rPr>
          <w:i/>
          <w:iCs/>
        </w:rPr>
        <w:t>Journal of Dairy Science, 105</w:t>
      </w:r>
      <w:r>
        <w:t>(9), 7829–7841. https://doi.org/10.3168/jds.2021-21774</w:t>
      </w:r>
    </w:p>
    <w:p w14:paraId="68ED54CF" w14:textId="77777777" w:rsidR="001474D1" w:rsidRDefault="00000000">
      <w:pPr>
        <w:spacing w:after="120" w:line="360" w:lineRule="auto"/>
        <w:ind w:left="720" w:hanging="720"/>
      </w:pPr>
      <w:r>
        <w:t xml:space="preserve">Ford, H. R., &amp; </w:t>
      </w:r>
      <w:proofErr w:type="spellStart"/>
      <w:r>
        <w:t>Bionaz</w:t>
      </w:r>
      <w:proofErr w:type="spellEnd"/>
      <w:r>
        <w:t xml:space="preserve">, M. (2024). The experimental and in silico-based evaluation of NRF2 modulators, sulforaphane and </w:t>
      </w:r>
      <w:proofErr w:type="spellStart"/>
      <w:r>
        <w:t>brusatol</w:t>
      </w:r>
      <w:proofErr w:type="spellEnd"/>
      <w:r>
        <w:t xml:space="preserve">, on the transcriptome of immortalized bovine </w:t>
      </w:r>
      <w:r>
        <w:lastRenderedPageBreak/>
        <w:t xml:space="preserve">mammary alveolar cells. </w:t>
      </w:r>
      <w:r>
        <w:rPr>
          <w:i/>
          <w:iCs/>
        </w:rPr>
        <w:t>International Journal of Molecular Sciences, 25</w:t>
      </w:r>
      <w:r>
        <w:t>(8), 4264. https://doi.org/10.3390/ijms25084264</w:t>
      </w:r>
    </w:p>
    <w:p w14:paraId="73DB85A7" w14:textId="77777777" w:rsidR="001474D1" w:rsidRDefault="00000000">
      <w:pPr>
        <w:spacing w:after="120" w:line="360" w:lineRule="auto"/>
        <w:ind w:left="720" w:hanging="720"/>
      </w:pPr>
      <w:r>
        <w:t xml:space="preserve">Gessner, D. K., Koch, C., Romberg, F.-J., Winkler, A., Dusel, G., Herzog, E., Most, E., &amp; Eder, K. (2015). The effect of grape seed and grape marc meal extract on milk performance and the expression of genes of endoplasmic reticulum stress and inflammation in the liver of dairy cows in early lactation. </w:t>
      </w:r>
      <w:r>
        <w:rPr>
          <w:i/>
          <w:iCs/>
        </w:rPr>
        <w:t>Journal of Dairy Science, 98</w:t>
      </w:r>
      <w:r>
        <w:t>(12), 8856–8868. https://doi.org/10.3168/jds.2015-9478</w:t>
      </w:r>
    </w:p>
    <w:p w14:paraId="47A34C8E" w14:textId="77777777" w:rsidR="001474D1" w:rsidRDefault="00000000">
      <w:pPr>
        <w:spacing w:after="120" w:line="360" w:lineRule="auto"/>
        <w:ind w:left="720" w:hanging="720"/>
      </w:pPr>
      <w:r>
        <w:t xml:space="preserve">Gessner, D. K., </w:t>
      </w:r>
      <w:proofErr w:type="spellStart"/>
      <w:r>
        <w:t>Ringseis</w:t>
      </w:r>
      <w:proofErr w:type="spellEnd"/>
      <w:r>
        <w:t xml:space="preserve">, R., &amp; Eder, K. (2017). Potential of plant polyphenols to combat oxidative stress and inflammatory processes in farm animals. </w:t>
      </w:r>
      <w:r>
        <w:rPr>
          <w:i/>
          <w:iCs/>
        </w:rPr>
        <w:t>Journal of Animal Physiology and Animal Nutrition, 101</w:t>
      </w:r>
      <w:r>
        <w:t>(4), 605–628. https://doi.org/10.1111/jpn.12579</w:t>
      </w:r>
    </w:p>
    <w:p w14:paraId="5EBCCB36" w14:textId="77777777" w:rsidR="001474D1" w:rsidRDefault="00000000">
      <w:pPr>
        <w:spacing w:after="120" w:line="360" w:lineRule="auto"/>
        <w:ind w:left="720" w:hanging="720"/>
      </w:pPr>
      <w:r>
        <w:t xml:space="preserve">Gessner, D. K., Schlegel, G., Keller, J., Schwarz, F. J., </w:t>
      </w:r>
      <w:proofErr w:type="spellStart"/>
      <w:r>
        <w:t>Ringseis</w:t>
      </w:r>
      <w:proofErr w:type="spellEnd"/>
      <w:r>
        <w:t xml:space="preserve">, R., &amp; Eder, K. (2013). Expression of target genes of nuclear factor E2-related factor 2 in the liver of dairy cows in the transition period and at different stages of lactation. </w:t>
      </w:r>
      <w:r>
        <w:rPr>
          <w:i/>
          <w:iCs/>
        </w:rPr>
        <w:t>Journal of Dairy Science, 96</w:t>
      </w:r>
      <w:r>
        <w:t>(2), 1038–1043. https://doi.org/10.3168/jds.2012-5967</w:t>
      </w:r>
    </w:p>
    <w:p w14:paraId="0BCCB87A" w14:textId="77777777" w:rsidR="001474D1" w:rsidRDefault="00000000">
      <w:pPr>
        <w:spacing w:after="120" w:line="360" w:lineRule="auto"/>
        <w:ind w:left="720" w:hanging="720"/>
      </w:pPr>
      <w:r>
        <w:t xml:space="preserve">Gessner, D. K., Winkler, A., Koch, C., Dusel, G., Liebisch, G., </w:t>
      </w:r>
      <w:proofErr w:type="spellStart"/>
      <w:r>
        <w:t>Ringseis</w:t>
      </w:r>
      <w:proofErr w:type="spellEnd"/>
      <w:r>
        <w:t xml:space="preserve">, R., &amp; Eder, K. (2017). Analysis of hepatic transcript profile and plasma lipid profile in early lactating dairy cows fed grape seed and grape marc meal extract. </w:t>
      </w:r>
      <w:r>
        <w:rPr>
          <w:i/>
          <w:iCs/>
        </w:rPr>
        <w:t>BMC Genomics, 18</w:t>
      </w:r>
      <w:r>
        <w:t>, 253. https://doi.org/10.1186/s12864-017-3638-1</w:t>
      </w:r>
    </w:p>
    <w:p w14:paraId="47CDDC56" w14:textId="77777777" w:rsidR="001474D1" w:rsidRDefault="00000000">
      <w:pPr>
        <w:spacing w:after="120" w:line="360" w:lineRule="auto"/>
        <w:ind w:left="720" w:hanging="720"/>
      </w:pPr>
      <w:r>
        <w:t xml:space="preserve">Gong, J., &amp; Xiao, M. (2018). Effect of organic selenium supplementation on selenium status, oxidative stress, and antioxidant status in selenium-adequate dairy cows during the periparturient period. </w:t>
      </w:r>
      <w:r>
        <w:rPr>
          <w:i/>
          <w:iCs/>
        </w:rPr>
        <w:t>Biological Trace Element Research, 186</w:t>
      </w:r>
      <w:r>
        <w:t>(2), 430–440. https://doi.org/10.1007/s12011-018-1323-0</w:t>
      </w:r>
    </w:p>
    <w:p w14:paraId="3F8ABC0A" w14:textId="77777777" w:rsidR="001474D1" w:rsidRDefault="00000000">
      <w:pPr>
        <w:spacing w:after="120" w:line="360" w:lineRule="auto"/>
        <w:ind w:left="720" w:hanging="720"/>
      </w:pPr>
      <w:r>
        <w:t xml:space="preserve">Hao, Y., Jiang, X., Sun, R., Bai, Y., Xu, C., Song, Y., &amp; Xia, C. (2025). Effects of supplementing rumen-protected glutathione on lactation performance, nutrients, oxidative stress, inflammation, and health in dairy cows during the transition period. </w:t>
      </w:r>
      <w:r>
        <w:rPr>
          <w:i/>
          <w:iCs/>
        </w:rPr>
        <w:t>Veterinary Sciences, 12</w:t>
      </w:r>
      <w:r>
        <w:t>(2), 84. https://doi.org/10.3390/vetsci12020084</w:t>
      </w:r>
    </w:p>
    <w:p w14:paraId="485C9B95" w14:textId="77777777" w:rsidR="001474D1" w:rsidRDefault="00000000">
      <w:pPr>
        <w:spacing w:after="120" w:line="360" w:lineRule="auto"/>
        <w:ind w:left="720" w:hanging="720"/>
      </w:pPr>
      <w:r>
        <w:t xml:space="preserve">Khan, M. Z., Liu, S., Ma, Y., Ma, M., Ullah, Q., Khan, I. M., Wang, J., Xiao, J., Chen, T., Khan, A., &amp; Cao, Z. (2023). Overview of the effect of rumen-protected limiting amino acids (methionine and lysine) and choline on the immunity, antioxidative, and inflammatory status of periparturient ruminants. </w:t>
      </w:r>
      <w:r>
        <w:rPr>
          <w:i/>
          <w:iCs/>
        </w:rPr>
        <w:t>Frontiers in Immunology, 13</w:t>
      </w:r>
      <w:r>
        <w:t>, 1042895. https://doi.org/10.3389/fimmu.2022.1042895</w:t>
      </w:r>
    </w:p>
    <w:p w14:paraId="23C975B4" w14:textId="77777777" w:rsidR="001474D1" w:rsidRDefault="00000000">
      <w:pPr>
        <w:spacing w:after="120" w:line="360" w:lineRule="auto"/>
        <w:ind w:left="720" w:hanging="720"/>
      </w:pPr>
      <w:proofErr w:type="spellStart"/>
      <w:r>
        <w:t>Konvičná</w:t>
      </w:r>
      <w:proofErr w:type="spellEnd"/>
      <w:r>
        <w:t xml:space="preserve">, J., Vargová, M., Paulíková, I., Kováč, G., &amp; Kostecká, Z. (2015). Oxidative stress and antioxidant status in dairy cows during </w:t>
      </w:r>
      <w:proofErr w:type="spellStart"/>
      <w:r>
        <w:t>prepartal</w:t>
      </w:r>
      <w:proofErr w:type="spellEnd"/>
      <w:r>
        <w:t xml:space="preserve"> and </w:t>
      </w:r>
      <w:proofErr w:type="spellStart"/>
      <w:r>
        <w:t>postpartal</w:t>
      </w:r>
      <w:proofErr w:type="spellEnd"/>
      <w:r>
        <w:t xml:space="preserve"> periods. </w:t>
      </w:r>
      <w:r>
        <w:rPr>
          <w:i/>
          <w:iCs/>
        </w:rPr>
        <w:t xml:space="preserve">Acta </w:t>
      </w:r>
      <w:proofErr w:type="spellStart"/>
      <w:r>
        <w:rPr>
          <w:i/>
          <w:iCs/>
        </w:rPr>
        <w:t>Veterinaria</w:t>
      </w:r>
      <w:proofErr w:type="spellEnd"/>
      <w:r>
        <w:rPr>
          <w:i/>
          <w:iCs/>
        </w:rPr>
        <w:t xml:space="preserve"> Brno, 84</w:t>
      </w:r>
      <w:r>
        <w:t>(2), 133–140. https://doi.org/10.2754/avb201584020133</w:t>
      </w:r>
    </w:p>
    <w:p w14:paraId="02B53450" w14:textId="77777777" w:rsidR="001474D1" w:rsidRDefault="00000000">
      <w:pPr>
        <w:spacing w:after="120" w:line="360" w:lineRule="auto"/>
        <w:ind w:left="720" w:hanging="720"/>
      </w:pPr>
      <w:r>
        <w:lastRenderedPageBreak/>
        <w:t xml:space="preserve">Kuhn, M. J., </w:t>
      </w:r>
      <w:proofErr w:type="spellStart"/>
      <w:r>
        <w:t>Mavangira</w:t>
      </w:r>
      <w:proofErr w:type="spellEnd"/>
      <w:r>
        <w:t xml:space="preserve">, V., Gandy, J. C., &amp; Sordillo, L. M. (2018). Production of 15-F2t-isoprostane as an assessment of oxidative stress in dairy cows at different stages of lactation. </w:t>
      </w:r>
      <w:r>
        <w:rPr>
          <w:i/>
          <w:iCs/>
        </w:rPr>
        <w:t>Journal of Dairy Science, 101</w:t>
      </w:r>
      <w:r>
        <w:t>(10), 9287–9295. https://doi.org/10.3168/jds.2018-14669</w:t>
      </w:r>
    </w:p>
    <w:p w14:paraId="7CA4A432" w14:textId="77777777" w:rsidR="001474D1" w:rsidRDefault="00000000">
      <w:pPr>
        <w:spacing w:after="120" w:line="360" w:lineRule="auto"/>
        <w:ind w:left="720" w:hanging="720"/>
      </w:pPr>
      <w:r>
        <w:t xml:space="preserve">LeBlanc, S. (2010). Monitoring metabolic health of dairy cattle in the transition period. </w:t>
      </w:r>
      <w:r>
        <w:rPr>
          <w:i/>
          <w:iCs/>
        </w:rPr>
        <w:t>Journal of Reproduction and Development, 56</w:t>
      </w:r>
      <w:r>
        <w:t>(Suppl.), S29–S35. https://doi.org/10.1262/jrd.1056S29</w:t>
      </w:r>
    </w:p>
    <w:p w14:paraId="533C08C7" w14:textId="77777777" w:rsidR="001474D1" w:rsidRDefault="00000000">
      <w:pPr>
        <w:spacing w:after="120" w:line="360" w:lineRule="auto"/>
        <w:ind w:left="720" w:hanging="720"/>
      </w:pPr>
      <w:r>
        <w:t xml:space="preserve">Li, H., Zhang, Y., Li, R., Wu, Y., Zhang, D., Xu, H., Zhang, Y., &amp; Qi, Z. (2021). Effect of seasonal thermal stress on oxidative status, immune response and stress hormones of lactating dairy cows. </w:t>
      </w:r>
      <w:r>
        <w:rPr>
          <w:i/>
          <w:iCs/>
        </w:rPr>
        <w:t>Animal Nutrition, 7</w:t>
      </w:r>
      <w:r>
        <w:t>(1), 216–223. https://doi.org/10.1016/j.aninu.2020.07.006</w:t>
      </w:r>
    </w:p>
    <w:p w14:paraId="41299961" w14:textId="77777777" w:rsidR="001474D1" w:rsidRDefault="00000000">
      <w:pPr>
        <w:spacing w:after="120" w:line="360" w:lineRule="auto"/>
        <w:ind w:left="720" w:hanging="720"/>
      </w:pPr>
      <w:r>
        <w:t xml:space="preserve">Li, Y., Ding, H., Liu, L., Song, Y., Du, X., Feng, S., Wang, X., Li, X., Wang, Z., Li, X., Li, J., Wu, J., &amp; Liu, G. (2020). Non-esterified fatty acid </w:t>
      </w:r>
      <w:proofErr w:type="gramStart"/>
      <w:r>
        <w:t>induce</w:t>
      </w:r>
      <w:proofErr w:type="gramEnd"/>
      <w:r>
        <w:t xml:space="preserve"> dairy cow hepatocytes apoptosis via the mitochondria-mediated ROS-JNK/ERK </w:t>
      </w:r>
      <w:proofErr w:type="spellStart"/>
      <w:r>
        <w:t>signaling</w:t>
      </w:r>
      <w:proofErr w:type="spellEnd"/>
      <w:r>
        <w:t xml:space="preserve"> pathway. </w:t>
      </w:r>
      <w:r>
        <w:rPr>
          <w:i/>
          <w:iCs/>
        </w:rPr>
        <w:t>Frontiers in Cell and Developmental Biology, 8</w:t>
      </w:r>
      <w:r>
        <w:t>, 245. https://doi.org/10.3389/fcell.2020.00245</w:t>
      </w:r>
    </w:p>
    <w:p w14:paraId="73EDE4F8" w14:textId="77777777" w:rsidR="001474D1" w:rsidRDefault="00000000">
      <w:pPr>
        <w:spacing w:after="120" w:line="360" w:lineRule="auto"/>
        <w:ind w:left="720" w:hanging="720"/>
      </w:pPr>
      <w:r>
        <w:t xml:space="preserve">Li, Y., Ding, H. Y., Wang, X. C., Feng, S. B., Li, X. B., Wang, Z., Liu, G. W., &amp; Li, X. W. (2016). An association between the level of oxidative stress and the concentrations of NEFA and BHBA in the plasma of </w:t>
      </w:r>
      <w:proofErr w:type="spellStart"/>
      <w:r>
        <w:t>ketotic</w:t>
      </w:r>
      <w:proofErr w:type="spellEnd"/>
      <w:r>
        <w:t xml:space="preserve"> dairy cows. </w:t>
      </w:r>
      <w:r>
        <w:rPr>
          <w:i/>
          <w:iCs/>
        </w:rPr>
        <w:t>Journal of Animal Physiology and Animal Nutrition, 100</w:t>
      </w:r>
      <w:r>
        <w:t>(5), 844–851. https://doi.org/10.1111/jpn.12454</w:t>
      </w:r>
    </w:p>
    <w:p w14:paraId="0875E9EB" w14:textId="77777777" w:rsidR="001474D1" w:rsidRDefault="00000000">
      <w:pPr>
        <w:spacing w:after="120" w:line="360" w:lineRule="auto"/>
        <w:ind w:left="720" w:hanging="720"/>
      </w:pPr>
      <w:proofErr w:type="spellStart"/>
      <w:r>
        <w:t>Mavangira</w:t>
      </w:r>
      <w:proofErr w:type="spellEnd"/>
      <w:r>
        <w:t xml:space="preserve">, V., Mangual, M. J., Gandy, J. C., &amp; Sordillo, L. M. (2016). 15-F2t-isoprostane concentrations and oxidant status in lactating dairy cattle with acute coliform mastitis. </w:t>
      </w:r>
      <w:r>
        <w:rPr>
          <w:i/>
          <w:iCs/>
        </w:rPr>
        <w:t>Journal of Veterinary Internal Medicine, 30</w:t>
      </w:r>
      <w:r>
        <w:t>(1), 339–347. https://doi.org/10.1111/jvim.13793</w:t>
      </w:r>
    </w:p>
    <w:p w14:paraId="2E9B9E89" w14:textId="77777777" w:rsidR="001474D1" w:rsidRDefault="00000000">
      <w:pPr>
        <w:spacing w:after="120" w:line="360" w:lineRule="auto"/>
        <w:ind w:left="720" w:hanging="720"/>
      </w:pPr>
      <w:proofErr w:type="spellStart"/>
      <w:r>
        <w:t>Mavangira</w:t>
      </w:r>
      <w:proofErr w:type="spellEnd"/>
      <w:r>
        <w:t xml:space="preserve">, V., &amp; Sordillo, L. M. (2018). Role of lipid mediators in the regulation of oxidative stress and inflammatory responses in dairy cattle. </w:t>
      </w:r>
      <w:r>
        <w:rPr>
          <w:i/>
          <w:iCs/>
        </w:rPr>
        <w:t>Research in Veterinary Science, 116</w:t>
      </w:r>
      <w:r>
        <w:t>, 4–14. https://doi.org/10.1016/j.rvsc.2017.08.002</w:t>
      </w:r>
    </w:p>
    <w:p w14:paraId="231DB028" w14:textId="77777777" w:rsidR="001474D1" w:rsidRDefault="00000000">
      <w:pPr>
        <w:spacing w:after="120" w:line="360" w:lineRule="auto"/>
        <w:ind w:left="720" w:hanging="720"/>
      </w:pPr>
      <w:r>
        <w:t xml:space="preserve">Mezzetti, M., Bionaz, M., &amp; </w:t>
      </w:r>
      <w:proofErr w:type="spellStart"/>
      <w:r>
        <w:t>Trevisi</w:t>
      </w:r>
      <w:proofErr w:type="spellEnd"/>
      <w:r>
        <w:t xml:space="preserve">, E. (2020). Interaction between inflammation and metabolism in periparturient dairy cows. </w:t>
      </w:r>
      <w:r>
        <w:rPr>
          <w:i/>
          <w:iCs/>
        </w:rPr>
        <w:t>Journal of Animal Science, 98</w:t>
      </w:r>
      <w:r>
        <w:t>(Suppl. 1), S155–S174. https://doi.org/10.1093/jas/skaa134</w:t>
      </w:r>
    </w:p>
    <w:p w14:paraId="44FBC5D3" w14:textId="77777777" w:rsidR="001474D1" w:rsidRDefault="00000000">
      <w:pPr>
        <w:spacing w:after="120" w:line="360" w:lineRule="auto"/>
        <w:ind w:left="720" w:hanging="720"/>
      </w:pPr>
      <w:r>
        <w:t xml:space="preserve">Mezzetti, M., Minuti, A., Piccioli-Cappelli, F., Amadori, M., Bionaz, M., &amp; </w:t>
      </w:r>
      <w:proofErr w:type="spellStart"/>
      <w:r>
        <w:t>Trevisi</w:t>
      </w:r>
      <w:proofErr w:type="spellEnd"/>
      <w:r>
        <w:t xml:space="preserve">, E. (2019). The role of altered immune function during the dry period in promoting the development of subclinical ketosis in early lactation. </w:t>
      </w:r>
      <w:r>
        <w:rPr>
          <w:i/>
          <w:iCs/>
        </w:rPr>
        <w:t>Journal of Dairy Science, 102</w:t>
      </w:r>
      <w:r>
        <w:t>(10), 9241–9258. https://doi.org/10.3168/jds.2019-16497</w:t>
      </w:r>
    </w:p>
    <w:p w14:paraId="09E0FA96" w14:textId="77777777" w:rsidR="001474D1" w:rsidRDefault="00000000">
      <w:pPr>
        <w:spacing w:after="120" w:line="360" w:lineRule="auto"/>
        <w:ind w:left="720" w:hanging="720"/>
      </w:pPr>
      <w:r>
        <w:t>Moghimi-</w:t>
      </w:r>
      <w:proofErr w:type="spellStart"/>
      <w:r>
        <w:t>Kandelousi</w:t>
      </w:r>
      <w:proofErr w:type="spellEnd"/>
      <w:r>
        <w:t xml:space="preserve">, M., </w:t>
      </w:r>
      <w:proofErr w:type="spellStart"/>
      <w:r>
        <w:t>Alamouti</w:t>
      </w:r>
      <w:proofErr w:type="spellEnd"/>
      <w:r>
        <w:t xml:space="preserve">, A. A., Imani, M., &amp; </w:t>
      </w:r>
      <w:proofErr w:type="spellStart"/>
      <w:r>
        <w:t>Zebeli</w:t>
      </w:r>
      <w:proofErr w:type="spellEnd"/>
      <w:r>
        <w:t xml:space="preserve">, Q. (2020). A meta-analysis and meta-regression of the effects of vitamin E supplementation on serum enrichment, udder health, milk yield, and reproductive performance of transition cows. </w:t>
      </w:r>
      <w:r>
        <w:rPr>
          <w:i/>
          <w:iCs/>
        </w:rPr>
        <w:t>Journal of Dairy Science, 103</w:t>
      </w:r>
      <w:r>
        <w:t>(7), 6157–6166. https://doi.org/10.3168/jds.2019-17556</w:t>
      </w:r>
    </w:p>
    <w:p w14:paraId="16F9F22F" w14:textId="77777777" w:rsidR="001474D1" w:rsidRDefault="00000000">
      <w:pPr>
        <w:spacing w:after="120" w:line="360" w:lineRule="auto"/>
        <w:ind w:left="720" w:hanging="720"/>
      </w:pPr>
      <w:r>
        <w:lastRenderedPageBreak/>
        <w:t xml:space="preserve">Osorio, J. S., Ji, P., Drackley, J. K., Luchini, D., &amp; Loor, J. J. (2014). </w:t>
      </w:r>
      <w:proofErr w:type="spellStart"/>
      <w:r>
        <w:t>Smartamine</w:t>
      </w:r>
      <w:proofErr w:type="spellEnd"/>
      <w:r>
        <w:t xml:space="preserve"> M and </w:t>
      </w:r>
      <w:proofErr w:type="spellStart"/>
      <w:r>
        <w:t>MetaSmart</w:t>
      </w:r>
      <w:proofErr w:type="spellEnd"/>
      <w:r>
        <w:t xml:space="preserve"> supplementation during the </w:t>
      </w:r>
      <w:proofErr w:type="spellStart"/>
      <w:r>
        <w:t>peripartal</w:t>
      </w:r>
      <w:proofErr w:type="spellEnd"/>
      <w:r>
        <w:t xml:space="preserve"> period alter hepatic expression of gene networks in 1-carbon metabolism, inflammation, oxidative stress, and the growth hormone–insulin-like growth factor 1 axis pathways. </w:t>
      </w:r>
      <w:r>
        <w:rPr>
          <w:i/>
          <w:iCs/>
        </w:rPr>
        <w:t>Journal of Dairy Science, 97</w:t>
      </w:r>
      <w:r>
        <w:t>(12), 7451–7464. https://doi.org/10.3168/jds.2014-8680</w:t>
      </w:r>
    </w:p>
    <w:p w14:paraId="0DCCB691" w14:textId="77777777" w:rsidR="001474D1" w:rsidRDefault="00000000">
      <w:pPr>
        <w:spacing w:after="120" w:line="360" w:lineRule="auto"/>
        <w:ind w:left="720" w:hanging="720"/>
      </w:pPr>
      <w:r>
        <w:t xml:space="preserve">Putman, A. K., Brown, J. L., Gandy, J. C., Wisnieski, L., &amp; Sordillo, L. M. (2018). Changes in biomarkers of nutrient metabolism, inflammation, and oxidative stress in dairy cows during the transition into the early dry period. </w:t>
      </w:r>
      <w:r>
        <w:rPr>
          <w:i/>
          <w:iCs/>
        </w:rPr>
        <w:t>Journal of Dairy Science, 101</w:t>
      </w:r>
      <w:r>
        <w:t>(10), 9350–9359. https://doi.org/10.3168/jds.2018-14591</w:t>
      </w:r>
    </w:p>
    <w:p w14:paraId="018482B7" w14:textId="77777777" w:rsidR="001474D1" w:rsidRDefault="00000000">
      <w:pPr>
        <w:spacing w:after="120" w:line="360" w:lineRule="auto"/>
        <w:ind w:left="720" w:hanging="720"/>
      </w:pPr>
      <w:r>
        <w:t xml:space="preserve">Putman, A. K., Gandy, J. C., Contreras, G. A., &amp; Sordillo, L. M. (2022). </w:t>
      </w:r>
      <w:proofErr w:type="spellStart"/>
      <w:r>
        <w:t>Oxylipids</w:t>
      </w:r>
      <w:proofErr w:type="spellEnd"/>
      <w:r>
        <w:t xml:space="preserve"> are associated with higher disease risk in postpartum cows. </w:t>
      </w:r>
      <w:r>
        <w:rPr>
          <w:i/>
          <w:iCs/>
        </w:rPr>
        <w:t>Journal of Dairy Science, 105</w:t>
      </w:r>
      <w:r>
        <w:t>(3), 2531–2543. https://doi.org/10.3168/jds.2021-21057</w:t>
      </w:r>
    </w:p>
    <w:p w14:paraId="53975622" w14:textId="77777777" w:rsidR="001474D1" w:rsidRDefault="00000000">
      <w:pPr>
        <w:spacing w:after="120" w:line="360" w:lineRule="auto"/>
        <w:ind w:left="720" w:hanging="720"/>
      </w:pPr>
      <w:r>
        <w:t xml:space="preserve">Rico, J. E., &amp; Barrientos-Blanco, M. A. (2024). Invited review: Ketone biology—The shifting paradigm of ketones and ketosis in the dairy cow. </w:t>
      </w:r>
      <w:r>
        <w:rPr>
          <w:i/>
          <w:iCs/>
        </w:rPr>
        <w:t>Journal of Dairy Science, 107</w:t>
      </w:r>
      <w:r>
        <w:t>(6), 3367–3388. https://doi.org/10.3168/jds.2023-23904</w:t>
      </w:r>
    </w:p>
    <w:p w14:paraId="6FD04445" w14:textId="77777777" w:rsidR="001474D1" w:rsidRDefault="00000000">
      <w:pPr>
        <w:spacing w:after="120" w:line="360" w:lineRule="auto"/>
        <w:ind w:left="720" w:hanging="720"/>
      </w:pPr>
      <w:r>
        <w:t xml:space="preserve">Safari, M., Ghasemi, E., Alikhani, M., &amp; Ansari-Mahyari, S. (2018). Supplementation effects of pomegranate by-products on oxidative status, metabolic profile, and performance in transition dairy cows. </w:t>
      </w:r>
      <w:r>
        <w:rPr>
          <w:i/>
          <w:iCs/>
        </w:rPr>
        <w:t>Journal of Dairy Science, 101</w:t>
      </w:r>
      <w:r>
        <w:t>(12), 11297–11309. https://doi.org/10.3168/jds.2018-14506</w:t>
      </w:r>
    </w:p>
    <w:p w14:paraId="23D80248" w14:textId="77777777" w:rsidR="001474D1" w:rsidRDefault="00000000">
      <w:pPr>
        <w:spacing w:after="120" w:line="360" w:lineRule="auto"/>
        <w:ind w:left="720" w:hanging="720"/>
      </w:pPr>
      <w:r>
        <w:t xml:space="preserve">Silva, T. H., Guimaraes, I., Menta, P. R., Fernandes, L., Paiva, D., Ribeiro, T. L., Celestino, M. L., Saran Netto, A., Ballou, M. A., &amp; Machado, V. S. (2022). Effect of injectable trace mineral supplementation on peripheral polymorphonuclear leukocyte function, antioxidant enzymes, health, and performance in dairy cows in semi-arid conditions. </w:t>
      </w:r>
      <w:r>
        <w:rPr>
          <w:i/>
          <w:iCs/>
        </w:rPr>
        <w:t>Journal of Dairy Science, 105</w:t>
      </w:r>
      <w:r>
        <w:t>(2), 1649–1660. https://doi.org/10.3168/jds.2021-20624</w:t>
      </w:r>
    </w:p>
    <w:p w14:paraId="30DC3755" w14:textId="77777777" w:rsidR="001474D1" w:rsidRDefault="00000000">
      <w:pPr>
        <w:spacing w:after="120" w:line="360" w:lineRule="auto"/>
        <w:ind w:left="720" w:hanging="720"/>
      </w:pPr>
      <w:proofErr w:type="spellStart"/>
      <w:r>
        <w:t>Somagond</w:t>
      </w:r>
      <w:proofErr w:type="spellEnd"/>
      <w:r>
        <w:t xml:space="preserve">, Y. M., Alhussien, M. N., &amp; Dang, A. K. (2023). Repeated injection of multivitamins and </w:t>
      </w:r>
      <w:proofErr w:type="spellStart"/>
      <w:r>
        <w:t>multiminerals</w:t>
      </w:r>
      <w:proofErr w:type="spellEnd"/>
      <w:r>
        <w:t xml:space="preserve"> during the transition period enhances immune response by suppressing inflammation and oxidative stress in cows and their calves. </w:t>
      </w:r>
      <w:r>
        <w:rPr>
          <w:i/>
          <w:iCs/>
        </w:rPr>
        <w:t>Frontiers in Immunology, 14</w:t>
      </w:r>
      <w:r>
        <w:t>, 1059956. https://doi.org/10.3389/fimmu.2023.1059956</w:t>
      </w:r>
    </w:p>
    <w:p w14:paraId="0B43940B" w14:textId="77777777" w:rsidR="001474D1" w:rsidRDefault="00000000">
      <w:pPr>
        <w:spacing w:after="120" w:line="360" w:lineRule="auto"/>
        <w:ind w:left="720" w:hanging="720"/>
      </w:pPr>
      <w:r>
        <w:t xml:space="preserve">Sordillo, L. M. (2016). Nutritional strategies to optimize dairy cattle immunity. </w:t>
      </w:r>
      <w:r>
        <w:rPr>
          <w:i/>
          <w:iCs/>
        </w:rPr>
        <w:t>Journal of Dairy Science, 99</w:t>
      </w:r>
      <w:r>
        <w:t>(6), 4967–4982. https://doi.org/10.3168/jds.2015-10354</w:t>
      </w:r>
    </w:p>
    <w:p w14:paraId="3A932D82" w14:textId="77777777" w:rsidR="001474D1" w:rsidRDefault="00000000">
      <w:pPr>
        <w:spacing w:after="120" w:line="360" w:lineRule="auto"/>
        <w:ind w:left="720" w:hanging="720"/>
      </w:pPr>
      <w:r>
        <w:t xml:space="preserve">Sordillo, L. M. (2018). Symposium review: </w:t>
      </w:r>
      <w:proofErr w:type="spellStart"/>
      <w:r>
        <w:t>Oxylipids</w:t>
      </w:r>
      <w:proofErr w:type="spellEnd"/>
      <w:r>
        <w:t xml:space="preserve"> and the regulation of bovine mammary inflammatory responses. </w:t>
      </w:r>
      <w:r>
        <w:rPr>
          <w:i/>
          <w:iCs/>
        </w:rPr>
        <w:t>Journal of Dairy Science, 101</w:t>
      </w:r>
      <w:r>
        <w:t>(6), 5629–5641. https://doi.org/10.3168/jds.2017-13855</w:t>
      </w:r>
    </w:p>
    <w:p w14:paraId="3B45A0F4" w14:textId="77777777" w:rsidR="001474D1" w:rsidRDefault="00000000">
      <w:pPr>
        <w:spacing w:after="120" w:line="360" w:lineRule="auto"/>
        <w:ind w:left="720" w:hanging="720"/>
      </w:pPr>
      <w:r>
        <w:lastRenderedPageBreak/>
        <w:t xml:space="preserve">Sordillo, L. M., &amp; Aitken, S. L. (2009). Impact of oxidative stress on the health and immune function of dairy cattle. </w:t>
      </w:r>
      <w:r>
        <w:rPr>
          <w:i/>
          <w:iCs/>
        </w:rPr>
        <w:t>Veterinary Immunology and Immunopathology, 128</w:t>
      </w:r>
      <w:r>
        <w:t>(1–3), 104–109. https://doi.org/10.1016/j.vetimm.2008.10.305</w:t>
      </w:r>
    </w:p>
    <w:p w14:paraId="793C8A7A" w14:textId="77777777" w:rsidR="001474D1" w:rsidRDefault="00000000">
      <w:pPr>
        <w:spacing w:after="120" w:line="360" w:lineRule="auto"/>
        <w:ind w:left="720" w:hanging="720"/>
      </w:pPr>
      <w:r>
        <w:t xml:space="preserve">Sordillo, L. M., &amp; </w:t>
      </w:r>
      <w:proofErr w:type="spellStart"/>
      <w:r>
        <w:t>Mavangira</w:t>
      </w:r>
      <w:proofErr w:type="spellEnd"/>
      <w:r>
        <w:t xml:space="preserve">, V. (2014). The nexus between nutrient metabolism, oxidative stress and inflammation in transition cows. </w:t>
      </w:r>
      <w:r>
        <w:rPr>
          <w:i/>
          <w:iCs/>
        </w:rPr>
        <w:t>Animal Production Science, 54</w:t>
      </w:r>
      <w:r>
        <w:t>(9), 1204–1214. https://doi.org/10.1071/AN14503</w:t>
      </w:r>
    </w:p>
    <w:p w14:paraId="2299625C" w14:textId="77777777" w:rsidR="001474D1" w:rsidRDefault="00000000">
      <w:pPr>
        <w:spacing w:after="120" w:line="360" w:lineRule="auto"/>
        <w:ind w:left="720" w:hanging="720"/>
      </w:pPr>
      <w:r>
        <w:t xml:space="preserve">Spears, J. W., &amp; Weiss, W. P. (2008). Role of antioxidants and trace elements in health and immunity of transition dairy cows. </w:t>
      </w:r>
      <w:r>
        <w:rPr>
          <w:i/>
          <w:iCs/>
        </w:rPr>
        <w:t>The Veterinary Journal, 176</w:t>
      </w:r>
      <w:r>
        <w:t>(1), 70–76. https://doi.org/10.1016/j.tvjl.2007.12.015</w:t>
      </w:r>
    </w:p>
    <w:p w14:paraId="715F1698" w14:textId="77777777" w:rsidR="001474D1" w:rsidRDefault="00000000">
      <w:pPr>
        <w:spacing w:after="120" w:line="360" w:lineRule="auto"/>
        <w:ind w:left="720" w:hanging="720"/>
      </w:pPr>
      <w:r>
        <w:t xml:space="preserve">Strickland, J. M., Wisnieski, L., </w:t>
      </w:r>
      <w:proofErr w:type="spellStart"/>
      <w:r>
        <w:t>Mavangira</w:t>
      </w:r>
      <w:proofErr w:type="spellEnd"/>
      <w:r>
        <w:t xml:space="preserve">, V., &amp; Sordillo, L. M. (2021). Serum vitamin D is associated with antioxidant potential in peri-parturient cows. </w:t>
      </w:r>
      <w:r>
        <w:rPr>
          <w:i/>
          <w:iCs/>
        </w:rPr>
        <w:t>Antioxidants, 10</w:t>
      </w:r>
      <w:r>
        <w:t>(9), 1420. https://doi.org/10.3390/antiox10091420</w:t>
      </w:r>
    </w:p>
    <w:p w14:paraId="67F2C7BE" w14:textId="77777777" w:rsidR="001474D1" w:rsidRDefault="00000000">
      <w:pPr>
        <w:spacing w:after="120" w:line="360" w:lineRule="auto"/>
        <w:ind w:left="720" w:hanging="720"/>
      </w:pPr>
      <w:r>
        <w:t>Sun, P., Wang, J., Liu, W., Bu, D. P., Liu, S. J., &amp; Zhang, K. Z. (2017). Hydroxy-</w:t>
      </w:r>
      <w:proofErr w:type="spellStart"/>
      <w:r>
        <w:t>selenomethionine</w:t>
      </w:r>
      <w:proofErr w:type="spellEnd"/>
      <w:r>
        <w:t xml:space="preserve">: A novel organic selenium source that improves antioxidant status and selenium concentrations in milk and plasma of mid-lactation dairy cows. </w:t>
      </w:r>
      <w:r>
        <w:rPr>
          <w:i/>
          <w:iCs/>
        </w:rPr>
        <w:t>Journal of Dairy Science, 100</w:t>
      </w:r>
      <w:r>
        <w:t>(12), 9602–9610. https://doi.org/10.3168/jds.2017-12610</w:t>
      </w:r>
    </w:p>
    <w:p w14:paraId="67E5AE0B" w14:textId="77777777" w:rsidR="001474D1" w:rsidRDefault="00000000">
      <w:pPr>
        <w:spacing w:after="120" w:line="360" w:lineRule="auto"/>
        <w:ind w:left="720" w:hanging="720"/>
      </w:pPr>
      <w:r>
        <w:t xml:space="preserve">Swartz, T. H., Bradford, B. J., Mamedova, L. K., &amp; Estes, K. A. (2023). Effects of dietary rumen-protected choline supplementation to periparturient dairy cattle on inflammation, metabolism, and performance during an intramammary lipopolysaccharide challenge. </w:t>
      </w:r>
      <w:r>
        <w:rPr>
          <w:i/>
          <w:iCs/>
        </w:rPr>
        <w:t>Journal of Dairy Science, 106</w:t>
      </w:r>
      <w:r>
        <w:t>(12), 8561–8582. https://doi.org/10.3168/jds.2023-23259</w:t>
      </w:r>
    </w:p>
    <w:p w14:paraId="7152DD05" w14:textId="77777777" w:rsidR="001474D1" w:rsidRDefault="00000000">
      <w:pPr>
        <w:spacing w:after="120" w:line="360" w:lineRule="auto"/>
        <w:ind w:left="720" w:hanging="720"/>
      </w:pPr>
      <w:r>
        <w:t xml:space="preserve">Tao, S., &amp; Dahl, G. E. (2013). Invited review: Heat stress effects during late gestation on dry cows and their calves. </w:t>
      </w:r>
      <w:r>
        <w:rPr>
          <w:i/>
          <w:iCs/>
        </w:rPr>
        <w:t>Journal of Dairy Science, 96</w:t>
      </w:r>
      <w:r>
        <w:t>(7), 4079–4093. https://doi.org/10.3168/jds.2012-6278</w:t>
      </w:r>
    </w:p>
    <w:p w14:paraId="12F600C8" w14:textId="77777777" w:rsidR="001474D1" w:rsidRDefault="00000000">
      <w:pPr>
        <w:spacing w:after="120" w:line="360" w:lineRule="auto"/>
        <w:ind w:left="720" w:hanging="720"/>
      </w:pPr>
      <w:proofErr w:type="spellStart"/>
      <w:r>
        <w:t>Trevisi</w:t>
      </w:r>
      <w:proofErr w:type="spellEnd"/>
      <w:r>
        <w:t xml:space="preserve">, E., Amadori, M., </w:t>
      </w:r>
      <w:proofErr w:type="spellStart"/>
      <w:r>
        <w:t>Cogrossi</w:t>
      </w:r>
      <w:proofErr w:type="spellEnd"/>
      <w:r>
        <w:t xml:space="preserve">, S., </w:t>
      </w:r>
      <w:proofErr w:type="spellStart"/>
      <w:r>
        <w:t>Razzuoli</w:t>
      </w:r>
      <w:proofErr w:type="spellEnd"/>
      <w:r>
        <w:t xml:space="preserve">, E., &amp; Bertoni, G. (2012). Metabolic stress and inflammatory response in high-yielding, periparturient dairy cows. </w:t>
      </w:r>
      <w:r>
        <w:rPr>
          <w:i/>
          <w:iCs/>
        </w:rPr>
        <w:t>Research in Veterinary Science, 93</w:t>
      </w:r>
      <w:r>
        <w:t>(2), 695–704. https://doi.org/10.1016/j.rvsc.2011.11.008</w:t>
      </w:r>
    </w:p>
    <w:p w14:paraId="0288A4CB" w14:textId="77777777" w:rsidR="001474D1" w:rsidRDefault="00000000">
      <w:pPr>
        <w:spacing w:after="120" w:line="360" w:lineRule="auto"/>
        <w:ind w:left="720" w:hanging="720"/>
      </w:pPr>
      <w:r>
        <w:t xml:space="preserve">Tsuchiya, Y., Kawahara, N., Kim, Y.-H., Ichijo, T., &amp; Sato, S. (2020). Changes in oxidative stress parameters in healthy and diseased Holstein cows during the transition period in Yamagata Prefecture, Japan. </w:t>
      </w:r>
      <w:r>
        <w:rPr>
          <w:i/>
          <w:iCs/>
        </w:rPr>
        <w:t>Journal of Veterinary Medical Science, 82</w:t>
      </w:r>
      <w:r>
        <w:t>(7), 955–961. https://doi.org/10.1292/jvms.20-0024</w:t>
      </w:r>
    </w:p>
    <w:p w14:paraId="4F26B2B2" w14:textId="77777777" w:rsidR="001474D1" w:rsidRDefault="00000000">
      <w:pPr>
        <w:spacing w:after="120" w:line="360" w:lineRule="auto"/>
        <w:ind w:left="720" w:hanging="720"/>
      </w:pPr>
      <w:r>
        <w:t xml:space="preserve">Weiss, W. P., Hogan, J. S., Todhunter, D. A., &amp; Smith, K. L. (1997). Effect of vitamin E supplementation in diets with a low concentration of selenium on mammary gland health of dairy cows. </w:t>
      </w:r>
      <w:r>
        <w:rPr>
          <w:i/>
          <w:iCs/>
        </w:rPr>
        <w:t>Journal of Dairy Science, 80</w:t>
      </w:r>
      <w:r>
        <w:t>(8), 1728–1737. https://doi.org/10.3168/jds.S0022-0302(97)76105-8</w:t>
      </w:r>
    </w:p>
    <w:p w14:paraId="1AA2444A" w14:textId="77777777" w:rsidR="001474D1" w:rsidRDefault="00000000">
      <w:pPr>
        <w:spacing w:after="120" w:line="360" w:lineRule="auto"/>
        <w:ind w:left="720" w:hanging="720"/>
      </w:pPr>
      <w:r>
        <w:lastRenderedPageBreak/>
        <w:t xml:space="preserve">Xiao, J., Khan, M. Z., Ma, Y., </w:t>
      </w:r>
      <w:proofErr w:type="spellStart"/>
      <w:r>
        <w:t>Alugongo</w:t>
      </w:r>
      <w:proofErr w:type="spellEnd"/>
      <w:r>
        <w:t xml:space="preserve">, G. M., Ma, J., Chen, T., Khan, A., &amp; Cao, Z. (2021). The antioxidant properties of selenium and vitamin E; Their role in periparturient dairy cattle health regulation. </w:t>
      </w:r>
      <w:r>
        <w:rPr>
          <w:i/>
          <w:iCs/>
        </w:rPr>
        <w:t>Antioxidants, 10</w:t>
      </w:r>
      <w:r>
        <w:t>(10), 1555. https://doi.org/10.3390/antiox10101555</w:t>
      </w:r>
    </w:p>
    <w:p w14:paraId="5E228B65" w14:textId="77777777" w:rsidR="001474D1" w:rsidRDefault="00000000">
      <w:pPr>
        <w:spacing w:after="120" w:line="360" w:lineRule="auto"/>
        <w:ind w:left="720" w:hanging="720"/>
      </w:pPr>
      <w:r>
        <w:t xml:space="preserve">Xu, Q., Fan, Y., Loor, J. J., Liang, Y., Sun, X., Jia, H., Zhao, C., &amp; Xu, C. (2021). Adenosine 5′-monophosphate-activated protein kinase ameliorates bovine adipocyte oxidative stress by inducing antioxidant responses and autophagy. </w:t>
      </w:r>
      <w:r>
        <w:rPr>
          <w:i/>
          <w:iCs/>
        </w:rPr>
        <w:t>Journal of Dairy Science, 104</w:t>
      </w:r>
      <w:r>
        <w:t>(4), 4516–4528. https://doi.org/10.3168/jds.2020-18728</w:t>
      </w:r>
    </w:p>
    <w:p w14:paraId="6E4A8A97" w14:textId="77777777" w:rsidR="001474D1" w:rsidRDefault="00000000">
      <w:pPr>
        <w:spacing w:after="120" w:line="360" w:lineRule="auto"/>
        <w:ind w:left="720" w:hanging="720"/>
      </w:pPr>
      <w:proofErr w:type="spellStart"/>
      <w:r>
        <w:t>Zachut</w:t>
      </w:r>
      <w:proofErr w:type="spellEnd"/>
      <w:r>
        <w:t xml:space="preserve">, M., &amp; Contreras, G. A. (2022). Symposium review: Mechanistic insights into adipose tissue inflammation and oxidative stress in periparturient dairy cows. </w:t>
      </w:r>
      <w:r>
        <w:rPr>
          <w:i/>
          <w:iCs/>
        </w:rPr>
        <w:t>Journal of Dairy Science, 105</w:t>
      </w:r>
      <w:r>
        <w:t>(4), 3670–3686. https://doi.org/10.3168/jds.2021-21225</w:t>
      </w:r>
    </w:p>
    <w:p w14:paraId="3CB3A816" w14:textId="77777777" w:rsidR="001474D1" w:rsidRDefault="00000000">
      <w:pPr>
        <w:spacing w:after="120" w:line="360" w:lineRule="auto"/>
        <w:ind w:left="720" w:hanging="720"/>
      </w:pPr>
      <w:r>
        <w:t xml:space="preserve">Zhang, H., </w:t>
      </w:r>
      <w:proofErr w:type="spellStart"/>
      <w:r>
        <w:t>Nuermaimaiti</w:t>
      </w:r>
      <w:proofErr w:type="spellEnd"/>
      <w:r>
        <w:t xml:space="preserve">, Y., Hao, K., Qi, Y., Xu, Y., Zhuang, Y., Wang, F., Hou, G., Chen, T., Xiao, J., Guo, G., Wang, Y., Li, S., Cao, Z., &amp; Liu, S. (2024). Supplementation with combined additive improved the production of dairy cows and their offspring with maintenance of antioxidative stability. </w:t>
      </w:r>
      <w:r>
        <w:rPr>
          <w:i/>
          <w:iCs/>
        </w:rPr>
        <w:t>Antioxidants, 13</w:t>
      </w:r>
      <w:r>
        <w:t>(6), 650. https://doi.org/10.3390/antiox13060650</w:t>
      </w:r>
    </w:p>
    <w:p w14:paraId="534416C1" w14:textId="77777777" w:rsidR="001474D1" w:rsidRDefault="00000000">
      <w:pPr>
        <w:spacing w:after="120" w:line="360" w:lineRule="auto"/>
        <w:ind w:left="720" w:hanging="720"/>
      </w:pPr>
      <w:r>
        <w:t xml:space="preserve">Zhou, Z., Bulgari, O., </w:t>
      </w:r>
      <w:proofErr w:type="spellStart"/>
      <w:r>
        <w:t>Vailati</w:t>
      </w:r>
      <w:proofErr w:type="spellEnd"/>
      <w:r>
        <w:t xml:space="preserve">-Riboni, M., </w:t>
      </w:r>
      <w:proofErr w:type="spellStart"/>
      <w:r>
        <w:t>Trevisi</w:t>
      </w:r>
      <w:proofErr w:type="spellEnd"/>
      <w:r>
        <w:t xml:space="preserve">, E., Ballou, M. A., Cardoso, F. C., Luchini, D. N., &amp; Loor, J. J. (2016). Rumen-protected methionine compared with rumen-protected choline improves </w:t>
      </w:r>
      <w:proofErr w:type="spellStart"/>
      <w:r>
        <w:t>immunometabolic</w:t>
      </w:r>
      <w:proofErr w:type="spellEnd"/>
      <w:r>
        <w:t xml:space="preserve"> status in dairy cows during the </w:t>
      </w:r>
      <w:proofErr w:type="spellStart"/>
      <w:r>
        <w:t>peripartal</w:t>
      </w:r>
      <w:proofErr w:type="spellEnd"/>
      <w:r>
        <w:t xml:space="preserve"> period. </w:t>
      </w:r>
      <w:r>
        <w:rPr>
          <w:i/>
          <w:iCs/>
        </w:rPr>
        <w:t>Journal of Dairy Science, 99</w:t>
      </w:r>
      <w:r>
        <w:t>(11), 8956–8969. https://doi.org/10.3168/jds.2016-10986</w:t>
      </w:r>
    </w:p>
    <w:sectPr w:rsidR="001474D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77EF" w14:textId="77777777" w:rsidR="004B22F3" w:rsidRDefault="004B22F3" w:rsidP="00F7586D">
      <w:r>
        <w:separator/>
      </w:r>
    </w:p>
  </w:endnote>
  <w:endnote w:type="continuationSeparator" w:id="0">
    <w:p w14:paraId="048C818D" w14:textId="77777777" w:rsidR="004B22F3" w:rsidRDefault="004B22F3" w:rsidP="00F75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173B" w14:textId="77777777" w:rsidR="00F7586D" w:rsidRDefault="00F75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9966" w14:textId="77777777" w:rsidR="00F7586D" w:rsidRDefault="00F75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294E" w14:textId="77777777" w:rsidR="00F7586D" w:rsidRDefault="00F75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B465F" w14:textId="77777777" w:rsidR="004B22F3" w:rsidRDefault="004B22F3" w:rsidP="00F7586D">
      <w:r>
        <w:separator/>
      </w:r>
    </w:p>
  </w:footnote>
  <w:footnote w:type="continuationSeparator" w:id="0">
    <w:p w14:paraId="6691FD1F" w14:textId="77777777" w:rsidR="004B22F3" w:rsidRDefault="004B22F3" w:rsidP="00F75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CB19" w14:textId="50CEF1C8" w:rsidR="00F7586D" w:rsidRDefault="00F7586D">
    <w:pPr>
      <w:pStyle w:val="Header"/>
    </w:pPr>
    <w:r>
      <w:rPr>
        <w:noProof/>
      </w:rPr>
      <w:pict w14:anchorId="710B12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99550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1C41" w14:textId="17613AE2" w:rsidR="00F7586D" w:rsidRDefault="00F7586D">
    <w:pPr>
      <w:pStyle w:val="Header"/>
    </w:pPr>
    <w:r>
      <w:rPr>
        <w:noProof/>
      </w:rPr>
      <w:pict w14:anchorId="0247CB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99550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0061" w14:textId="031EBA8A" w:rsidR="00F7586D" w:rsidRDefault="00F7586D">
    <w:pPr>
      <w:pStyle w:val="Header"/>
    </w:pPr>
    <w:r>
      <w:rPr>
        <w:noProof/>
      </w:rPr>
      <w:pict w14:anchorId="1F971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99550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A325A"/>
    <w:multiLevelType w:val="hybridMultilevel"/>
    <w:tmpl w:val="3508D130"/>
    <w:lvl w:ilvl="0" w:tplc="DDC8F704">
      <w:start w:val="1"/>
      <w:numFmt w:val="bullet"/>
      <w:lvlText w:val="●"/>
      <w:lvlJc w:val="left"/>
      <w:pPr>
        <w:ind w:left="720" w:hanging="360"/>
      </w:pPr>
    </w:lvl>
    <w:lvl w:ilvl="1" w:tplc="15D2752C">
      <w:start w:val="1"/>
      <w:numFmt w:val="bullet"/>
      <w:lvlText w:val="○"/>
      <w:lvlJc w:val="left"/>
      <w:pPr>
        <w:ind w:left="1440" w:hanging="360"/>
      </w:pPr>
    </w:lvl>
    <w:lvl w:ilvl="2" w:tplc="BC128130">
      <w:start w:val="1"/>
      <w:numFmt w:val="bullet"/>
      <w:lvlText w:val="■"/>
      <w:lvlJc w:val="left"/>
      <w:pPr>
        <w:ind w:left="2160" w:hanging="360"/>
      </w:pPr>
    </w:lvl>
    <w:lvl w:ilvl="3" w:tplc="74F66ED0">
      <w:start w:val="1"/>
      <w:numFmt w:val="bullet"/>
      <w:lvlText w:val="●"/>
      <w:lvlJc w:val="left"/>
      <w:pPr>
        <w:ind w:left="2880" w:hanging="360"/>
      </w:pPr>
    </w:lvl>
    <w:lvl w:ilvl="4" w:tplc="9308FC3A">
      <w:start w:val="1"/>
      <w:numFmt w:val="bullet"/>
      <w:lvlText w:val="○"/>
      <w:lvlJc w:val="left"/>
      <w:pPr>
        <w:ind w:left="3600" w:hanging="360"/>
      </w:pPr>
    </w:lvl>
    <w:lvl w:ilvl="5" w:tplc="F21A8220">
      <w:start w:val="1"/>
      <w:numFmt w:val="bullet"/>
      <w:lvlText w:val="■"/>
      <w:lvlJc w:val="left"/>
      <w:pPr>
        <w:ind w:left="4320" w:hanging="360"/>
      </w:pPr>
    </w:lvl>
    <w:lvl w:ilvl="6" w:tplc="97041136">
      <w:start w:val="1"/>
      <w:numFmt w:val="bullet"/>
      <w:lvlText w:val="●"/>
      <w:lvlJc w:val="left"/>
      <w:pPr>
        <w:ind w:left="5040" w:hanging="360"/>
      </w:pPr>
    </w:lvl>
    <w:lvl w:ilvl="7" w:tplc="CB224EB0">
      <w:start w:val="1"/>
      <w:numFmt w:val="bullet"/>
      <w:lvlText w:val="●"/>
      <w:lvlJc w:val="left"/>
      <w:pPr>
        <w:ind w:left="5760" w:hanging="360"/>
      </w:pPr>
    </w:lvl>
    <w:lvl w:ilvl="8" w:tplc="4A0E6F7A">
      <w:start w:val="1"/>
      <w:numFmt w:val="bullet"/>
      <w:lvlText w:val="●"/>
      <w:lvlJc w:val="left"/>
      <w:pPr>
        <w:ind w:left="6480" w:hanging="360"/>
      </w:pPr>
    </w:lvl>
  </w:abstractNum>
  <w:num w:numId="1" w16cid:durableId="13556199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D1"/>
    <w:rsid w:val="001474D1"/>
    <w:rsid w:val="004B22F3"/>
    <w:rsid w:val="004F1E53"/>
    <w:rsid w:val="005A7898"/>
    <w:rsid w:val="00A42440"/>
    <w:rsid w:val="00B90D0F"/>
    <w:rsid w:val="00DE2AD2"/>
    <w:rsid w:val="00E06F48"/>
    <w:rsid w:val="00F75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E2ED0"/>
  <w15:docId w15:val="{D6E17F3C-026D-4EAA-A0AF-A1A1C371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7586D"/>
    <w:pPr>
      <w:tabs>
        <w:tab w:val="center" w:pos="4680"/>
        <w:tab w:val="right" w:pos="9360"/>
      </w:tabs>
    </w:pPr>
  </w:style>
  <w:style w:type="character" w:customStyle="1" w:styleId="HeaderChar">
    <w:name w:val="Header Char"/>
    <w:basedOn w:val="DefaultParagraphFont"/>
    <w:link w:val="Header"/>
    <w:uiPriority w:val="99"/>
    <w:rsid w:val="00F7586D"/>
  </w:style>
  <w:style w:type="paragraph" w:styleId="Footer">
    <w:name w:val="footer"/>
    <w:basedOn w:val="Normal"/>
    <w:link w:val="FooterChar"/>
    <w:uiPriority w:val="99"/>
    <w:unhideWhenUsed/>
    <w:rsid w:val="00F7586D"/>
    <w:pPr>
      <w:tabs>
        <w:tab w:val="center" w:pos="4680"/>
        <w:tab w:val="right" w:pos="9360"/>
      </w:tabs>
    </w:pPr>
  </w:style>
  <w:style w:type="character" w:customStyle="1" w:styleId="FooterChar">
    <w:name w:val="Footer Char"/>
    <w:basedOn w:val="DefaultParagraphFont"/>
    <w:link w:val="Footer"/>
    <w:uiPriority w:val="99"/>
    <w:rsid w:val="00F75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16790</Words>
  <Characters>95703</Characters>
  <Application>Microsoft Office Word</Application>
  <DocSecurity>0</DocSecurity>
  <Lines>797</Lines>
  <Paragraphs>224</Paragraphs>
  <ScaleCrop>false</ScaleCrop>
  <Company>HP</Company>
  <LinksUpToDate>false</LinksUpToDate>
  <CharactersWithSpaces>112269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Oxidative Stress and Antioxidant Defence Mechanisms in Transition Dairy Cows</dc:title>
  <dc:creator>Manuscript</dc:creator>
  <cp:lastModifiedBy>SDI 1084</cp:lastModifiedBy>
  <cp:revision>5</cp:revision>
  <dcterms:created xsi:type="dcterms:W3CDTF">2026-08-04T02:43:00Z</dcterms:created>
  <dcterms:modified xsi:type="dcterms:W3CDTF">2026-08-04T12:53:00Z</dcterms:modified>
</cp:coreProperties>
</file>