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B7140" w14:textId="77777777" w:rsidR="0038246B" w:rsidRPr="0038246B" w:rsidRDefault="0038246B" w:rsidP="0038246B">
      <w:pPr>
        <w:pStyle w:val="Heading1"/>
        <w:spacing w:before="100" w:beforeAutospacing="1" w:after="100" w:afterAutospacing="1"/>
        <w:rPr>
          <w:b/>
          <w:bCs/>
          <w:i/>
          <w:iCs/>
          <w:sz w:val="26"/>
          <w:szCs w:val="26"/>
          <w:u w:val="single"/>
          <w:lang w:val="en-US"/>
        </w:rPr>
      </w:pPr>
      <w:r w:rsidRPr="0038246B">
        <w:rPr>
          <w:b/>
          <w:bCs/>
          <w:i/>
          <w:iCs/>
          <w:sz w:val="26"/>
          <w:szCs w:val="26"/>
          <w:u w:val="single"/>
          <w:lang w:val="en-US"/>
        </w:rPr>
        <w:t>Review Article</w:t>
      </w:r>
    </w:p>
    <w:p w14:paraId="7D45BCC6" w14:textId="77777777" w:rsidR="0038246B" w:rsidRDefault="0038246B" w:rsidP="009D41F1">
      <w:pPr>
        <w:pStyle w:val="Heading1"/>
        <w:spacing w:before="100" w:beforeAutospacing="1" w:after="100" w:afterAutospacing="1"/>
        <w:rPr>
          <w:b/>
          <w:bCs/>
          <w:sz w:val="26"/>
          <w:szCs w:val="26"/>
        </w:rPr>
      </w:pPr>
      <w:r w:rsidRPr="0038246B">
        <w:rPr>
          <w:b/>
          <w:bCs/>
          <w:sz w:val="26"/>
          <w:szCs w:val="26"/>
        </w:rPr>
        <w:t xml:space="preserve">An update on postpartum uterine involution and ovarian rebound activity in dairy cattle </w:t>
      </w:r>
    </w:p>
    <w:p w14:paraId="18958290" w14:textId="374215A9" w:rsidR="008E046C" w:rsidRDefault="00000000" w:rsidP="009D41F1">
      <w:pPr>
        <w:pStyle w:val="Heading1"/>
        <w:spacing w:before="100" w:beforeAutospacing="1" w:after="100" w:afterAutospacing="1"/>
      </w:pPr>
      <w:r>
        <w:rPr>
          <w:b/>
          <w:bCs/>
          <w:sz w:val="26"/>
          <w:szCs w:val="26"/>
        </w:rPr>
        <w:t>Abstract</w:t>
      </w:r>
    </w:p>
    <w:p w14:paraId="3ABE8B61" w14:textId="77777777" w:rsidR="008E046C" w:rsidRDefault="00000000" w:rsidP="009D41F1">
      <w:pPr>
        <w:spacing w:before="100" w:beforeAutospacing="1" w:after="100" w:afterAutospacing="1"/>
        <w:jc w:val="both"/>
      </w:pPr>
      <w:r>
        <w:t>Recovery of the reproductive tract after calving involves two processes that are usually studied separately: the structural and inflammatory resolution of the uterus, and the return of ovulatory ovarian function. Both determine whether a cow becomes pregnant within an economically acceptable interval, yet the literature continues to treat them as parallel timelines rather than as a coupled system. This critical narrative review examines the current evidence on postpartum uterine involution and the resumption of ovarian activity in dairy cattle, with particular attention to how the two processes influence one another and to whether the measurements used to describe them support the inferences drawn from them. Literature was identified through structured searching of PubMed and MEDLINE and Crossref Metadata Search, covering publications from 1980 to 2 June 2026, supplemented by record-level verification of bibliographic details. The synthesis indicates that the classical descriptive timeline of involution, derived largely from palpation and B-mode ultrasonography of tract dimensions, is reproducible but weakly informative about endometrial competence, and that the dimensional endpoint of involution is reached well before the endometrium is functionally restored. Evidence on ovarian rebound is more quantitatively developed, mainly because milk and plasma progesterone profiling and ultrasonographic follicular monitoring generate continuous phenotypes, but definitions of delayed cyclicity remain inconsistent across studies and systems. The most contested area concerns directionality. Observational studies associate early ovulation with faster tract recovery, whereas experimental suppression of ovulation has produced smaller uterine dimensions and less purulent discharge, which is difficult to reconcile with a simple facilitatory role of early oestradiol exposure. Inflammation appears to be the shared upstream driver, acting on both processes through metabolic, mineral and immune pathways, which offers a more parsimonious explanation for much of the apparent coupling than direct uterine to ovarian or ovarian to uterine causation. Priorities for research include harmonised phenotype definitions, designs capable of separating shared causes from reciprocal effects, and validation of continuously recorded on-farm measures against endometrial function rather than against tract size.</w:t>
      </w:r>
    </w:p>
    <w:p w14:paraId="3AF5E380" w14:textId="77777777" w:rsidR="008E046C" w:rsidRDefault="00000000" w:rsidP="009D41F1">
      <w:pPr>
        <w:pStyle w:val="Heading1"/>
        <w:spacing w:before="100" w:beforeAutospacing="1" w:after="100" w:afterAutospacing="1"/>
      </w:pPr>
      <w:r>
        <w:rPr>
          <w:b/>
          <w:bCs/>
          <w:sz w:val="26"/>
          <w:szCs w:val="26"/>
        </w:rPr>
        <w:t>Keywords</w:t>
      </w:r>
    </w:p>
    <w:p w14:paraId="0625887C" w14:textId="77777777" w:rsidR="008E046C" w:rsidRDefault="00000000" w:rsidP="009D41F1">
      <w:pPr>
        <w:spacing w:before="100" w:beforeAutospacing="1" w:after="100" w:afterAutospacing="1"/>
        <w:jc w:val="both"/>
      </w:pPr>
      <w:r>
        <w:t>dairy cow; uterine involution; postpartum anovulation; endometritis; negative energy balance; reproductive management; critical narrative review</w:t>
      </w:r>
    </w:p>
    <w:p w14:paraId="68F1AE7F" w14:textId="77777777" w:rsidR="008E046C" w:rsidRDefault="00000000" w:rsidP="009D41F1">
      <w:pPr>
        <w:pStyle w:val="Heading1"/>
        <w:spacing w:before="100" w:beforeAutospacing="1" w:after="100" w:afterAutospacing="1"/>
      </w:pPr>
      <w:r>
        <w:rPr>
          <w:b/>
          <w:bCs/>
          <w:sz w:val="26"/>
          <w:szCs w:val="26"/>
        </w:rPr>
        <w:t>1. Introduction</w:t>
      </w:r>
    </w:p>
    <w:p w14:paraId="1AC039D9" w14:textId="77777777" w:rsidR="008E046C" w:rsidRDefault="00000000" w:rsidP="009D41F1">
      <w:pPr>
        <w:spacing w:before="100" w:beforeAutospacing="1" w:after="100" w:afterAutospacing="1"/>
        <w:jc w:val="both"/>
      </w:pPr>
      <w:r>
        <w:t>The interval between calving and the establishment of a subsequent pregnancy is the single most consequential period in the reproductive life of a dairy cow. Within it, the uterus must clear the physical and microbial consequences of parturition and rebuild an endometrium capable of supporting an embryo, while the ovary must escape the endocrine suppression of late gestation and resume ovulatory cycles. These two recoveries are commonly described under separate headings. Uterine involution is treated as a structural and inflammatory phenomenon, and the return of ovarian function is treated as an endocrine and metabolic one. The separation is convenient for teaching and for experimental design, but it is not obviously biologically correct, and it has shaped the literature in ways that constrain what can be concluded from it.</w:t>
      </w:r>
    </w:p>
    <w:p w14:paraId="5B77E909" w14:textId="77777777" w:rsidR="008E046C" w:rsidRDefault="00000000" w:rsidP="009D41F1">
      <w:pPr>
        <w:spacing w:before="100" w:beforeAutospacing="1" w:after="100" w:afterAutospacing="1"/>
        <w:jc w:val="both"/>
      </w:pPr>
      <w:r>
        <w:t xml:space="preserve">Uterine involution encompasses myometrial retraction, expulsion and resorption of lochial fluid, caruncular necrosis and sloughing, re-epithelialisation of the caruncular scars, and restoration of endometrial glandular architecture. Clinically it has usually been reduced to the diameter of the </w:t>
      </w:r>
      <w:r>
        <w:lastRenderedPageBreak/>
        <w:t>previously gravid uterine horn and the cervix, measured by transrectal palpation or B-mode ultrasonography, with a defined endpoint when dimensions cease to decline (Sheldon et al., 2000; Zhang et al., 2010). Bacterial contamination of the uterine lumen at calving is close to universal, and the distinction between contamination that resolves spontaneously and infection that progresses to disease depends on host response rather than on the mere presence of organisms (Sheldon et al., 2006; Sheldon et al., 2009). The standardised case definitions that separate puerperal metritis, clinical metritis, clinical endometritis and cytological or subclinical endometritis were an important advance, yet the thresholds that operationalise them remain contested and vary with the day of examination, the sampling method and the production system (Dubuc et al., 2010a; Kasimanickam et al., 2004; Madoz et al., 2013; Wagener et al., 2017).</w:t>
      </w:r>
    </w:p>
    <w:p w14:paraId="2233E8BF" w14:textId="77777777" w:rsidR="008E046C" w:rsidRDefault="00000000" w:rsidP="009D41F1">
      <w:pPr>
        <w:spacing w:before="100" w:beforeAutospacing="1" w:after="100" w:afterAutospacing="1"/>
        <w:jc w:val="both"/>
      </w:pPr>
      <w:r>
        <w:t>Ovarian rebound after calving follows a different logic. Follicular waves resume within one to two weeks of parturition in most cows, so the limiting step is not follicle emergence but whether the first dominant follicle ovulates, becomes atretic or persists (Crowe, 2008; Crowe et al., 2014). That decision is governed principally by luteinising hormone (LH) pulse frequency and by the responsiveness of the follicle to gonadotrophic support, both of which are sensitive to energy status, insulin, and the somatotropic axis (Butler, 2000; Diskin et al., 2003; Llewellyn et al., 2007). Failure of the first dominant follicle to ovulate produces a heterogeneous set of anovulatory phenotypes, ranging from small quiescent follicles to persistent large structures and cystic follicles, which have different associations with metabolic status and different consequences for subsequent fertility (Monteiro et al., 2021; Vanholder et al., 2006).</w:t>
      </w:r>
    </w:p>
    <w:p w14:paraId="3C749F22" w14:textId="77777777" w:rsidR="008E046C" w:rsidRDefault="00000000" w:rsidP="009D41F1">
      <w:pPr>
        <w:spacing w:before="100" w:beforeAutospacing="1" w:after="100" w:afterAutospacing="1"/>
        <w:jc w:val="both"/>
      </w:pPr>
      <w:r>
        <w:t>The prevalence of impaired recovery remains substantial. Anovulation at approximately 50 to 60 days in milk has been reported at around 20 per cent of cows in temperate North American herds, with herd prevalence ranging from 5 to 45 per cent (Walsh et al., 2007), and at 28.5 per cent at 49 days in milk in a large single-herd Brazilian study (Monteiro et al., 2021). In a Japanese cohort of high-producing cows, almost two-thirds did not resume normal cyclicity within 45 days of calving, and prolonged luteal phases were as common as delayed first ovulation (Shrestha et al., 2004). Postpartum uterine disease, defined by purulent vaginal discharge or by endometrial cytology, affects a comparable fraction of cows and consistently extends the interval to pregnancy (Dubuc et al., 2010b; LeBlanc, 2008; LeBlanc, 2023). These figures have not improved markedly over two decades of intensified reproductive management, which suggests that the constraint is not primarily one of oestrus detection or insemination timing.</w:t>
      </w:r>
    </w:p>
    <w:p w14:paraId="6109BA95" w14:textId="77777777" w:rsidR="008E046C" w:rsidRDefault="00000000" w:rsidP="009D41F1">
      <w:pPr>
        <w:spacing w:before="100" w:beforeAutospacing="1" w:after="100" w:afterAutospacing="1"/>
        <w:jc w:val="both"/>
      </w:pPr>
      <w:r>
        <w:t>Existing reviews have addressed parts of this field with authority. The pathophysiology of postpartum uterine disease and its consequences for herd reproductive performance have been reviewed repeatedly and updated as immunological and microbiological evidence accumulated (Bogado Pascottini et al., 2023; Galvão et al., 2019; LeBlanc, 2023; Pascottini &amp; LeBlanc, 2020; Sheldon et al., 2009). The endocrine and nutritional control of the resumption of cyclicity has likewise been reviewed comprehensively (Crowe, 2008; Crowe et al., 2014). More recent syntheses have emphasised inflammation as a unifying transition-period determinant of subsequent reproductive function (Bruinjé &amp; LeBlanc, 2024; Bruinjé &amp; LeBlanc, 2025). What these treatments share is a disciplinary centre of gravity. Reviews written from a uterine-health perspective describe ovarian function as a downstream consequence, and reviews written from an endocrine perspective treat uterine disease as one risk factor among several. Neither approach interrogates the measurement assumptions that make the two literatures difficult to integrate, and neither confronts directly the experimental evidence that contradicts the prevailing assumption that early ovulation assists uterine recovery.</w:t>
      </w:r>
    </w:p>
    <w:p w14:paraId="4D47E129" w14:textId="77777777" w:rsidR="008E046C" w:rsidRDefault="00000000" w:rsidP="009D41F1">
      <w:pPr>
        <w:spacing w:before="100" w:beforeAutospacing="1" w:after="100" w:afterAutospacing="1"/>
        <w:jc w:val="both"/>
      </w:pPr>
      <w:r>
        <w:t xml:space="preserve">Three developments make a reassessment timely. Metagenomic and transcriptomic characterisation of the postpartum endometrium has moved the field beyond culture-based descriptions of infection and has begun to describe repair and dysregulated repair at the level of tissue programmes (Foley et al., 2012; Rashid et al., 2025; Xie et al., 2026). Continuous on-farm measurement, through in-line </w:t>
      </w:r>
      <w:r>
        <w:lastRenderedPageBreak/>
        <w:t>milk progesterone and activity sensors, has replaced episodic sampling with dense longitudinal phenotypes that redefine what counts as delayed cyclicity (Bruinjé et al., 2019; Cerri et al., 2021; Lucy, 2025). Genomic evaluation of fertility has created cow populations that differ systematically in reproductive physiology, providing a form of natural experiment that was not previously available (Ma et al., 2019; Sitko et al., 2024). Each of these developments generates data that the older conceptual framework struggles to accommodate.</w:t>
      </w:r>
    </w:p>
    <w:p w14:paraId="5995C579" w14:textId="77777777" w:rsidR="008E046C" w:rsidRDefault="00000000" w:rsidP="009D41F1">
      <w:pPr>
        <w:pStyle w:val="Heading2"/>
        <w:spacing w:before="100" w:beforeAutospacing="1" w:after="100" w:afterAutospacing="1"/>
      </w:pPr>
      <w:r>
        <w:rPr>
          <w:b/>
          <w:bCs/>
          <w:sz w:val="24"/>
          <w:szCs w:val="24"/>
        </w:rPr>
        <w:t>1.1 Scope, Research Gap and Objectives</w:t>
      </w:r>
    </w:p>
    <w:p w14:paraId="61C59C28" w14:textId="77777777" w:rsidR="008E046C" w:rsidRDefault="00000000" w:rsidP="009D41F1">
      <w:pPr>
        <w:spacing w:before="100" w:beforeAutospacing="1" w:after="100" w:afterAutospacing="1"/>
        <w:jc w:val="both"/>
      </w:pPr>
      <w:r>
        <w:t>This review concerns the lactating dairy cow from parturition to approximately 100 days in milk, and it addresses uterine involution and the resumption of ovulatory ovarian activity as a coupled system. Coverage includes the structural, inflammatory, microbial and endocrine dimensions of recovery, the measurement methods used to describe them, the determinants that modify their trajectory, and the interventions that have been tested against them. Dairy cattle managed in confinement and in pasture-based systems are both within scope, as are primiparous and multiparous animals.</w:t>
      </w:r>
    </w:p>
    <w:p w14:paraId="75048544" w14:textId="77777777" w:rsidR="008E046C" w:rsidRDefault="00000000" w:rsidP="009D41F1">
      <w:pPr>
        <w:spacing w:before="100" w:beforeAutospacing="1" w:after="100" w:afterAutospacing="1"/>
        <w:jc w:val="both"/>
      </w:pPr>
      <w:r>
        <w:t>The gap addressed is specific. The two recoveries are extensively described in parallel, but the evidence bearing on their mutual influence is fragmented, and the observational and experimental strands of that evidence point in opposite directions without having been reconciled. A second and related gap concerns measurement. The dimensional endpoints that define completed involution and the discrete progesterone thresholds that define resumed cyclicity were adopted for practical reasons and have rarely been validated against the biological states they are taken to represent, which limits the interpretability of associations built upon them.</w:t>
      </w:r>
    </w:p>
    <w:p w14:paraId="497980A2" w14:textId="77777777" w:rsidR="008E046C" w:rsidRDefault="00000000" w:rsidP="009D41F1">
      <w:pPr>
        <w:spacing w:before="100" w:beforeAutospacing="1" w:after="100" w:afterAutospacing="1"/>
        <w:jc w:val="both"/>
      </w:pPr>
      <w:r>
        <w:t>The objectives are to define what current evidence supports about the timing and determinants of each process; to evaluate the methods used to phenotype them and the inferential limits those methods impose; to examine critically the evidence for reciprocal influence between uterine recovery and ovarian rebound, including findings that conflict with the dominant interpretation; to assess which management interventions are supported by evidence of adequate design; and to identify research priorities capable of resolving the principal ambiguities. Beef cattle, buffalo and other ruminant species are excluded except where comparative evidence is needed for interpretation, as are embryonic and fetal loss after establishment of pregnancy, male factors, and the economics of reproductive programmes.</w:t>
      </w:r>
    </w:p>
    <w:p w14:paraId="5548954D" w14:textId="77777777" w:rsidR="008E046C" w:rsidRDefault="00000000" w:rsidP="009D41F1">
      <w:pPr>
        <w:pStyle w:val="Heading1"/>
        <w:spacing w:before="100" w:beforeAutospacing="1" w:after="100" w:afterAutospacing="1"/>
      </w:pPr>
      <w:r>
        <w:rPr>
          <w:b/>
          <w:bCs/>
          <w:sz w:val="26"/>
          <w:szCs w:val="26"/>
        </w:rPr>
        <w:t>2. Methods for Literature Selection</w:t>
      </w:r>
    </w:p>
    <w:p w14:paraId="5C948BA1" w14:textId="77777777" w:rsidR="008E046C" w:rsidRDefault="00000000" w:rsidP="009D41F1">
      <w:pPr>
        <w:pStyle w:val="Heading2"/>
        <w:spacing w:before="100" w:beforeAutospacing="1" w:after="100" w:afterAutospacing="1"/>
      </w:pPr>
      <w:r>
        <w:rPr>
          <w:b/>
          <w:bCs/>
          <w:sz w:val="24"/>
          <w:szCs w:val="24"/>
        </w:rPr>
        <w:t>2.1 Review Design and Rationale</w:t>
      </w:r>
    </w:p>
    <w:p w14:paraId="49BD8577" w14:textId="77777777" w:rsidR="008E046C" w:rsidRDefault="00000000" w:rsidP="009D41F1">
      <w:pPr>
        <w:spacing w:before="100" w:beforeAutospacing="1" w:after="100" w:afterAutospacing="1"/>
        <w:jc w:val="both"/>
      </w:pPr>
      <w:r>
        <w:t>A critical narrative design was selected because the review question is interpretive rather than estimative. The central issues concern how phenotypes are defined, whether measurements support the causal language applied to them, and how contradictory experimental and observational findings should be weighed. Questions of that kind cannot be resolved by pooling effect estimates, and the underlying literature is heterogeneous in design, in outcome definition and in production context to a degree that would make quantitative synthesis misleading. A systematic review restricted to a narrowly comparable subset would exclude precisely the mechanistic and methodological studies that bear most directly on the question. Narrative synthesis nonetheless carries a real risk of selective citation, and the review was conducted so that its search, selection and appraisal steps are described in a form that permits assessment against published criteria for narrative review quality (Baethge et al., 2019; Sukhera, 2022). Transparency of process and explicit appraisal of evidence quality were treated as requirements, not as optional features of the format.</w:t>
      </w:r>
    </w:p>
    <w:p w14:paraId="06B6083E" w14:textId="77777777" w:rsidR="008E046C" w:rsidRDefault="00000000" w:rsidP="009D41F1">
      <w:pPr>
        <w:pStyle w:val="Heading2"/>
        <w:spacing w:before="100" w:beforeAutospacing="1" w:after="100" w:afterAutospacing="1"/>
      </w:pPr>
      <w:r>
        <w:rPr>
          <w:b/>
          <w:bCs/>
          <w:sz w:val="24"/>
          <w:szCs w:val="24"/>
        </w:rPr>
        <w:t>2.2 Information Sources</w:t>
      </w:r>
    </w:p>
    <w:p w14:paraId="1066D61E" w14:textId="77777777" w:rsidR="008E046C" w:rsidRDefault="00000000" w:rsidP="009D41F1">
      <w:pPr>
        <w:spacing w:before="100" w:beforeAutospacing="1" w:after="100" w:afterAutospacing="1"/>
        <w:jc w:val="both"/>
      </w:pPr>
      <w:r>
        <w:lastRenderedPageBreak/>
        <w:t>Two sources were searched directly. PubMed and MEDLINE were searched through the National Center for Biotechnology Information Entrez interface, which provides coverage of the veterinary, animal-science and biomedical literature relevant to this topic. Crossref Metadata Search was queried at record level to confirm bibliographic identity, journal, volume, issue, pagination or article number, publication year and the resolution of every Digital Object Identifier used, and to check for registered corrections, retractions or expressions of concern associated with each record. No subscription bibliographic database was accessible during the preparation of this review. Web of Science Core Collection, Scopus, CAB Abstracts, Embase and comparable resources were therefore not searched, and no claim is made regarding their coverage of this topic. No institutional or grey-literature repositories were searched.</w:t>
      </w:r>
    </w:p>
    <w:p w14:paraId="5430FB17" w14:textId="77777777" w:rsidR="008E046C" w:rsidRDefault="00000000" w:rsidP="009D41F1">
      <w:pPr>
        <w:pStyle w:val="Heading2"/>
        <w:spacing w:before="100" w:beforeAutospacing="1" w:after="100" w:afterAutospacing="1"/>
      </w:pPr>
      <w:r>
        <w:rPr>
          <w:b/>
          <w:bCs/>
          <w:sz w:val="24"/>
          <w:szCs w:val="24"/>
        </w:rPr>
        <w:t>2.3 Search Strategy and Search Period</w:t>
      </w:r>
    </w:p>
    <w:p w14:paraId="761D720D" w14:textId="77777777" w:rsidR="008E046C" w:rsidRDefault="00000000" w:rsidP="009D41F1">
      <w:pPr>
        <w:spacing w:before="100" w:beforeAutospacing="1" w:after="100" w:afterAutospacing="1"/>
        <w:jc w:val="both"/>
      </w:pPr>
      <w:r>
        <w:t>Search concepts were developed from the review question and combined with Boolean operators. The uterine concept combined terms for the organ and the process, including uterine involution, puerperal uterus, postpartum uterus, cervical involution, endometritis, metritis, purulent vaginal discharge, endometrial cytology and uterine microbiota. The ovarian concept combined resumption of ovarian cyclicity, first postpartum ovulation, anovulation, anovular phenotype, luteal activity, follicular wave, cystic ovarian follicle and prolonged luteal phase. A determinant concept combined negative energy balance, non-esterified fatty acids, β-hydroxybutyrate, hyperketonaemia, insulin-like growth factor 1, calcium, body condition score, inflammation, haptoglobin, lameness and heat stress. An intervention and technology concept combined prostaglandin F2α, gonadotrophin-releasing hormone, ovulation synchronisation, intrauterine therapy, anti-inflammatory treatment, activity monitoring, in-line progesterone and genomic selection. Each concept was combined with a population concept comprising dairy cow, dairy cattle, Holstein and bovine. Representative strings included ("uterine involution" OR "puerperal uterus") AND (dairy OR cow OR cattle); ("resumption of ovarian cyclicity" OR "first postpartum ovulation" OR anovulation) AND (dairy AND postpartum); and ("subclinical endometritis" OR "endometrial cytology") AND (dairy AND reproductive performance). Searches were run without language limits at the search stage.</w:t>
      </w:r>
    </w:p>
    <w:p w14:paraId="62AD4E9D" w14:textId="77777777" w:rsidR="008E046C" w:rsidRDefault="00000000" w:rsidP="009D41F1">
      <w:pPr>
        <w:spacing w:before="100" w:beforeAutospacing="1" w:after="100" w:afterAutospacing="1"/>
        <w:jc w:val="both"/>
      </w:pPr>
      <w:r>
        <w:t>The search period extended from 1 January 1980 to 2 June 2026. The starting year was chosen because systematic ultrasonographic and radioimmunoassay-based characterisation of postpartum reproductive recovery in cattle became established during the early 1980s, and because the earliest studies relating cervical involution and genital discharge to subsequent fertility in a quantitative framework date from that period (Oltenacu et al., 1983). Publications earlier than that boundary were considered only where conceptually necessary, and none proved essential to the argument developed here.</w:t>
      </w:r>
    </w:p>
    <w:p w14:paraId="2DADBA79" w14:textId="77777777" w:rsidR="008E046C" w:rsidRDefault="00000000" w:rsidP="009D41F1">
      <w:pPr>
        <w:pStyle w:val="Heading2"/>
        <w:spacing w:before="100" w:beforeAutospacing="1" w:after="100" w:afterAutospacing="1"/>
      </w:pPr>
      <w:r>
        <w:rPr>
          <w:b/>
          <w:bCs/>
          <w:sz w:val="24"/>
          <w:szCs w:val="24"/>
        </w:rPr>
        <w:t>2.4 Eligibility Criteria</w:t>
      </w:r>
    </w:p>
    <w:p w14:paraId="7CD77AD6" w14:textId="77777777" w:rsidR="008E046C" w:rsidRDefault="00000000" w:rsidP="009D41F1">
      <w:pPr>
        <w:spacing w:before="100" w:beforeAutospacing="1" w:after="100" w:afterAutospacing="1"/>
        <w:jc w:val="both"/>
      </w:pPr>
      <w:r>
        <w:t>Eligible publications were peer-reviewed journal articles reporting original research, systematic or narrative reviews, or methodological analyses, concerning postpartum uterine recovery or postpartum ovarian function in dairy cattle. Observational cohort studies, randomised and non-randomised intervention studies, controlled experimental studies including tissue and cell-based work directly interpretable in the context of postpartum physiology, and diagnostic accuracy or phenotype-definition studies were all eligible. Studies in beef cattle were eligible only where they provided comparative or mechanistic information not available from dairy cattle, and this restriction was applied explicitly at the point of citation.</w:t>
      </w:r>
    </w:p>
    <w:p w14:paraId="71905D7F" w14:textId="77777777" w:rsidR="008E046C" w:rsidRDefault="00000000" w:rsidP="009D41F1">
      <w:pPr>
        <w:spacing w:before="100" w:beforeAutospacing="1" w:after="100" w:afterAutospacing="1"/>
        <w:jc w:val="both"/>
      </w:pPr>
      <w:r>
        <w:t xml:space="preserve">Publications were excluded if they addressed species other than cattle without comparative relevance, if they concerned reproductive events after establishment of pregnancy only, if they were conference abstracts, theses, patents, promotional material or non-peer-reviewed commentary, if bibliographic details could not be verified against an authoritative record, or if the reported methods were </w:t>
      </w:r>
      <w:r>
        <w:lastRenderedPageBreak/>
        <w:t>insufficient to permit appraisal. Preprints were not used. Only publications available in English were used in the synthesis, which is acknowledged as a restriction rather than presented as a design feature.</w:t>
      </w:r>
    </w:p>
    <w:p w14:paraId="4A5FD7C8" w14:textId="77777777" w:rsidR="008E046C" w:rsidRDefault="00000000" w:rsidP="009D41F1">
      <w:pPr>
        <w:pStyle w:val="Heading2"/>
        <w:spacing w:before="100" w:beforeAutospacing="1" w:after="100" w:afterAutospacing="1"/>
      </w:pPr>
      <w:r>
        <w:rPr>
          <w:b/>
          <w:bCs/>
          <w:sz w:val="24"/>
          <w:szCs w:val="24"/>
        </w:rPr>
        <w:t>2.5 Screening, Duplicate Handling and Study Selection</w:t>
      </w:r>
    </w:p>
    <w:p w14:paraId="59E5FD3B" w14:textId="77777777" w:rsidR="008E046C" w:rsidRDefault="00000000" w:rsidP="009D41F1">
      <w:pPr>
        <w:spacing w:before="100" w:beforeAutospacing="1" w:after="100" w:afterAutospacing="1"/>
        <w:jc w:val="both"/>
      </w:pPr>
      <w:r>
        <w:t>Records retrieved from the searches were screened at title and abstract level for relevance to the review question, and records passing that stage were assessed against the eligibility criteria using the abstract and, where available, the full text or the publisher record. Duplicate records arising from the same article appearing in more than one search were identified by Digital Object Identifier and by matched title and author string, and were reduced to a single entry before appraisal. Records for which a full text could not be obtained were retained only when the abstract and the verified bibliographic record together supported the specific claim for which the article was cited, and such records were used for descriptive rather than for quantitative claims. Because selection was purposive and iterative rather than exhaustive, no screening counts are reported and no flow diagram is presented, since either would imply a systematic selection process that was not undertaken.</w:t>
      </w:r>
    </w:p>
    <w:p w14:paraId="673097A6" w14:textId="77777777" w:rsidR="008E046C" w:rsidRDefault="00000000" w:rsidP="009D41F1">
      <w:pPr>
        <w:pStyle w:val="Heading2"/>
        <w:spacing w:before="100" w:beforeAutospacing="1" w:after="100" w:afterAutospacing="1"/>
      </w:pPr>
      <w:r>
        <w:rPr>
          <w:b/>
          <w:bCs/>
          <w:sz w:val="24"/>
          <w:szCs w:val="24"/>
        </w:rPr>
        <w:t>2.6 Critical Appraisal and Evidence Synthesis</w:t>
      </w:r>
    </w:p>
    <w:p w14:paraId="4E36A5A1" w14:textId="77777777" w:rsidR="008E046C" w:rsidRDefault="00000000" w:rsidP="009D41F1">
      <w:pPr>
        <w:spacing w:before="100" w:beforeAutospacing="1" w:after="100" w:afterAutospacing="1"/>
        <w:jc w:val="both"/>
      </w:pPr>
      <w:r>
        <w:t>Each included study was appraised against criteria appropriate to its design: for observational work, the adequacy of the sampling frame, herd-level clustering, the handling of confounding by parity, disease and season, and the interval between examinations relative to the biological process being measured; for intervention studies, allocation method, blinding, sample size relative to the outcome, and whether the primary outcome was a physiological intermediate or a fertility endpoint; and for laboratory work, the physiological plausibility of the doses and exposures used and the relevance of the model to the postpartum state. Formal risk-of-bias instruments were not applied, because the heterogeneity of designs and the frequent absence of the required reporting detail would have produced scores with a false appearance of precision.</w:t>
      </w:r>
    </w:p>
    <w:p w14:paraId="217CE1AA" w14:textId="77777777" w:rsidR="008E046C" w:rsidRDefault="00000000" w:rsidP="009D41F1">
      <w:pPr>
        <w:spacing w:before="100" w:beforeAutospacing="1" w:after="100" w:afterAutospacing="1"/>
        <w:jc w:val="both"/>
      </w:pPr>
      <w:r>
        <w:t>Synthesis proceeded thematically. Findings were grouped by the biological process or methodological problem they addressed rather than by study, and within each theme the strongest evidence was identified first, followed by evidence that conflicted with it. Where studies disagreed, the explanation was sought in differences of definition, timing of measurement, production system, parity structure or analytical approach before any conclusion was drawn about biological inconsistency. Confidence in each conclusion was assessed on the basis of consistency across independent groups, the directness of the outcome measured, and whether the design could in principle support the causal interpretation applied to it.</w:t>
      </w:r>
    </w:p>
    <w:p w14:paraId="4EE9F7DF" w14:textId="77777777" w:rsidR="008E046C" w:rsidRDefault="00000000" w:rsidP="009D41F1">
      <w:pPr>
        <w:pStyle w:val="Heading1"/>
        <w:spacing w:before="100" w:beforeAutospacing="1" w:after="100" w:afterAutospacing="1"/>
      </w:pPr>
      <w:r>
        <w:rPr>
          <w:b/>
          <w:bCs/>
          <w:sz w:val="26"/>
          <w:szCs w:val="26"/>
        </w:rPr>
        <w:t>3. Conceptual Foundations: What Involution and Ovarian Rebound Actually Denote</w:t>
      </w:r>
    </w:p>
    <w:p w14:paraId="00D6F9F0" w14:textId="77777777" w:rsidR="008E046C" w:rsidRDefault="00000000" w:rsidP="009D41F1">
      <w:pPr>
        <w:pStyle w:val="Heading2"/>
        <w:spacing w:before="100" w:beforeAutospacing="1" w:after="100" w:afterAutospacing="1"/>
      </w:pPr>
      <w:r>
        <w:rPr>
          <w:b/>
          <w:bCs/>
          <w:sz w:val="24"/>
          <w:szCs w:val="24"/>
        </w:rPr>
        <w:t>3.1 Macroscopic involution and the problem of its endpoint</w:t>
      </w:r>
    </w:p>
    <w:p w14:paraId="523F0A15" w14:textId="77777777" w:rsidR="008E046C" w:rsidRDefault="00000000" w:rsidP="009D41F1">
      <w:pPr>
        <w:spacing w:before="100" w:beforeAutospacing="1" w:after="100" w:afterAutospacing="1"/>
        <w:jc w:val="both"/>
      </w:pPr>
      <w:r>
        <w:t>The macroscopic sequence of involution is well described and reasonably consistent across studies. Myometrial retraction reduces uterine volume rapidly during the first days after calving, lochia is discharged over roughly the first two weeks, caruncular necrosis and sloughing proceed over a similar period, and the diameter of the previously gravid horn declines asymptotically thereafter. Uterine blood flow follows a parallel course, with volumetric flow in the uterine arteries falling steeply during the first fortnight and reaching a plateau by approximately five to six weeks after calving (Heppelmann, Krüger, et al., 2013; Krueger et al., 2009). Dimensional endpoints derived from B-mode ultrasonography place completed involution of the previously gravid horn at around 25 to 40 days in clinically normal multiparous cows, with primiparous animals differing from multiparous animals in a direction that depends on the measure used and the nutritional context (Sheldon et al., 2000; Zhang et al., 2010).</w:t>
      </w:r>
    </w:p>
    <w:p w14:paraId="5772B3AD" w14:textId="77777777" w:rsidR="008E046C" w:rsidRDefault="00000000" w:rsidP="009D41F1">
      <w:pPr>
        <w:spacing w:before="100" w:beforeAutospacing="1" w:after="100" w:afterAutospacing="1"/>
        <w:jc w:val="both"/>
      </w:pPr>
      <w:r>
        <w:lastRenderedPageBreak/>
        <w:t>The difficulty is that the dimensional endpoint is a convenience rather than a biologically defined state. When the previously gravid horn stops shrinking, the endometrium has not necessarily completed re-epithelialisation, resolved its inflammatory infiltrate or restored glandular secretory capacity. Studies that measure both dimension and inflammation illustrate the divergence. In one recent cohort examined between 21 and 29 days after calving, subclinical endometritis defined by more than 5 per cent endometrial polymorphonuclear cells showed no association with cervical or uterine horn diameters, while lower serum total calcium concentrations were associated with larger dimensions (Tobolski, Bogado Pascottini, et al., 2025). Dimension and inflammation are therefore not interchangeable indicators, and a cow may be dimensionally involuted while remaining cytologically inflamed. Treating tract size as a proxy for endometrial competence is one of the more consequential simplifications embedded in this literature.</w:t>
      </w:r>
    </w:p>
    <w:p w14:paraId="6663D64D" w14:textId="77777777" w:rsidR="008E046C" w:rsidRDefault="00000000" w:rsidP="009D41F1">
      <w:pPr>
        <w:spacing w:before="100" w:beforeAutospacing="1" w:after="100" w:afterAutospacing="1"/>
        <w:jc w:val="both"/>
      </w:pPr>
      <w:r>
        <w:t>Lactation itself complicates the picture in a way that runs against intuition. Primiparous Holstein cows dried off at calving had larger uterine body diameters and greater intrauterine fluid volumes than lactating herdmates between days 28 and 42, despite the lactating animals showing higher non-esterified fatty acids and β-hydroxybutyrate and lower glucose, insulin and insulin-like growth factor 1 (Scully et al., 2013). By day 49 the groups did not differ. If the metabolic load of lactation impaired involution in a straightforward manner, the opposite pattern would be expected. The result is more readily explained by the greater uterine mass and slower fluid resorption of animals not partitioning nutrients to the mammary gland, or by oxytocin release associated with milking, than by any protective effect of negative energy balance.</w:t>
      </w:r>
    </w:p>
    <w:p w14:paraId="1F213BBD" w14:textId="77777777" w:rsidR="008E046C" w:rsidRDefault="00000000" w:rsidP="009D41F1">
      <w:pPr>
        <w:pStyle w:val="Heading2"/>
        <w:spacing w:before="100" w:beforeAutospacing="1" w:after="100" w:afterAutospacing="1"/>
      </w:pPr>
      <w:r>
        <w:rPr>
          <w:b/>
          <w:bCs/>
          <w:sz w:val="24"/>
          <w:szCs w:val="24"/>
        </w:rPr>
        <w:t>3.2 Endometrial repair, immune resolution and the limits of the infection framing</w:t>
      </w:r>
    </w:p>
    <w:p w14:paraId="58FD8D7D" w14:textId="77777777" w:rsidR="008E046C" w:rsidRDefault="00000000" w:rsidP="009D41F1">
      <w:pPr>
        <w:spacing w:before="100" w:beforeAutospacing="1" w:after="100" w:afterAutospacing="1"/>
        <w:jc w:val="both"/>
      </w:pPr>
      <w:r>
        <w:t>Recovery of the endometrium is an inflammatory and reparative programme rather than the passive elimination of bacteria. Transcriptomic profiling of the healthy postpartum endometrium shows transient immune activation followed by tissue proliferation and repair, with the temporal separation of these phases being a feature of normal recovery rather than an artefact of sampling (Foley et al., 2012). Expression of pro-inflammatory mediators in the endometrium of primiparous cows declines progressively over the first weeks after calving in animals that recover normally, and persistent expression characterises those that do not (Gabler et al., 2010). Peripartum modulation of uterine immune function is itself dynamic, with the capacity of polymorphonuclear leukocytes to migrate and to phagocytose changing across the transition period in ways that are partly determined by metabolic and mineral status (Pascottini &amp; LeBlanc, 2020). Endometrial antimicrobial peptide expression is likewise sensitive to energy balance, providing a direct route by which nutritional state modifies local defence rather than merely correlating with it (Swangchan-Uthai et al., 2013).</w:t>
      </w:r>
    </w:p>
    <w:p w14:paraId="1229C75C" w14:textId="77777777" w:rsidR="008E046C" w:rsidRDefault="00000000" w:rsidP="009D41F1">
      <w:pPr>
        <w:spacing w:before="100" w:beforeAutospacing="1" w:after="100" w:afterAutospacing="1"/>
        <w:jc w:val="both"/>
      </w:pPr>
      <w:r>
        <w:t xml:space="preserve">Framing the postpartum uterus principally as an infected organ has consequences that are visible in the treatment literature. Culture-independent characterisation shows a succession of uterine bacterial communities from calving onward, with the communities of cows that develop metritis diverging from those that do not within the first days after parturition (Jeon et al., 2015). Shotgun metagenomic analysis of cows with clinical and subclinical endometritis has extended this to functional inference, describing microbial interactions and metabolic potential rather than taxonomic presence alone (Rashid et al., 2025). The genera repeatedly implicated include </w:t>
      </w:r>
      <w:r>
        <w:rPr>
          <w:i/>
          <w:iCs/>
        </w:rPr>
        <w:t>Escherichia</w:t>
      </w:r>
      <w:r>
        <w:t xml:space="preserve">, </w:t>
      </w:r>
      <w:r>
        <w:rPr>
          <w:i/>
          <w:iCs/>
        </w:rPr>
        <w:t>Trueperella</w:t>
      </w:r>
      <w:r>
        <w:t xml:space="preserve">, </w:t>
      </w:r>
      <w:r>
        <w:rPr>
          <w:i/>
          <w:iCs/>
        </w:rPr>
        <w:t>Fusobacterium</w:t>
      </w:r>
      <w:r>
        <w:t xml:space="preserve">, </w:t>
      </w:r>
      <w:r>
        <w:rPr>
          <w:i/>
          <w:iCs/>
        </w:rPr>
        <w:t>Bacteroides</w:t>
      </w:r>
      <w:r>
        <w:t xml:space="preserve"> and </w:t>
      </w:r>
      <w:r>
        <w:rPr>
          <w:i/>
          <w:iCs/>
        </w:rPr>
        <w:t>Porphyromonas</w:t>
      </w:r>
      <w:r>
        <w:t xml:space="preserve">, and much of the older culture-based literature refers to the organism now designated </w:t>
      </w:r>
      <w:r>
        <w:rPr>
          <w:i/>
          <w:iCs/>
        </w:rPr>
        <w:t>Trueperella pyogenes</w:t>
      </w:r>
      <w:r>
        <w:t xml:space="preserve"> under its earlier names, including </w:t>
      </w:r>
      <w:r>
        <w:rPr>
          <w:i/>
          <w:iCs/>
        </w:rPr>
        <w:t>Actinomyces pyogenes</w:t>
      </w:r>
      <w:r>
        <w:t>, which complicates direct comparison across decades (Mateus et al., 2002). Associations between the uterine and vaginal microbiota and subsequent purulent vaginal discharge vary with breed and parity, which argues against a single pathogenic community applicable across populations (Moore et al., 2023). Taken together, these findings support a model in which disease reflects failure of host regulation of a community that is present in almost all cows, rather than acquisition of a pathogen by a minority.</w:t>
      </w:r>
    </w:p>
    <w:p w14:paraId="67D1CAD1" w14:textId="77777777" w:rsidR="008E046C" w:rsidRDefault="00000000" w:rsidP="009D41F1">
      <w:pPr>
        <w:pStyle w:val="Heading2"/>
        <w:spacing w:before="100" w:beforeAutospacing="1" w:after="100" w:afterAutospacing="1"/>
      </w:pPr>
      <w:r>
        <w:rPr>
          <w:b/>
          <w:bCs/>
          <w:sz w:val="24"/>
          <w:szCs w:val="24"/>
        </w:rPr>
        <w:lastRenderedPageBreak/>
        <w:t>3.3 Ovarian rebound: phenotypes, thresholds and terminology</w:t>
      </w:r>
    </w:p>
    <w:p w14:paraId="765EAF2E" w14:textId="77777777" w:rsidR="008E046C" w:rsidRDefault="00000000" w:rsidP="009D41F1">
      <w:pPr>
        <w:spacing w:before="100" w:beforeAutospacing="1" w:after="100" w:afterAutospacing="1"/>
        <w:jc w:val="both"/>
      </w:pPr>
      <w:r>
        <w:t>Resumption of ovarian activity is operationally defined in at least three incompatible ways across the literature: by ultrasonographic detection of a corpus luteum, by progesterone rising above a threshold in milk or plasma, and by the observation of ovulation itself. Each yields a different prevalence of the same underlying condition. A study classifying cows as cyclic or anovular from skim milk progesterone at 46 and 60 days in milk reported a cow-level anovulation prevalence of 19.5 per cent (Walsh et al., 2007), whereas a study using serial serum progesterone reported prevalences of 72, 44, 26 and 17 per cent at weeks 3, 5, 7 and 9 after calving (Dubuc et al., 2012). Ultrasonographic classification at 35 and 49 days in milk gave 28.5 per cent (Monteiro et al., 2021). These figures are not in conflict once the timing and criterion are specified, but they are frequently cited as though they were estimating a single quantity.</w:t>
      </w:r>
    </w:p>
    <w:p w14:paraId="29737033" w14:textId="77777777" w:rsidR="008E046C" w:rsidRDefault="00000000" w:rsidP="009D41F1">
      <w:pPr>
        <w:spacing w:before="100" w:beforeAutospacing="1" w:after="100" w:afterAutospacing="1"/>
        <w:jc w:val="both"/>
      </w:pPr>
      <w:r>
        <w:t>Delayed resumption is also heterogeneous in kind, not only in degree. Progesterone profiling in high-producing cows distinguished prolonged luteal phases from delayed first ovulation as distinct forms of abnormality, with the two occurring at broadly comparable frequency and being associated with different antecedents: abnormal cervico-vaginal discharge and incomplete involution accompanied prolonged luteal phases, whereas lower body condition score accompanied delayed first ovulation (Shrestha et al., 2004). Belgian field data using twice-weekly milk progesterone likewise separated delayed cyclicity from prolonged luteal phase and identified partly non-overlapping risk factors, with ketosis and clinical disease predicting delayed cyclicity and puerperal disturbance and early resumption predicting prolonged luteal phase (Opsomer et al., 2000). Anovular cows classified by the diameter of the largest follicle at 35 and 49 days in milk also form phenotypically distinct groups whose association with body condition and disease differs (Monteiro et al., 2021). Aggregating these categories into a single anovulatory outcome, as many studies do, discards information that is directly relevant to mechanism.</w:t>
      </w:r>
    </w:p>
    <w:p w14:paraId="4CA40B00" w14:textId="77777777" w:rsidR="008E046C" w:rsidRDefault="00000000" w:rsidP="009D41F1">
      <w:pPr>
        <w:spacing w:before="100" w:beforeAutospacing="1" w:after="100" w:afterAutospacing="1"/>
        <w:jc w:val="both"/>
      </w:pPr>
      <w:r>
        <w:t>Behavioural expression adds a further layer. Ovulation and oestrus are not equivalent in early lactation. Among ovulations recorded from 10 to 13 weeks after calving in fertile cows, 37 per cent occurred without oestrous signs, mounting behaviour accompanied only about 1 per cent of first ovulations, and relapse into anoestrous ovulation occurred in cows that had already established cyclicity (Sakaguchi, 2010). Studies that infer resumption of cyclicity from observed oestrus therefore systematically underestimate it, and the magnitude of that underestimation is greatest precisely where the biological question is most acute.</w:t>
      </w:r>
    </w:p>
    <w:p w14:paraId="4C46DADD" w14:textId="77777777" w:rsidR="008E046C" w:rsidRDefault="00000000" w:rsidP="009D41F1">
      <w:pPr>
        <w:spacing w:before="100" w:beforeAutospacing="1" w:after="100" w:afterAutospacing="1"/>
        <w:jc w:val="both"/>
      </w:pPr>
      <w:r>
        <w:t>Definitions used across the two literatures are summarised in Table 1, which shows that the operational criteria applied to nominally identical constructs differ substantially in what they measure and in the biological state they can support. The practical implication is that prevalence estimates and risk factor associations should be interpreted relative to their defining criterion rather than pooled across criteria.</w:t>
      </w:r>
    </w:p>
    <w:p w14:paraId="55471E49" w14:textId="77777777" w:rsidR="008E046C" w:rsidRDefault="00000000" w:rsidP="009D41F1">
      <w:pPr>
        <w:spacing w:before="100" w:beforeAutospacing="1" w:after="100" w:afterAutospacing="1"/>
      </w:pPr>
      <w:r>
        <w:rPr>
          <w:b/>
          <w:bCs/>
          <w:sz w:val="22"/>
          <w:szCs w:val="22"/>
        </w:rPr>
        <w:t>Table 1. Operational definitions applied to postpartum uterine and ovarian recovery in dairy cattle, and the inferential limits of each</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40"/>
        <w:gridCol w:w="1940"/>
        <w:gridCol w:w="1940"/>
        <w:gridCol w:w="1940"/>
        <w:gridCol w:w="1940"/>
      </w:tblGrid>
      <w:tr w:rsidR="008E046C" w14:paraId="3DD18CF8" w14:textId="77777777">
        <w:trPr>
          <w:tblHeader/>
        </w:trPr>
        <w:tc>
          <w:tcPr>
            <w:tcW w:w="1940" w:type="dxa"/>
            <w:shd w:val="clear" w:color="auto" w:fill="E8E8E8"/>
            <w:tcMar>
              <w:top w:w="60" w:type="dxa"/>
              <w:left w:w="80" w:type="dxa"/>
              <w:bottom w:w="60" w:type="dxa"/>
              <w:right w:w="80" w:type="dxa"/>
            </w:tcMar>
          </w:tcPr>
          <w:p w14:paraId="2461B3BB" w14:textId="77777777" w:rsidR="008E046C" w:rsidRDefault="00000000" w:rsidP="009D41F1">
            <w:pPr>
              <w:spacing w:before="100" w:beforeAutospacing="1" w:after="100" w:afterAutospacing="1"/>
            </w:pPr>
            <w:r>
              <w:rPr>
                <w:b/>
                <w:bCs/>
                <w:sz w:val="18"/>
                <w:szCs w:val="18"/>
              </w:rPr>
              <w:t>Construct</w:t>
            </w:r>
          </w:p>
        </w:tc>
        <w:tc>
          <w:tcPr>
            <w:tcW w:w="1940" w:type="dxa"/>
            <w:shd w:val="clear" w:color="auto" w:fill="E8E8E8"/>
            <w:tcMar>
              <w:top w:w="60" w:type="dxa"/>
              <w:left w:w="80" w:type="dxa"/>
              <w:bottom w:w="60" w:type="dxa"/>
              <w:right w:w="80" w:type="dxa"/>
            </w:tcMar>
          </w:tcPr>
          <w:p w14:paraId="5338E546" w14:textId="77777777" w:rsidR="008E046C" w:rsidRDefault="00000000" w:rsidP="009D41F1">
            <w:pPr>
              <w:spacing w:before="100" w:beforeAutospacing="1" w:after="100" w:afterAutospacing="1"/>
            </w:pPr>
            <w:r>
              <w:rPr>
                <w:b/>
                <w:bCs/>
                <w:sz w:val="18"/>
                <w:szCs w:val="18"/>
              </w:rPr>
              <w:t>Common operational criterion</w:t>
            </w:r>
          </w:p>
        </w:tc>
        <w:tc>
          <w:tcPr>
            <w:tcW w:w="1940" w:type="dxa"/>
            <w:shd w:val="clear" w:color="auto" w:fill="E8E8E8"/>
            <w:tcMar>
              <w:top w:w="60" w:type="dxa"/>
              <w:left w:w="80" w:type="dxa"/>
              <w:bottom w:w="60" w:type="dxa"/>
              <w:right w:w="80" w:type="dxa"/>
            </w:tcMar>
          </w:tcPr>
          <w:p w14:paraId="48C08E30" w14:textId="77777777" w:rsidR="008E046C" w:rsidRDefault="00000000" w:rsidP="009D41F1">
            <w:pPr>
              <w:spacing w:before="100" w:beforeAutospacing="1" w:after="100" w:afterAutospacing="1"/>
            </w:pPr>
            <w:r>
              <w:rPr>
                <w:b/>
                <w:bCs/>
                <w:sz w:val="18"/>
                <w:szCs w:val="18"/>
              </w:rPr>
              <w:t>What the criterion measures directly</w:t>
            </w:r>
          </w:p>
        </w:tc>
        <w:tc>
          <w:tcPr>
            <w:tcW w:w="1940" w:type="dxa"/>
            <w:shd w:val="clear" w:color="auto" w:fill="E8E8E8"/>
            <w:tcMar>
              <w:top w:w="60" w:type="dxa"/>
              <w:left w:w="80" w:type="dxa"/>
              <w:bottom w:w="60" w:type="dxa"/>
              <w:right w:w="80" w:type="dxa"/>
            </w:tcMar>
          </w:tcPr>
          <w:p w14:paraId="1E1BA686" w14:textId="77777777" w:rsidR="008E046C" w:rsidRDefault="00000000" w:rsidP="009D41F1">
            <w:pPr>
              <w:spacing w:before="100" w:beforeAutospacing="1" w:after="100" w:afterAutospacing="1"/>
            </w:pPr>
            <w:r>
              <w:rPr>
                <w:b/>
                <w:bCs/>
                <w:sz w:val="18"/>
                <w:szCs w:val="18"/>
              </w:rPr>
              <w:t>Principal inferential limitation</w:t>
            </w:r>
          </w:p>
        </w:tc>
        <w:tc>
          <w:tcPr>
            <w:tcW w:w="1940" w:type="dxa"/>
            <w:shd w:val="clear" w:color="auto" w:fill="E8E8E8"/>
            <w:tcMar>
              <w:top w:w="60" w:type="dxa"/>
              <w:left w:w="80" w:type="dxa"/>
              <w:bottom w:w="60" w:type="dxa"/>
              <w:right w:w="80" w:type="dxa"/>
            </w:tcMar>
          </w:tcPr>
          <w:p w14:paraId="25D0296A" w14:textId="77777777" w:rsidR="008E046C" w:rsidRDefault="00000000" w:rsidP="009D41F1">
            <w:pPr>
              <w:spacing w:before="100" w:beforeAutospacing="1" w:after="100" w:afterAutospacing="1"/>
            </w:pPr>
            <w:r>
              <w:rPr>
                <w:b/>
                <w:bCs/>
                <w:sz w:val="18"/>
                <w:szCs w:val="18"/>
              </w:rPr>
              <w:t>Supporting references</w:t>
            </w:r>
          </w:p>
        </w:tc>
      </w:tr>
      <w:tr w:rsidR="008E046C" w14:paraId="0197CFCD" w14:textId="77777777">
        <w:tc>
          <w:tcPr>
            <w:tcW w:w="1940" w:type="dxa"/>
            <w:tcMar>
              <w:top w:w="60" w:type="dxa"/>
              <w:left w:w="80" w:type="dxa"/>
              <w:bottom w:w="60" w:type="dxa"/>
              <w:right w:w="80" w:type="dxa"/>
            </w:tcMar>
          </w:tcPr>
          <w:p w14:paraId="2B19C82F" w14:textId="77777777" w:rsidR="008E046C" w:rsidRDefault="00000000" w:rsidP="009D41F1">
            <w:pPr>
              <w:spacing w:before="100" w:beforeAutospacing="1" w:after="100" w:afterAutospacing="1"/>
            </w:pPr>
            <w:r>
              <w:rPr>
                <w:sz w:val="18"/>
                <w:szCs w:val="18"/>
              </w:rPr>
              <w:t>Completed uterine involution</w:t>
            </w:r>
          </w:p>
        </w:tc>
        <w:tc>
          <w:tcPr>
            <w:tcW w:w="1940" w:type="dxa"/>
            <w:tcMar>
              <w:top w:w="60" w:type="dxa"/>
              <w:left w:w="80" w:type="dxa"/>
              <w:bottom w:w="60" w:type="dxa"/>
              <w:right w:w="80" w:type="dxa"/>
            </w:tcMar>
          </w:tcPr>
          <w:p w14:paraId="17216E7F" w14:textId="77777777" w:rsidR="008E046C" w:rsidRDefault="00000000" w:rsidP="009D41F1">
            <w:pPr>
              <w:spacing w:before="100" w:beforeAutospacing="1" w:after="100" w:afterAutospacing="1"/>
            </w:pPr>
            <w:r>
              <w:rPr>
                <w:sz w:val="18"/>
                <w:szCs w:val="18"/>
              </w:rPr>
              <w:t>Cessation of decline in diameter of the previously gravid uterine horn or cervix on transrectal ultrasonography or palpation</w:t>
            </w:r>
          </w:p>
        </w:tc>
        <w:tc>
          <w:tcPr>
            <w:tcW w:w="1940" w:type="dxa"/>
            <w:tcMar>
              <w:top w:w="60" w:type="dxa"/>
              <w:left w:w="80" w:type="dxa"/>
              <w:bottom w:w="60" w:type="dxa"/>
              <w:right w:w="80" w:type="dxa"/>
            </w:tcMar>
          </w:tcPr>
          <w:p w14:paraId="7898B32F" w14:textId="77777777" w:rsidR="008E046C" w:rsidRDefault="00000000" w:rsidP="009D41F1">
            <w:pPr>
              <w:spacing w:before="100" w:beforeAutospacing="1" w:after="100" w:afterAutospacing="1"/>
            </w:pPr>
            <w:r>
              <w:rPr>
                <w:sz w:val="18"/>
                <w:szCs w:val="18"/>
              </w:rPr>
              <w:t>Gross organ dimension</w:t>
            </w:r>
          </w:p>
        </w:tc>
        <w:tc>
          <w:tcPr>
            <w:tcW w:w="1940" w:type="dxa"/>
            <w:tcMar>
              <w:top w:w="60" w:type="dxa"/>
              <w:left w:w="80" w:type="dxa"/>
              <w:bottom w:w="60" w:type="dxa"/>
              <w:right w:w="80" w:type="dxa"/>
            </w:tcMar>
          </w:tcPr>
          <w:p w14:paraId="151F02FE" w14:textId="77777777" w:rsidR="008E046C" w:rsidRDefault="00000000" w:rsidP="009D41F1">
            <w:pPr>
              <w:spacing w:before="100" w:beforeAutospacing="1" w:after="100" w:afterAutospacing="1"/>
            </w:pPr>
            <w:r>
              <w:rPr>
                <w:sz w:val="18"/>
                <w:szCs w:val="18"/>
              </w:rPr>
              <w:t>Dimension is not associated with endometrial cytological inflammation in clinically healthy cows, so it cannot indicate endometrial competence</w:t>
            </w:r>
          </w:p>
        </w:tc>
        <w:tc>
          <w:tcPr>
            <w:tcW w:w="1940" w:type="dxa"/>
            <w:tcMar>
              <w:top w:w="60" w:type="dxa"/>
              <w:left w:w="80" w:type="dxa"/>
              <w:bottom w:w="60" w:type="dxa"/>
              <w:right w:w="80" w:type="dxa"/>
            </w:tcMar>
          </w:tcPr>
          <w:p w14:paraId="61C299EC" w14:textId="77777777" w:rsidR="008E046C" w:rsidRDefault="00000000" w:rsidP="009D41F1">
            <w:pPr>
              <w:spacing w:before="100" w:beforeAutospacing="1" w:after="100" w:afterAutospacing="1"/>
            </w:pPr>
            <w:r>
              <w:rPr>
                <w:sz w:val="18"/>
                <w:szCs w:val="18"/>
              </w:rPr>
              <w:t>Sheldon et al. (2000); Tobolski, Bogado Pascottini, et al. (2025); Zhang et al. (2010)</w:t>
            </w:r>
          </w:p>
        </w:tc>
      </w:tr>
      <w:tr w:rsidR="008E046C" w14:paraId="3B54A844" w14:textId="77777777">
        <w:tc>
          <w:tcPr>
            <w:tcW w:w="1940" w:type="dxa"/>
            <w:tcMar>
              <w:top w:w="60" w:type="dxa"/>
              <w:left w:w="80" w:type="dxa"/>
              <w:bottom w:w="60" w:type="dxa"/>
              <w:right w:w="80" w:type="dxa"/>
            </w:tcMar>
          </w:tcPr>
          <w:p w14:paraId="380B8F84" w14:textId="77777777" w:rsidR="008E046C" w:rsidRDefault="00000000" w:rsidP="009D41F1">
            <w:pPr>
              <w:spacing w:before="100" w:beforeAutospacing="1" w:after="100" w:afterAutospacing="1"/>
            </w:pPr>
            <w:r>
              <w:rPr>
                <w:sz w:val="18"/>
                <w:szCs w:val="18"/>
              </w:rPr>
              <w:t>Uterine involution (functional)</w:t>
            </w:r>
          </w:p>
        </w:tc>
        <w:tc>
          <w:tcPr>
            <w:tcW w:w="1940" w:type="dxa"/>
            <w:tcMar>
              <w:top w:w="60" w:type="dxa"/>
              <w:left w:w="80" w:type="dxa"/>
              <w:bottom w:w="60" w:type="dxa"/>
              <w:right w:w="80" w:type="dxa"/>
            </w:tcMar>
          </w:tcPr>
          <w:p w14:paraId="2E8D7C98" w14:textId="77777777" w:rsidR="008E046C" w:rsidRDefault="00000000" w:rsidP="009D41F1">
            <w:pPr>
              <w:spacing w:before="100" w:beforeAutospacing="1" w:after="100" w:afterAutospacing="1"/>
            </w:pPr>
            <w:r>
              <w:rPr>
                <w:sz w:val="18"/>
                <w:szCs w:val="18"/>
              </w:rPr>
              <w:t>Uterine blood flow indices or intrauterine fluid volume</w:t>
            </w:r>
          </w:p>
        </w:tc>
        <w:tc>
          <w:tcPr>
            <w:tcW w:w="1940" w:type="dxa"/>
            <w:tcMar>
              <w:top w:w="60" w:type="dxa"/>
              <w:left w:w="80" w:type="dxa"/>
              <w:bottom w:w="60" w:type="dxa"/>
              <w:right w:w="80" w:type="dxa"/>
            </w:tcMar>
          </w:tcPr>
          <w:p w14:paraId="04F196A8" w14:textId="77777777" w:rsidR="008E046C" w:rsidRDefault="00000000" w:rsidP="009D41F1">
            <w:pPr>
              <w:spacing w:before="100" w:beforeAutospacing="1" w:after="100" w:afterAutospacing="1"/>
            </w:pPr>
            <w:r>
              <w:rPr>
                <w:sz w:val="18"/>
                <w:szCs w:val="18"/>
              </w:rPr>
              <w:t>Perfusion or residual luminal content</w:t>
            </w:r>
          </w:p>
        </w:tc>
        <w:tc>
          <w:tcPr>
            <w:tcW w:w="1940" w:type="dxa"/>
            <w:tcMar>
              <w:top w:w="60" w:type="dxa"/>
              <w:left w:w="80" w:type="dxa"/>
              <w:bottom w:w="60" w:type="dxa"/>
              <w:right w:w="80" w:type="dxa"/>
            </w:tcMar>
          </w:tcPr>
          <w:p w14:paraId="432D70CA" w14:textId="77777777" w:rsidR="008E046C" w:rsidRDefault="00000000" w:rsidP="009D41F1">
            <w:pPr>
              <w:spacing w:before="100" w:beforeAutospacing="1" w:after="100" w:afterAutospacing="1"/>
            </w:pPr>
            <w:r>
              <w:rPr>
                <w:sz w:val="18"/>
                <w:szCs w:val="18"/>
              </w:rPr>
              <w:t xml:space="preserve">Plateau of blood flow occurs later than dimensional endpoint </w:t>
            </w:r>
            <w:r>
              <w:rPr>
                <w:sz w:val="18"/>
                <w:szCs w:val="18"/>
              </w:rPr>
              <w:lastRenderedPageBreak/>
              <w:t>and has not been validated against fertility outcomes</w:t>
            </w:r>
          </w:p>
        </w:tc>
        <w:tc>
          <w:tcPr>
            <w:tcW w:w="1940" w:type="dxa"/>
            <w:tcMar>
              <w:top w:w="60" w:type="dxa"/>
              <w:left w:w="80" w:type="dxa"/>
              <w:bottom w:w="60" w:type="dxa"/>
              <w:right w:w="80" w:type="dxa"/>
            </w:tcMar>
          </w:tcPr>
          <w:p w14:paraId="414CD358" w14:textId="77777777" w:rsidR="008E046C" w:rsidRDefault="00000000" w:rsidP="009D41F1">
            <w:pPr>
              <w:spacing w:before="100" w:beforeAutospacing="1" w:after="100" w:afterAutospacing="1"/>
            </w:pPr>
            <w:r>
              <w:rPr>
                <w:sz w:val="18"/>
                <w:szCs w:val="18"/>
              </w:rPr>
              <w:lastRenderedPageBreak/>
              <w:t xml:space="preserve">Heppelmann, Krüger, et al. (2013); Krueger et al. </w:t>
            </w:r>
            <w:r>
              <w:rPr>
                <w:sz w:val="18"/>
                <w:szCs w:val="18"/>
              </w:rPr>
              <w:lastRenderedPageBreak/>
              <w:t>(2009); Mateus et al. (2002)</w:t>
            </w:r>
          </w:p>
        </w:tc>
      </w:tr>
      <w:tr w:rsidR="008E046C" w14:paraId="470DEADA" w14:textId="77777777">
        <w:tc>
          <w:tcPr>
            <w:tcW w:w="1940" w:type="dxa"/>
            <w:tcMar>
              <w:top w:w="60" w:type="dxa"/>
              <w:left w:w="80" w:type="dxa"/>
              <w:bottom w:w="60" w:type="dxa"/>
              <w:right w:w="80" w:type="dxa"/>
            </w:tcMar>
          </w:tcPr>
          <w:p w14:paraId="39C8159D" w14:textId="77777777" w:rsidR="008E046C" w:rsidRDefault="00000000" w:rsidP="009D41F1">
            <w:pPr>
              <w:spacing w:before="100" w:beforeAutospacing="1" w:after="100" w:afterAutospacing="1"/>
            </w:pPr>
            <w:r>
              <w:rPr>
                <w:sz w:val="18"/>
                <w:szCs w:val="18"/>
              </w:rPr>
              <w:lastRenderedPageBreak/>
              <w:t>Clinical endometritis</w:t>
            </w:r>
          </w:p>
        </w:tc>
        <w:tc>
          <w:tcPr>
            <w:tcW w:w="1940" w:type="dxa"/>
            <w:tcMar>
              <w:top w:w="60" w:type="dxa"/>
              <w:left w:w="80" w:type="dxa"/>
              <w:bottom w:w="60" w:type="dxa"/>
              <w:right w:w="80" w:type="dxa"/>
            </w:tcMar>
          </w:tcPr>
          <w:p w14:paraId="4BF20ADD" w14:textId="77777777" w:rsidR="008E046C" w:rsidRDefault="00000000" w:rsidP="009D41F1">
            <w:pPr>
              <w:spacing w:before="100" w:beforeAutospacing="1" w:after="100" w:afterAutospacing="1"/>
            </w:pPr>
            <w:r>
              <w:rPr>
                <w:sz w:val="18"/>
                <w:szCs w:val="18"/>
              </w:rPr>
              <w:t>Purulent or mucopurulent vaginal discharge after a defined day postpartum, by vaginoscopy or gloved examination</w:t>
            </w:r>
          </w:p>
        </w:tc>
        <w:tc>
          <w:tcPr>
            <w:tcW w:w="1940" w:type="dxa"/>
            <w:tcMar>
              <w:top w:w="60" w:type="dxa"/>
              <w:left w:w="80" w:type="dxa"/>
              <w:bottom w:w="60" w:type="dxa"/>
              <w:right w:w="80" w:type="dxa"/>
            </w:tcMar>
          </w:tcPr>
          <w:p w14:paraId="1F97B088" w14:textId="77777777" w:rsidR="008E046C" w:rsidRDefault="00000000" w:rsidP="009D41F1">
            <w:pPr>
              <w:spacing w:before="100" w:beforeAutospacing="1" w:after="100" w:afterAutospacing="1"/>
            </w:pPr>
            <w:r>
              <w:rPr>
                <w:sz w:val="18"/>
                <w:szCs w:val="18"/>
              </w:rPr>
              <w:t>Character of vaginal content</w:t>
            </w:r>
          </w:p>
        </w:tc>
        <w:tc>
          <w:tcPr>
            <w:tcW w:w="1940" w:type="dxa"/>
            <w:tcMar>
              <w:top w:w="60" w:type="dxa"/>
              <w:left w:w="80" w:type="dxa"/>
              <w:bottom w:w="60" w:type="dxa"/>
              <w:right w:w="80" w:type="dxa"/>
            </w:tcMar>
          </w:tcPr>
          <w:p w14:paraId="195C08A2" w14:textId="77777777" w:rsidR="008E046C" w:rsidRDefault="00000000" w:rsidP="009D41F1">
            <w:pPr>
              <w:spacing w:before="100" w:beforeAutospacing="1" w:after="100" w:afterAutospacing="1"/>
            </w:pPr>
            <w:r>
              <w:rPr>
                <w:sz w:val="18"/>
                <w:szCs w:val="18"/>
              </w:rPr>
              <w:t>Discharge grade and endometrial inflammation classify overlapping but non-identical populations</w:t>
            </w:r>
          </w:p>
        </w:tc>
        <w:tc>
          <w:tcPr>
            <w:tcW w:w="1940" w:type="dxa"/>
            <w:tcMar>
              <w:top w:w="60" w:type="dxa"/>
              <w:left w:w="80" w:type="dxa"/>
              <w:bottom w:w="60" w:type="dxa"/>
              <w:right w:w="80" w:type="dxa"/>
            </w:tcMar>
          </w:tcPr>
          <w:p w14:paraId="7AC3DD4E" w14:textId="77777777" w:rsidR="008E046C" w:rsidRDefault="00000000" w:rsidP="009D41F1">
            <w:pPr>
              <w:spacing w:before="100" w:beforeAutospacing="1" w:after="100" w:afterAutospacing="1"/>
            </w:pPr>
            <w:r>
              <w:rPr>
                <w:sz w:val="18"/>
                <w:szCs w:val="18"/>
              </w:rPr>
              <w:t>Dubuc et al. (2010a); Tobolski, Krupa, et al. (2025)</w:t>
            </w:r>
          </w:p>
        </w:tc>
      </w:tr>
      <w:tr w:rsidR="008E046C" w14:paraId="26BE4BC3" w14:textId="77777777">
        <w:tc>
          <w:tcPr>
            <w:tcW w:w="1940" w:type="dxa"/>
            <w:tcMar>
              <w:top w:w="60" w:type="dxa"/>
              <w:left w:w="80" w:type="dxa"/>
              <w:bottom w:w="60" w:type="dxa"/>
              <w:right w:w="80" w:type="dxa"/>
            </w:tcMar>
          </w:tcPr>
          <w:p w14:paraId="7BF78E39" w14:textId="77777777" w:rsidR="008E046C" w:rsidRDefault="00000000" w:rsidP="009D41F1">
            <w:pPr>
              <w:spacing w:before="100" w:beforeAutospacing="1" w:after="100" w:afterAutospacing="1"/>
            </w:pPr>
            <w:r>
              <w:rPr>
                <w:sz w:val="18"/>
                <w:szCs w:val="18"/>
              </w:rPr>
              <w:t>Subclinical or cytological endometritis</w:t>
            </w:r>
          </w:p>
        </w:tc>
        <w:tc>
          <w:tcPr>
            <w:tcW w:w="1940" w:type="dxa"/>
            <w:tcMar>
              <w:top w:w="60" w:type="dxa"/>
              <w:left w:w="80" w:type="dxa"/>
              <w:bottom w:w="60" w:type="dxa"/>
              <w:right w:w="80" w:type="dxa"/>
            </w:tcMar>
          </w:tcPr>
          <w:p w14:paraId="63182986" w14:textId="77777777" w:rsidR="008E046C" w:rsidRDefault="00000000" w:rsidP="009D41F1">
            <w:pPr>
              <w:spacing w:before="100" w:beforeAutospacing="1" w:after="100" w:afterAutospacing="1"/>
            </w:pPr>
            <w:r>
              <w:rPr>
                <w:sz w:val="18"/>
                <w:szCs w:val="18"/>
              </w:rPr>
              <w:t>Proportion of endometrial polymorphonuclear cells above a threshold, by cytobrush or lavage</w:t>
            </w:r>
          </w:p>
        </w:tc>
        <w:tc>
          <w:tcPr>
            <w:tcW w:w="1940" w:type="dxa"/>
            <w:tcMar>
              <w:top w:w="60" w:type="dxa"/>
              <w:left w:w="80" w:type="dxa"/>
              <w:bottom w:w="60" w:type="dxa"/>
              <w:right w:w="80" w:type="dxa"/>
            </w:tcMar>
          </w:tcPr>
          <w:p w14:paraId="30FDED98" w14:textId="77777777" w:rsidR="008E046C" w:rsidRDefault="00000000" w:rsidP="009D41F1">
            <w:pPr>
              <w:spacing w:before="100" w:beforeAutospacing="1" w:after="100" w:afterAutospacing="1"/>
            </w:pPr>
            <w:r>
              <w:rPr>
                <w:sz w:val="18"/>
                <w:szCs w:val="18"/>
              </w:rPr>
              <w:t>Local leukocyte infiltration at one time point</w:t>
            </w:r>
          </w:p>
        </w:tc>
        <w:tc>
          <w:tcPr>
            <w:tcW w:w="1940" w:type="dxa"/>
            <w:tcMar>
              <w:top w:w="60" w:type="dxa"/>
              <w:left w:w="80" w:type="dxa"/>
              <w:bottom w:w="60" w:type="dxa"/>
              <w:right w:w="80" w:type="dxa"/>
            </w:tcMar>
          </w:tcPr>
          <w:p w14:paraId="1890B9FC" w14:textId="77777777" w:rsidR="008E046C" w:rsidRDefault="00000000" w:rsidP="009D41F1">
            <w:pPr>
              <w:spacing w:before="100" w:beforeAutospacing="1" w:after="100" w:afterAutospacing="1"/>
            </w:pPr>
            <w:r>
              <w:rPr>
                <w:sz w:val="18"/>
                <w:szCs w:val="18"/>
              </w:rPr>
              <w:t>Threshold varies with day postpartum, sampling method and production system, and no single cut-off is generalisable</w:t>
            </w:r>
          </w:p>
        </w:tc>
        <w:tc>
          <w:tcPr>
            <w:tcW w:w="1940" w:type="dxa"/>
            <w:tcMar>
              <w:top w:w="60" w:type="dxa"/>
              <w:left w:w="80" w:type="dxa"/>
              <w:bottom w:w="60" w:type="dxa"/>
              <w:right w:w="80" w:type="dxa"/>
            </w:tcMar>
          </w:tcPr>
          <w:p w14:paraId="033BC341" w14:textId="77777777" w:rsidR="008E046C" w:rsidRDefault="00000000" w:rsidP="009D41F1">
            <w:pPr>
              <w:spacing w:before="100" w:beforeAutospacing="1" w:after="100" w:afterAutospacing="1"/>
            </w:pPr>
            <w:r>
              <w:rPr>
                <w:sz w:val="18"/>
                <w:szCs w:val="18"/>
              </w:rPr>
              <w:t>Kasimanickam et al. (2004); Madoz et al. (2013); Wagener et al. (2017)</w:t>
            </w:r>
          </w:p>
        </w:tc>
      </w:tr>
      <w:tr w:rsidR="008E046C" w14:paraId="5C15208B" w14:textId="77777777">
        <w:tc>
          <w:tcPr>
            <w:tcW w:w="1940" w:type="dxa"/>
            <w:tcMar>
              <w:top w:w="60" w:type="dxa"/>
              <w:left w:w="80" w:type="dxa"/>
              <w:bottom w:w="60" w:type="dxa"/>
              <w:right w:w="80" w:type="dxa"/>
            </w:tcMar>
          </w:tcPr>
          <w:p w14:paraId="6D6D45B1" w14:textId="77777777" w:rsidR="008E046C" w:rsidRDefault="00000000" w:rsidP="009D41F1">
            <w:pPr>
              <w:spacing w:before="100" w:beforeAutospacing="1" w:after="100" w:afterAutospacing="1"/>
            </w:pPr>
            <w:r>
              <w:rPr>
                <w:sz w:val="18"/>
                <w:szCs w:val="18"/>
              </w:rPr>
              <w:t>Resumed ovarian cyclicity</w:t>
            </w:r>
          </w:p>
        </w:tc>
        <w:tc>
          <w:tcPr>
            <w:tcW w:w="1940" w:type="dxa"/>
            <w:tcMar>
              <w:top w:w="60" w:type="dxa"/>
              <w:left w:w="80" w:type="dxa"/>
              <w:bottom w:w="60" w:type="dxa"/>
              <w:right w:w="80" w:type="dxa"/>
            </w:tcMar>
          </w:tcPr>
          <w:p w14:paraId="14177D95" w14:textId="77777777" w:rsidR="008E046C" w:rsidRDefault="00000000" w:rsidP="009D41F1">
            <w:pPr>
              <w:spacing w:before="100" w:beforeAutospacing="1" w:after="100" w:afterAutospacing="1"/>
            </w:pPr>
            <w:r>
              <w:rPr>
                <w:sz w:val="18"/>
                <w:szCs w:val="18"/>
              </w:rPr>
              <w:t>Progesterone above a threshold in milk or plasma at defined sampling times</w:t>
            </w:r>
          </w:p>
        </w:tc>
        <w:tc>
          <w:tcPr>
            <w:tcW w:w="1940" w:type="dxa"/>
            <w:tcMar>
              <w:top w:w="60" w:type="dxa"/>
              <w:left w:w="80" w:type="dxa"/>
              <w:bottom w:w="60" w:type="dxa"/>
              <w:right w:w="80" w:type="dxa"/>
            </w:tcMar>
          </w:tcPr>
          <w:p w14:paraId="64396E5B" w14:textId="77777777" w:rsidR="008E046C" w:rsidRDefault="00000000" w:rsidP="009D41F1">
            <w:pPr>
              <w:spacing w:before="100" w:beforeAutospacing="1" w:after="100" w:afterAutospacing="1"/>
            </w:pPr>
            <w:r>
              <w:rPr>
                <w:sz w:val="18"/>
                <w:szCs w:val="18"/>
              </w:rPr>
              <w:t>Presence of luteal tissue at sampling</w:t>
            </w:r>
          </w:p>
        </w:tc>
        <w:tc>
          <w:tcPr>
            <w:tcW w:w="1940" w:type="dxa"/>
            <w:tcMar>
              <w:top w:w="60" w:type="dxa"/>
              <w:left w:w="80" w:type="dxa"/>
              <w:bottom w:w="60" w:type="dxa"/>
              <w:right w:w="80" w:type="dxa"/>
            </w:tcMar>
          </w:tcPr>
          <w:p w14:paraId="0A4B7FDD" w14:textId="77777777" w:rsidR="008E046C" w:rsidRDefault="00000000" w:rsidP="009D41F1">
            <w:pPr>
              <w:spacing w:before="100" w:beforeAutospacing="1" w:after="100" w:afterAutospacing="1"/>
            </w:pPr>
            <w:r>
              <w:rPr>
                <w:sz w:val="18"/>
                <w:szCs w:val="18"/>
              </w:rPr>
              <w:t>Sampling interval determines apparent prevalence, and short or missed luteal phases are not detected</w:t>
            </w:r>
          </w:p>
        </w:tc>
        <w:tc>
          <w:tcPr>
            <w:tcW w:w="1940" w:type="dxa"/>
            <w:tcMar>
              <w:top w:w="60" w:type="dxa"/>
              <w:left w:w="80" w:type="dxa"/>
              <w:bottom w:w="60" w:type="dxa"/>
              <w:right w:w="80" w:type="dxa"/>
            </w:tcMar>
          </w:tcPr>
          <w:p w14:paraId="0D74FCDB" w14:textId="77777777" w:rsidR="008E046C" w:rsidRDefault="00000000" w:rsidP="009D41F1">
            <w:pPr>
              <w:spacing w:before="100" w:beforeAutospacing="1" w:after="100" w:afterAutospacing="1"/>
            </w:pPr>
            <w:r>
              <w:rPr>
                <w:sz w:val="18"/>
                <w:szCs w:val="18"/>
              </w:rPr>
              <w:t>Bruinjé et al. (2019); Dubuc et al. (2012); Walsh et al. (2007)</w:t>
            </w:r>
          </w:p>
        </w:tc>
      </w:tr>
      <w:tr w:rsidR="008E046C" w14:paraId="532D6219" w14:textId="77777777">
        <w:tc>
          <w:tcPr>
            <w:tcW w:w="1940" w:type="dxa"/>
            <w:tcMar>
              <w:top w:w="60" w:type="dxa"/>
              <w:left w:w="80" w:type="dxa"/>
              <w:bottom w:w="60" w:type="dxa"/>
              <w:right w:w="80" w:type="dxa"/>
            </w:tcMar>
          </w:tcPr>
          <w:p w14:paraId="318E5D2C" w14:textId="77777777" w:rsidR="008E046C" w:rsidRDefault="00000000" w:rsidP="009D41F1">
            <w:pPr>
              <w:spacing w:before="100" w:beforeAutospacing="1" w:after="100" w:afterAutospacing="1"/>
            </w:pPr>
            <w:r>
              <w:rPr>
                <w:sz w:val="18"/>
                <w:szCs w:val="18"/>
              </w:rPr>
              <w:t>Resumed ovarian cyclicity (ultrasonographic)</w:t>
            </w:r>
          </w:p>
        </w:tc>
        <w:tc>
          <w:tcPr>
            <w:tcW w:w="1940" w:type="dxa"/>
            <w:tcMar>
              <w:top w:w="60" w:type="dxa"/>
              <w:left w:w="80" w:type="dxa"/>
              <w:bottom w:w="60" w:type="dxa"/>
              <w:right w:w="80" w:type="dxa"/>
            </w:tcMar>
          </w:tcPr>
          <w:p w14:paraId="3D99314F" w14:textId="77777777" w:rsidR="008E046C" w:rsidRDefault="00000000" w:rsidP="009D41F1">
            <w:pPr>
              <w:spacing w:before="100" w:beforeAutospacing="1" w:after="100" w:afterAutospacing="1"/>
            </w:pPr>
            <w:r>
              <w:rPr>
                <w:sz w:val="18"/>
                <w:szCs w:val="18"/>
              </w:rPr>
              <w:t>Corpus luteum detected at one or more examinations</w:t>
            </w:r>
          </w:p>
        </w:tc>
        <w:tc>
          <w:tcPr>
            <w:tcW w:w="1940" w:type="dxa"/>
            <w:tcMar>
              <w:top w:w="60" w:type="dxa"/>
              <w:left w:w="80" w:type="dxa"/>
              <w:bottom w:w="60" w:type="dxa"/>
              <w:right w:w="80" w:type="dxa"/>
            </w:tcMar>
          </w:tcPr>
          <w:p w14:paraId="390572C0" w14:textId="77777777" w:rsidR="008E046C" w:rsidRDefault="00000000" w:rsidP="009D41F1">
            <w:pPr>
              <w:spacing w:before="100" w:beforeAutospacing="1" w:after="100" w:afterAutospacing="1"/>
            </w:pPr>
            <w:r>
              <w:rPr>
                <w:sz w:val="18"/>
                <w:szCs w:val="18"/>
              </w:rPr>
              <w:t>Ovarian structure at examination</w:t>
            </w:r>
          </w:p>
        </w:tc>
        <w:tc>
          <w:tcPr>
            <w:tcW w:w="1940" w:type="dxa"/>
            <w:tcMar>
              <w:top w:w="60" w:type="dxa"/>
              <w:left w:w="80" w:type="dxa"/>
              <w:bottom w:w="60" w:type="dxa"/>
              <w:right w:w="80" w:type="dxa"/>
            </w:tcMar>
          </w:tcPr>
          <w:p w14:paraId="210FFB6E" w14:textId="77777777" w:rsidR="008E046C" w:rsidRDefault="00000000" w:rsidP="009D41F1">
            <w:pPr>
              <w:spacing w:before="100" w:beforeAutospacing="1" w:after="100" w:afterAutospacing="1"/>
            </w:pPr>
            <w:r>
              <w:rPr>
                <w:sz w:val="18"/>
                <w:szCs w:val="18"/>
              </w:rPr>
              <w:t>Detection depends on examination frequency and does not distinguish ovulatory from luteinised structures</w:t>
            </w:r>
          </w:p>
        </w:tc>
        <w:tc>
          <w:tcPr>
            <w:tcW w:w="1940" w:type="dxa"/>
            <w:tcMar>
              <w:top w:w="60" w:type="dxa"/>
              <w:left w:w="80" w:type="dxa"/>
              <w:bottom w:w="60" w:type="dxa"/>
              <w:right w:w="80" w:type="dxa"/>
            </w:tcMar>
          </w:tcPr>
          <w:p w14:paraId="7D2D6FF7" w14:textId="77777777" w:rsidR="008E046C" w:rsidRDefault="00000000" w:rsidP="009D41F1">
            <w:pPr>
              <w:spacing w:before="100" w:beforeAutospacing="1" w:after="100" w:afterAutospacing="1"/>
            </w:pPr>
            <w:r>
              <w:rPr>
                <w:sz w:val="18"/>
                <w:szCs w:val="18"/>
              </w:rPr>
              <w:t>Monteiro et al. (2021)</w:t>
            </w:r>
          </w:p>
        </w:tc>
      </w:tr>
      <w:tr w:rsidR="008E046C" w14:paraId="63218C99" w14:textId="77777777">
        <w:tc>
          <w:tcPr>
            <w:tcW w:w="1940" w:type="dxa"/>
            <w:tcMar>
              <w:top w:w="60" w:type="dxa"/>
              <w:left w:w="80" w:type="dxa"/>
              <w:bottom w:w="60" w:type="dxa"/>
              <w:right w:w="80" w:type="dxa"/>
            </w:tcMar>
          </w:tcPr>
          <w:p w14:paraId="0F192D3B" w14:textId="77777777" w:rsidR="008E046C" w:rsidRDefault="00000000" w:rsidP="009D41F1">
            <w:pPr>
              <w:spacing w:before="100" w:beforeAutospacing="1" w:after="100" w:afterAutospacing="1"/>
            </w:pPr>
            <w:r>
              <w:rPr>
                <w:sz w:val="18"/>
                <w:szCs w:val="18"/>
              </w:rPr>
              <w:t>Delayed cyclicity subtypes</w:t>
            </w:r>
          </w:p>
        </w:tc>
        <w:tc>
          <w:tcPr>
            <w:tcW w:w="1940" w:type="dxa"/>
            <w:tcMar>
              <w:top w:w="60" w:type="dxa"/>
              <w:left w:w="80" w:type="dxa"/>
              <w:bottom w:w="60" w:type="dxa"/>
              <w:right w:w="80" w:type="dxa"/>
            </w:tcMar>
          </w:tcPr>
          <w:p w14:paraId="53E8E33C" w14:textId="77777777" w:rsidR="008E046C" w:rsidRDefault="00000000" w:rsidP="009D41F1">
            <w:pPr>
              <w:spacing w:before="100" w:beforeAutospacing="1" w:after="100" w:afterAutospacing="1"/>
            </w:pPr>
            <w:r>
              <w:rPr>
                <w:sz w:val="18"/>
                <w:szCs w:val="18"/>
              </w:rPr>
              <w:t>Prolonged luteal phase versus delayed first ovulation versus anovular follicular phenotype</w:t>
            </w:r>
          </w:p>
        </w:tc>
        <w:tc>
          <w:tcPr>
            <w:tcW w:w="1940" w:type="dxa"/>
            <w:tcMar>
              <w:top w:w="60" w:type="dxa"/>
              <w:left w:w="80" w:type="dxa"/>
              <w:bottom w:w="60" w:type="dxa"/>
              <w:right w:w="80" w:type="dxa"/>
            </w:tcMar>
          </w:tcPr>
          <w:p w14:paraId="2862547B" w14:textId="77777777" w:rsidR="008E046C" w:rsidRDefault="00000000" w:rsidP="009D41F1">
            <w:pPr>
              <w:spacing w:before="100" w:beforeAutospacing="1" w:after="100" w:afterAutospacing="1"/>
            </w:pPr>
            <w:r>
              <w:rPr>
                <w:sz w:val="18"/>
                <w:szCs w:val="18"/>
              </w:rPr>
              <w:t>Pattern of luteal function or follicle size</w:t>
            </w:r>
          </w:p>
        </w:tc>
        <w:tc>
          <w:tcPr>
            <w:tcW w:w="1940" w:type="dxa"/>
            <w:tcMar>
              <w:top w:w="60" w:type="dxa"/>
              <w:left w:w="80" w:type="dxa"/>
              <w:bottom w:w="60" w:type="dxa"/>
              <w:right w:w="80" w:type="dxa"/>
            </w:tcMar>
          </w:tcPr>
          <w:p w14:paraId="5F4FCACC" w14:textId="77777777" w:rsidR="008E046C" w:rsidRDefault="00000000" w:rsidP="009D41F1">
            <w:pPr>
              <w:spacing w:before="100" w:beforeAutospacing="1" w:after="100" w:afterAutospacing="1"/>
            </w:pPr>
            <w:r>
              <w:rPr>
                <w:sz w:val="18"/>
                <w:szCs w:val="18"/>
              </w:rPr>
              <w:t>Subtypes have partly distinct risk factors and should not be aggregated into a single outcome</w:t>
            </w:r>
          </w:p>
        </w:tc>
        <w:tc>
          <w:tcPr>
            <w:tcW w:w="1940" w:type="dxa"/>
            <w:tcMar>
              <w:top w:w="60" w:type="dxa"/>
              <w:left w:w="80" w:type="dxa"/>
              <w:bottom w:w="60" w:type="dxa"/>
              <w:right w:w="80" w:type="dxa"/>
            </w:tcMar>
          </w:tcPr>
          <w:p w14:paraId="1323E554" w14:textId="77777777" w:rsidR="008E046C" w:rsidRDefault="00000000" w:rsidP="009D41F1">
            <w:pPr>
              <w:spacing w:before="100" w:beforeAutospacing="1" w:after="100" w:afterAutospacing="1"/>
            </w:pPr>
            <w:r>
              <w:rPr>
                <w:sz w:val="18"/>
                <w:szCs w:val="18"/>
              </w:rPr>
              <w:t>Monteiro et al. (2021); Opsomer et al. (2000); Shrestha et al. (2004)</w:t>
            </w:r>
          </w:p>
        </w:tc>
      </w:tr>
      <w:tr w:rsidR="008E046C" w14:paraId="5808CF59" w14:textId="77777777">
        <w:tc>
          <w:tcPr>
            <w:tcW w:w="1940" w:type="dxa"/>
            <w:tcMar>
              <w:top w:w="60" w:type="dxa"/>
              <w:left w:w="80" w:type="dxa"/>
              <w:bottom w:w="60" w:type="dxa"/>
              <w:right w:w="80" w:type="dxa"/>
            </w:tcMar>
          </w:tcPr>
          <w:p w14:paraId="191BB58E" w14:textId="77777777" w:rsidR="008E046C" w:rsidRDefault="00000000" w:rsidP="009D41F1">
            <w:pPr>
              <w:spacing w:before="100" w:beforeAutospacing="1" w:after="100" w:afterAutospacing="1"/>
            </w:pPr>
            <w:r>
              <w:rPr>
                <w:sz w:val="18"/>
                <w:szCs w:val="18"/>
              </w:rPr>
              <w:t>Oestrus</w:t>
            </w:r>
          </w:p>
        </w:tc>
        <w:tc>
          <w:tcPr>
            <w:tcW w:w="1940" w:type="dxa"/>
            <w:tcMar>
              <w:top w:w="60" w:type="dxa"/>
              <w:left w:w="80" w:type="dxa"/>
              <w:bottom w:w="60" w:type="dxa"/>
              <w:right w:w="80" w:type="dxa"/>
            </w:tcMar>
          </w:tcPr>
          <w:p w14:paraId="5710D89C" w14:textId="77777777" w:rsidR="008E046C" w:rsidRDefault="00000000" w:rsidP="009D41F1">
            <w:pPr>
              <w:spacing w:before="100" w:beforeAutospacing="1" w:after="100" w:afterAutospacing="1"/>
            </w:pPr>
            <w:r>
              <w:rPr>
                <w:sz w:val="18"/>
                <w:szCs w:val="18"/>
              </w:rPr>
              <w:t>Standing to be mounted or mounting activity, or sensor-derived activity increase</w:t>
            </w:r>
          </w:p>
        </w:tc>
        <w:tc>
          <w:tcPr>
            <w:tcW w:w="1940" w:type="dxa"/>
            <w:tcMar>
              <w:top w:w="60" w:type="dxa"/>
              <w:left w:w="80" w:type="dxa"/>
              <w:bottom w:w="60" w:type="dxa"/>
              <w:right w:w="80" w:type="dxa"/>
            </w:tcMar>
          </w:tcPr>
          <w:p w14:paraId="3C52B236" w14:textId="77777777" w:rsidR="008E046C" w:rsidRDefault="00000000" w:rsidP="009D41F1">
            <w:pPr>
              <w:spacing w:before="100" w:beforeAutospacing="1" w:after="100" w:afterAutospacing="1"/>
            </w:pPr>
            <w:r>
              <w:rPr>
                <w:sz w:val="18"/>
                <w:szCs w:val="18"/>
              </w:rPr>
              <w:t>Behavioural expression</w:t>
            </w:r>
          </w:p>
        </w:tc>
        <w:tc>
          <w:tcPr>
            <w:tcW w:w="1940" w:type="dxa"/>
            <w:tcMar>
              <w:top w:w="60" w:type="dxa"/>
              <w:left w:w="80" w:type="dxa"/>
              <w:bottom w:w="60" w:type="dxa"/>
              <w:right w:w="80" w:type="dxa"/>
            </w:tcMar>
          </w:tcPr>
          <w:p w14:paraId="4B8B9DC7" w14:textId="77777777" w:rsidR="008E046C" w:rsidRDefault="00000000" w:rsidP="009D41F1">
            <w:pPr>
              <w:spacing w:before="100" w:beforeAutospacing="1" w:after="100" w:afterAutospacing="1"/>
            </w:pPr>
            <w:r>
              <w:rPr>
                <w:sz w:val="18"/>
                <w:szCs w:val="18"/>
              </w:rPr>
              <w:t>A substantial proportion of early postpartum ovulations are behaviourally silent, so oestrus underestimates cyclicity</w:t>
            </w:r>
          </w:p>
        </w:tc>
        <w:tc>
          <w:tcPr>
            <w:tcW w:w="1940" w:type="dxa"/>
            <w:tcMar>
              <w:top w:w="60" w:type="dxa"/>
              <w:left w:w="80" w:type="dxa"/>
              <w:bottom w:w="60" w:type="dxa"/>
              <w:right w:w="80" w:type="dxa"/>
            </w:tcMar>
          </w:tcPr>
          <w:p w14:paraId="4630C52B" w14:textId="77777777" w:rsidR="008E046C" w:rsidRDefault="00000000" w:rsidP="009D41F1">
            <w:pPr>
              <w:spacing w:before="100" w:beforeAutospacing="1" w:after="100" w:afterAutospacing="1"/>
            </w:pPr>
            <w:r>
              <w:rPr>
                <w:sz w:val="18"/>
                <w:szCs w:val="18"/>
              </w:rPr>
              <w:t>Cerri et al. (2021); Sakaguchi (2010)</w:t>
            </w:r>
          </w:p>
        </w:tc>
      </w:tr>
    </w:tbl>
    <w:p w14:paraId="6507632B" w14:textId="77777777" w:rsidR="008E046C" w:rsidRDefault="00000000" w:rsidP="009D41F1">
      <w:pPr>
        <w:spacing w:before="100" w:beforeAutospacing="1" w:after="100" w:afterAutospacing="1"/>
      </w:pPr>
      <w:r>
        <w:rPr>
          <w:sz w:val="18"/>
          <w:szCs w:val="18"/>
        </w:rPr>
        <w:t>Note. Constructs are those most frequently used in the reviewed literature. The table describes criteria as applied in the cited studies and does not endorse any single criterion as a standard.</w:t>
      </w:r>
    </w:p>
    <w:p w14:paraId="677460A7" w14:textId="77777777" w:rsidR="008E046C" w:rsidRDefault="00000000" w:rsidP="009D41F1">
      <w:pPr>
        <w:pStyle w:val="Heading1"/>
        <w:spacing w:before="100" w:beforeAutospacing="1" w:after="100" w:afterAutospacing="1"/>
      </w:pPr>
      <w:r>
        <w:rPr>
          <w:b/>
          <w:bCs/>
          <w:sz w:val="26"/>
          <w:szCs w:val="26"/>
        </w:rPr>
        <w:t>4. Measurement and Phenotyping: What the Available Methods Can and Cannot Support</w:t>
      </w:r>
    </w:p>
    <w:p w14:paraId="76ACE66B" w14:textId="77777777" w:rsidR="008E046C" w:rsidRDefault="00000000" w:rsidP="009D41F1">
      <w:pPr>
        <w:pStyle w:val="Heading2"/>
        <w:spacing w:before="100" w:beforeAutospacing="1" w:after="100" w:afterAutospacing="1"/>
      </w:pPr>
      <w:r>
        <w:rPr>
          <w:b/>
          <w:bCs/>
          <w:sz w:val="24"/>
          <w:szCs w:val="24"/>
        </w:rPr>
        <w:t>4.1 Transrectal palpation and B-mode ultrasonography</w:t>
      </w:r>
    </w:p>
    <w:p w14:paraId="62108B75" w14:textId="77777777" w:rsidR="008E046C" w:rsidRDefault="00000000" w:rsidP="009D41F1">
      <w:pPr>
        <w:spacing w:before="100" w:beforeAutospacing="1" w:after="100" w:afterAutospacing="1"/>
        <w:jc w:val="both"/>
      </w:pPr>
      <w:r>
        <w:t>Palpation and B-mode ultrasonography remain the dominant tools for assessing involution, and their principal virtue is practicality. Both are inexpensive, repeatable within an operator and applicable on commercial farms. Their principal weakness is that they capture a coarse structural variable that changes slowly and asymptotically, so that the estimated endpoint depends heavily on examination frequency. Studies examining cows at intervals of seven to ten days will necessarily locate the endpoint less precisely than those examining every three to four days, and this alone accounts for part of the variation in reported involution intervals across the literature. Sonomicrometry, in which crystals implanted in the uterine wall record continuous dimensional change, was developed specifically to overcome the intermittency of ultrasonographic assessment and demonstrated that involution can be followed at far higher temporal resolution than conventional examination permits (Heppelmann et al., 2015). That such an invasive approach was needed to obtain continuous data illustrates the underlying measurement problem rather than solving it for field application.</w:t>
      </w:r>
    </w:p>
    <w:p w14:paraId="2FC2F99F" w14:textId="77777777" w:rsidR="008E046C" w:rsidRDefault="00000000" w:rsidP="009D41F1">
      <w:pPr>
        <w:pStyle w:val="Heading2"/>
        <w:spacing w:before="100" w:beforeAutospacing="1" w:after="100" w:afterAutospacing="1"/>
      </w:pPr>
      <w:r>
        <w:rPr>
          <w:b/>
          <w:bCs/>
          <w:sz w:val="24"/>
          <w:szCs w:val="24"/>
        </w:rPr>
        <w:lastRenderedPageBreak/>
        <w:t>4.2 Doppler and perfusion-based indices</w:t>
      </w:r>
    </w:p>
    <w:p w14:paraId="65EF14BD" w14:textId="77777777" w:rsidR="008E046C" w:rsidRDefault="00000000" w:rsidP="009D41F1">
      <w:pPr>
        <w:spacing w:before="100" w:beforeAutospacing="1" w:after="100" w:afterAutospacing="1"/>
        <w:jc w:val="both"/>
      </w:pPr>
      <w:r>
        <w:t>Doppler assessment of uterine arterial blood flow provides a physiologically distinct measure that declines steeply during the puerperium and stabilises later than uterine dimensions (Krueger et al., 2009). In heifers, the first fortnight after parturition shows the most rapid change, indicating that the informative window for perfusion-based measurement is early (Heppelmann, Krüger, et al., 2013). Perfusion measures respond to acute pharmacological intervention, since exogenous oxytocin alters uterine blood flow in a manner that depends on days after parturition and on the presence of retained fetal membranes (Magata et al., 2013). These techniques therefore detect functional change that dimensional measurement misses. Their limitation is evidential rather than technical: no adequately powered study has established that perfusion indices predict subsequent fertility better than simpler measures, and until that comparison is made their additional value remains an inference from plausibility.</w:t>
      </w:r>
    </w:p>
    <w:p w14:paraId="1FFB778B" w14:textId="77777777" w:rsidR="008E046C" w:rsidRDefault="00000000" w:rsidP="009D41F1">
      <w:pPr>
        <w:pStyle w:val="Heading2"/>
        <w:spacing w:before="100" w:beforeAutospacing="1" w:after="100" w:afterAutospacing="1"/>
      </w:pPr>
      <w:r>
        <w:rPr>
          <w:b/>
          <w:bCs/>
          <w:sz w:val="24"/>
          <w:szCs w:val="24"/>
        </w:rPr>
        <w:t>4.3 Cytological and clinical classification of uterine health</w:t>
      </w:r>
    </w:p>
    <w:p w14:paraId="0D25E405" w14:textId="77777777" w:rsidR="008E046C" w:rsidRDefault="00000000" w:rsidP="009D41F1">
      <w:pPr>
        <w:spacing w:before="100" w:beforeAutospacing="1" w:after="100" w:afterAutospacing="1"/>
        <w:jc w:val="both"/>
      </w:pPr>
      <w:r>
        <w:t>Endometrial cytology introduced a quantitative dimension to the diagnosis of uterine inflammation and was validated initially against reproductive outcomes in North American herds (Kasimanickam et al., 2004). Subsequent work established that the threshold proportion of polymorphonuclear cells that best discriminates impaired fertility is not fixed. In grazing cows, the cut-off varied with stage of the oestrous cycle and with day postpartum, and applying a threshold derived from one context to another misclassifies a non-trivial proportion of animals (Madoz et al., 2013). The persistence of disagreement about definition, diagnosis and underlying pathomechanism has been documented explicitly, and the disagreement is substantive rather than semantic, since different thresholds identify populations with different prognoses (Wagener et al., 2017).</w:t>
      </w:r>
    </w:p>
    <w:p w14:paraId="01A9431A" w14:textId="77777777" w:rsidR="008E046C" w:rsidRDefault="00000000" w:rsidP="009D41F1">
      <w:pPr>
        <w:spacing w:before="100" w:beforeAutospacing="1" w:after="100" w:afterAutospacing="1"/>
        <w:jc w:val="both"/>
      </w:pPr>
      <w:r>
        <w:t>Comparative application of alternative classification schemes to the same cows demonstrates the practical scale of the problem. When Polish Holstein cows examined between 21 and 29 days after calving were classified under two diagnostic models differing in how vaginal discharge grade and endometrial polymorphonuclear percentage were combined, the resulting health categories differed in their associations with tract dimensions, milk yield and reproductive performance (Tobolski, Krupa, et al., 2025). The choice of model is therefore not neutral with respect to the conclusions drawn, and studies that report associations with subclinical endometritis without specifying the full classification rule are difficult to interpret.</w:t>
      </w:r>
    </w:p>
    <w:p w14:paraId="557FE129" w14:textId="77777777" w:rsidR="008E046C" w:rsidRDefault="00000000" w:rsidP="009D41F1">
      <w:pPr>
        <w:pStyle w:val="Heading2"/>
        <w:spacing w:before="100" w:beforeAutospacing="1" w:after="100" w:afterAutospacing="1"/>
      </w:pPr>
      <w:r>
        <w:rPr>
          <w:b/>
          <w:bCs/>
          <w:sz w:val="24"/>
          <w:szCs w:val="24"/>
        </w:rPr>
        <w:t>4.4 Endocrine and sensor-based phenotyping of ovarian rebound</w:t>
      </w:r>
    </w:p>
    <w:p w14:paraId="25EDBBE3" w14:textId="77777777" w:rsidR="008E046C" w:rsidRDefault="00000000" w:rsidP="009D41F1">
      <w:pPr>
        <w:spacing w:before="100" w:beforeAutospacing="1" w:after="100" w:afterAutospacing="1"/>
        <w:jc w:val="both"/>
      </w:pPr>
      <w:r>
        <w:t>Milk and plasma progesterone profiling remains the reference method for characterising luteal activity, and its resolution depends entirely on sampling frequency. In-line milk progesterone systems have changed this constraint by generating near-daily profiles under commercial conditions, permitting the derivation of parameters such as the interval to commencement of luteal activity, the number and duration of luteal phases, and the occurrence of atypical profiles, several of which are associated with subsequent fertility (Bruinjé et al., 2019). Continuous profiling reveals short and interrupted luteal phases that fortnightly or monthly sampling cannot detect, and it demonstrates that the categorical distinction between cyclic and anovular conceals substantial variation in luteal quality. Luteal insufficiency, characterised by inadequate progesterone output rather than by absence of luteal tissue, is a recognised clinical entity whose detection depends on this kind of resolution (López-Gatius &amp; Garcia-Ispierto, 2022).</w:t>
      </w:r>
    </w:p>
    <w:p w14:paraId="2C4DB82D" w14:textId="77777777" w:rsidR="008E046C" w:rsidRDefault="00000000" w:rsidP="009D41F1">
      <w:pPr>
        <w:spacing w:before="100" w:beforeAutospacing="1" w:after="100" w:afterAutospacing="1"/>
        <w:jc w:val="both"/>
      </w:pPr>
      <w:r>
        <w:t xml:space="preserve">Activity and behaviour sensors address a different phenotype. Sensor-derived oestrus detection has been linked to underlying physiology, with the intensity and duration of activity increases relating to circulating oestradiol and to subsequent fertility, so that these systems provide graded rather than binary information (Cerri et al., 2021). The technologies available for oestrus detection have </w:t>
      </w:r>
      <w:r>
        <w:lastRenderedPageBreak/>
        <w:t>proliferated, and their comparative performance depends strongly on herd management, housing and the definition of the reference standard used for validation (Sankarganesh et al., 2026). For the specific question of ovarian rebound, sensor systems are informative about behavioural oestrus and only indirectly about ovulation, which limits their capacity to characterise the silent ovulations that dominate the early postpartum period.</w:t>
      </w:r>
    </w:p>
    <w:p w14:paraId="3C9F5F7A" w14:textId="77777777" w:rsidR="008E046C" w:rsidRDefault="00000000" w:rsidP="009D41F1">
      <w:pPr>
        <w:spacing w:before="100" w:beforeAutospacing="1" w:after="100" w:afterAutospacing="1"/>
        <w:jc w:val="both"/>
      </w:pPr>
      <w:r>
        <w:t>Machine learning applied to sensor streams has been proposed for the earlier detection of postpartum disease, and analyses of metritis prediction show that performance depends as much on data pre-processing choices as on the learning algorithm selected (Vidal et al., 2023). This finding is methodologically important, since it implies that reported accuracies are not readily comparable across studies and that apparent superiority of one approach may reflect pipeline decisions rather than model capability.</w:t>
      </w:r>
    </w:p>
    <w:p w14:paraId="491EAFF3" w14:textId="77777777" w:rsidR="008E046C" w:rsidRDefault="00000000" w:rsidP="009D41F1">
      <w:pPr>
        <w:spacing w:before="100" w:beforeAutospacing="1" w:after="100" w:afterAutospacing="1"/>
        <w:jc w:val="both"/>
      </w:pPr>
      <w:r>
        <w:t>Table 2 compares the principal phenotyping approaches across both processes, and the comparison makes clear that the methods with the greatest temporal resolution are generally those with the least direct relationship to endometrial or oocyte competence. That inverse relationship between resolution and biological directness is a central obstacle to progress in this field, and it is not addressed by increasing the frequency of measurement alone.</w:t>
      </w:r>
    </w:p>
    <w:p w14:paraId="3950D4F2" w14:textId="77777777" w:rsidR="008E046C" w:rsidRDefault="00000000" w:rsidP="009D41F1">
      <w:pPr>
        <w:spacing w:before="100" w:beforeAutospacing="1" w:after="100" w:afterAutospacing="1"/>
      </w:pPr>
      <w:r>
        <w:rPr>
          <w:b/>
          <w:bCs/>
          <w:sz w:val="22"/>
          <w:szCs w:val="22"/>
        </w:rPr>
        <w:t>Table 2. Comparison of methods used to phenotype postpartum uterine involution and ovarian rebound in dairy cattle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38BD31D3" w14:textId="77777777">
        <w:trPr>
          <w:tblHeader/>
        </w:trPr>
        <w:tc>
          <w:tcPr>
            <w:tcW w:w="1616" w:type="dxa"/>
            <w:shd w:val="clear" w:color="auto" w:fill="E8E8E8"/>
            <w:tcMar>
              <w:top w:w="60" w:type="dxa"/>
              <w:left w:w="80" w:type="dxa"/>
              <w:bottom w:w="60" w:type="dxa"/>
              <w:right w:w="80" w:type="dxa"/>
            </w:tcMar>
          </w:tcPr>
          <w:p w14:paraId="6D060F51" w14:textId="77777777" w:rsidR="008E046C" w:rsidRDefault="00000000" w:rsidP="009D41F1">
            <w:pPr>
              <w:spacing w:before="100" w:beforeAutospacing="1" w:after="100" w:afterAutospacing="1"/>
            </w:pPr>
            <w:r>
              <w:rPr>
                <w:b/>
                <w:bCs/>
                <w:sz w:val="18"/>
                <w:szCs w:val="18"/>
              </w:rPr>
              <w:t>Method</w:t>
            </w:r>
          </w:p>
        </w:tc>
        <w:tc>
          <w:tcPr>
            <w:tcW w:w="1616" w:type="dxa"/>
            <w:shd w:val="clear" w:color="auto" w:fill="E8E8E8"/>
            <w:tcMar>
              <w:top w:w="60" w:type="dxa"/>
              <w:left w:w="80" w:type="dxa"/>
              <w:bottom w:w="60" w:type="dxa"/>
              <w:right w:w="80" w:type="dxa"/>
            </w:tcMar>
          </w:tcPr>
          <w:p w14:paraId="1C869A9A" w14:textId="77777777" w:rsidR="008E046C" w:rsidRDefault="00000000" w:rsidP="009D41F1">
            <w:pPr>
              <w:spacing w:before="100" w:beforeAutospacing="1" w:after="100" w:afterAutospacing="1"/>
            </w:pPr>
            <w:r>
              <w:rPr>
                <w:b/>
                <w:bCs/>
                <w:sz w:val="18"/>
                <w:szCs w:val="18"/>
              </w:rPr>
              <w:t>Process assessed</w:t>
            </w:r>
          </w:p>
        </w:tc>
        <w:tc>
          <w:tcPr>
            <w:tcW w:w="1616" w:type="dxa"/>
            <w:shd w:val="clear" w:color="auto" w:fill="E8E8E8"/>
            <w:tcMar>
              <w:top w:w="60" w:type="dxa"/>
              <w:left w:w="80" w:type="dxa"/>
              <w:bottom w:w="60" w:type="dxa"/>
              <w:right w:w="80" w:type="dxa"/>
            </w:tcMar>
          </w:tcPr>
          <w:p w14:paraId="72E5C94E" w14:textId="77777777" w:rsidR="008E046C" w:rsidRDefault="00000000" w:rsidP="009D41F1">
            <w:pPr>
              <w:spacing w:before="100" w:beforeAutospacing="1" w:after="100" w:afterAutospacing="1"/>
            </w:pPr>
            <w:r>
              <w:rPr>
                <w:b/>
                <w:bCs/>
                <w:sz w:val="18"/>
                <w:szCs w:val="18"/>
              </w:rPr>
              <w:t>Temporal resolution</w:t>
            </w:r>
          </w:p>
        </w:tc>
        <w:tc>
          <w:tcPr>
            <w:tcW w:w="1616" w:type="dxa"/>
            <w:shd w:val="clear" w:color="auto" w:fill="E8E8E8"/>
            <w:tcMar>
              <w:top w:w="60" w:type="dxa"/>
              <w:left w:w="80" w:type="dxa"/>
              <w:bottom w:w="60" w:type="dxa"/>
              <w:right w:w="80" w:type="dxa"/>
            </w:tcMar>
          </w:tcPr>
          <w:p w14:paraId="74689A7C" w14:textId="77777777" w:rsidR="008E046C" w:rsidRDefault="00000000" w:rsidP="009D41F1">
            <w:pPr>
              <w:spacing w:before="100" w:beforeAutospacing="1" w:after="100" w:afterAutospacing="1"/>
            </w:pPr>
            <w:r>
              <w:rPr>
                <w:b/>
                <w:bCs/>
                <w:sz w:val="18"/>
                <w:szCs w:val="18"/>
              </w:rPr>
              <w:t>Principal strength</w:t>
            </w:r>
          </w:p>
        </w:tc>
        <w:tc>
          <w:tcPr>
            <w:tcW w:w="1616" w:type="dxa"/>
            <w:shd w:val="clear" w:color="auto" w:fill="E8E8E8"/>
            <w:tcMar>
              <w:top w:w="60" w:type="dxa"/>
              <w:left w:w="80" w:type="dxa"/>
              <w:bottom w:w="60" w:type="dxa"/>
              <w:right w:w="80" w:type="dxa"/>
            </w:tcMar>
          </w:tcPr>
          <w:p w14:paraId="6BFB8FA4" w14:textId="77777777" w:rsidR="008E046C" w:rsidRDefault="00000000" w:rsidP="009D41F1">
            <w:pPr>
              <w:spacing w:before="100" w:beforeAutospacing="1" w:after="100" w:afterAutospacing="1"/>
            </w:pPr>
            <w:r>
              <w:rPr>
                <w:b/>
                <w:bCs/>
                <w:sz w:val="18"/>
                <w:szCs w:val="18"/>
              </w:rPr>
              <w:t>Principal limitation</w:t>
            </w:r>
          </w:p>
        </w:tc>
        <w:tc>
          <w:tcPr>
            <w:tcW w:w="1620" w:type="dxa"/>
            <w:shd w:val="clear" w:color="auto" w:fill="E8E8E8"/>
            <w:tcMar>
              <w:top w:w="60" w:type="dxa"/>
              <w:left w:w="80" w:type="dxa"/>
              <w:bottom w:w="60" w:type="dxa"/>
              <w:right w:w="80" w:type="dxa"/>
            </w:tcMar>
          </w:tcPr>
          <w:p w14:paraId="2CC26584" w14:textId="77777777" w:rsidR="008E046C" w:rsidRDefault="00000000" w:rsidP="009D41F1">
            <w:pPr>
              <w:spacing w:before="100" w:beforeAutospacing="1" w:after="100" w:afterAutospacing="1"/>
            </w:pPr>
            <w:r>
              <w:rPr>
                <w:b/>
                <w:bCs/>
                <w:sz w:val="18"/>
                <w:szCs w:val="18"/>
              </w:rPr>
              <w:t>Supporting references</w:t>
            </w:r>
          </w:p>
        </w:tc>
      </w:tr>
      <w:tr w:rsidR="008E046C" w14:paraId="41D9DC3F" w14:textId="77777777">
        <w:tc>
          <w:tcPr>
            <w:tcW w:w="1616" w:type="dxa"/>
            <w:tcMar>
              <w:top w:w="60" w:type="dxa"/>
              <w:left w:w="80" w:type="dxa"/>
              <w:bottom w:w="60" w:type="dxa"/>
              <w:right w:w="80" w:type="dxa"/>
            </w:tcMar>
          </w:tcPr>
          <w:p w14:paraId="4D2D4052" w14:textId="77777777" w:rsidR="008E046C" w:rsidRDefault="00000000" w:rsidP="009D41F1">
            <w:pPr>
              <w:spacing w:before="100" w:beforeAutospacing="1" w:after="100" w:afterAutospacing="1"/>
            </w:pPr>
            <w:r>
              <w:rPr>
                <w:sz w:val="18"/>
                <w:szCs w:val="18"/>
              </w:rPr>
              <w:t>Transrectal palpation</w:t>
            </w:r>
          </w:p>
        </w:tc>
        <w:tc>
          <w:tcPr>
            <w:tcW w:w="1616" w:type="dxa"/>
            <w:tcMar>
              <w:top w:w="60" w:type="dxa"/>
              <w:left w:w="80" w:type="dxa"/>
              <w:bottom w:w="60" w:type="dxa"/>
              <w:right w:w="80" w:type="dxa"/>
            </w:tcMar>
          </w:tcPr>
          <w:p w14:paraId="5C096D5E" w14:textId="77777777" w:rsidR="008E046C" w:rsidRDefault="00000000" w:rsidP="009D41F1">
            <w:pPr>
              <w:spacing w:before="100" w:beforeAutospacing="1" w:after="100" w:afterAutospacing="1"/>
            </w:pPr>
            <w:r>
              <w:rPr>
                <w:sz w:val="18"/>
                <w:szCs w:val="18"/>
              </w:rPr>
              <w:t>Uterine and cervical size, uterine tone</w:t>
            </w:r>
          </w:p>
        </w:tc>
        <w:tc>
          <w:tcPr>
            <w:tcW w:w="1616" w:type="dxa"/>
            <w:tcMar>
              <w:top w:w="60" w:type="dxa"/>
              <w:left w:w="80" w:type="dxa"/>
              <w:bottom w:w="60" w:type="dxa"/>
              <w:right w:w="80" w:type="dxa"/>
            </w:tcMar>
          </w:tcPr>
          <w:p w14:paraId="70B59858"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01A26913" w14:textId="77777777" w:rsidR="008E046C" w:rsidRDefault="00000000" w:rsidP="009D41F1">
            <w:pPr>
              <w:spacing w:before="100" w:beforeAutospacing="1" w:after="100" w:afterAutospacing="1"/>
            </w:pPr>
            <w:r>
              <w:rPr>
                <w:sz w:val="18"/>
                <w:szCs w:val="18"/>
              </w:rPr>
              <w:t>Requires no equipment, applicable at scale</w:t>
            </w:r>
          </w:p>
        </w:tc>
        <w:tc>
          <w:tcPr>
            <w:tcW w:w="1616" w:type="dxa"/>
            <w:tcMar>
              <w:top w:w="60" w:type="dxa"/>
              <w:left w:w="80" w:type="dxa"/>
              <w:bottom w:w="60" w:type="dxa"/>
              <w:right w:w="80" w:type="dxa"/>
            </w:tcMar>
          </w:tcPr>
          <w:p w14:paraId="4EA5B02E" w14:textId="77777777" w:rsidR="008E046C" w:rsidRDefault="00000000" w:rsidP="009D41F1">
            <w:pPr>
              <w:spacing w:before="100" w:beforeAutospacing="1" w:after="100" w:afterAutospacing="1"/>
            </w:pPr>
            <w:r>
              <w:rPr>
                <w:sz w:val="18"/>
                <w:szCs w:val="18"/>
              </w:rPr>
              <w:t>Operator-dependent, insensitive to inflammation</w:t>
            </w:r>
          </w:p>
        </w:tc>
        <w:tc>
          <w:tcPr>
            <w:tcW w:w="1620" w:type="dxa"/>
            <w:tcMar>
              <w:top w:w="60" w:type="dxa"/>
              <w:left w:w="80" w:type="dxa"/>
              <w:bottom w:w="60" w:type="dxa"/>
              <w:right w:w="80" w:type="dxa"/>
            </w:tcMar>
          </w:tcPr>
          <w:p w14:paraId="4564A9FB" w14:textId="77777777" w:rsidR="008E046C" w:rsidRDefault="00000000" w:rsidP="009D41F1">
            <w:pPr>
              <w:spacing w:before="100" w:beforeAutospacing="1" w:after="100" w:afterAutospacing="1"/>
            </w:pPr>
            <w:r>
              <w:rPr>
                <w:sz w:val="18"/>
                <w:szCs w:val="18"/>
              </w:rPr>
              <w:t>Oltenacu et al. (1983); Silvestre et al. (2009)</w:t>
            </w:r>
          </w:p>
        </w:tc>
      </w:tr>
      <w:tr w:rsidR="008E046C" w14:paraId="4776D4C3" w14:textId="77777777">
        <w:tc>
          <w:tcPr>
            <w:tcW w:w="1616" w:type="dxa"/>
            <w:tcMar>
              <w:top w:w="60" w:type="dxa"/>
              <w:left w:w="80" w:type="dxa"/>
              <w:bottom w:w="60" w:type="dxa"/>
              <w:right w:w="80" w:type="dxa"/>
            </w:tcMar>
          </w:tcPr>
          <w:p w14:paraId="5DE34376" w14:textId="77777777" w:rsidR="008E046C" w:rsidRDefault="00000000" w:rsidP="009D41F1">
            <w:pPr>
              <w:spacing w:before="100" w:beforeAutospacing="1" w:after="100" w:afterAutospacing="1"/>
            </w:pPr>
            <w:r>
              <w:rPr>
                <w:sz w:val="18"/>
                <w:szCs w:val="18"/>
              </w:rPr>
              <w:t>B-mode ultrasonography</w:t>
            </w:r>
          </w:p>
        </w:tc>
        <w:tc>
          <w:tcPr>
            <w:tcW w:w="1616" w:type="dxa"/>
            <w:tcMar>
              <w:top w:w="60" w:type="dxa"/>
              <w:left w:w="80" w:type="dxa"/>
              <w:bottom w:w="60" w:type="dxa"/>
              <w:right w:w="80" w:type="dxa"/>
            </w:tcMar>
          </w:tcPr>
          <w:p w14:paraId="729FF941" w14:textId="77777777" w:rsidR="008E046C" w:rsidRDefault="00000000" w:rsidP="009D41F1">
            <w:pPr>
              <w:spacing w:before="100" w:beforeAutospacing="1" w:after="100" w:afterAutospacing="1"/>
            </w:pPr>
            <w:r>
              <w:rPr>
                <w:sz w:val="18"/>
                <w:szCs w:val="18"/>
              </w:rPr>
              <w:t>Horn and cervical diameter, intrauterine fluid</w:t>
            </w:r>
          </w:p>
        </w:tc>
        <w:tc>
          <w:tcPr>
            <w:tcW w:w="1616" w:type="dxa"/>
            <w:tcMar>
              <w:top w:w="60" w:type="dxa"/>
              <w:left w:w="80" w:type="dxa"/>
              <w:bottom w:w="60" w:type="dxa"/>
              <w:right w:w="80" w:type="dxa"/>
            </w:tcMar>
          </w:tcPr>
          <w:p w14:paraId="7E2A2852" w14:textId="77777777" w:rsidR="008E046C" w:rsidRDefault="00000000" w:rsidP="009D41F1">
            <w:pPr>
              <w:spacing w:before="100" w:beforeAutospacing="1" w:after="100" w:afterAutospacing="1"/>
            </w:pPr>
            <w:r>
              <w:rPr>
                <w:sz w:val="18"/>
                <w:szCs w:val="18"/>
              </w:rPr>
              <w:t>Low to moderate, episodic</w:t>
            </w:r>
          </w:p>
        </w:tc>
        <w:tc>
          <w:tcPr>
            <w:tcW w:w="1616" w:type="dxa"/>
            <w:tcMar>
              <w:top w:w="60" w:type="dxa"/>
              <w:left w:w="80" w:type="dxa"/>
              <w:bottom w:w="60" w:type="dxa"/>
              <w:right w:w="80" w:type="dxa"/>
            </w:tcMar>
          </w:tcPr>
          <w:p w14:paraId="3259DFC8" w14:textId="77777777" w:rsidR="008E046C" w:rsidRDefault="00000000" w:rsidP="009D41F1">
            <w:pPr>
              <w:spacing w:before="100" w:beforeAutospacing="1" w:after="100" w:afterAutospacing="1"/>
            </w:pPr>
            <w:r>
              <w:rPr>
                <w:sz w:val="18"/>
                <w:szCs w:val="18"/>
              </w:rPr>
              <w:t>Quantitative, visualises luminal fluid and ovarian structures</w:t>
            </w:r>
          </w:p>
        </w:tc>
        <w:tc>
          <w:tcPr>
            <w:tcW w:w="1616" w:type="dxa"/>
            <w:tcMar>
              <w:top w:w="60" w:type="dxa"/>
              <w:left w:w="80" w:type="dxa"/>
              <w:bottom w:w="60" w:type="dxa"/>
              <w:right w:w="80" w:type="dxa"/>
            </w:tcMar>
          </w:tcPr>
          <w:p w14:paraId="3CEAB73A" w14:textId="77777777" w:rsidR="008E046C" w:rsidRDefault="00000000" w:rsidP="009D41F1">
            <w:pPr>
              <w:spacing w:before="100" w:beforeAutospacing="1" w:after="100" w:afterAutospacing="1"/>
            </w:pPr>
            <w:r>
              <w:rPr>
                <w:sz w:val="18"/>
                <w:szCs w:val="18"/>
              </w:rPr>
              <w:t>Endpoint estimate depends on examination interval; poor correlate of endometrial inflammation</w:t>
            </w:r>
          </w:p>
        </w:tc>
        <w:tc>
          <w:tcPr>
            <w:tcW w:w="1620" w:type="dxa"/>
            <w:tcMar>
              <w:top w:w="60" w:type="dxa"/>
              <w:left w:w="80" w:type="dxa"/>
              <w:bottom w:w="60" w:type="dxa"/>
              <w:right w:w="80" w:type="dxa"/>
            </w:tcMar>
          </w:tcPr>
          <w:p w14:paraId="1383EF0F" w14:textId="77777777" w:rsidR="008E046C" w:rsidRDefault="00000000" w:rsidP="009D41F1">
            <w:pPr>
              <w:spacing w:before="100" w:beforeAutospacing="1" w:after="100" w:afterAutospacing="1"/>
            </w:pPr>
            <w:r>
              <w:rPr>
                <w:sz w:val="18"/>
                <w:szCs w:val="18"/>
              </w:rPr>
              <w:t>Scully et al. (2013); Sheldon et al. (2000); Zhang et al. (2010)</w:t>
            </w:r>
          </w:p>
        </w:tc>
      </w:tr>
      <w:tr w:rsidR="008E046C" w14:paraId="57624BB2" w14:textId="77777777">
        <w:tc>
          <w:tcPr>
            <w:tcW w:w="1616" w:type="dxa"/>
            <w:tcMar>
              <w:top w:w="60" w:type="dxa"/>
              <w:left w:w="80" w:type="dxa"/>
              <w:bottom w:w="60" w:type="dxa"/>
              <w:right w:w="80" w:type="dxa"/>
            </w:tcMar>
          </w:tcPr>
          <w:p w14:paraId="34CD0D2A" w14:textId="77777777" w:rsidR="008E046C" w:rsidRDefault="00000000" w:rsidP="009D41F1">
            <w:pPr>
              <w:spacing w:before="100" w:beforeAutospacing="1" w:after="100" w:afterAutospacing="1"/>
            </w:pPr>
            <w:r>
              <w:rPr>
                <w:sz w:val="18"/>
                <w:szCs w:val="18"/>
              </w:rPr>
              <w:t>Sonomicrometry</w:t>
            </w:r>
          </w:p>
        </w:tc>
        <w:tc>
          <w:tcPr>
            <w:tcW w:w="1616" w:type="dxa"/>
            <w:tcMar>
              <w:top w:w="60" w:type="dxa"/>
              <w:left w:w="80" w:type="dxa"/>
              <w:bottom w:w="60" w:type="dxa"/>
              <w:right w:w="80" w:type="dxa"/>
            </w:tcMar>
          </w:tcPr>
          <w:p w14:paraId="397ED34F" w14:textId="77777777" w:rsidR="008E046C" w:rsidRDefault="00000000" w:rsidP="009D41F1">
            <w:pPr>
              <w:spacing w:before="100" w:beforeAutospacing="1" w:after="100" w:afterAutospacing="1"/>
            </w:pPr>
            <w:r>
              <w:rPr>
                <w:sz w:val="18"/>
                <w:szCs w:val="18"/>
              </w:rPr>
              <w:t>Continuous uterine dimensional change</w:t>
            </w:r>
          </w:p>
        </w:tc>
        <w:tc>
          <w:tcPr>
            <w:tcW w:w="1616" w:type="dxa"/>
            <w:tcMar>
              <w:top w:w="60" w:type="dxa"/>
              <w:left w:w="80" w:type="dxa"/>
              <w:bottom w:w="60" w:type="dxa"/>
              <w:right w:w="80" w:type="dxa"/>
            </w:tcMar>
          </w:tcPr>
          <w:p w14:paraId="517D4960" w14:textId="77777777" w:rsidR="008E046C" w:rsidRDefault="00000000" w:rsidP="009D41F1">
            <w:pPr>
              <w:spacing w:before="100" w:beforeAutospacing="1" w:after="100" w:afterAutospacing="1"/>
            </w:pPr>
            <w:r>
              <w:rPr>
                <w:sz w:val="18"/>
                <w:szCs w:val="18"/>
              </w:rPr>
              <w:t>High, continuous</w:t>
            </w:r>
          </w:p>
        </w:tc>
        <w:tc>
          <w:tcPr>
            <w:tcW w:w="1616" w:type="dxa"/>
            <w:tcMar>
              <w:top w:w="60" w:type="dxa"/>
              <w:left w:w="80" w:type="dxa"/>
              <w:bottom w:w="60" w:type="dxa"/>
              <w:right w:w="80" w:type="dxa"/>
            </w:tcMar>
          </w:tcPr>
          <w:p w14:paraId="4E74D33F" w14:textId="77777777" w:rsidR="008E046C" w:rsidRDefault="00000000" w:rsidP="009D41F1">
            <w:pPr>
              <w:spacing w:before="100" w:beforeAutospacing="1" w:after="100" w:afterAutospacing="1"/>
            </w:pPr>
            <w:r>
              <w:rPr>
                <w:sz w:val="18"/>
                <w:szCs w:val="18"/>
              </w:rPr>
              <w:t>Removes intermittency of episodic examination</w:t>
            </w:r>
          </w:p>
        </w:tc>
        <w:tc>
          <w:tcPr>
            <w:tcW w:w="1616" w:type="dxa"/>
            <w:tcMar>
              <w:top w:w="60" w:type="dxa"/>
              <w:left w:w="80" w:type="dxa"/>
              <w:bottom w:w="60" w:type="dxa"/>
              <w:right w:w="80" w:type="dxa"/>
            </w:tcMar>
          </w:tcPr>
          <w:p w14:paraId="72D8FCE3" w14:textId="77777777" w:rsidR="008E046C" w:rsidRDefault="00000000" w:rsidP="009D41F1">
            <w:pPr>
              <w:spacing w:before="100" w:beforeAutospacing="1" w:after="100" w:afterAutospacing="1"/>
            </w:pPr>
            <w:r>
              <w:rPr>
                <w:sz w:val="18"/>
                <w:szCs w:val="18"/>
              </w:rPr>
              <w:t>Invasive and unsuitable for commercial application</w:t>
            </w:r>
          </w:p>
        </w:tc>
        <w:tc>
          <w:tcPr>
            <w:tcW w:w="1620" w:type="dxa"/>
            <w:tcMar>
              <w:top w:w="60" w:type="dxa"/>
              <w:left w:w="80" w:type="dxa"/>
              <w:bottom w:w="60" w:type="dxa"/>
              <w:right w:w="80" w:type="dxa"/>
            </w:tcMar>
          </w:tcPr>
          <w:p w14:paraId="096A8AFA" w14:textId="77777777" w:rsidR="008E046C" w:rsidRDefault="00000000" w:rsidP="009D41F1">
            <w:pPr>
              <w:spacing w:before="100" w:beforeAutospacing="1" w:after="100" w:afterAutospacing="1"/>
            </w:pPr>
            <w:r>
              <w:rPr>
                <w:sz w:val="18"/>
                <w:szCs w:val="18"/>
              </w:rPr>
              <w:t>Heppelmann et al. (2015)</w:t>
            </w:r>
          </w:p>
        </w:tc>
      </w:tr>
      <w:tr w:rsidR="008E046C" w14:paraId="5DFBA3D3" w14:textId="77777777">
        <w:tc>
          <w:tcPr>
            <w:tcW w:w="1616" w:type="dxa"/>
            <w:tcMar>
              <w:top w:w="60" w:type="dxa"/>
              <w:left w:w="80" w:type="dxa"/>
              <w:bottom w:w="60" w:type="dxa"/>
              <w:right w:w="80" w:type="dxa"/>
            </w:tcMar>
          </w:tcPr>
          <w:p w14:paraId="70FED250" w14:textId="77777777" w:rsidR="008E046C" w:rsidRDefault="00000000" w:rsidP="009D41F1">
            <w:pPr>
              <w:spacing w:before="100" w:beforeAutospacing="1" w:after="100" w:afterAutospacing="1"/>
            </w:pPr>
            <w:r>
              <w:rPr>
                <w:sz w:val="18"/>
                <w:szCs w:val="18"/>
              </w:rPr>
              <w:t>Doppler sonography</w:t>
            </w:r>
          </w:p>
        </w:tc>
        <w:tc>
          <w:tcPr>
            <w:tcW w:w="1616" w:type="dxa"/>
            <w:tcMar>
              <w:top w:w="60" w:type="dxa"/>
              <w:left w:w="80" w:type="dxa"/>
              <w:bottom w:w="60" w:type="dxa"/>
              <w:right w:w="80" w:type="dxa"/>
            </w:tcMar>
          </w:tcPr>
          <w:p w14:paraId="7AD7416B" w14:textId="77777777" w:rsidR="008E046C" w:rsidRDefault="00000000" w:rsidP="009D41F1">
            <w:pPr>
              <w:spacing w:before="100" w:beforeAutospacing="1" w:after="100" w:afterAutospacing="1"/>
            </w:pPr>
            <w:r>
              <w:rPr>
                <w:sz w:val="18"/>
                <w:szCs w:val="18"/>
              </w:rPr>
              <w:t>Uterine arterial perfusion</w:t>
            </w:r>
          </w:p>
        </w:tc>
        <w:tc>
          <w:tcPr>
            <w:tcW w:w="1616" w:type="dxa"/>
            <w:tcMar>
              <w:top w:w="60" w:type="dxa"/>
              <w:left w:w="80" w:type="dxa"/>
              <w:bottom w:w="60" w:type="dxa"/>
              <w:right w:w="80" w:type="dxa"/>
            </w:tcMar>
          </w:tcPr>
          <w:p w14:paraId="2EF5978A" w14:textId="77777777" w:rsidR="008E046C" w:rsidRDefault="00000000" w:rsidP="009D41F1">
            <w:pPr>
              <w:spacing w:before="100" w:beforeAutospacing="1" w:after="100" w:afterAutospacing="1"/>
            </w:pPr>
            <w:r>
              <w:rPr>
                <w:sz w:val="18"/>
                <w:szCs w:val="18"/>
              </w:rPr>
              <w:t>Moderate, episodic</w:t>
            </w:r>
          </w:p>
        </w:tc>
        <w:tc>
          <w:tcPr>
            <w:tcW w:w="1616" w:type="dxa"/>
            <w:tcMar>
              <w:top w:w="60" w:type="dxa"/>
              <w:left w:w="80" w:type="dxa"/>
              <w:bottom w:w="60" w:type="dxa"/>
              <w:right w:w="80" w:type="dxa"/>
            </w:tcMar>
          </w:tcPr>
          <w:p w14:paraId="1EC351BE" w14:textId="77777777" w:rsidR="008E046C" w:rsidRDefault="00000000" w:rsidP="009D41F1">
            <w:pPr>
              <w:spacing w:before="100" w:beforeAutospacing="1" w:after="100" w:afterAutospacing="1"/>
            </w:pPr>
            <w:r>
              <w:rPr>
                <w:sz w:val="18"/>
                <w:szCs w:val="18"/>
              </w:rPr>
              <w:t>Detects functional change not visible dimensionally</w:t>
            </w:r>
          </w:p>
        </w:tc>
        <w:tc>
          <w:tcPr>
            <w:tcW w:w="1616" w:type="dxa"/>
            <w:tcMar>
              <w:top w:w="60" w:type="dxa"/>
              <w:left w:w="80" w:type="dxa"/>
              <w:bottom w:w="60" w:type="dxa"/>
              <w:right w:w="80" w:type="dxa"/>
            </w:tcMar>
          </w:tcPr>
          <w:p w14:paraId="462399E0" w14:textId="77777777" w:rsidR="008E046C" w:rsidRDefault="00000000" w:rsidP="009D41F1">
            <w:pPr>
              <w:spacing w:before="100" w:beforeAutospacing="1" w:after="100" w:afterAutospacing="1"/>
            </w:pPr>
            <w:r>
              <w:rPr>
                <w:sz w:val="18"/>
                <w:szCs w:val="18"/>
              </w:rPr>
              <w:t>No demonstrated advantage for predicting fertility</w:t>
            </w:r>
          </w:p>
        </w:tc>
        <w:tc>
          <w:tcPr>
            <w:tcW w:w="1620" w:type="dxa"/>
            <w:tcMar>
              <w:top w:w="60" w:type="dxa"/>
              <w:left w:w="80" w:type="dxa"/>
              <w:bottom w:w="60" w:type="dxa"/>
              <w:right w:w="80" w:type="dxa"/>
            </w:tcMar>
          </w:tcPr>
          <w:p w14:paraId="5ED2F486" w14:textId="77777777" w:rsidR="008E046C" w:rsidRDefault="00000000" w:rsidP="009D41F1">
            <w:pPr>
              <w:spacing w:before="100" w:beforeAutospacing="1" w:after="100" w:afterAutospacing="1"/>
            </w:pPr>
            <w:r>
              <w:rPr>
                <w:sz w:val="18"/>
                <w:szCs w:val="18"/>
              </w:rPr>
              <w:t>Heppelmann, Krüger, et al. (2013); Krueger et al. (2009); Magata et al. (2013)</w:t>
            </w:r>
          </w:p>
        </w:tc>
      </w:tr>
      <w:tr w:rsidR="008E046C" w14:paraId="7C6F468D" w14:textId="77777777">
        <w:tc>
          <w:tcPr>
            <w:tcW w:w="1616" w:type="dxa"/>
            <w:tcMar>
              <w:top w:w="60" w:type="dxa"/>
              <w:left w:w="80" w:type="dxa"/>
              <w:bottom w:w="60" w:type="dxa"/>
              <w:right w:w="80" w:type="dxa"/>
            </w:tcMar>
          </w:tcPr>
          <w:p w14:paraId="19C8CC1E" w14:textId="77777777" w:rsidR="008E046C" w:rsidRDefault="00000000" w:rsidP="009D41F1">
            <w:pPr>
              <w:spacing w:before="100" w:beforeAutospacing="1" w:after="100" w:afterAutospacing="1"/>
            </w:pPr>
            <w:r>
              <w:rPr>
                <w:sz w:val="18"/>
                <w:szCs w:val="18"/>
              </w:rPr>
              <w:t>Vaginoscopy and discharge scoring</w:t>
            </w:r>
          </w:p>
        </w:tc>
        <w:tc>
          <w:tcPr>
            <w:tcW w:w="1616" w:type="dxa"/>
            <w:tcMar>
              <w:top w:w="60" w:type="dxa"/>
              <w:left w:w="80" w:type="dxa"/>
              <w:bottom w:w="60" w:type="dxa"/>
              <w:right w:w="80" w:type="dxa"/>
            </w:tcMar>
          </w:tcPr>
          <w:p w14:paraId="474B550B" w14:textId="77777777" w:rsidR="008E046C" w:rsidRDefault="00000000" w:rsidP="009D41F1">
            <w:pPr>
              <w:spacing w:before="100" w:beforeAutospacing="1" w:after="100" w:afterAutospacing="1"/>
            </w:pPr>
            <w:r>
              <w:rPr>
                <w:sz w:val="18"/>
                <w:szCs w:val="18"/>
              </w:rPr>
              <w:t>Character of vaginal content</w:t>
            </w:r>
          </w:p>
        </w:tc>
        <w:tc>
          <w:tcPr>
            <w:tcW w:w="1616" w:type="dxa"/>
            <w:tcMar>
              <w:top w:w="60" w:type="dxa"/>
              <w:left w:w="80" w:type="dxa"/>
              <w:bottom w:w="60" w:type="dxa"/>
              <w:right w:w="80" w:type="dxa"/>
            </w:tcMar>
          </w:tcPr>
          <w:p w14:paraId="300A5F0A"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18ECC685" w14:textId="77777777" w:rsidR="008E046C" w:rsidRDefault="00000000" w:rsidP="009D41F1">
            <w:pPr>
              <w:spacing w:before="100" w:beforeAutospacing="1" w:after="100" w:afterAutospacing="1"/>
            </w:pPr>
            <w:r>
              <w:rPr>
                <w:sz w:val="18"/>
                <w:szCs w:val="18"/>
              </w:rPr>
              <w:t>Directly relevant to clinical case definition</w:t>
            </w:r>
          </w:p>
        </w:tc>
        <w:tc>
          <w:tcPr>
            <w:tcW w:w="1616" w:type="dxa"/>
            <w:tcMar>
              <w:top w:w="60" w:type="dxa"/>
              <w:left w:w="80" w:type="dxa"/>
              <w:bottom w:w="60" w:type="dxa"/>
              <w:right w:w="80" w:type="dxa"/>
            </w:tcMar>
          </w:tcPr>
          <w:p w14:paraId="4E88A585" w14:textId="77777777" w:rsidR="008E046C" w:rsidRDefault="00000000" w:rsidP="009D41F1">
            <w:pPr>
              <w:spacing w:before="100" w:beforeAutospacing="1" w:after="100" w:afterAutospacing="1"/>
            </w:pPr>
            <w:r>
              <w:rPr>
                <w:sz w:val="18"/>
                <w:szCs w:val="18"/>
              </w:rPr>
              <w:t>Grading systems differ, and category boundaries alter reported associations</w:t>
            </w:r>
          </w:p>
        </w:tc>
        <w:tc>
          <w:tcPr>
            <w:tcW w:w="1620" w:type="dxa"/>
            <w:tcMar>
              <w:top w:w="60" w:type="dxa"/>
              <w:left w:w="80" w:type="dxa"/>
              <w:bottom w:w="60" w:type="dxa"/>
              <w:right w:w="80" w:type="dxa"/>
            </w:tcMar>
          </w:tcPr>
          <w:p w14:paraId="6B42CAE9" w14:textId="77777777" w:rsidR="008E046C" w:rsidRDefault="00000000" w:rsidP="009D41F1">
            <w:pPr>
              <w:spacing w:before="100" w:beforeAutospacing="1" w:after="100" w:afterAutospacing="1"/>
            </w:pPr>
            <w:r>
              <w:rPr>
                <w:sz w:val="18"/>
                <w:szCs w:val="18"/>
              </w:rPr>
              <w:t>Moraes et al. (2021); Rojas Canadas et al. (2023); Tobolski, Krupa, et al. (2025)</w:t>
            </w:r>
          </w:p>
        </w:tc>
      </w:tr>
      <w:tr w:rsidR="008E046C" w14:paraId="379EB7BA" w14:textId="77777777">
        <w:tc>
          <w:tcPr>
            <w:tcW w:w="1616" w:type="dxa"/>
            <w:tcMar>
              <w:top w:w="60" w:type="dxa"/>
              <w:left w:w="80" w:type="dxa"/>
              <w:bottom w:w="60" w:type="dxa"/>
              <w:right w:w="80" w:type="dxa"/>
            </w:tcMar>
          </w:tcPr>
          <w:p w14:paraId="53F27D71" w14:textId="77777777" w:rsidR="008E046C" w:rsidRDefault="00000000" w:rsidP="009D41F1">
            <w:pPr>
              <w:spacing w:before="100" w:beforeAutospacing="1" w:after="100" w:afterAutospacing="1"/>
            </w:pPr>
            <w:r>
              <w:rPr>
                <w:sz w:val="18"/>
                <w:szCs w:val="18"/>
              </w:rPr>
              <w:t>Endometrial cytology</w:t>
            </w:r>
          </w:p>
        </w:tc>
        <w:tc>
          <w:tcPr>
            <w:tcW w:w="1616" w:type="dxa"/>
            <w:tcMar>
              <w:top w:w="60" w:type="dxa"/>
              <w:left w:w="80" w:type="dxa"/>
              <w:bottom w:w="60" w:type="dxa"/>
              <w:right w:w="80" w:type="dxa"/>
            </w:tcMar>
          </w:tcPr>
          <w:p w14:paraId="18C33963" w14:textId="77777777" w:rsidR="008E046C" w:rsidRDefault="00000000" w:rsidP="009D41F1">
            <w:pPr>
              <w:spacing w:before="100" w:beforeAutospacing="1" w:after="100" w:afterAutospacing="1"/>
            </w:pPr>
            <w:r>
              <w:rPr>
                <w:sz w:val="18"/>
                <w:szCs w:val="18"/>
              </w:rPr>
              <w:t>Local leukocyte infiltration</w:t>
            </w:r>
          </w:p>
        </w:tc>
        <w:tc>
          <w:tcPr>
            <w:tcW w:w="1616" w:type="dxa"/>
            <w:tcMar>
              <w:top w:w="60" w:type="dxa"/>
              <w:left w:w="80" w:type="dxa"/>
              <w:bottom w:w="60" w:type="dxa"/>
              <w:right w:w="80" w:type="dxa"/>
            </w:tcMar>
          </w:tcPr>
          <w:p w14:paraId="147D3C92"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238969F5" w14:textId="77777777" w:rsidR="008E046C" w:rsidRDefault="00000000" w:rsidP="009D41F1">
            <w:pPr>
              <w:spacing w:before="100" w:beforeAutospacing="1" w:after="100" w:afterAutospacing="1"/>
            </w:pPr>
            <w:r>
              <w:rPr>
                <w:sz w:val="18"/>
                <w:szCs w:val="18"/>
              </w:rPr>
              <w:t>Quantitative measure of endometrial inflammation</w:t>
            </w:r>
          </w:p>
        </w:tc>
        <w:tc>
          <w:tcPr>
            <w:tcW w:w="1616" w:type="dxa"/>
            <w:tcMar>
              <w:top w:w="60" w:type="dxa"/>
              <w:left w:w="80" w:type="dxa"/>
              <w:bottom w:w="60" w:type="dxa"/>
              <w:right w:w="80" w:type="dxa"/>
            </w:tcMar>
          </w:tcPr>
          <w:p w14:paraId="69B2A954" w14:textId="77777777" w:rsidR="008E046C" w:rsidRDefault="00000000" w:rsidP="009D41F1">
            <w:pPr>
              <w:spacing w:before="100" w:beforeAutospacing="1" w:after="100" w:afterAutospacing="1"/>
            </w:pPr>
            <w:r>
              <w:rPr>
                <w:sz w:val="18"/>
                <w:szCs w:val="18"/>
              </w:rPr>
              <w:t>Thresholds are context-specific and not transferable between systems</w:t>
            </w:r>
          </w:p>
        </w:tc>
        <w:tc>
          <w:tcPr>
            <w:tcW w:w="1620" w:type="dxa"/>
            <w:tcMar>
              <w:top w:w="60" w:type="dxa"/>
              <w:left w:w="80" w:type="dxa"/>
              <w:bottom w:w="60" w:type="dxa"/>
              <w:right w:w="80" w:type="dxa"/>
            </w:tcMar>
          </w:tcPr>
          <w:p w14:paraId="0616E6BE" w14:textId="77777777" w:rsidR="008E046C" w:rsidRDefault="00000000" w:rsidP="009D41F1">
            <w:pPr>
              <w:spacing w:before="100" w:beforeAutospacing="1" w:after="100" w:afterAutospacing="1"/>
            </w:pPr>
            <w:r>
              <w:rPr>
                <w:sz w:val="18"/>
                <w:szCs w:val="18"/>
              </w:rPr>
              <w:t>Kasimanickam et al. (2004); Madoz et al. (2013); Wagener et al. (2017)</w:t>
            </w:r>
          </w:p>
        </w:tc>
      </w:tr>
      <w:tr w:rsidR="008E046C" w14:paraId="4C3F0737" w14:textId="77777777">
        <w:tc>
          <w:tcPr>
            <w:tcW w:w="1616" w:type="dxa"/>
            <w:tcMar>
              <w:top w:w="60" w:type="dxa"/>
              <w:left w:w="80" w:type="dxa"/>
              <w:bottom w:w="60" w:type="dxa"/>
              <w:right w:w="80" w:type="dxa"/>
            </w:tcMar>
          </w:tcPr>
          <w:p w14:paraId="5EFB36F5" w14:textId="77777777" w:rsidR="008E046C" w:rsidRDefault="00000000" w:rsidP="009D41F1">
            <w:pPr>
              <w:spacing w:before="100" w:beforeAutospacing="1" w:after="100" w:afterAutospacing="1"/>
            </w:pPr>
            <w:r>
              <w:rPr>
                <w:sz w:val="18"/>
                <w:szCs w:val="18"/>
              </w:rPr>
              <w:t>Endometrial transcriptomics and metagenomics</w:t>
            </w:r>
          </w:p>
        </w:tc>
        <w:tc>
          <w:tcPr>
            <w:tcW w:w="1616" w:type="dxa"/>
            <w:tcMar>
              <w:top w:w="60" w:type="dxa"/>
              <w:left w:w="80" w:type="dxa"/>
              <w:bottom w:w="60" w:type="dxa"/>
              <w:right w:w="80" w:type="dxa"/>
            </w:tcMar>
          </w:tcPr>
          <w:p w14:paraId="66782D6B" w14:textId="77777777" w:rsidR="008E046C" w:rsidRDefault="00000000" w:rsidP="009D41F1">
            <w:pPr>
              <w:spacing w:before="100" w:beforeAutospacing="1" w:after="100" w:afterAutospacing="1"/>
            </w:pPr>
            <w:r>
              <w:rPr>
                <w:sz w:val="18"/>
                <w:szCs w:val="18"/>
              </w:rPr>
              <w:t>Tissue programmes and microbial community function</w:t>
            </w:r>
          </w:p>
        </w:tc>
        <w:tc>
          <w:tcPr>
            <w:tcW w:w="1616" w:type="dxa"/>
            <w:tcMar>
              <w:top w:w="60" w:type="dxa"/>
              <w:left w:w="80" w:type="dxa"/>
              <w:bottom w:w="60" w:type="dxa"/>
              <w:right w:w="80" w:type="dxa"/>
            </w:tcMar>
          </w:tcPr>
          <w:p w14:paraId="2B734899"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00B4F08D" w14:textId="77777777" w:rsidR="008E046C" w:rsidRDefault="00000000" w:rsidP="009D41F1">
            <w:pPr>
              <w:spacing w:before="100" w:beforeAutospacing="1" w:after="100" w:afterAutospacing="1"/>
            </w:pPr>
            <w:r>
              <w:rPr>
                <w:sz w:val="18"/>
                <w:szCs w:val="18"/>
              </w:rPr>
              <w:t>Describes mechanism rather than presence</w:t>
            </w:r>
          </w:p>
        </w:tc>
        <w:tc>
          <w:tcPr>
            <w:tcW w:w="1616" w:type="dxa"/>
            <w:tcMar>
              <w:top w:w="60" w:type="dxa"/>
              <w:left w:w="80" w:type="dxa"/>
              <w:bottom w:w="60" w:type="dxa"/>
              <w:right w:w="80" w:type="dxa"/>
            </w:tcMar>
          </w:tcPr>
          <w:p w14:paraId="387CF1F8" w14:textId="77777777" w:rsidR="008E046C" w:rsidRDefault="00000000" w:rsidP="009D41F1">
            <w:pPr>
              <w:spacing w:before="100" w:beforeAutospacing="1" w:after="100" w:afterAutospacing="1"/>
            </w:pPr>
            <w:r>
              <w:rPr>
                <w:sz w:val="18"/>
                <w:szCs w:val="18"/>
              </w:rPr>
              <w:t>Costly, small sample sizes, limited to research settings</w:t>
            </w:r>
          </w:p>
        </w:tc>
        <w:tc>
          <w:tcPr>
            <w:tcW w:w="1620" w:type="dxa"/>
            <w:tcMar>
              <w:top w:w="60" w:type="dxa"/>
              <w:left w:w="80" w:type="dxa"/>
              <w:bottom w:w="60" w:type="dxa"/>
              <w:right w:w="80" w:type="dxa"/>
            </w:tcMar>
          </w:tcPr>
          <w:p w14:paraId="2C5B7909" w14:textId="77777777" w:rsidR="008E046C" w:rsidRDefault="00000000" w:rsidP="009D41F1">
            <w:pPr>
              <w:spacing w:before="100" w:beforeAutospacing="1" w:after="100" w:afterAutospacing="1"/>
            </w:pPr>
            <w:r>
              <w:rPr>
                <w:sz w:val="18"/>
                <w:szCs w:val="18"/>
              </w:rPr>
              <w:t>Foley et al. (2012); Rashid et al. (2025); Xie et al. (2026)</w:t>
            </w:r>
          </w:p>
        </w:tc>
      </w:tr>
      <w:tr w:rsidR="008E046C" w14:paraId="6A9D9275" w14:textId="77777777">
        <w:tc>
          <w:tcPr>
            <w:tcW w:w="1616" w:type="dxa"/>
            <w:tcMar>
              <w:top w:w="60" w:type="dxa"/>
              <w:left w:w="80" w:type="dxa"/>
              <w:bottom w:w="60" w:type="dxa"/>
              <w:right w:w="80" w:type="dxa"/>
            </w:tcMar>
          </w:tcPr>
          <w:p w14:paraId="2904A49F" w14:textId="77777777" w:rsidR="008E046C" w:rsidRDefault="00000000" w:rsidP="009D41F1">
            <w:pPr>
              <w:spacing w:before="100" w:beforeAutospacing="1" w:after="100" w:afterAutospacing="1"/>
            </w:pPr>
            <w:r>
              <w:rPr>
                <w:sz w:val="18"/>
                <w:szCs w:val="18"/>
              </w:rPr>
              <w:lastRenderedPageBreak/>
              <w:t>Periodic progesterone assay</w:t>
            </w:r>
          </w:p>
        </w:tc>
        <w:tc>
          <w:tcPr>
            <w:tcW w:w="1616" w:type="dxa"/>
            <w:tcMar>
              <w:top w:w="60" w:type="dxa"/>
              <w:left w:w="80" w:type="dxa"/>
              <w:bottom w:w="60" w:type="dxa"/>
              <w:right w:w="80" w:type="dxa"/>
            </w:tcMar>
          </w:tcPr>
          <w:p w14:paraId="322C20DC" w14:textId="77777777" w:rsidR="008E046C" w:rsidRDefault="00000000" w:rsidP="009D41F1">
            <w:pPr>
              <w:spacing w:before="100" w:beforeAutospacing="1" w:after="100" w:afterAutospacing="1"/>
            </w:pPr>
            <w:r>
              <w:rPr>
                <w:sz w:val="18"/>
                <w:szCs w:val="18"/>
              </w:rPr>
              <w:t>Luteal presence</w:t>
            </w:r>
          </w:p>
        </w:tc>
        <w:tc>
          <w:tcPr>
            <w:tcW w:w="1616" w:type="dxa"/>
            <w:tcMar>
              <w:top w:w="60" w:type="dxa"/>
              <w:left w:w="80" w:type="dxa"/>
              <w:bottom w:w="60" w:type="dxa"/>
              <w:right w:w="80" w:type="dxa"/>
            </w:tcMar>
          </w:tcPr>
          <w:p w14:paraId="61F55B21"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1CB5FE92" w14:textId="77777777" w:rsidR="008E046C" w:rsidRDefault="00000000" w:rsidP="009D41F1">
            <w:pPr>
              <w:spacing w:before="100" w:beforeAutospacing="1" w:after="100" w:afterAutospacing="1"/>
            </w:pPr>
            <w:r>
              <w:rPr>
                <w:sz w:val="18"/>
                <w:szCs w:val="18"/>
              </w:rPr>
              <w:t>Simple and widely used</w:t>
            </w:r>
          </w:p>
        </w:tc>
        <w:tc>
          <w:tcPr>
            <w:tcW w:w="1616" w:type="dxa"/>
            <w:tcMar>
              <w:top w:w="60" w:type="dxa"/>
              <w:left w:w="80" w:type="dxa"/>
              <w:bottom w:w="60" w:type="dxa"/>
              <w:right w:w="80" w:type="dxa"/>
            </w:tcMar>
          </w:tcPr>
          <w:p w14:paraId="0CF3EB01" w14:textId="77777777" w:rsidR="008E046C" w:rsidRDefault="00000000" w:rsidP="009D41F1">
            <w:pPr>
              <w:spacing w:before="100" w:beforeAutospacing="1" w:after="100" w:afterAutospacing="1"/>
            </w:pPr>
            <w:r>
              <w:rPr>
                <w:sz w:val="18"/>
                <w:szCs w:val="18"/>
              </w:rPr>
              <w:t>Apparent prevalence of anovulation depends on sampling schedule</w:t>
            </w:r>
          </w:p>
        </w:tc>
        <w:tc>
          <w:tcPr>
            <w:tcW w:w="1620" w:type="dxa"/>
            <w:tcMar>
              <w:top w:w="60" w:type="dxa"/>
              <w:left w:w="80" w:type="dxa"/>
              <w:bottom w:w="60" w:type="dxa"/>
              <w:right w:w="80" w:type="dxa"/>
            </w:tcMar>
          </w:tcPr>
          <w:p w14:paraId="048B2F2D" w14:textId="77777777" w:rsidR="008E046C" w:rsidRDefault="00000000" w:rsidP="009D41F1">
            <w:pPr>
              <w:spacing w:before="100" w:beforeAutospacing="1" w:after="100" w:afterAutospacing="1"/>
            </w:pPr>
            <w:r>
              <w:rPr>
                <w:sz w:val="18"/>
                <w:szCs w:val="18"/>
              </w:rPr>
              <w:t>Dubuc et al. (2012); Walsh et al. (2007)</w:t>
            </w:r>
          </w:p>
        </w:tc>
      </w:tr>
      <w:tr w:rsidR="008E046C" w14:paraId="4D16C020" w14:textId="77777777">
        <w:tc>
          <w:tcPr>
            <w:tcW w:w="1616" w:type="dxa"/>
            <w:tcMar>
              <w:top w:w="60" w:type="dxa"/>
              <w:left w:w="80" w:type="dxa"/>
              <w:bottom w:w="60" w:type="dxa"/>
              <w:right w:w="80" w:type="dxa"/>
            </w:tcMar>
          </w:tcPr>
          <w:p w14:paraId="3A088CCA" w14:textId="77777777" w:rsidR="008E046C" w:rsidRDefault="00000000" w:rsidP="009D41F1">
            <w:pPr>
              <w:spacing w:before="100" w:beforeAutospacing="1" w:after="100" w:afterAutospacing="1"/>
            </w:pPr>
            <w:r>
              <w:rPr>
                <w:sz w:val="18"/>
                <w:szCs w:val="18"/>
              </w:rPr>
              <w:t>In-line milk progesterone</w:t>
            </w:r>
          </w:p>
        </w:tc>
        <w:tc>
          <w:tcPr>
            <w:tcW w:w="1616" w:type="dxa"/>
            <w:tcMar>
              <w:top w:w="60" w:type="dxa"/>
              <w:left w:w="80" w:type="dxa"/>
              <w:bottom w:w="60" w:type="dxa"/>
              <w:right w:w="80" w:type="dxa"/>
            </w:tcMar>
          </w:tcPr>
          <w:p w14:paraId="750DE5A4" w14:textId="77777777" w:rsidR="008E046C" w:rsidRDefault="00000000" w:rsidP="009D41F1">
            <w:pPr>
              <w:spacing w:before="100" w:beforeAutospacing="1" w:after="100" w:afterAutospacing="1"/>
            </w:pPr>
            <w:r>
              <w:rPr>
                <w:sz w:val="18"/>
                <w:szCs w:val="18"/>
              </w:rPr>
              <w:t>Luteal function over time</w:t>
            </w:r>
          </w:p>
        </w:tc>
        <w:tc>
          <w:tcPr>
            <w:tcW w:w="1616" w:type="dxa"/>
            <w:tcMar>
              <w:top w:w="60" w:type="dxa"/>
              <w:left w:w="80" w:type="dxa"/>
              <w:bottom w:w="60" w:type="dxa"/>
              <w:right w:w="80" w:type="dxa"/>
            </w:tcMar>
          </w:tcPr>
          <w:p w14:paraId="312FB0A0" w14:textId="77777777" w:rsidR="008E046C" w:rsidRDefault="00000000" w:rsidP="009D41F1">
            <w:pPr>
              <w:spacing w:before="100" w:beforeAutospacing="1" w:after="100" w:afterAutospacing="1"/>
            </w:pPr>
            <w:r>
              <w:rPr>
                <w:sz w:val="18"/>
                <w:szCs w:val="18"/>
              </w:rPr>
              <w:t>High, near-daily</w:t>
            </w:r>
          </w:p>
        </w:tc>
        <w:tc>
          <w:tcPr>
            <w:tcW w:w="1616" w:type="dxa"/>
            <w:tcMar>
              <w:top w:w="60" w:type="dxa"/>
              <w:left w:w="80" w:type="dxa"/>
              <w:bottom w:w="60" w:type="dxa"/>
              <w:right w:w="80" w:type="dxa"/>
            </w:tcMar>
          </w:tcPr>
          <w:p w14:paraId="0D97C145" w14:textId="77777777" w:rsidR="008E046C" w:rsidRDefault="00000000" w:rsidP="009D41F1">
            <w:pPr>
              <w:spacing w:before="100" w:beforeAutospacing="1" w:after="100" w:afterAutospacing="1"/>
            </w:pPr>
            <w:r>
              <w:rPr>
                <w:sz w:val="18"/>
                <w:szCs w:val="18"/>
              </w:rPr>
              <w:t>Detects short and atypical luteal phases and quantifies luteal quality</w:t>
            </w:r>
          </w:p>
        </w:tc>
        <w:tc>
          <w:tcPr>
            <w:tcW w:w="1616" w:type="dxa"/>
            <w:tcMar>
              <w:top w:w="60" w:type="dxa"/>
              <w:left w:w="80" w:type="dxa"/>
              <w:bottom w:w="60" w:type="dxa"/>
              <w:right w:w="80" w:type="dxa"/>
            </w:tcMar>
          </w:tcPr>
          <w:p w14:paraId="11DE3110" w14:textId="77777777" w:rsidR="008E046C" w:rsidRDefault="00000000" w:rsidP="009D41F1">
            <w:pPr>
              <w:spacing w:before="100" w:beforeAutospacing="1" w:after="100" w:afterAutospacing="1"/>
            </w:pPr>
            <w:r>
              <w:rPr>
                <w:sz w:val="18"/>
                <w:szCs w:val="18"/>
              </w:rPr>
              <w:t>Requires installed infrastructure; assay drift and missing records</w:t>
            </w:r>
          </w:p>
        </w:tc>
        <w:tc>
          <w:tcPr>
            <w:tcW w:w="1620" w:type="dxa"/>
            <w:tcMar>
              <w:top w:w="60" w:type="dxa"/>
              <w:left w:w="80" w:type="dxa"/>
              <w:bottom w:w="60" w:type="dxa"/>
              <w:right w:w="80" w:type="dxa"/>
            </w:tcMar>
          </w:tcPr>
          <w:p w14:paraId="140CE0BF" w14:textId="77777777" w:rsidR="008E046C" w:rsidRDefault="00000000" w:rsidP="009D41F1">
            <w:pPr>
              <w:spacing w:before="100" w:beforeAutospacing="1" w:after="100" w:afterAutospacing="1"/>
            </w:pPr>
            <w:r>
              <w:rPr>
                <w:sz w:val="18"/>
                <w:szCs w:val="18"/>
              </w:rPr>
              <w:t>Bruinjé et al. (2019); López-Gatius and Garcia-Ispierto (2022)</w:t>
            </w:r>
          </w:p>
        </w:tc>
      </w:tr>
      <w:tr w:rsidR="008E046C" w14:paraId="74974AA9" w14:textId="77777777">
        <w:tc>
          <w:tcPr>
            <w:tcW w:w="1616" w:type="dxa"/>
            <w:tcMar>
              <w:top w:w="60" w:type="dxa"/>
              <w:left w:w="80" w:type="dxa"/>
              <w:bottom w:w="60" w:type="dxa"/>
              <w:right w:w="80" w:type="dxa"/>
            </w:tcMar>
          </w:tcPr>
          <w:p w14:paraId="7CD56310" w14:textId="77777777" w:rsidR="008E046C" w:rsidRDefault="00000000" w:rsidP="009D41F1">
            <w:pPr>
              <w:spacing w:before="100" w:beforeAutospacing="1" w:after="100" w:afterAutospacing="1"/>
            </w:pPr>
            <w:r>
              <w:rPr>
                <w:sz w:val="18"/>
                <w:szCs w:val="18"/>
              </w:rPr>
              <w:t>Activity and behaviour sensors</w:t>
            </w:r>
          </w:p>
        </w:tc>
        <w:tc>
          <w:tcPr>
            <w:tcW w:w="1616" w:type="dxa"/>
            <w:tcMar>
              <w:top w:w="60" w:type="dxa"/>
              <w:left w:w="80" w:type="dxa"/>
              <w:bottom w:w="60" w:type="dxa"/>
              <w:right w:w="80" w:type="dxa"/>
            </w:tcMar>
          </w:tcPr>
          <w:p w14:paraId="21465C0B" w14:textId="77777777" w:rsidR="008E046C" w:rsidRDefault="00000000" w:rsidP="009D41F1">
            <w:pPr>
              <w:spacing w:before="100" w:beforeAutospacing="1" w:after="100" w:afterAutospacing="1"/>
            </w:pPr>
            <w:r>
              <w:rPr>
                <w:sz w:val="18"/>
                <w:szCs w:val="18"/>
              </w:rPr>
              <w:t>Behavioural oestrus</w:t>
            </w:r>
          </w:p>
        </w:tc>
        <w:tc>
          <w:tcPr>
            <w:tcW w:w="1616" w:type="dxa"/>
            <w:tcMar>
              <w:top w:w="60" w:type="dxa"/>
              <w:left w:w="80" w:type="dxa"/>
              <w:bottom w:w="60" w:type="dxa"/>
              <w:right w:w="80" w:type="dxa"/>
            </w:tcMar>
          </w:tcPr>
          <w:p w14:paraId="2345D5F5" w14:textId="77777777" w:rsidR="008E046C" w:rsidRDefault="00000000" w:rsidP="009D41F1">
            <w:pPr>
              <w:spacing w:before="100" w:beforeAutospacing="1" w:after="100" w:afterAutospacing="1"/>
            </w:pPr>
            <w:r>
              <w:rPr>
                <w:sz w:val="18"/>
                <w:szCs w:val="18"/>
              </w:rPr>
              <w:t>High, continuous</w:t>
            </w:r>
          </w:p>
        </w:tc>
        <w:tc>
          <w:tcPr>
            <w:tcW w:w="1616" w:type="dxa"/>
            <w:tcMar>
              <w:top w:w="60" w:type="dxa"/>
              <w:left w:w="80" w:type="dxa"/>
              <w:bottom w:w="60" w:type="dxa"/>
              <w:right w:w="80" w:type="dxa"/>
            </w:tcMar>
          </w:tcPr>
          <w:p w14:paraId="492DE82D" w14:textId="77777777" w:rsidR="008E046C" w:rsidRDefault="00000000" w:rsidP="009D41F1">
            <w:pPr>
              <w:spacing w:before="100" w:beforeAutospacing="1" w:after="100" w:afterAutospacing="1"/>
            </w:pPr>
            <w:r>
              <w:rPr>
                <w:sz w:val="18"/>
                <w:szCs w:val="18"/>
              </w:rPr>
              <w:t>Graded phenotype linked to oestradiol and fertility</w:t>
            </w:r>
          </w:p>
        </w:tc>
        <w:tc>
          <w:tcPr>
            <w:tcW w:w="1616" w:type="dxa"/>
            <w:tcMar>
              <w:top w:w="60" w:type="dxa"/>
              <w:left w:w="80" w:type="dxa"/>
              <w:bottom w:w="60" w:type="dxa"/>
              <w:right w:w="80" w:type="dxa"/>
            </w:tcMar>
          </w:tcPr>
          <w:p w14:paraId="0130EDD4" w14:textId="77777777" w:rsidR="008E046C" w:rsidRDefault="00000000" w:rsidP="009D41F1">
            <w:pPr>
              <w:spacing w:before="100" w:beforeAutospacing="1" w:after="100" w:afterAutospacing="1"/>
            </w:pPr>
            <w:r>
              <w:rPr>
                <w:sz w:val="18"/>
                <w:szCs w:val="18"/>
              </w:rPr>
              <w:t>Silent ovulations are missed, so cyclicity is underestimated early postpartum</w:t>
            </w:r>
          </w:p>
        </w:tc>
        <w:tc>
          <w:tcPr>
            <w:tcW w:w="1620" w:type="dxa"/>
            <w:tcMar>
              <w:top w:w="60" w:type="dxa"/>
              <w:left w:w="80" w:type="dxa"/>
              <w:bottom w:w="60" w:type="dxa"/>
              <w:right w:w="80" w:type="dxa"/>
            </w:tcMar>
          </w:tcPr>
          <w:p w14:paraId="4D208B92" w14:textId="77777777" w:rsidR="008E046C" w:rsidRDefault="00000000" w:rsidP="009D41F1">
            <w:pPr>
              <w:spacing w:before="100" w:beforeAutospacing="1" w:after="100" w:afterAutospacing="1"/>
            </w:pPr>
            <w:r>
              <w:rPr>
                <w:sz w:val="18"/>
                <w:szCs w:val="18"/>
              </w:rPr>
              <w:t>Cerri et al. (2021); Sakaguchi (2010); Sankarganesh et al. (2026)</w:t>
            </w:r>
          </w:p>
        </w:tc>
      </w:tr>
    </w:tbl>
    <w:p w14:paraId="6B182CE7" w14:textId="77777777" w:rsidR="008E046C" w:rsidRDefault="00000000" w:rsidP="009D41F1">
      <w:pPr>
        <w:spacing w:before="100" w:beforeAutospacing="1" w:after="100" w:afterAutospacing="1"/>
      </w:pPr>
      <w:r>
        <w:rPr>
          <w:sz w:val="18"/>
          <w:szCs w:val="18"/>
        </w:rPr>
        <w:t>Note. Temporal resolution refers to the frequency with which the method can practically be applied in the cited studies rather than to a theoretical maximum.</w:t>
      </w:r>
    </w:p>
    <w:p w14:paraId="197F8F55" w14:textId="77777777" w:rsidR="008E046C" w:rsidRDefault="00000000" w:rsidP="009D41F1">
      <w:pPr>
        <w:pStyle w:val="Heading1"/>
        <w:spacing w:before="100" w:beforeAutospacing="1" w:after="100" w:afterAutospacing="1"/>
      </w:pPr>
      <w:r>
        <w:rPr>
          <w:b/>
          <w:bCs/>
          <w:sz w:val="26"/>
          <w:szCs w:val="26"/>
        </w:rPr>
        <w:t>5. Determinants of the Involution Trajectory</w:t>
      </w:r>
    </w:p>
    <w:p w14:paraId="4DAA7BA2" w14:textId="77777777" w:rsidR="008E046C" w:rsidRDefault="00000000" w:rsidP="009D41F1">
      <w:pPr>
        <w:pStyle w:val="Heading2"/>
        <w:spacing w:before="100" w:beforeAutospacing="1" w:after="100" w:afterAutospacing="1"/>
      </w:pPr>
      <w:r>
        <w:rPr>
          <w:b/>
          <w:bCs/>
          <w:sz w:val="24"/>
          <w:szCs w:val="24"/>
        </w:rPr>
        <w:t>5.1 Parity, calving events and lactational context</w:t>
      </w:r>
    </w:p>
    <w:p w14:paraId="2055C1D5" w14:textId="77777777" w:rsidR="008E046C" w:rsidRDefault="00000000" w:rsidP="009D41F1">
      <w:pPr>
        <w:spacing w:before="100" w:beforeAutospacing="1" w:after="100" w:afterAutospacing="1"/>
        <w:jc w:val="both"/>
      </w:pPr>
      <w:r>
        <w:t>Parity modifies involution, although the direction reported depends on the measure and on the nutritional background. Under conditions in which dry matter intake, body condition score and milk yield did not differ among parity groups, primiparous Chinese Holstein cows required more days for involution of the previously gravid horn than biparous or multiparous animals, and also took longer to reach first and second ovulation with more follicular waves preceding first ovulation (Zhang et al., 2010). Controlling nutrition in this way is unusual and is what makes the observation informative, since in most field studies parity is confounded with intake capacity, social competition and disease incidence. Calving-related events exert stronger and more consistent effects. Dystocia, twinning and retained fetal membranes increase the risk of metritis and of delayed recovery, and the association is robust across production systems (Dubuc et al., 2010b; Walsh et al., 2007). Type of parturition and character of genital discharge were related to cervical involution and to subsequent reproductive performance in early work that established the clinical framework still used today (Oltenacu et al., 1983).</w:t>
      </w:r>
    </w:p>
    <w:p w14:paraId="14F9C2E7" w14:textId="77777777" w:rsidR="008E046C" w:rsidRDefault="00000000" w:rsidP="009D41F1">
      <w:pPr>
        <w:spacing w:before="100" w:beforeAutospacing="1" w:after="100" w:afterAutospacing="1"/>
        <w:jc w:val="both"/>
      </w:pPr>
      <w:r>
        <w:t>The comparison of lactating and non-lactating cows discussed earlier indicates that lactation is not simply an impediment to involution (Scully et al., 2013). This matters for interpretation of the many studies that report negative associations between milk yield and reproductive recovery, since such associations may reflect the metabolic and management correlates of high yield rather than an effect of milk secretion itself. Genetic analyses reinforce this caution, in that antagonism between production and fertility traits is a property of the selection history rather than an inevitable physiological trade-off, and adaptability of the cow to her production environment is itself a heritable characteristic (Berry, 2018; Lucy, 2001; Ma et al., 2019).</w:t>
      </w:r>
    </w:p>
    <w:p w14:paraId="4CB6C613" w14:textId="77777777" w:rsidR="008E046C" w:rsidRDefault="00000000" w:rsidP="009D41F1">
      <w:pPr>
        <w:pStyle w:val="Heading2"/>
        <w:spacing w:before="100" w:beforeAutospacing="1" w:after="100" w:afterAutospacing="1"/>
      </w:pPr>
      <w:r>
        <w:rPr>
          <w:b/>
          <w:bCs/>
          <w:sz w:val="24"/>
          <w:szCs w:val="24"/>
        </w:rPr>
        <w:t>5.2 Metabolic and mineral status</w:t>
      </w:r>
    </w:p>
    <w:p w14:paraId="1AD99C8C" w14:textId="77777777" w:rsidR="008E046C" w:rsidRDefault="00000000" w:rsidP="009D41F1">
      <w:pPr>
        <w:spacing w:before="100" w:beforeAutospacing="1" w:after="100" w:afterAutospacing="1"/>
        <w:jc w:val="both"/>
      </w:pPr>
      <w:r>
        <w:t xml:space="preserve">Negative energy balance during early lactation influences uterine recovery through several routes that are individually well supported. Elevated non-esterified fatty acids and β-hydroxybutyrate around calving are associated with increased incidence of periparturient disease and with impaired reproductive performance, and meta-analytic synthesis confirms the association across many herds and systems (Abdelli et al., 2017; Ospina et al., 2013; Raboisson et al., 2014). Elevated milk β-hydroxybutyrate during the first six weeks of lactation is likewise associated with reduced </w:t>
      </w:r>
      <w:r>
        <w:lastRenderedPageBreak/>
        <w:t>reproductive performance (Alemu et al., 2023). Mechanistic support comes from evidence that endometrial expression of the antimicrobial peptides S100A8 and S100A9 responds to energy balance, indicating a direct nutritional influence on local defence rather than a purely correlative relationship (Swangchan-Uthai et al., 2013). The broader interaction between negative energy balance, metabolic disease, uterine health and immune response has been described as an integrated syndrome rather than a set of independent effects (Esposito et al., 2014).</w:t>
      </w:r>
    </w:p>
    <w:p w14:paraId="295771F0" w14:textId="77777777" w:rsidR="008E046C" w:rsidRDefault="00000000" w:rsidP="009D41F1">
      <w:pPr>
        <w:spacing w:before="100" w:beforeAutospacing="1" w:after="100" w:afterAutospacing="1"/>
        <w:jc w:val="both"/>
      </w:pPr>
      <w:r>
        <w:t>Mineral status has emerged as an underappreciated determinant. Blood total calcium concentration in the fourth week after calving was associated with uterine and cervical dimensions in clinically healthy cows, independently of subclinical endometritis status (Tobolski, Bogado Pascottini, et al., 2025). Since calcium is required for myometrial contractility, an effect on the mechanical component of involution is physiologically coherent, and the wider literature on periparturient mineral metabolism identifies consequences for health and productivity that extend well beyond clinical hypocalcaemia (Vieira-Neto et al., 2024). Confidence in a causal interpretation is nonetheless limited, because the reported association is cross-sectional and calcium status covaries with feed intake, disease and the inflammatory response.</w:t>
      </w:r>
    </w:p>
    <w:p w14:paraId="1ABADE2E" w14:textId="77777777" w:rsidR="008E046C" w:rsidRDefault="00000000" w:rsidP="009D41F1">
      <w:pPr>
        <w:spacing w:before="100" w:beforeAutospacing="1" w:after="100" w:afterAutospacing="1"/>
        <w:jc w:val="both"/>
      </w:pPr>
      <w:r>
        <w:t>Lameness provides a further illustration of how metabolic and non-metabolic determinants interact. Lame multiparous cows with clinically healthy puerperium had higher non-esterified fatty acid concentrations at day 14, delayed involution of both the cervix and the formerly pregnant horn, lower ovulation rates by day 50 and higher rates of follicular atresia or cyst formation than sound herdmates, and elevated non-esterified fatty acids predicted the ovarian outcomes independently of lameness status (Praxitelous et al., 2023). The design does not separate the mechanical and nutritional consequences of lameness from its inflammatory consequences, but it demonstrates that a condition anatomically remote from the reproductive tract alters both recoveries in the same direction.</w:t>
      </w:r>
    </w:p>
    <w:p w14:paraId="0DEA43F6" w14:textId="77777777" w:rsidR="008E046C" w:rsidRDefault="00000000" w:rsidP="009D41F1">
      <w:pPr>
        <w:pStyle w:val="Heading2"/>
        <w:spacing w:before="100" w:beforeAutospacing="1" w:after="100" w:afterAutospacing="1"/>
      </w:pPr>
      <w:r>
        <w:rPr>
          <w:b/>
          <w:bCs/>
          <w:sz w:val="24"/>
          <w:szCs w:val="24"/>
        </w:rPr>
        <w:t>5.3 Inflammation and the microbial community as a joint determinant</w:t>
      </w:r>
    </w:p>
    <w:p w14:paraId="6F3DDF26" w14:textId="77777777" w:rsidR="008E046C" w:rsidRDefault="00000000" w:rsidP="009D41F1">
      <w:pPr>
        <w:spacing w:before="100" w:beforeAutospacing="1" w:after="100" w:afterAutospacing="1"/>
        <w:jc w:val="both"/>
      </w:pPr>
      <w:r>
        <w:t>Inflammation is the most consistently supported determinant of impaired recovery, and its influence extends beyond the uterus. Systemic markers measured in the first weeks of lactation predict the subsequent development of chronic reproductive tract disease, and case-control comparison shows that inflammatory and metabolic markers separate affected from unaffected cows before the disease is clinically apparent (Bruinjé et al., 2026). Reviews synthesising this evidence place inflammation upstream of both uterine and ovarian outcomes and argue that transition-period health, rather than any single organ-level process, sets the trajectory of reproductive function (Bruinjé &amp; LeBlanc, 2024; Bruinjé &amp; LeBlanc, 2025).</w:t>
      </w:r>
    </w:p>
    <w:p w14:paraId="33A6AA25" w14:textId="77777777" w:rsidR="008E046C" w:rsidRDefault="00000000" w:rsidP="009D41F1">
      <w:pPr>
        <w:spacing w:before="100" w:beforeAutospacing="1" w:after="100" w:afterAutospacing="1"/>
        <w:jc w:val="both"/>
      </w:pPr>
      <w:r>
        <w:t>The microbial contribution is real but has been overstated as an independent cause. Community succession from calving distinguishes cows that develop metritis from those that do not within days of parturition, which is consistent either with a causal microbial role or with early divergence in host control (Jeon et al., 2015). Functional metagenomic characterisation of cows with clinical and subclinical endometritis identifies differences in microbial interaction networks and metabolic potential rather than a single agent (Rashid et al., 2025), and the association between the postpartum microbiota and subsequent purulent vaginal discharge differs by breed and parity (Moore et al., 2023). Endometrial transcriptomic profiling of cows with clinical and subclinical endometritis further indicates that the two conditions are not simply different severities of one tissue response (Xie et al., 2026). Placing host regulation upstream of community composition explains these observations more economically than a model in which particular taxa initiate disease in a susceptible minority (Bogado Pascottini et al., 2023; Galvão et al., 2019).</w:t>
      </w:r>
    </w:p>
    <w:p w14:paraId="1BDA124E" w14:textId="77777777" w:rsidR="008E046C" w:rsidRDefault="00000000" w:rsidP="009D41F1">
      <w:pPr>
        <w:spacing w:before="100" w:beforeAutospacing="1" w:after="100" w:afterAutospacing="1"/>
        <w:jc w:val="both"/>
      </w:pPr>
      <w:r>
        <w:t xml:space="preserve">Production context modifies both incidence and pattern. In high-altitude tropical herds, the incidence, clinical patterns and risk factors of postpartum uterine disease differed from those reported in temperate confinement systems (Vallejo-Timaran et al., 2021), and in seasonally calving grazing cows </w:t>
      </w:r>
      <w:r>
        <w:lastRenderedPageBreak/>
        <w:t>supplemented with concentrates the prevalence of periparturient disease and its effects on fertility followed a distinct profile (Ribeiro et al., 2013). Evidence for pasture-based systems remains sparse relative to confinement systems, and the geographical concentration of the literature in North America and Western Europe is a genuine constraint on generalisability rather than a formality.</w:t>
      </w:r>
    </w:p>
    <w:p w14:paraId="17FCEB0B" w14:textId="77777777" w:rsidR="008E046C" w:rsidRDefault="00000000" w:rsidP="009D41F1">
      <w:pPr>
        <w:pStyle w:val="Heading1"/>
        <w:spacing w:before="100" w:beforeAutospacing="1" w:after="100" w:afterAutospacing="1"/>
      </w:pPr>
      <w:r>
        <w:rPr>
          <w:b/>
          <w:bCs/>
          <w:sz w:val="26"/>
          <w:szCs w:val="26"/>
        </w:rPr>
        <w:t>6. Determinants and Mechanisms of Ovarian Rebound</w:t>
      </w:r>
    </w:p>
    <w:p w14:paraId="5CD1BB05" w14:textId="77777777" w:rsidR="008E046C" w:rsidRDefault="00000000" w:rsidP="009D41F1">
      <w:pPr>
        <w:pStyle w:val="Heading2"/>
        <w:spacing w:before="100" w:beforeAutospacing="1" w:after="100" w:afterAutospacing="1"/>
      </w:pPr>
      <w:r>
        <w:rPr>
          <w:b/>
          <w:bCs/>
          <w:sz w:val="24"/>
          <w:szCs w:val="24"/>
        </w:rPr>
        <w:t>6.1 Energy balance, insulin and the somatotropic axis</w:t>
      </w:r>
    </w:p>
    <w:p w14:paraId="7500873B" w14:textId="77777777" w:rsidR="008E046C" w:rsidRDefault="00000000" w:rsidP="009D41F1">
      <w:pPr>
        <w:spacing w:before="100" w:beforeAutospacing="1" w:after="100" w:afterAutospacing="1"/>
        <w:jc w:val="both"/>
      </w:pPr>
      <w:r>
        <w:t>Follicular waves resume in most cows within one to two weeks of calving, so the question is what determines whether the first dominant follicle ovulates. Luteinising hormone pulse frequency, which is suppressed by the metabolic and endocrine environment of early lactation, is the proximate constraint, and its recovery is closely tied to energy balance and to circulating insulin and insulin-like growth factor 1 (Butler, 2000; Crowe, 2008; Diskin et al., 2003). Direct evidence for a follicle-level mechanism comes from analysis of the insulin-like growth factor system in pre-recruitment follicles of cows in negative energy balance, which showed altered expression of components of that system before follicles reach the size at which dominance is established (Llewellyn et al., 2007). Nutritional factors regulating ovulation of the dominant follicle during the first postpartum wave have been characterised in high-producing cows, with metabolic indicators measured before the ovulatory decision being informative about its outcome (Kawashima et al., 2012).</w:t>
      </w:r>
    </w:p>
    <w:p w14:paraId="3050C929" w14:textId="77777777" w:rsidR="008E046C" w:rsidRDefault="00000000" w:rsidP="009D41F1">
      <w:pPr>
        <w:spacing w:before="100" w:beforeAutospacing="1" w:after="100" w:afterAutospacing="1"/>
        <w:jc w:val="both"/>
      </w:pPr>
      <w:r>
        <w:t>Intervention studies provide the strongest causal evidence. Administration of propylene glycol altered energy balance and metabolic status and modified the first postpartum ovarian follicle wave, demonstrating that manipulation of glucogenic supply changes ovarian outcomes rather than merely correlating with them (Butler et al., 2006). Metabolic and energy status during the dry period, not only after calving, is associated with the resumption of ovarian activity, which shifts part of the causal window before parturition (Castro et al., 2012). Ketone body status in the early postpartum period is related to the timing of first ovulation (Reist et al., 2000), and supplementation with rumen-protected glucose in early lactation was reported to hasten involution and increase ovarian follicle numbers, although with a small sample and physiological rather than fertility endpoints (Karimi et al., 2023). Nutritional management before and after calving in confinement systems has been reviewed as a coherent strategy for supporting fertility, and the evidence supports moderating the depth and duration of negative energy balance rather than any specific supplement (Drackley &amp; Cardoso, 2014).</w:t>
      </w:r>
    </w:p>
    <w:p w14:paraId="264204EF" w14:textId="77777777" w:rsidR="008E046C" w:rsidRDefault="00000000" w:rsidP="009D41F1">
      <w:pPr>
        <w:spacing w:before="100" w:beforeAutospacing="1" w:after="100" w:afterAutospacing="1"/>
        <w:jc w:val="both"/>
      </w:pPr>
      <w:r>
        <w:t>Body condition provides the integrating field measure. Body condition score and its change are associated with productivity, health and welfare across a large body of work, and both very low condition and excessive prepartum condition with subsequent rapid mobilisation are unfavourable (Roche et al., 2009). In the study distinguishing types of delayed resumption, cows with delayed first ovulation had lower body condition scores from five weeks after calving onward, while cows with prolonged luteal phases were distinguished instead by abnormal discharge and incomplete involution (Shrestha et al., 2004). This pattern is consistent with metabolic constraint acting principally on the ovulatory decision and inflammatory constraint acting principally on luteal lifespan, and it is one of the clearer instances in which phenotype subdivision yields mechanistic insight.</w:t>
      </w:r>
    </w:p>
    <w:p w14:paraId="4DC412E6" w14:textId="77777777" w:rsidR="008E046C" w:rsidRDefault="00000000" w:rsidP="009D41F1">
      <w:pPr>
        <w:pStyle w:val="Heading2"/>
        <w:spacing w:before="100" w:beforeAutospacing="1" w:after="100" w:afterAutospacing="1"/>
      </w:pPr>
      <w:r>
        <w:rPr>
          <w:b/>
          <w:bCs/>
          <w:sz w:val="24"/>
          <w:szCs w:val="24"/>
        </w:rPr>
        <w:t>6.2 The ovulatory decision, its failure modes and its consequences</w:t>
      </w:r>
    </w:p>
    <w:p w14:paraId="7615E5BB" w14:textId="77777777" w:rsidR="008E046C" w:rsidRDefault="00000000" w:rsidP="009D41F1">
      <w:pPr>
        <w:spacing w:before="100" w:beforeAutospacing="1" w:after="100" w:afterAutospacing="1"/>
        <w:jc w:val="both"/>
      </w:pPr>
      <w:r>
        <w:t xml:space="preserve">Failure of the first dominant follicle to ovulate does not produce a uniform state. Classification of anovular cows by the maximal diameter of the largest follicle at 35 and 49 days in milk identified groups with different associations with body condition, milk yield, dry period length and disease, supporting the hypothesis that anovular phenotypes have different aetiologies (Monteiro et al., 2021). At one extreme, small quiescent follicles indicate insufficient gonadotrophic drive; at the other, persistent large follicles and cystic structures indicate a failure of the ovulatory surge mechanism in the presence of adequate follicular growth. Cystic ovarian disease has been reviewed extensively, and </w:t>
      </w:r>
      <w:r>
        <w:lastRenderedPageBreak/>
        <w:t>current models emphasise altered hypothalamic-pituitary feedback together with intra-ovarian changes in inflammation, angiogenesis and steroidogenic regulation rather than a single lesion (Ortega et al., 2015; Stassi et al., 2022; Vanholder et al., 2006).</w:t>
      </w:r>
    </w:p>
    <w:p w14:paraId="411B3184" w14:textId="77777777" w:rsidR="008E046C" w:rsidRDefault="00000000" w:rsidP="009D41F1">
      <w:pPr>
        <w:spacing w:before="100" w:beforeAutospacing="1" w:after="100" w:afterAutospacing="1"/>
        <w:jc w:val="both"/>
      </w:pPr>
      <w:r>
        <w:t>The consequences of delayed rebound for fertility are real but time-limited and management-dependent. Anovular cows within herds using ovulation synchronisation were inseminated at the same interval after calving as cyclic herdmates and showed a reduction of about six percentage points in the probability of pregnancy at first service, whereas in herds breeding on observed oestrus anovular cows were inseminated eight days later and showed a reduction of about ten percentage points; time to pregnancy was delayed by approximately 30 days overall, and the daily probability of pregnancy became similar to that of cyclic cows by around 165 days in milk (Walsh et al., 2007). The interaction with breeding strategy is important, because it indicates that a substantial part of the fertility penalty attributed to anovulation is a detection and timing penalty rather than an intrinsic gamete or uterine deficit. Prolonged anovulation to 63 days was associated with cytological endometritis, increased haptoglobin and greater non-esterified fatty acid concentrations, whereas early ovulation by 21 days was associated with season, parity, lower haptoglobin and lower non-esterified fatty acids (Dubuc et al., 2012). Inflammation and metabolic load therefore appear on both sides of the same axis.</w:t>
      </w:r>
    </w:p>
    <w:p w14:paraId="4B477516" w14:textId="77777777" w:rsidR="008E046C" w:rsidRDefault="00000000" w:rsidP="009D41F1">
      <w:pPr>
        <w:spacing w:before="100" w:beforeAutospacing="1" w:after="100" w:afterAutospacing="1"/>
        <w:jc w:val="both"/>
      </w:pPr>
      <w:r>
        <w:t>Early resumption is not uniformly advantageous. In Belgian herds, resumption of ovarian cyclicity before 19 days after calving increased the risk of prolonged luteal phases before service relative to resumption after 32 days (Opsomer et al., 2000). Behavioural data show that early ovulations are largely silent and that cows may relapse into anoestrous ovulation after having cycled (Sakaguchi, 2010). The notion that earlier is simply better therefore requires qualification, and the optimum is more plausibly a window than a minimum.</w:t>
      </w:r>
    </w:p>
    <w:p w14:paraId="0F63A88F" w14:textId="77777777" w:rsidR="008E046C" w:rsidRDefault="00000000" w:rsidP="009D41F1">
      <w:pPr>
        <w:pStyle w:val="Heading2"/>
        <w:spacing w:before="100" w:beforeAutospacing="1" w:after="100" w:afterAutospacing="1"/>
      </w:pPr>
      <w:r>
        <w:rPr>
          <w:b/>
          <w:bCs/>
          <w:sz w:val="24"/>
          <w:szCs w:val="24"/>
        </w:rPr>
        <w:t>6.3 Genetic and genomic contributions</w:t>
      </w:r>
    </w:p>
    <w:p w14:paraId="7D462813" w14:textId="77777777" w:rsidR="008E046C" w:rsidRDefault="00000000" w:rsidP="009D41F1">
      <w:pPr>
        <w:spacing w:before="100" w:beforeAutospacing="1" w:after="100" w:afterAutospacing="1"/>
        <w:jc w:val="both"/>
      </w:pPr>
      <w:r>
        <w:t>Genetic variation in the interval from calving to first ovulation was demonstrated three decades ago, with heritability low but non-zero, establishing that the trait is amenable to selection in principle (Darwash et al., 1997). Genetic analysis of postpartum luteal activity measures confirmed this and identified moderate genetic correlations with conventional fertility traits (Petersson et al., 2007), and endocrine fertility traits derived from in-line milk progesterone profiles have since been shown to be heritable in commercial populations (Tarekegn et al., 2019). Genetic merit for production interacts with feeding system, so that the cyclicity of primiparous cows of differing production merit diverges more under some feeding regimens than others, which cautions against extrapolating genetic effects across management contexts (Bedere et al., 2016).</w:t>
      </w:r>
    </w:p>
    <w:p w14:paraId="077C4E9A" w14:textId="77777777" w:rsidR="008E046C" w:rsidRDefault="00000000" w:rsidP="009D41F1">
      <w:pPr>
        <w:spacing w:before="100" w:beforeAutospacing="1" w:after="100" w:afterAutospacing="1"/>
        <w:jc w:val="both"/>
      </w:pPr>
      <w:r>
        <w:t>Genomic evaluation now permits a more direct test. Cows differing in genomic merit for fertility differed in biomarkers, uterine health, endocrine status, oestrus expression and response to ovarian synchronisation, indicating that the genetic effect on fertility operates through several physiological intermediates rather than a single pathway (Sitko et al., 2024). This design comes closer than most observational work to isolating a cause, since genotype precedes the postpartum period. It does not, however, identify which intermediate carries the effect, and the study populations remain small relative to the number of intermediates examined.</w:t>
      </w:r>
    </w:p>
    <w:p w14:paraId="46E01A6C" w14:textId="77777777" w:rsidR="008E046C" w:rsidRDefault="00000000" w:rsidP="009D41F1">
      <w:pPr>
        <w:spacing w:before="100" w:beforeAutospacing="1" w:after="100" w:afterAutospacing="1"/>
        <w:jc w:val="both"/>
      </w:pPr>
      <w:r>
        <w:t>Reported phenotypes of ovarian rebound across production systems and definitions are compared in Table 3, which makes visible the extent to which apparent disagreement among studies reflects differences in criterion and timing rather than in biology. The comparison also shows that the highest reported prevalences of impaired rebound come from studies with the most frequent sampling, which is the expected consequence of detecting transient abnormality.</w:t>
      </w:r>
    </w:p>
    <w:p w14:paraId="1E628F15" w14:textId="77777777" w:rsidR="008E046C" w:rsidRDefault="00000000" w:rsidP="009D41F1">
      <w:pPr>
        <w:spacing w:before="100" w:beforeAutospacing="1" w:after="100" w:afterAutospacing="1"/>
      </w:pPr>
      <w:r>
        <w:rPr>
          <w:b/>
          <w:bCs/>
          <w:sz w:val="22"/>
          <w:szCs w:val="22"/>
        </w:rPr>
        <w:t>Table 3. Representative evidence on the timing and prevalence of impaired ovarian rebound in dairy cattle, by definition and production context</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19D87D70" w14:textId="77777777">
        <w:trPr>
          <w:tblHeader/>
        </w:trPr>
        <w:tc>
          <w:tcPr>
            <w:tcW w:w="1616" w:type="dxa"/>
            <w:shd w:val="clear" w:color="auto" w:fill="E8E8E8"/>
            <w:tcMar>
              <w:top w:w="60" w:type="dxa"/>
              <w:left w:w="80" w:type="dxa"/>
              <w:bottom w:w="60" w:type="dxa"/>
              <w:right w:w="80" w:type="dxa"/>
            </w:tcMar>
          </w:tcPr>
          <w:p w14:paraId="4617D70B" w14:textId="77777777" w:rsidR="008E046C" w:rsidRDefault="00000000" w:rsidP="009D41F1">
            <w:pPr>
              <w:spacing w:before="100" w:beforeAutospacing="1" w:after="100" w:afterAutospacing="1"/>
            </w:pPr>
            <w:r>
              <w:rPr>
                <w:b/>
                <w:bCs/>
                <w:sz w:val="18"/>
                <w:szCs w:val="18"/>
              </w:rPr>
              <w:lastRenderedPageBreak/>
              <w:t>Study context</w:t>
            </w:r>
          </w:p>
        </w:tc>
        <w:tc>
          <w:tcPr>
            <w:tcW w:w="1616" w:type="dxa"/>
            <w:shd w:val="clear" w:color="auto" w:fill="E8E8E8"/>
            <w:tcMar>
              <w:top w:w="60" w:type="dxa"/>
              <w:left w:w="80" w:type="dxa"/>
              <w:bottom w:w="60" w:type="dxa"/>
              <w:right w:w="80" w:type="dxa"/>
            </w:tcMar>
          </w:tcPr>
          <w:p w14:paraId="1BA1A69A" w14:textId="77777777" w:rsidR="008E046C" w:rsidRDefault="00000000" w:rsidP="009D41F1">
            <w:pPr>
              <w:spacing w:before="100" w:beforeAutospacing="1" w:after="100" w:afterAutospacing="1"/>
            </w:pPr>
            <w:r>
              <w:rPr>
                <w:b/>
                <w:bCs/>
                <w:sz w:val="18"/>
                <w:szCs w:val="18"/>
              </w:rPr>
              <w:t>Population and system</w:t>
            </w:r>
          </w:p>
        </w:tc>
        <w:tc>
          <w:tcPr>
            <w:tcW w:w="1616" w:type="dxa"/>
            <w:shd w:val="clear" w:color="auto" w:fill="E8E8E8"/>
            <w:tcMar>
              <w:top w:w="60" w:type="dxa"/>
              <w:left w:w="80" w:type="dxa"/>
              <w:bottom w:w="60" w:type="dxa"/>
              <w:right w:w="80" w:type="dxa"/>
            </w:tcMar>
          </w:tcPr>
          <w:p w14:paraId="2381211D" w14:textId="77777777" w:rsidR="008E046C" w:rsidRDefault="00000000" w:rsidP="009D41F1">
            <w:pPr>
              <w:spacing w:before="100" w:beforeAutospacing="1" w:after="100" w:afterAutospacing="1"/>
            </w:pPr>
            <w:r>
              <w:rPr>
                <w:b/>
                <w:bCs/>
                <w:sz w:val="18"/>
                <w:szCs w:val="18"/>
              </w:rPr>
              <w:t>Criterion and timing</w:t>
            </w:r>
          </w:p>
        </w:tc>
        <w:tc>
          <w:tcPr>
            <w:tcW w:w="1616" w:type="dxa"/>
            <w:shd w:val="clear" w:color="auto" w:fill="E8E8E8"/>
            <w:tcMar>
              <w:top w:w="60" w:type="dxa"/>
              <w:left w:w="80" w:type="dxa"/>
              <w:bottom w:w="60" w:type="dxa"/>
              <w:right w:w="80" w:type="dxa"/>
            </w:tcMar>
          </w:tcPr>
          <w:p w14:paraId="2BE00DBC" w14:textId="77777777" w:rsidR="008E046C" w:rsidRDefault="00000000" w:rsidP="009D41F1">
            <w:pPr>
              <w:spacing w:before="100" w:beforeAutospacing="1" w:after="100" w:afterAutospacing="1"/>
            </w:pPr>
            <w:r>
              <w:rPr>
                <w:b/>
                <w:bCs/>
                <w:sz w:val="18"/>
                <w:szCs w:val="18"/>
              </w:rPr>
              <w:t>Reported finding</w:t>
            </w:r>
          </w:p>
        </w:tc>
        <w:tc>
          <w:tcPr>
            <w:tcW w:w="1616" w:type="dxa"/>
            <w:shd w:val="clear" w:color="auto" w:fill="E8E8E8"/>
            <w:tcMar>
              <w:top w:w="60" w:type="dxa"/>
              <w:left w:w="80" w:type="dxa"/>
              <w:bottom w:w="60" w:type="dxa"/>
              <w:right w:w="80" w:type="dxa"/>
            </w:tcMar>
          </w:tcPr>
          <w:p w14:paraId="4D7BA19D" w14:textId="77777777" w:rsidR="008E046C" w:rsidRDefault="00000000" w:rsidP="009D41F1">
            <w:pPr>
              <w:spacing w:before="100" w:beforeAutospacing="1" w:after="100" w:afterAutospacing="1"/>
            </w:pPr>
            <w:r>
              <w:rPr>
                <w:b/>
                <w:bCs/>
                <w:sz w:val="18"/>
                <w:szCs w:val="18"/>
              </w:rPr>
              <w:t>Interpretive caution</w:t>
            </w:r>
          </w:p>
        </w:tc>
        <w:tc>
          <w:tcPr>
            <w:tcW w:w="1620" w:type="dxa"/>
            <w:shd w:val="clear" w:color="auto" w:fill="E8E8E8"/>
            <w:tcMar>
              <w:top w:w="60" w:type="dxa"/>
              <w:left w:w="80" w:type="dxa"/>
              <w:bottom w:w="60" w:type="dxa"/>
              <w:right w:w="80" w:type="dxa"/>
            </w:tcMar>
          </w:tcPr>
          <w:p w14:paraId="1AF3E658" w14:textId="77777777" w:rsidR="008E046C" w:rsidRDefault="00000000" w:rsidP="009D41F1">
            <w:pPr>
              <w:spacing w:before="100" w:beforeAutospacing="1" w:after="100" w:afterAutospacing="1"/>
            </w:pPr>
            <w:r>
              <w:rPr>
                <w:b/>
                <w:bCs/>
                <w:sz w:val="18"/>
                <w:szCs w:val="18"/>
              </w:rPr>
              <w:t>Supporting references</w:t>
            </w:r>
          </w:p>
        </w:tc>
      </w:tr>
      <w:tr w:rsidR="008E046C" w14:paraId="287FBD75" w14:textId="77777777">
        <w:tc>
          <w:tcPr>
            <w:tcW w:w="1616" w:type="dxa"/>
            <w:tcMar>
              <w:top w:w="60" w:type="dxa"/>
              <w:left w:w="80" w:type="dxa"/>
              <w:bottom w:w="60" w:type="dxa"/>
              <w:right w:w="80" w:type="dxa"/>
            </w:tcMar>
          </w:tcPr>
          <w:p w14:paraId="2150DF65" w14:textId="77777777" w:rsidR="008E046C" w:rsidRDefault="00000000" w:rsidP="009D41F1">
            <w:pPr>
              <w:spacing w:before="100" w:beforeAutospacing="1" w:after="100" w:afterAutospacing="1"/>
            </w:pPr>
            <w:r>
              <w:rPr>
                <w:sz w:val="18"/>
                <w:szCs w:val="18"/>
              </w:rPr>
              <w:t>Temperate North America</w:t>
            </w:r>
          </w:p>
        </w:tc>
        <w:tc>
          <w:tcPr>
            <w:tcW w:w="1616" w:type="dxa"/>
            <w:tcMar>
              <w:top w:w="60" w:type="dxa"/>
              <w:left w:w="80" w:type="dxa"/>
              <w:bottom w:w="60" w:type="dxa"/>
              <w:right w:w="80" w:type="dxa"/>
            </w:tcMar>
          </w:tcPr>
          <w:p w14:paraId="3696F7E3" w14:textId="77777777" w:rsidR="008E046C" w:rsidRDefault="00000000" w:rsidP="009D41F1">
            <w:pPr>
              <w:spacing w:before="100" w:beforeAutospacing="1" w:after="100" w:afterAutospacing="1"/>
            </w:pPr>
            <w:r>
              <w:rPr>
                <w:sz w:val="18"/>
                <w:szCs w:val="18"/>
              </w:rPr>
              <w:t>1,341 cows, 18 commercial herds, confinement</w:t>
            </w:r>
          </w:p>
        </w:tc>
        <w:tc>
          <w:tcPr>
            <w:tcW w:w="1616" w:type="dxa"/>
            <w:tcMar>
              <w:top w:w="60" w:type="dxa"/>
              <w:left w:w="80" w:type="dxa"/>
              <w:bottom w:w="60" w:type="dxa"/>
              <w:right w:w="80" w:type="dxa"/>
            </w:tcMar>
          </w:tcPr>
          <w:p w14:paraId="58B0A345" w14:textId="77777777" w:rsidR="008E046C" w:rsidRDefault="00000000" w:rsidP="009D41F1">
            <w:pPr>
              <w:spacing w:before="100" w:beforeAutospacing="1" w:after="100" w:afterAutospacing="1"/>
            </w:pPr>
            <w:r>
              <w:rPr>
                <w:sz w:val="18"/>
                <w:szCs w:val="18"/>
              </w:rPr>
              <w:t>Skim milk progesterone at 46 and 60 days in milk</w:t>
            </w:r>
          </w:p>
        </w:tc>
        <w:tc>
          <w:tcPr>
            <w:tcW w:w="1616" w:type="dxa"/>
            <w:tcMar>
              <w:top w:w="60" w:type="dxa"/>
              <w:left w:w="80" w:type="dxa"/>
              <w:bottom w:w="60" w:type="dxa"/>
              <w:right w:w="80" w:type="dxa"/>
            </w:tcMar>
          </w:tcPr>
          <w:p w14:paraId="0B7465D0" w14:textId="77777777" w:rsidR="008E046C" w:rsidRDefault="00000000" w:rsidP="009D41F1">
            <w:pPr>
              <w:spacing w:before="100" w:beforeAutospacing="1" w:after="100" w:afterAutospacing="1"/>
            </w:pPr>
            <w:r>
              <w:rPr>
                <w:sz w:val="18"/>
                <w:szCs w:val="18"/>
              </w:rPr>
              <w:t>Anovulation in 19.5 per cent of cows, herd range 5 to 45 per cent</w:t>
            </w:r>
          </w:p>
        </w:tc>
        <w:tc>
          <w:tcPr>
            <w:tcW w:w="1616" w:type="dxa"/>
            <w:tcMar>
              <w:top w:w="60" w:type="dxa"/>
              <w:left w:w="80" w:type="dxa"/>
              <w:bottom w:w="60" w:type="dxa"/>
              <w:right w:w="80" w:type="dxa"/>
            </w:tcMar>
          </w:tcPr>
          <w:p w14:paraId="0B728494" w14:textId="77777777" w:rsidR="008E046C" w:rsidRDefault="00000000" w:rsidP="009D41F1">
            <w:pPr>
              <w:spacing w:before="100" w:beforeAutospacing="1" w:after="100" w:afterAutospacing="1"/>
            </w:pPr>
            <w:r>
              <w:rPr>
                <w:sz w:val="18"/>
                <w:szCs w:val="18"/>
              </w:rPr>
              <w:t>Two sampling points cannot detect short or interrupted luteal phases</w:t>
            </w:r>
          </w:p>
        </w:tc>
        <w:tc>
          <w:tcPr>
            <w:tcW w:w="1620" w:type="dxa"/>
            <w:tcMar>
              <w:top w:w="60" w:type="dxa"/>
              <w:left w:w="80" w:type="dxa"/>
              <w:bottom w:w="60" w:type="dxa"/>
              <w:right w:w="80" w:type="dxa"/>
            </w:tcMar>
          </w:tcPr>
          <w:p w14:paraId="4354D517" w14:textId="77777777" w:rsidR="008E046C" w:rsidRDefault="00000000" w:rsidP="009D41F1">
            <w:pPr>
              <w:spacing w:before="100" w:beforeAutospacing="1" w:after="100" w:afterAutospacing="1"/>
            </w:pPr>
            <w:r>
              <w:rPr>
                <w:sz w:val="18"/>
                <w:szCs w:val="18"/>
              </w:rPr>
              <w:t>Walsh et al. (2007)</w:t>
            </w:r>
          </w:p>
        </w:tc>
      </w:tr>
      <w:tr w:rsidR="008E046C" w14:paraId="4E2564D2" w14:textId="77777777">
        <w:tc>
          <w:tcPr>
            <w:tcW w:w="1616" w:type="dxa"/>
            <w:tcMar>
              <w:top w:w="60" w:type="dxa"/>
              <w:left w:w="80" w:type="dxa"/>
              <w:bottom w:w="60" w:type="dxa"/>
              <w:right w:w="80" w:type="dxa"/>
            </w:tcMar>
          </w:tcPr>
          <w:p w14:paraId="4793ECC6" w14:textId="77777777" w:rsidR="008E046C" w:rsidRDefault="00000000" w:rsidP="009D41F1">
            <w:pPr>
              <w:spacing w:before="100" w:beforeAutospacing="1" w:after="100" w:afterAutospacing="1"/>
            </w:pPr>
            <w:r>
              <w:rPr>
                <w:sz w:val="18"/>
                <w:szCs w:val="18"/>
              </w:rPr>
              <w:t>Temperate North America</w:t>
            </w:r>
          </w:p>
        </w:tc>
        <w:tc>
          <w:tcPr>
            <w:tcW w:w="1616" w:type="dxa"/>
            <w:tcMar>
              <w:top w:w="60" w:type="dxa"/>
              <w:left w:w="80" w:type="dxa"/>
              <w:bottom w:w="60" w:type="dxa"/>
              <w:right w:w="80" w:type="dxa"/>
            </w:tcMar>
          </w:tcPr>
          <w:p w14:paraId="10EF3569" w14:textId="77777777" w:rsidR="008E046C" w:rsidRDefault="00000000" w:rsidP="009D41F1">
            <w:pPr>
              <w:spacing w:before="100" w:beforeAutospacing="1" w:after="100" w:afterAutospacing="1"/>
            </w:pPr>
            <w:r>
              <w:rPr>
                <w:sz w:val="18"/>
                <w:szCs w:val="18"/>
              </w:rPr>
              <w:t>2,178 Holstein cows, 6 commercial herds</w:t>
            </w:r>
          </w:p>
        </w:tc>
        <w:tc>
          <w:tcPr>
            <w:tcW w:w="1616" w:type="dxa"/>
            <w:tcMar>
              <w:top w:w="60" w:type="dxa"/>
              <w:left w:w="80" w:type="dxa"/>
              <w:bottom w:w="60" w:type="dxa"/>
              <w:right w:w="80" w:type="dxa"/>
            </w:tcMar>
          </w:tcPr>
          <w:p w14:paraId="43E0A994" w14:textId="77777777" w:rsidR="008E046C" w:rsidRDefault="00000000" w:rsidP="009D41F1">
            <w:pPr>
              <w:spacing w:before="100" w:beforeAutospacing="1" w:after="100" w:afterAutospacing="1"/>
            </w:pPr>
            <w:r>
              <w:rPr>
                <w:sz w:val="18"/>
                <w:szCs w:val="18"/>
              </w:rPr>
              <w:t>Serum progesterone at weeks 3, 5, 7 and 9</w:t>
            </w:r>
          </w:p>
        </w:tc>
        <w:tc>
          <w:tcPr>
            <w:tcW w:w="1616" w:type="dxa"/>
            <w:tcMar>
              <w:top w:w="60" w:type="dxa"/>
              <w:left w:w="80" w:type="dxa"/>
              <w:bottom w:w="60" w:type="dxa"/>
              <w:right w:w="80" w:type="dxa"/>
            </w:tcMar>
          </w:tcPr>
          <w:p w14:paraId="1CD66198" w14:textId="77777777" w:rsidR="008E046C" w:rsidRDefault="00000000" w:rsidP="009D41F1">
            <w:pPr>
              <w:spacing w:before="100" w:beforeAutospacing="1" w:after="100" w:afterAutospacing="1"/>
            </w:pPr>
            <w:r>
              <w:rPr>
                <w:sz w:val="18"/>
                <w:szCs w:val="18"/>
              </w:rPr>
              <w:t>Anovulation in 72, 44, 26 and 17 per cent respectively</w:t>
            </w:r>
          </w:p>
        </w:tc>
        <w:tc>
          <w:tcPr>
            <w:tcW w:w="1616" w:type="dxa"/>
            <w:tcMar>
              <w:top w:w="60" w:type="dxa"/>
              <w:left w:w="80" w:type="dxa"/>
              <w:bottom w:w="60" w:type="dxa"/>
              <w:right w:w="80" w:type="dxa"/>
            </w:tcMar>
          </w:tcPr>
          <w:p w14:paraId="676ABAFD" w14:textId="77777777" w:rsidR="008E046C" w:rsidRDefault="00000000" w:rsidP="009D41F1">
            <w:pPr>
              <w:spacing w:before="100" w:beforeAutospacing="1" w:after="100" w:afterAutospacing="1"/>
            </w:pPr>
            <w:r>
              <w:rPr>
                <w:sz w:val="18"/>
                <w:szCs w:val="18"/>
              </w:rPr>
              <w:t>Prevalence is strongly time-dependent, so single figures are not comparable across studies</w:t>
            </w:r>
          </w:p>
        </w:tc>
        <w:tc>
          <w:tcPr>
            <w:tcW w:w="1620" w:type="dxa"/>
            <w:tcMar>
              <w:top w:w="60" w:type="dxa"/>
              <w:left w:w="80" w:type="dxa"/>
              <w:bottom w:w="60" w:type="dxa"/>
              <w:right w:w="80" w:type="dxa"/>
            </w:tcMar>
          </w:tcPr>
          <w:p w14:paraId="049473A6" w14:textId="77777777" w:rsidR="008E046C" w:rsidRDefault="00000000" w:rsidP="009D41F1">
            <w:pPr>
              <w:spacing w:before="100" w:beforeAutospacing="1" w:after="100" w:afterAutospacing="1"/>
            </w:pPr>
            <w:r>
              <w:rPr>
                <w:sz w:val="18"/>
                <w:szCs w:val="18"/>
              </w:rPr>
              <w:t>Dubuc et al. (2012)</w:t>
            </w:r>
          </w:p>
        </w:tc>
      </w:tr>
      <w:tr w:rsidR="008E046C" w14:paraId="6E7F4565" w14:textId="77777777">
        <w:tc>
          <w:tcPr>
            <w:tcW w:w="1616" w:type="dxa"/>
            <w:tcMar>
              <w:top w:w="60" w:type="dxa"/>
              <w:left w:w="80" w:type="dxa"/>
              <w:bottom w:w="60" w:type="dxa"/>
              <w:right w:w="80" w:type="dxa"/>
            </w:tcMar>
          </w:tcPr>
          <w:p w14:paraId="0B99AB00" w14:textId="77777777" w:rsidR="008E046C" w:rsidRDefault="00000000" w:rsidP="009D41F1">
            <w:pPr>
              <w:spacing w:before="100" w:beforeAutospacing="1" w:after="100" w:afterAutospacing="1"/>
            </w:pPr>
            <w:r>
              <w:rPr>
                <w:sz w:val="18"/>
                <w:szCs w:val="18"/>
              </w:rPr>
              <w:t>Brazil, single large herd</w:t>
            </w:r>
          </w:p>
        </w:tc>
        <w:tc>
          <w:tcPr>
            <w:tcW w:w="1616" w:type="dxa"/>
            <w:tcMar>
              <w:top w:w="60" w:type="dxa"/>
              <w:left w:w="80" w:type="dxa"/>
              <w:bottom w:w="60" w:type="dxa"/>
              <w:right w:w="80" w:type="dxa"/>
            </w:tcMar>
          </w:tcPr>
          <w:p w14:paraId="2141E942" w14:textId="77777777" w:rsidR="008E046C" w:rsidRDefault="00000000" w:rsidP="009D41F1">
            <w:pPr>
              <w:spacing w:before="100" w:beforeAutospacing="1" w:after="100" w:afterAutospacing="1"/>
            </w:pPr>
            <w:r>
              <w:rPr>
                <w:sz w:val="18"/>
                <w:szCs w:val="18"/>
              </w:rPr>
              <w:t>942 lactating Holstein cows</w:t>
            </w:r>
          </w:p>
        </w:tc>
        <w:tc>
          <w:tcPr>
            <w:tcW w:w="1616" w:type="dxa"/>
            <w:tcMar>
              <w:top w:w="60" w:type="dxa"/>
              <w:left w:w="80" w:type="dxa"/>
              <w:bottom w:w="60" w:type="dxa"/>
              <w:right w:w="80" w:type="dxa"/>
            </w:tcMar>
          </w:tcPr>
          <w:p w14:paraId="789E3CAD" w14:textId="77777777" w:rsidR="008E046C" w:rsidRDefault="00000000" w:rsidP="009D41F1">
            <w:pPr>
              <w:spacing w:before="100" w:beforeAutospacing="1" w:after="100" w:afterAutospacing="1"/>
            </w:pPr>
            <w:r>
              <w:rPr>
                <w:sz w:val="18"/>
                <w:szCs w:val="18"/>
              </w:rPr>
              <w:t>Ultrasonography at 35 and 49 days in milk</w:t>
            </w:r>
          </w:p>
        </w:tc>
        <w:tc>
          <w:tcPr>
            <w:tcW w:w="1616" w:type="dxa"/>
            <w:tcMar>
              <w:top w:w="60" w:type="dxa"/>
              <w:left w:w="80" w:type="dxa"/>
              <w:bottom w:w="60" w:type="dxa"/>
              <w:right w:w="80" w:type="dxa"/>
            </w:tcMar>
          </w:tcPr>
          <w:p w14:paraId="698A9F6C" w14:textId="77777777" w:rsidR="008E046C" w:rsidRDefault="00000000" w:rsidP="009D41F1">
            <w:pPr>
              <w:spacing w:before="100" w:beforeAutospacing="1" w:after="100" w:afterAutospacing="1"/>
            </w:pPr>
            <w:r>
              <w:rPr>
                <w:sz w:val="18"/>
                <w:szCs w:val="18"/>
              </w:rPr>
              <w:t>28.5 per cent anovular, with phenotypes differing by largest follicle diameter</w:t>
            </w:r>
          </w:p>
        </w:tc>
        <w:tc>
          <w:tcPr>
            <w:tcW w:w="1616" w:type="dxa"/>
            <w:tcMar>
              <w:top w:w="60" w:type="dxa"/>
              <w:left w:w="80" w:type="dxa"/>
              <w:bottom w:w="60" w:type="dxa"/>
              <w:right w:w="80" w:type="dxa"/>
            </w:tcMar>
          </w:tcPr>
          <w:p w14:paraId="0612E5B4" w14:textId="77777777" w:rsidR="008E046C" w:rsidRDefault="00000000" w:rsidP="009D41F1">
            <w:pPr>
              <w:spacing w:before="100" w:beforeAutospacing="1" w:after="100" w:afterAutospacing="1"/>
            </w:pPr>
            <w:r>
              <w:rPr>
                <w:sz w:val="18"/>
                <w:szCs w:val="18"/>
              </w:rPr>
              <w:t>Single-herd design limits generalisability despite large sample</w:t>
            </w:r>
          </w:p>
        </w:tc>
        <w:tc>
          <w:tcPr>
            <w:tcW w:w="1620" w:type="dxa"/>
            <w:tcMar>
              <w:top w:w="60" w:type="dxa"/>
              <w:left w:w="80" w:type="dxa"/>
              <w:bottom w:w="60" w:type="dxa"/>
              <w:right w:w="80" w:type="dxa"/>
            </w:tcMar>
          </w:tcPr>
          <w:p w14:paraId="1E02DA59" w14:textId="77777777" w:rsidR="008E046C" w:rsidRDefault="00000000" w:rsidP="009D41F1">
            <w:pPr>
              <w:spacing w:before="100" w:beforeAutospacing="1" w:after="100" w:afterAutospacing="1"/>
            </w:pPr>
            <w:r>
              <w:rPr>
                <w:sz w:val="18"/>
                <w:szCs w:val="18"/>
              </w:rPr>
              <w:t>Monteiro et al. (2021)</w:t>
            </w:r>
          </w:p>
        </w:tc>
      </w:tr>
      <w:tr w:rsidR="008E046C" w14:paraId="54F7F25B" w14:textId="77777777">
        <w:tc>
          <w:tcPr>
            <w:tcW w:w="1616" w:type="dxa"/>
            <w:tcMar>
              <w:top w:w="60" w:type="dxa"/>
              <w:left w:w="80" w:type="dxa"/>
              <w:bottom w:w="60" w:type="dxa"/>
              <w:right w:w="80" w:type="dxa"/>
            </w:tcMar>
          </w:tcPr>
          <w:p w14:paraId="23963552" w14:textId="77777777" w:rsidR="008E046C" w:rsidRDefault="00000000" w:rsidP="009D41F1">
            <w:pPr>
              <w:spacing w:before="100" w:beforeAutospacing="1" w:after="100" w:afterAutospacing="1"/>
            </w:pPr>
            <w:r>
              <w:rPr>
                <w:sz w:val="18"/>
                <w:szCs w:val="18"/>
              </w:rPr>
              <w:t>Japan, subtropical, high-producing</w:t>
            </w:r>
          </w:p>
        </w:tc>
        <w:tc>
          <w:tcPr>
            <w:tcW w:w="1616" w:type="dxa"/>
            <w:tcMar>
              <w:top w:w="60" w:type="dxa"/>
              <w:left w:w="80" w:type="dxa"/>
              <w:bottom w:w="60" w:type="dxa"/>
              <w:right w:w="80" w:type="dxa"/>
            </w:tcMar>
          </w:tcPr>
          <w:p w14:paraId="5488478E" w14:textId="77777777" w:rsidR="008E046C" w:rsidRDefault="00000000" w:rsidP="009D41F1">
            <w:pPr>
              <w:spacing w:before="100" w:beforeAutospacing="1" w:after="100" w:afterAutospacing="1"/>
            </w:pPr>
            <w:r>
              <w:rPr>
                <w:sz w:val="18"/>
                <w:szCs w:val="18"/>
              </w:rPr>
              <w:t>54 cows, commercial farms</w:t>
            </w:r>
          </w:p>
        </w:tc>
        <w:tc>
          <w:tcPr>
            <w:tcW w:w="1616" w:type="dxa"/>
            <w:tcMar>
              <w:top w:w="60" w:type="dxa"/>
              <w:left w:w="80" w:type="dxa"/>
              <w:bottom w:w="60" w:type="dxa"/>
              <w:right w:w="80" w:type="dxa"/>
            </w:tcMar>
          </w:tcPr>
          <w:p w14:paraId="0B2DF858" w14:textId="77777777" w:rsidR="008E046C" w:rsidRDefault="00000000" w:rsidP="009D41F1">
            <w:pPr>
              <w:spacing w:before="100" w:beforeAutospacing="1" w:after="100" w:afterAutospacing="1"/>
            </w:pPr>
            <w:r>
              <w:rPr>
                <w:sz w:val="18"/>
                <w:szCs w:val="18"/>
              </w:rPr>
              <w:t>Twice-weekly milk progesterone</w:t>
            </w:r>
          </w:p>
        </w:tc>
        <w:tc>
          <w:tcPr>
            <w:tcW w:w="1616" w:type="dxa"/>
            <w:tcMar>
              <w:top w:w="60" w:type="dxa"/>
              <w:left w:w="80" w:type="dxa"/>
              <w:bottom w:w="60" w:type="dxa"/>
              <w:right w:w="80" w:type="dxa"/>
            </w:tcMar>
          </w:tcPr>
          <w:p w14:paraId="7D9CEEB4" w14:textId="77777777" w:rsidR="008E046C" w:rsidRDefault="00000000" w:rsidP="009D41F1">
            <w:pPr>
              <w:spacing w:before="100" w:beforeAutospacing="1" w:after="100" w:afterAutospacing="1"/>
            </w:pPr>
            <w:r>
              <w:rPr>
                <w:sz w:val="18"/>
                <w:szCs w:val="18"/>
              </w:rPr>
              <w:t>63 per cent had delayed resumption beyond 45 days; prolonged luteal phase 31.5 per cent and delayed first ovulation 24.1 per cent</w:t>
            </w:r>
          </w:p>
        </w:tc>
        <w:tc>
          <w:tcPr>
            <w:tcW w:w="1616" w:type="dxa"/>
            <w:tcMar>
              <w:top w:w="60" w:type="dxa"/>
              <w:left w:w="80" w:type="dxa"/>
              <w:bottom w:w="60" w:type="dxa"/>
              <w:right w:w="80" w:type="dxa"/>
            </w:tcMar>
          </w:tcPr>
          <w:p w14:paraId="087E6C13" w14:textId="77777777" w:rsidR="008E046C" w:rsidRDefault="00000000" w:rsidP="009D41F1">
            <w:pPr>
              <w:spacing w:before="100" w:beforeAutospacing="1" w:after="100" w:afterAutospacing="1"/>
            </w:pPr>
            <w:r>
              <w:rPr>
                <w:sz w:val="18"/>
                <w:szCs w:val="18"/>
              </w:rPr>
              <w:t>Small sample, but frequent sampling detects subtypes that coarser schemes merge</w:t>
            </w:r>
          </w:p>
        </w:tc>
        <w:tc>
          <w:tcPr>
            <w:tcW w:w="1620" w:type="dxa"/>
            <w:tcMar>
              <w:top w:w="60" w:type="dxa"/>
              <w:left w:w="80" w:type="dxa"/>
              <w:bottom w:w="60" w:type="dxa"/>
              <w:right w:w="80" w:type="dxa"/>
            </w:tcMar>
          </w:tcPr>
          <w:p w14:paraId="7504D1F7" w14:textId="77777777" w:rsidR="008E046C" w:rsidRDefault="00000000" w:rsidP="009D41F1">
            <w:pPr>
              <w:spacing w:before="100" w:beforeAutospacing="1" w:after="100" w:afterAutospacing="1"/>
            </w:pPr>
            <w:r>
              <w:rPr>
                <w:sz w:val="18"/>
                <w:szCs w:val="18"/>
              </w:rPr>
              <w:t>Shrestha et al. (2004)</w:t>
            </w:r>
          </w:p>
        </w:tc>
      </w:tr>
      <w:tr w:rsidR="008E046C" w14:paraId="1C740803" w14:textId="77777777">
        <w:tc>
          <w:tcPr>
            <w:tcW w:w="1616" w:type="dxa"/>
            <w:tcMar>
              <w:top w:w="60" w:type="dxa"/>
              <w:left w:w="80" w:type="dxa"/>
              <w:bottom w:w="60" w:type="dxa"/>
              <w:right w:w="80" w:type="dxa"/>
            </w:tcMar>
          </w:tcPr>
          <w:p w14:paraId="47197030" w14:textId="77777777" w:rsidR="008E046C" w:rsidRDefault="00000000" w:rsidP="009D41F1">
            <w:pPr>
              <w:spacing w:before="100" w:beforeAutospacing="1" w:after="100" w:afterAutospacing="1"/>
            </w:pPr>
            <w:r>
              <w:rPr>
                <w:sz w:val="18"/>
                <w:szCs w:val="18"/>
              </w:rPr>
              <w:t>Belgium, high-yielding herds</w:t>
            </w:r>
          </w:p>
        </w:tc>
        <w:tc>
          <w:tcPr>
            <w:tcW w:w="1616" w:type="dxa"/>
            <w:tcMar>
              <w:top w:w="60" w:type="dxa"/>
              <w:left w:w="80" w:type="dxa"/>
              <w:bottom w:w="60" w:type="dxa"/>
              <w:right w:w="80" w:type="dxa"/>
            </w:tcMar>
          </w:tcPr>
          <w:p w14:paraId="35F1C731" w14:textId="77777777" w:rsidR="008E046C" w:rsidRDefault="00000000" w:rsidP="009D41F1">
            <w:pPr>
              <w:spacing w:before="100" w:beforeAutospacing="1" w:after="100" w:afterAutospacing="1"/>
            </w:pPr>
            <w:r>
              <w:rPr>
                <w:sz w:val="18"/>
                <w:szCs w:val="18"/>
              </w:rPr>
              <w:t>334 cows, 6 well-managed herds</w:t>
            </w:r>
          </w:p>
        </w:tc>
        <w:tc>
          <w:tcPr>
            <w:tcW w:w="1616" w:type="dxa"/>
            <w:tcMar>
              <w:top w:w="60" w:type="dxa"/>
              <w:left w:w="80" w:type="dxa"/>
              <w:bottom w:w="60" w:type="dxa"/>
              <w:right w:w="80" w:type="dxa"/>
            </w:tcMar>
          </w:tcPr>
          <w:p w14:paraId="17736FE8" w14:textId="77777777" w:rsidR="008E046C" w:rsidRDefault="00000000" w:rsidP="009D41F1">
            <w:pPr>
              <w:spacing w:before="100" w:beforeAutospacing="1" w:after="100" w:afterAutospacing="1"/>
            </w:pPr>
            <w:r>
              <w:rPr>
                <w:sz w:val="18"/>
                <w:szCs w:val="18"/>
              </w:rPr>
              <w:t>Twice-weekly milk fat progesterone from day 10</w:t>
            </w:r>
          </w:p>
        </w:tc>
        <w:tc>
          <w:tcPr>
            <w:tcW w:w="1616" w:type="dxa"/>
            <w:tcMar>
              <w:top w:w="60" w:type="dxa"/>
              <w:left w:w="80" w:type="dxa"/>
              <w:bottom w:w="60" w:type="dxa"/>
              <w:right w:w="80" w:type="dxa"/>
            </w:tcMar>
          </w:tcPr>
          <w:p w14:paraId="4298C73C" w14:textId="77777777" w:rsidR="008E046C" w:rsidRDefault="00000000" w:rsidP="009D41F1">
            <w:pPr>
              <w:spacing w:before="100" w:beforeAutospacing="1" w:after="100" w:afterAutospacing="1"/>
            </w:pPr>
            <w:r>
              <w:rPr>
                <w:sz w:val="18"/>
                <w:szCs w:val="18"/>
              </w:rPr>
              <w:t>Delayed cyclicity and prolonged luteal phase identified as distinct entities with partly separate risk factors</w:t>
            </w:r>
          </w:p>
        </w:tc>
        <w:tc>
          <w:tcPr>
            <w:tcW w:w="1616" w:type="dxa"/>
            <w:tcMar>
              <w:top w:w="60" w:type="dxa"/>
              <w:left w:w="80" w:type="dxa"/>
              <w:bottom w:w="60" w:type="dxa"/>
              <w:right w:w="80" w:type="dxa"/>
            </w:tcMar>
          </w:tcPr>
          <w:p w14:paraId="7A202C39" w14:textId="77777777" w:rsidR="008E046C" w:rsidRDefault="00000000" w:rsidP="009D41F1">
            <w:pPr>
              <w:spacing w:before="100" w:beforeAutospacing="1" w:after="100" w:afterAutospacing="1"/>
            </w:pPr>
            <w:r>
              <w:rPr>
                <w:sz w:val="18"/>
                <w:szCs w:val="18"/>
              </w:rPr>
              <w:t>Observational design cannot separate shared causes from sequential effects</w:t>
            </w:r>
          </w:p>
        </w:tc>
        <w:tc>
          <w:tcPr>
            <w:tcW w:w="1620" w:type="dxa"/>
            <w:tcMar>
              <w:top w:w="60" w:type="dxa"/>
              <w:left w:w="80" w:type="dxa"/>
              <w:bottom w:w="60" w:type="dxa"/>
              <w:right w:w="80" w:type="dxa"/>
            </w:tcMar>
          </w:tcPr>
          <w:p w14:paraId="3F4D8855" w14:textId="77777777" w:rsidR="008E046C" w:rsidRDefault="00000000" w:rsidP="009D41F1">
            <w:pPr>
              <w:spacing w:before="100" w:beforeAutospacing="1" w:after="100" w:afterAutospacing="1"/>
            </w:pPr>
            <w:r>
              <w:rPr>
                <w:sz w:val="18"/>
                <w:szCs w:val="18"/>
              </w:rPr>
              <w:t>Opsomer et al. (2000)</w:t>
            </w:r>
          </w:p>
        </w:tc>
      </w:tr>
      <w:tr w:rsidR="008E046C" w14:paraId="2AA69CF7" w14:textId="77777777">
        <w:tc>
          <w:tcPr>
            <w:tcW w:w="1616" w:type="dxa"/>
            <w:tcMar>
              <w:top w:w="60" w:type="dxa"/>
              <w:left w:w="80" w:type="dxa"/>
              <w:bottom w:w="60" w:type="dxa"/>
              <w:right w:w="80" w:type="dxa"/>
            </w:tcMar>
          </w:tcPr>
          <w:p w14:paraId="2A641A7B" w14:textId="77777777" w:rsidR="008E046C" w:rsidRDefault="00000000" w:rsidP="009D41F1">
            <w:pPr>
              <w:spacing w:before="100" w:beforeAutospacing="1" w:after="100" w:afterAutospacing="1"/>
            </w:pPr>
            <w:r>
              <w:rPr>
                <w:sz w:val="18"/>
                <w:szCs w:val="18"/>
              </w:rPr>
              <w:t>Ireland, seasonal pasture-based</w:t>
            </w:r>
          </w:p>
        </w:tc>
        <w:tc>
          <w:tcPr>
            <w:tcW w:w="1616" w:type="dxa"/>
            <w:tcMar>
              <w:top w:w="60" w:type="dxa"/>
              <w:left w:w="80" w:type="dxa"/>
              <w:bottom w:w="60" w:type="dxa"/>
              <w:right w:w="80" w:type="dxa"/>
            </w:tcMar>
          </w:tcPr>
          <w:p w14:paraId="5D58ADC9" w14:textId="77777777" w:rsidR="008E046C" w:rsidRDefault="00000000" w:rsidP="009D41F1">
            <w:pPr>
              <w:spacing w:before="100" w:beforeAutospacing="1" w:after="100" w:afterAutospacing="1"/>
            </w:pPr>
            <w:r>
              <w:rPr>
                <w:sz w:val="18"/>
                <w:szCs w:val="18"/>
              </w:rPr>
              <w:t>Seasonal-calving cows</w:t>
            </w:r>
          </w:p>
        </w:tc>
        <w:tc>
          <w:tcPr>
            <w:tcW w:w="1616" w:type="dxa"/>
            <w:tcMar>
              <w:top w:w="60" w:type="dxa"/>
              <w:left w:w="80" w:type="dxa"/>
              <w:bottom w:w="60" w:type="dxa"/>
              <w:right w:w="80" w:type="dxa"/>
            </w:tcMar>
          </w:tcPr>
          <w:p w14:paraId="2E0FCE57" w14:textId="77777777" w:rsidR="008E046C" w:rsidRDefault="00000000" w:rsidP="009D41F1">
            <w:pPr>
              <w:spacing w:before="100" w:beforeAutospacing="1" w:after="100" w:afterAutospacing="1"/>
            </w:pPr>
            <w:r>
              <w:rPr>
                <w:sz w:val="18"/>
                <w:szCs w:val="18"/>
              </w:rPr>
              <w:t>Vaginal discharge score with fertility phenotypes</w:t>
            </w:r>
          </w:p>
        </w:tc>
        <w:tc>
          <w:tcPr>
            <w:tcW w:w="1616" w:type="dxa"/>
            <w:tcMar>
              <w:top w:w="60" w:type="dxa"/>
              <w:left w:w="80" w:type="dxa"/>
              <w:bottom w:w="60" w:type="dxa"/>
              <w:right w:w="80" w:type="dxa"/>
            </w:tcMar>
          </w:tcPr>
          <w:p w14:paraId="2F6B9CAC" w14:textId="77777777" w:rsidR="008E046C" w:rsidRDefault="00000000" w:rsidP="009D41F1">
            <w:pPr>
              <w:spacing w:before="100" w:beforeAutospacing="1" w:after="100" w:afterAutospacing="1"/>
            </w:pPr>
            <w:r>
              <w:rPr>
                <w:sz w:val="18"/>
                <w:szCs w:val="18"/>
              </w:rPr>
              <w:t>Discharge score associated with genetic traits, metabolic status and reproductive performance</w:t>
            </w:r>
          </w:p>
        </w:tc>
        <w:tc>
          <w:tcPr>
            <w:tcW w:w="1616" w:type="dxa"/>
            <w:tcMar>
              <w:top w:w="60" w:type="dxa"/>
              <w:left w:w="80" w:type="dxa"/>
              <w:bottom w:w="60" w:type="dxa"/>
              <w:right w:w="80" w:type="dxa"/>
            </w:tcMar>
          </w:tcPr>
          <w:p w14:paraId="4E664DBF" w14:textId="77777777" w:rsidR="008E046C" w:rsidRDefault="00000000" w:rsidP="009D41F1">
            <w:pPr>
              <w:spacing w:before="100" w:beforeAutospacing="1" w:after="100" w:afterAutospacing="1"/>
            </w:pPr>
            <w:r>
              <w:rPr>
                <w:sz w:val="18"/>
                <w:szCs w:val="18"/>
              </w:rPr>
              <w:t>Grazing systems differ in nutritional and disease profile from confinement systems</w:t>
            </w:r>
          </w:p>
        </w:tc>
        <w:tc>
          <w:tcPr>
            <w:tcW w:w="1620" w:type="dxa"/>
            <w:tcMar>
              <w:top w:w="60" w:type="dxa"/>
              <w:left w:w="80" w:type="dxa"/>
              <w:bottom w:w="60" w:type="dxa"/>
              <w:right w:w="80" w:type="dxa"/>
            </w:tcMar>
          </w:tcPr>
          <w:p w14:paraId="45C17B5E" w14:textId="77777777" w:rsidR="008E046C" w:rsidRDefault="00000000" w:rsidP="009D41F1">
            <w:pPr>
              <w:spacing w:before="100" w:beforeAutospacing="1" w:after="100" w:afterAutospacing="1"/>
            </w:pPr>
            <w:r>
              <w:rPr>
                <w:sz w:val="18"/>
                <w:szCs w:val="18"/>
              </w:rPr>
              <w:t>Rojas Canadas et al. (2023)</w:t>
            </w:r>
          </w:p>
        </w:tc>
      </w:tr>
      <w:tr w:rsidR="008E046C" w14:paraId="5D840E3C" w14:textId="77777777">
        <w:tc>
          <w:tcPr>
            <w:tcW w:w="1616" w:type="dxa"/>
            <w:tcMar>
              <w:top w:w="60" w:type="dxa"/>
              <w:left w:w="80" w:type="dxa"/>
              <w:bottom w:w="60" w:type="dxa"/>
              <w:right w:w="80" w:type="dxa"/>
            </w:tcMar>
          </w:tcPr>
          <w:p w14:paraId="54E08513" w14:textId="77777777" w:rsidR="008E046C" w:rsidRDefault="00000000" w:rsidP="009D41F1">
            <w:pPr>
              <w:spacing w:before="100" w:beforeAutospacing="1" w:after="100" w:afterAutospacing="1"/>
            </w:pPr>
            <w:r>
              <w:rPr>
                <w:sz w:val="18"/>
                <w:szCs w:val="18"/>
              </w:rPr>
              <w:t>Japan, grazing</w:t>
            </w:r>
          </w:p>
        </w:tc>
        <w:tc>
          <w:tcPr>
            <w:tcW w:w="1616" w:type="dxa"/>
            <w:tcMar>
              <w:top w:w="60" w:type="dxa"/>
              <w:left w:w="80" w:type="dxa"/>
              <w:bottom w:w="60" w:type="dxa"/>
              <w:right w:w="80" w:type="dxa"/>
            </w:tcMar>
          </w:tcPr>
          <w:p w14:paraId="445DFF78" w14:textId="77777777" w:rsidR="008E046C" w:rsidRDefault="00000000" w:rsidP="009D41F1">
            <w:pPr>
              <w:spacing w:before="100" w:beforeAutospacing="1" w:after="100" w:afterAutospacing="1"/>
            </w:pPr>
            <w:r>
              <w:rPr>
                <w:sz w:val="18"/>
                <w:szCs w:val="18"/>
              </w:rPr>
              <w:t>92 lactations, 368 ovulations</w:t>
            </w:r>
          </w:p>
        </w:tc>
        <w:tc>
          <w:tcPr>
            <w:tcW w:w="1616" w:type="dxa"/>
            <w:tcMar>
              <w:top w:w="60" w:type="dxa"/>
              <w:left w:w="80" w:type="dxa"/>
              <w:bottom w:w="60" w:type="dxa"/>
              <w:right w:w="80" w:type="dxa"/>
            </w:tcMar>
          </w:tcPr>
          <w:p w14:paraId="651E8911" w14:textId="77777777" w:rsidR="008E046C" w:rsidRDefault="00000000" w:rsidP="009D41F1">
            <w:pPr>
              <w:spacing w:before="100" w:beforeAutospacing="1" w:after="100" w:afterAutospacing="1"/>
            </w:pPr>
            <w:r>
              <w:rPr>
                <w:sz w:val="18"/>
                <w:szCs w:val="18"/>
              </w:rPr>
              <w:t>Direct observation of ovulation and oestrus to 13 weeks</w:t>
            </w:r>
          </w:p>
        </w:tc>
        <w:tc>
          <w:tcPr>
            <w:tcW w:w="1616" w:type="dxa"/>
            <w:tcMar>
              <w:top w:w="60" w:type="dxa"/>
              <w:left w:w="80" w:type="dxa"/>
              <w:bottom w:w="60" w:type="dxa"/>
              <w:right w:w="80" w:type="dxa"/>
            </w:tcMar>
          </w:tcPr>
          <w:p w14:paraId="5F7D2F49" w14:textId="77777777" w:rsidR="008E046C" w:rsidRDefault="00000000" w:rsidP="009D41F1">
            <w:pPr>
              <w:spacing w:before="100" w:beforeAutospacing="1" w:after="100" w:afterAutospacing="1"/>
            </w:pPr>
            <w:r>
              <w:rPr>
                <w:sz w:val="18"/>
                <w:szCs w:val="18"/>
              </w:rPr>
              <w:t>37 per cent of ovulations were behaviourally silent; relapse to anoestrous ovulation occurred after cyclicity was established</w:t>
            </w:r>
          </w:p>
        </w:tc>
        <w:tc>
          <w:tcPr>
            <w:tcW w:w="1616" w:type="dxa"/>
            <w:tcMar>
              <w:top w:w="60" w:type="dxa"/>
              <w:left w:w="80" w:type="dxa"/>
              <w:bottom w:w="60" w:type="dxa"/>
              <w:right w:w="80" w:type="dxa"/>
            </w:tcMar>
          </w:tcPr>
          <w:p w14:paraId="608BE2C0" w14:textId="77777777" w:rsidR="008E046C" w:rsidRDefault="00000000" w:rsidP="009D41F1">
            <w:pPr>
              <w:spacing w:before="100" w:beforeAutospacing="1" w:after="100" w:afterAutospacing="1"/>
            </w:pPr>
            <w:r>
              <w:rPr>
                <w:sz w:val="18"/>
                <w:szCs w:val="18"/>
              </w:rPr>
              <w:t>Behavioural criteria substantially underestimate ovarian activity</w:t>
            </w:r>
          </w:p>
        </w:tc>
        <w:tc>
          <w:tcPr>
            <w:tcW w:w="1620" w:type="dxa"/>
            <w:tcMar>
              <w:top w:w="60" w:type="dxa"/>
              <w:left w:w="80" w:type="dxa"/>
              <w:bottom w:w="60" w:type="dxa"/>
              <w:right w:w="80" w:type="dxa"/>
            </w:tcMar>
          </w:tcPr>
          <w:p w14:paraId="7186DAC8" w14:textId="77777777" w:rsidR="008E046C" w:rsidRDefault="00000000" w:rsidP="009D41F1">
            <w:pPr>
              <w:spacing w:before="100" w:beforeAutospacing="1" w:after="100" w:afterAutospacing="1"/>
            </w:pPr>
            <w:r>
              <w:rPr>
                <w:sz w:val="18"/>
                <w:szCs w:val="18"/>
              </w:rPr>
              <w:t>Sakaguchi (2010)</w:t>
            </w:r>
          </w:p>
        </w:tc>
      </w:tr>
      <w:tr w:rsidR="008E046C" w14:paraId="72B24CFB" w14:textId="77777777">
        <w:tc>
          <w:tcPr>
            <w:tcW w:w="1616" w:type="dxa"/>
            <w:tcMar>
              <w:top w:w="60" w:type="dxa"/>
              <w:left w:w="80" w:type="dxa"/>
              <w:bottom w:w="60" w:type="dxa"/>
              <w:right w:w="80" w:type="dxa"/>
            </w:tcMar>
          </w:tcPr>
          <w:p w14:paraId="2E22FD13" w14:textId="77777777" w:rsidR="008E046C" w:rsidRDefault="00000000" w:rsidP="009D41F1">
            <w:pPr>
              <w:spacing w:before="100" w:beforeAutospacing="1" w:after="100" w:afterAutospacing="1"/>
            </w:pPr>
            <w:r>
              <w:rPr>
                <w:sz w:val="18"/>
                <w:szCs w:val="18"/>
              </w:rPr>
              <w:t>Northern Europe, genetic evaluation</w:t>
            </w:r>
          </w:p>
        </w:tc>
        <w:tc>
          <w:tcPr>
            <w:tcW w:w="1616" w:type="dxa"/>
            <w:tcMar>
              <w:top w:w="60" w:type="dxa"/>
              <w:left w:w="80" w:type="dxa"/>
              <w:bottom w:w="60" w:type="dxa"/>
              <w:right w:w="80" w:type="dxa"/>
            </w:tcMar>
          </w:tcPr>
          <w:p w14:paraId="0F537D40" w14:textId="77777777" w:rsidR="008E046C" w:rsidRDefault="00000000" w:rsidP="009D41F1">
            <w:pPr>
              <w:spacing w:before="100" w:beforeAutospacing="1" w:after="100" w:afterAutospacing="1"/>
            </w:pPr>
            <w:r>
              <w:rPr>
                <w:sz w:val="18"/>
                <w:szCs w:val="18"/>
              </w:rPr>
              <w:t>Commercial Swedish Red and Holstein populations</w:t>
            </w:r>
          </w:p>
        </w:tc>
        <w:tc>
          <w:tcPr>
            <w:tcW w:w="1616" w:type="dxa"/>
            <w:tcMar>
              <w:top w:w="60" w:type="dxa"/>
              <w:left w:w="80" w:type="dxa"/>
              <w:bottom w:w="60" w:type="dxa"/>
              <w:right w:w="80" w:type="dxa"/>
            </w:tcMar>
          </w:tcPr>
          <w:p w14:paraId="10F8AE56" w14:textId="77777777" w:rsidR="008E046C" w:rsidRDefault="00000000" w:rsidP="009D41F1">
            <w:pPr>
              <w:spacing w:before="100" w:beforeAutospacing="1" w:after="100" w:afterAutospacing="1"/>
            </w:pPr>
            <w:r>
              <w:rPr>
                <w:sz w:val="18"/>
                <w:szCs w:val="18"/>
              </w:rPr>
              <w:t>In-line milk progesterone profiles</w:t>
            </w:r>
          </w:p>
        </w:tc>
        <w:tc>
          <w:tcPr>
            <w:tcW w:w="1616" w:type="dxa"/>
            <w:tcMar>
              <w:top w:w="60" w:type="dxa"/>
              <w:left w:w="80" w:type="dxa"/>
              <w:bottom w:w="60" w:type="dxa"/>
              <w:right w:w="80" w:type="dxa"/>
            </w:tcMar>
          </w:tcPr>
          <w:p w14:paraId="2F44C18E" w14:textId="77777777" w:rsidR="008E046C" w:rsidRDefault="00000000" w:rsidP="009D41F1">
            <w:pPr>
              <w:spacing w:before="100" w:beforeAutospacing="1" w:after="100" w:afterAutospacing="1"/>
            </w:pPr>
            <w:r>
              <w:rPr>
                <w:sz w:val="18"/>
                <w:szCs w:val="18"/>
              </w:rPr>
              <w:t>Endocrine fertility traits are heritable and estimable at population scale</w:t>
            </w:r>
          </w:p>
        </w:tc>
        <w:tc>
          <w:tcPr>
            <w:tcW w:w="1616" w:type="dxa"/>
            <w:tcMar>
              <w:top w:w="60" w:type="dxa"/>
              <w:left w:w="80" w:type="dxa"/>
              <w:bottom w:w="60" w:type="dxa"/>
              <w:right w:w="80" w:type="dxa"/>
            </w:tcMar>
          </w:tcPr>
          <w:p w14:paraId="7BC233C8" w14:textId="77777777" w:rsidR="008E046C" w:rsidRDefault="00000000" w:rsidP="009D41F1">
            <w:pPr>
              <w:spacing w:before="100" w:beforeAutospacing="1" w:after="100" w:afterAutospacing="1"/>
            </w:pPr>
            <w:r>
              <w:rPr>
                <w:sz w:val="18"/>
                <w:szCs w:val="18"/>
              </w:rPr>
              <w:t>Requires installed sensor infrastructure, which selects for particular herd types</w:t>
            </w:r>
          </w:p>
        </w:tc>
        <w:tc>
          <w:tcPr>
            <w:tcW w:w="1620" w:type="dxa"/>
            <w:tcMar>
              <w:top w:w="60" w:type="dxa"/>
              <w:left w:w="80" w:type="dxa"/>
              <w:bottom w:w="60" w:type="dxa"/>
              <w:right w:w="80" w:type="dxa"/>
            </w:tcMar>
          </w:tcPr>
          <w:p w14:paraId="64497FA2" w14:textId="77777777" w:rsidR="008E046C" w:rsidRDefault="00000000" w:rsidP="009D41F1">
            <w:pPr>
              <w:spacing w:before="100" w:beforeAutospacing="1" w:after="100" w:afterAutospacing="1"/>
            </w:pPr>
            <w:r>
              <w:rPr>
                <w:sz w:val="18"/>
                <w:szCs w:val="18"/>
              </w:rPr>
              <w:t>Tarekegn et al. (2019)</w:t>
            </w:r>
          </w:p>
        </w:tc>
      </w:tr>
    </w:tbl>
    <w:p w14:paraId="3D401EF0" w14:textId="77777777" w:rsidR="008E046C" w:rsidRDefault="00000000" w:rsidP="009D41F1">
      <w:pPr>
        <w:spacing w:before="100" w:beforeAutospacing="1" w:after="100" w:afterAutospacing="1"/>
      </w:pPr>
      <w:r>
        <w:rPr>
          <w:sz w:val="18"/>
          <w:szCs w:val="18"/>
        </w:rPr>
        <w:t>Note. Percentages are reproduced as reported by the cited studies. Differences between studies reflect criterion, sampling frequency and production context as well as any true difference in prevalence.</w:t>
      </w:r>
    </w:p>
    <w:p w14:paraId="5FEFAA70" w14:textId="77777777" w:rsidR="008E046C" w:rsidRDefault="00000000" w:rsidP="009D41F1">
      <w:pPr>
        <w:pStyle w:val="Heading1"/>
        <w:spacing w:before="100" w:beforeAutospacing="1" w:after="100" w:afterAutospacing="1"/>
      </w:pPr>
      <w:r>
        <w:rPr>
          <w:b/>
          <w:bCs/>
          <w:sz w:val="26"/>
          <w:szCs w:val="26"/>
        </w:rPr>
        <w:t>7. Coupling Between Uterine Recovery and Ovarian Rebound</w:t>
      </w:r>
    </w:p>
    <w:p w14:paraId="086A6EF2" w14:textId="77777777" w:rsidR="008E046C" w:rsidRDefault="00000000" w:rsidP="009D41F1">
      <w:pPr>
        <w:pStyle w:val="Heading2"/>
        <w:spacing w:before="100" w:beforeAutospacing="1" w:after="100" w:afterAutospacing="1"/>
      </w:pPr>
      <w:r>
        <w:rPr>
          <w:b/>
          <w:bCs/>
          <w:sz w:val="24"/>
          <w:szCs w:val="24"/>
        </w:rPr>
        <w:t>7.1 The conventional account and the observational evidence supporting it</w:t>
      </w:r>
    </w:p>
    <w:p w14:paraId="762EEEBC" w14:textId="77777777" w:rsidR="008E046C" w:rsidRDefault="00000000" w:rsidP="009D41F1">
      <w:pPr>
        <w:spacing w:before="100" w:beforeAutospacing="1" w:after="100" w:afterAutospacing="1"/>
        <w:jc w:val="both"/>
      </w:pPr>
      <w:r>
        <w:t xml:space="preserve">The prevailing account holds that early resumption of ovarian cyclicity assists uterine recovery. The mechanistic rationale is that oestradiol produced by a growing dominant follicle enhances uterine </w:t>
      </w:r>
      <w:r>
        <w:lastRenderedPageBreak/>
        <w:t>blood flow, myometrial contractility and local immune competence, and that luteal progesterone thereafter is permissive of bacterial persistence, so that an early ovulatory cycle clears the uterus before progesterone dominance is established. Observational data are broadly consistent with this account. Cows with a follicle larger than 8 mm in the ovary ipsilateral to the previously gravid horn between 14 and 28 days after calving had a shorter calving to conception interval than cows without such a follicle, and the ipsilateral ovary showed fewer corpora lutea and fewer large follicles than the contralateral ovary, with the asymmetry declining as involution progressed (Sheldon et al., 2000). Puerperal uterine infection retarded involution assessed by uterine body diameter and intrauterine fluid volume, and ovarian activity was more frequently abnormal in cows with severe endometritis, including prolonged anoestrus, prolonged luteal phases and ovarian cysts (Mateus et al., 2002). Incomplete involution accompanied prolonged luteal phases in high-producing cows (Shrestha et al., 2004). The two recoveries clearly travel together.</w:t>
      </w:r>
    </w:p>
    <w:p w14:paraId="0189A4AD" w14:textId="77777777" w:rsidR="008E046C" w:rsidRDefault="00000000" w:rsidP="009D41F1">
      <w:pPr>
        <w:spacing w:before="100" w:beforeAutospacing="1" w:after="100" w:afterAutospacing="1"/>
        <w:jc w:val="both"/>
      </w:pPr>
      <w:r>
        <w:t>The authors of the ipsilateral follicle study were explicit that their design could not determine direction, asking whether the follicle influenced the uterus or the uterus influenced the follicle (Sheldon et al., 2000). That question has not been satisfactorily answered in the intervening quarter century, and the observational literature has largely proceeded as though it had been.</w:t>
      </w:r>
    </w:p>
    <w:p w14:paraId="187F366D" w14:textId="77777777" w:rsidR="008E046C" w:rsidRDefault="00000000" w:rsidP="009D41F1">
      <w:pPr>
        <w:pStyle w:val="Heading2"/>
        <w:spacing w:before="100" w:beforeAutospacing="1" w:after="100" w:afterAutospacing="1"/>
      </w:pPr>
      <w:r>
        <w:rPr>
          <w:b/>
          <w:bCs/>
          <w:sz w:val="24"/>
          <w:szCs w:val="24"/>
        </w:rPr>
        <w:t>7.2 Experimental suppression of ovulation and its inconvenient result</w:t>
      </w:r>
    </w:p>
    <w:p w14:paraId="6357A234" w14:textId="77777777" w:rsidR="008E046C" w:rsidRDefault="00000000" w:rsidP="009D41F1">
      <w:pPr>
        <w:spacing w:before="100" w:beforeAutospacing="1" w:after="100" w:afterAutospacing="1"/>
        <w:jc w:val="both"/>
      </w:pPr>
      <w:r>
        <w:t>Two experimental approaches have suppressed early ovulation and measured involution, and both produced results that are difficult to reconcile with a simple facilitatory role for early ovarian activity. Transvaginal follicular puncture of follicles larger than 6 mm delayed first ovulation from about day 21 to about day 50 in cows without uterine disease and from about day 16 to about day 48 in cows with uterine disease. Healthy cows in which ovulation was suppressed had smaller uterine horn and cervical diameters than unsuppressed controls, and in cows with uterine disease suppression reduced the prevalence of purulent vaginal discharge and uterine size assessed by palpation, with no detriment to calving to conception interval or first-service conception rate (Heppelmann, Brömmling, et al., 2013). Suppression of ovarian activity with a deslorelin implant administered at two days after calving prevented corpus luteum formation and reduced the diameters of the previously pregnant horn, the non-pregnant horn and the cervix while increasing uterine tone, and treated cows more frequently showed clear cervical discharge (Silvestre et al., 2009). Increasing doses of a degradable implant produced comparable effects.</w:t>
      </w:r>
    </w:p>
    <w:p w14:paraId="33F6897C" w14:textId="77777777" w:rsidR="008E046C" w:rsidRDefault="00000000" w:rsidP="009D41F1">
      <w:pPr>
        <w:spacing w:before="100" w:beforeAutospacing="1" w:after="100" w:afterAutospacing="1"/>
        <w:jc w:val="both"/>
      </w:pPr>
      <w:r>
        <w:t>These results cannot be dismissed as anomalies. Two independent groups, using pharmacological and mechanical suppression respectively, obtained the same direction of effect on the primary outcome, and the deslorelin study included a substantially larger second experiment. The most straightforward reading is that early ovulation and the subsequent luteal phase are not necessary for uterine involution, and may impede aspects of it, presumably because progesterone dominance in the second and third weeks after calving is unfavourable at a time when the endometrium is still resolving inflammation. An alternative reading is that suppression of ovulation removes the follicular oestradiol that would otherwise be present but also removes progesterone, and that the net effect observed reflects the progesterone component. Distinguishing these possibilities requires designs that dissociate follicular oestradiol from luteal progesterone, which the published studies do not do.</w:t>
      </w:r>
    </w:p>
    <w:p w14:paraId="14051B16" w14:textId="77777777" w:rsidR="008E046C" w:rsidRDefault="00000000" w:rsidP="009D41F1">
      <w:pPr>
        <w:spacing w:before="100" w:beforeAutospacing="1" w:after="100" w:afterAutospacing="1"/>
        <w:jc w:val="both"/>
      </w:pPr>
      <w:r>
        <w:t xml:space="preserve">A further consideration is that the observational and experimental literatures measure different things. The observational studies that support the conventional account use fertility endpoints or dimensional endpoints in cows whose ovarian status was determined by their own physiology, so cows that ovulate early are also cows that are metabolically and inflammatorily well placed to involute. The experimental studies impose ovarian status independently of the cow's condition and therefore break exactly the confounding that generates the observational association. Read this way, the two literatures are not in conflict about biology at all; they are in conflict about what the observational association </w:t>
      </w:r>
      <w:r>
        <w:lastRenderedPageBreak/>
        <w:t>means. Early ovulation would then be a marker of favourable systemic status rather than a cause of uterine recovery.</w:t>
      </w:r>
    </w:p>
    <w:p w14:paraId="22ECE7F2" w14:textId="77777777" w:rsidR="008E046C" w:rsidRDefault="00000000" w:rsidP="009D41F1">
      <w:pPr>
        <w:pStyle w:val="Heading2"/>
        <w:spacing w:before="100" w:beforeAutospacing="1" w:after="100" w:afterAutospacing="1"/>
      </w:pPr>
      <w:r>
        <w:rPr>
          <w:b/>
          <w:bCs/>
          <w:sz w:val="24"/>
          <w:szCs w:val="24"/>
        </w:rPr>
        <w:t>7.3 Uterine inflammation acting on ovarian function</w:t>
      </w:r>
    </w:p>
    <w:p w14:paraId="758AF74B" w14:textId="77777777" w:rsidR="008E046C" w:rsidRDefault="00000000" w:rsidP="009D41F1">
      <w:pPr>
        <w:spacing w:before="100" w:beforeAutospacing="1" w:after="100" w:afterAutospacing="1"/>
        <w:jc w:val="both"/>
      </w:pPr>
      <w:r>
        <w:t>The reverse direction has stronger mechanistic support. Lipopolysaccharide and inflammatory mediators of uterine origin reach the ovary and act directly on follicular cells. Follicular fluid endotoxin concentrations were higher in cows whose first dominant follicle failed to ovulate than in cows in which it ovulated, and elevated systemic haptoglobin distinguished non-ovulatory from ovulatory cows despite similar uterine bacterial contamination and similar circulating endotoxin (Cheong et al., 2017). The same study found that cows mounting a strong initial uterine inflammatory response, with polymorphonuclear leukocyte recruitment of at least 35 per cent and lower uterine pH on the day of calving, were more likely to have an ovulatory first dominant follicle, which indicates that vigorous early inflammation is favourable while persistent systemic inflammation is not. This distinction between an appropriate acute response and a failure to resolve is one of the more useful organising ideas available in this field.</w:t>
      </w:r>
    </w:p>
    <w:p w14:paraId="6F3DE3EA" w14:textId="77777777" w:rsidR="008E046C" w:rsidRDefault="00000000" w:rsidP="009D41F1">
      <w:pPr>
        <w:spacing w:before="100" w:beforeAutospacing="1" w:after="100" w:afterAutospacing="1"/>
        <w:jc w:val="both"/>
      </w:pPr>
      <w:r>
        <w:t>Cell-level evidence supports a direct effect. Lipopolysaccharide suppressed expression of follicle development markers and enhanced cytokine expression in bovine granulosa cells, impairing proliferation in developing follicles (Yamamoto et al., 2023), and the mechanisms by which lipopolysaccharide induces ovarian dysfunction in cows with uterine inflammatory disease have been reviewed (Magata, 2020). Follicular fluid from preovulatory follicles of repeat breeder cows with subclinical endometritis impaired oocyte developmental competence in vitro, extending the effect from the follicle to the gamete (Heidari et al., 2019). Consistent with this, prolonged anovulation to 63 days after calving was associated with cytological endometritis in a large field study, alongside inflammatory and metabolic markers (Dubuc et al., 2012).</w:t>
      </w:r>
    </w:p>
    <w:p w14:paraId="345D88F6" w14:textId="77777777" w:rsidR="008E046C" w:rsidRDefault="00000000" w:rsidP="009D41F1">
      <w:pPr>
        <w:spacing w:before="100" w:beforeAutospacing="1" w:after="100" w:afterAutospacing="1"/>
        <w:jc w:val="both"/>
      </w:pPr>
      <w:r>
        <w:t>Confidence in this direction is nonetheless bounded. The concentrations of lipopolysaccharide used in cell-based work are not always matched to those measured in follicular fluid in vivo, and the field associations remain compatible with shared upstream causation. The most defensible statement is that uterine inflammation is capable of suppressing ovarian function through demonstrated mechanisms, and that this capability contributes to, but does not fully explain, the field-level association.</w:t>
      </w:r>
    </w:p>
    <w:p w14:paraId="035C1013" w14:textId="77777777" w:rsidR="008E046C" w:rsidRDefault="00000000" w:rsidP="009D41F1">
      <w:pPr>
        <w:pStyle w:val="Heading2"/>
        <w:spacing w:before="100" w:beforeAutospacing="1" w:after="100" w:afterAutospacing="1"/>
      </w:pPr>
      <w:r>
        <w:rPr>
          <w:b/>
          <w:bCs/>
          <w:sz w:val="24"/>
          <w:szCs w:val="24"/>
        </w:rPr>
        <w:t>7.4 Reconciling the directional claims</w:t>
      </w:r>
    </w:p>
    <w:p w14:paraId="7DE1600C" w14:textId="77777777" w:rsidR="008E046C" w:rsidRDefault="00000000" w:rsidP="009D41F1">
      <w:pPr>
        <w:spacing w:before="100" w:beforeAutospacing="1" w:after="100" w:afterAutospacing="1"/>
        <w:jc w:val="both"/>
      </w:pPr>
      <w:r>
        <w:t>A model in which transition-period inflammation and metabolic status act as a common cause of both impaired involution and delayed ovarian rebound accounts for most of the evidence with fewer assumptions than either unidirectional model. It explains why the two recoveries covary in observational data, why suppressing ovulation experimentally does not impair and may improve involution, why systemic haptoglobin predicts both ovarian and uterine outcomes, and why the lameness study found both delayed involution and reduced ovulation rates in animals whose primary lesion was in the foot (Bruinjé et al., 2026; Cheong et al., 2017; Praxitelous et al., 2023). Superimposed on this common cause is a genuine directed effect of uterine inflammation on ovarian function, supported by mechanism, and a weaker or possibly absent directed effect of early ovarian activity on uterine involution.</w:t>
      </w:r>
    </w:p>
    <w:p w14:paraId="4A2EA093" w14:textId="77777777" w:rsidR="008E046C" w:rsidRDefault="00000000" w:rsidP="009D41F1">
      <w:pPr>
        <w:spacing w:before="100" w:beforeAutospacing="1" w:after="100" w:afterAutospacing="1"/>
        <w:jc w:val="both"/>
      </w:pPr>
      <w:r>
        <w:t>Two implications follow. Studies that adjust for uterine disease when estimating determinants of anovulation, or the reverse, are adjusting for a variable that may be a collider or a mediator depending on the assumed structure, and the resulting estimates are not straightforwardly interpretable. Interventions that target ovarian status in order to improve uterine outcomes rest on the weakest link in the causal chain, whereas interventions that target inflammation and metabolic status address the shared upstream determinant. Table 4 sets out the principal apparent contradictions and the explanations that best accommodate them.</w:t>
      </w:r>
    </w:p>
    <w:p w14:paraId="79D2F6C0" w14:textId="77777777" w:rsidR="008E046C" w:rsidRDefault="00000000" w:rsidP="009D41F1">
      <w:pPr>
        <w:spacing w:before="100" w:beforeAutospacing="1" w:after="100" w:afterAutospacing="1"/>
      </w:pPr>
      <w:r>
        <w:rPr>
          <w:b/>
          <w:bCs/>
          <w:sz w:val="22"/>
          <w:szCs w:val="22"/>
        </w:rPr>
        <w:lastRenderedPageBreak/>
        <w:t>Table 4. Apparently conflicting findings on the relationship between ovarian rebound and uterine involution, with plausible explanations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06DB5E13" w14:textId="77777777">
        <w:trPr>
          <w:tblHeader/>
        </w:trPr>
        <w:tc>
          <w:tcPr>
            <w:tcW w:w="1616" w:type="dxa"/>
            <w:shd w:val="clear" w:color="auto" w:fill="E8E8E8"/>
            <w:tcMar>
              <w:top w:w="60" w:type="dxa"/>
              <w:left w:w="80" w:type="dxa"/>
              <w:bottom w:w="60" w:type="dxa"/>
              <w:right w:w="80" w:type="dxa"/>
            </w:tcMar>
          </w:tcPr>
          <w:p w14:paraId="2D510B4D" w14:textId="77777777" w:rsidR="008E046C" w:rsidRDefault="00000000" w:rsidP="009D41F1">
            <w:pPr>
              <w:spacing w:before="100" w:beforeAutospacing="1" w:after="100" w:afterAutospacing="1"/>
            </w:pPr>
            <w:r>
              <w:rPr>
                <w:b/>
                <w:bCs/>
                <w:sz w:val="18"/>
                <w:szCs w:val="18"/>
              </w:rPr>
              <w:t>Observation</w:t>
            </w:r>
          </w:p>
        </w:tc>
        <w:tc>
          <w:tcPr>
            <w:tcW w:w="1616" w:type="dxa"/>
            <w:shd w:val="clear" w:color="auto" w:fill="E8E8E8"/>
            <w:tcMar>
              <w:top w:w="60" w:type="dxa"/>
              <w:left w:w="80" w:type="dxa"/>
              <w:bottom w:w="60" w:type="dxa"/>
              <w:right w:w="80" w:type="dxa"/>
            </w:tcMar>
          </w:tcPr>
          <w:p w14:paraId="192B6403" w14:textId="77777777" w:rsidR="008E046C" w:rsidRDefault="00000000" w:rsidP="009D41F1">
            <w:pPr>
              <w:spacing w:before="100" w:beforeAutospacing="1" w:after="100" w:afterAutospacing="1"/>
            </w:pPr>
            <w:r>
              <w:rPr>
                <w:b/>
                <w:bCs/>
                <w:sz w:val="18"/>
                <w:szCs w:val="18"/>
              </w:rPr>
              <w:t>Contrasting observation</w:t>
            </w:r>
          </w:p>
        </w:tc>
        <w:tc>
          <w:tcPr>
            <w:tcW w:w="1616" w:type="dxa"/>
            <w:shd w:val="clear" w:color="auto" w:fill="E8E8E8"/>
            <w:tcMar>
              <w:top w:w="60" w:type="dxa"/>
              <w:left w:w="80" w:type="dxa"/>
              <w:bottom w:w="60" w:type="dxa"/>
              <w:right w:w="80" w:type="dxa"/>
            </w:tcMar>
          </w:tcPr>
          <w:p w14:paraId="30A8952B" w14:textId="77777777" w:rsidR="008E046C" w:rsidRDefault="00000000" w:rsidP="009D41F1">
            <w:pPr>
              <w:spacing w:before="100" w:beforeAutospacing="1" w:after="100" w:afterAutospacing="1"/>
            </w:pPr>
            <w:r>
              <w:rPr>
                <w:b/>
                <w:bCs/>
                <w:sz w:val="18"/>
                <w:szCs w:val="18"/>
              </w:rPr>
              <w:t>Design difference</w:t>
            </w:r>
          </w:p>
        </w:tc>
        <w:tc>
          <w:tcPr>
            <w:tcW w:w="1616" w:type="dxa"/>
            <w:shd w:val="clear" w:color="auto" w:fill="E8E8E8"/>
            <w:tcMar>
              <w:top w:w="60" w:type="dxa"/>
              <w:left w:w="80" w:type="dxa"/>
              <w:bottom w:w="60" w:type="dxa"/>
              <w:right w:w="80" w:type="dxa"/>
            </w:tcMar>
          </w:tcPr>
          <w:p w14:paraId="4E6F5070" w14:textId="77777777" w:rsidR="008E046C" w:rsidRDefault="00000000" w:rsidP="009D41F1">
            <w:pPr>
              <w:spacing w:before="100" w:beforeAutospacing="1" w:after="100" w:afterAutospacing="1"/>
            </w:pPr>
            <w:r>
              <w:rPr>
                <w:b/>
                <w:bCs/>
                <w:sz w:val="18"/>
                <w:szCs w:val="18"/>
              </w:rPr>
              <w:t>Most parsimonious explanation</w:t>
            </w:r>
          </w:p>
        </w:tc>
        <w:tc>
          <w:tcPr>
            <w:tcW w:w="1616" w:type="dxa"/>
            <w:shd w:val="clear" w:color="auto" w:fill="E8E8E8"/>
            <w:tcMar>
              <w:top w:w="60" w:type="dxa"/>
              <w:left w:w="80" w:type="dxa"/>
              <w:bottom w:w="60" w:type="dxa"/>
              <w:right w:w="80" w:type="dxa"/>
            </w:tcMar>
          </w:tcPr>
          <w:p w14:paraId="1F6DACE9" w14:textId="77777777" w:rsidR="008E046C" w:rsidRDefault="00000000" w:rsidP="009D41F1">
            <w:pPr>
              <w:spacing w:before="100" w:beforeAutospacing="1" w:after="100" w:afterAutospacing="1"/>
            </w:pPr>
            <w:r>
              <w:rPr>
                <w:b/>
                <w:bCs/>
                <w:sz w:val="18"/>
                <w:szCs w:val="18"/>
              </w:rPr>
              <w:t>Residual uncertainty</w:t>
            </w:r>
          </w:p>
        </w:tc>
        <w:tc>
          <w:tcPr>
            <w:tcW w:w="1620" w:type="dxa"/>
            <w:shd w:val="clear" w:color="auto" w:fill="E8E8E8"/>
            <w:tcMar>
              <w:top w:w="60" w:type="dxa"/>
              <w:left w:w="80" w:type="dxa"/>
              <w:bottom w:w="60" w:type="dxa"/>
              <w:right w:w="80" w:type="dxa"/>
            </w:tcMar>
          </w:tcPr>
          <w:p w14:paraId="4D8F206A" w14:textId="77777777" w:rsidR="008E046C" w:rsidRDefault="00000000" w:rsidP="009D41F1">
            <w:pPr>
              <w:spacing w:before="100" w:beforeAutospacing="1" w:after="100" w:afterAutospacing="1"/>
            </w:pPr>
            <w:r>
              <w:rPr>
                <w:b/>
                <w:bCs/>
                <w:sz w:val="18"/>
                <w:szCs w:val="18"/>
              </w:rPr>
              <w:t>Supporting references</w:t>
            </w:r>
          </w:p>
        </w:tc>
      </w:tr>
      <w:tr w:rsidR="008E046C" w14:paraId="23E394B9" w14:textId="77777777">
        <w:tc>
          <w:tcPr>
            <w:tcW w:w="1616" w:type="dxa"/>
            <w:tcMar>
              <w:top w:w="60" w:type="dxa"/>
              <w:left w:w="80" w:type="dxa"/>
              <w:bottom w:w="60" w:type="dxa"/>
              <w:right w:w="80" w:type="dxa"/>
            </w:tcMar>
          </w:tcPr>
          <w:p w14:paraId="28B4B108" w14:textId="77777777" w:rsidR="008E046C" w:rsidRDefault="00000000" w:rsidP="009D41F1">
            <w:pPr>
              <w:spacing w:before="100" w:beforeAutospacing="1" w:after="100" w:afterAutospacing="1"/>
            </w:pPr>
            <w:r>
              <w:rPr>
                <w:sz w:val="18"/>
                <w:szCs w:val="18"/>
              </w:rPr>
              <w:t>A follicle larger than 8 mm ipsilateral to the previously gravid horn at 14 to 28 days is associated with shorter calving to conception interval</w:t>
            </w:r>
          </w:p>
        </w:tc>
        <w:tc>
          <w:tcPr>
            <w:tcW w:w="1616" w:type="dxa"/>
            <w:tcMar>
              <w:top w:w="60" w:type="dxa"/>
              <w:left w:w="80" w:type="dxa"/>
              <w:bottom w:w="60" w:type="dxa"/>
              <w:right w:w="80" w:type="dxa"/>
            </w:tcMar>
          </w:tcPr>
          <w:p w14:paraId="36F8473D" w14:textId="77777777" w:rsidR="008E046C" w:rsidRDefault="00000000" w:rsidP="009D41F1">
            <w:pPr>
              <w:spacing w:before="100" w:beforeAutospacing="1" w:after="100" w:afterAutospacing="1"/>
            </w:pPr>
            <w:r>
              <w:rPr>
                <w:sz w:val="18"/>
                <w:szCs w:val="18"/>
              </w:rPr>
              <w:t>Experimental suppression of ovulation to about day 50 did not lengthen calving to conception interval</w:t>
            </w:r>
          </w:p>
        </w:tc>
        <w:tc>
          <w:tcPr>
            <w:tcW w:w="1616" w:type="dxa"/>
            <w:tcMar>
              <w:top w:w="60" w:type="dxa"/>
              <w:left w:w="80" w:type="dxa"/>
              <w:bottom w:w="60" w:type="dxa"/>
              <w:right w:w="80" w:type="dxa"/>
            </w:tcMar>
          </w:tcPr>
          <w:p w14:paraId="6DD1C600" w14:textId="77777777" w:rsidR="008E046C" w:rsidRDefault="00000000" w:rsidP="009D41F1">
            <w:pPr>
              <w:spacing w:before="100" w:beforeAutospacing="1" w:after="100" w:afterAutospacing="1"/>
            </w:pPr>
            <w:r>
              <w:rPr>
                <w:sz w:val="18"/>
                <w:szCs w:val="18"/>
              </w:rPr>
              <w:t>Observational versus experimental assignment of ovarian status</w:t>
            </w:r>
          </w:p>
        </w:tc>
        <w:tc>
          <w:tcPr>
            <w:tcW w:w="1616" w:type="dxa"/>
            <w:tcMar>
              <w:top w:w="60" w:type="dxa"/>
              <w:left w:w="80" w:type="dxa"/>
              <w:bottom w:w="60" w:type="dxa"/>
              <w:right w:w="80" w:type="dxa"/>
            </w:tcMar>
          </w:tcPr>
          <w:p w14:paraId="23A5DBD9" w14:textId="77777777" w:rsidR="008E046C" w:rsidRDefault="00000000" w:rsidP="009D41F1">
            <w:pPr>
              <w:spacing w:before="100" w:beforeAutospacing="1" w:after="100" w:afterAutospacing="1"/>
            </w:pPr>
            <w:r>
              <w:rPr>
                <w:sz w:val="18"/>
                <w:szCs w:val="18"/>
              </w:rPr>
              <w:t>Follicular activity marks favourable systemic status rather than causing uterine recovery</w:t>
            </w:r>
          </w:p>
        </w:tc>
        <w:tc>
          <w:tcPr>
            <w:tcW w:w="1616" w:type="dxa"/>
            <w:tcMar>
              <w:top w:w="60" w:type="dxa"/>
              <w:left w:w="80" w:type="dxa"/>
              <w:bottom w:w="60" w:type="dxa"/>
              <w:right w:w="80" w:type="dxa"/>
            </w:tcMar>
          </w:tcPr>
          <w:p w14:paraId="2CEFD266" w14:textId="77777777" w:rsidR="008E046C" w:rsidRDefault="00000000" w:rsidP="009D41F1">
            <w:pPr>
              <w:spacing w:before="100" w:beforeAutospacing="1" w:after="100" w:afterAutospacing="1"/>
            </w:pPr>
            <w:r>
              <w:rPr>
                <w:sz w:val="18"/>
                <w:szCs w:val="18"/>
              </w:rPr>
              <w:t>Neither study dissociated follicular oestradiol from luteal progesterone</w:t>
            </w:r>
          </w:p>
        </w:tc>
        <w:tc>
          <w:tcPr>
            <w:tcW w:w="1620" w:type="dxa"/>
            <w:tcMar>
              <w:top w:w="60" w:type="dxa"/>
              <w:left w:w="80" w:type="dxa"/>
              <w:bottom w:w="60" w:type="dxa"/>
              <w:right w:w="80" w:type="dxa"/>
            </w:tcMar>
          </w:tcPr>
          <w:p w14:paraId="0767603C" w14:textId="77777777" w:rsidR="008E046C" w:rsidRDefault="00000000" w:rsidP="009D41F1">
            <w:pPr>
              <w:spacing w:before="100" w:beforeAutospacing="1" w:after="100" w:afterAutospacing="1"/>
            </w:pPr>
            <w:r>
              <w:rPr>
                <w:sz w:val="18"/>
                <w:szCs w:val="18"/>
              </w:rPr>
              <w:t>Heppelmann, Brömmling, et al. (2013); Sheldon et al. (2000)</w:t>
            </w:r>
          </w:p>
        </w:tc>
      </w:tr>
      <w:tr w:rsidR="008E046C" w14:paraId="3E6E6FC3" w14:textId="77777777">
        <w:tc>
          <w:tcPr>
            <w:tcW w:w="1616" w:type="dxa"/>
            <w:tcMar>
              <w:top w:w="60" w:type="dxa"/>
              <w:left w:w="80" w:type="dxa"/>
              <w:bottom w:w="60" w:type="dxa"/>
              <w:right w:w="80" w:type="dxa"/>
            </w:tcMar>
          </w:tcPr>
          <w:p w14:paraId="6CCD3626" w14:textId="77777777" w:rsidR="008E046C" w:rsidRDefault="00000000" w:rsidP="009D41F1">
            <w:pPr>
              <w:spacing w:before="100" w:beforeAutospacing="1" w:after="100" w:afterAutospacing="1"/>
            </w:pPr>
            <w:r>
              <w:rPr>
                <w:sz w:val="18"/>
                <w:szCs w:val="18"/>
              </w:rPr>
              <w:t>Early ovulation is assumed to accelerate uterine clearance through oestradiol</w:t>
            </w:r>
          </w:p>
        </w:tc>
        <w:tc>
          <w:tcPr>
            <w:tcW w:w="1616" w:type="dxa"/>
            <w:tcMar>
              <w:top w:w="60" w:type="dxa"/>
              <w:left w:w="80" w:type="dxa"/>
              <w:bottom w:w="60" w:type="dxa"/>
              <w:right w:w="80" w:type="dxa"/>
            </w:tcMar>
          </w:tcPr>
          <w:p w14:paraId="17A351CF" w14:textId="77777777" w:rsidR="008E046C" w:rsidRDefault="00000000" w:rsidP="009D41F1">
            <w:pPr>
              <w:spacing w:before="100" w:beforeAutospacing="1" w:after="100" w:afterAutospacing="1"/>
            </w:pPr>
            <w:r>
              <w:rPr>
                <w:sz w:val="18"/>
                <w:szCs w:val="18"/>
              </w:rPr>
              <w:t>Suppression of ovulation reduced uterine horn and cervical diameters and reduced purulent vaginal discharge</w:t>
            </w:r>
          </w:p>
        </w:tc>
        <w:tc>
          <w:tcPr>
            <w:tcW w:w="1616" w:type="dxa"/>
            <w:tcMar>
              <w:top w:w="60" w:type="dxa"/>
              <w:left w:w="80" w:type="dxa"/>
              <w:bottom w:w="60" w:type="dxa"/>
              <w:right w:w="80" w:type="dxa"/>
            </w:tcMar>
          </w:tcPr>
          <w:p w14:paraId="6F862B5E" w14:textId="77777777" w:rsidR="008E046C" w:rsidRDefault="00000000" w:rsidP="009D41F1">
            <w:pPr>
              <w:spacing w:before="100" w:beforeAutospacing="1" w:after="100" w:afterAutospacing="1"/>
            </w:pPr>
            <w:r>
              <w:rPr>
                <w:sz w:val="18"/>
                <w:szCs w:val="18"/>
              </w:rPr>
              <w:t>Imposed versus spontaneous ovarian status</w:t>
            </w:r>
          </w:p>
        </w:tc>
        <w:tc>
          <w:tcPr>
            <w:tcW w:w="1616" w:type="dxa"/>
            <w:tcMar>
              <w:top w:w="60" w:type="dxa"/>
              <w:left w:w="80" w:type="dxa"/>
              <w:bottom w:w="60" w:type="dxa"/>
              <w:right w:w="80" w:type="dxa"/>
            </w:tcMar>
          </w:tcPr>
          <w:p w14:paraId="093AA5B2" w14:textId="77777777" w:rsidR="008E046C" w:rsidRDefault="00000000" w:rsidP="009D41F1">
            <w:pPr>
              <w:spacing w:before="100" w:beforeAutospacing="1" w:after="100" w:afterAutospacing="1"/>
            </w:pPr>
            <w:r>
              <w:rPr>
                <w:sz w:val="18"/>
                <w:szCs w:val="18"/>
              </w:rPr>
              <w:t>Early luteal progesterone is unfavourable while the endometrium is still resolving inflammation</w:t>
            </w:r>
          </w:p>
        </w:tc>
        <w:tc>
          <w:tcPr>
            <w:tcW w:w="1616" w:type="dxa"/>
            <w:tcMar>
              <w:top w:w="60" w:type="dxa"/>
              <w:left w:w="80" w:type="dxa"/>
              <w:bottom w:w="60" w:type="dxa"/>
              <w:right w:w="80" w:type="dxa"/>
            </w:tcMar>
          </w:tcPr>
          <w:p w14:paraId="29F34A8C" w14:textId="77777777" w:rsidR="008E046C" w:rsidRDefault="00000000" w:rsidP="009D41F1">
            <w:pPr>
              <w:spacing w:before="100" w:beforeAutospacing="1" w:after="100" w:afterAutospacing="1"/>
            </w:pPr>
            <w:r>
              <w:rPr>
                <w:sz w:val="18"/>
                <w:szCs w:val="18"/>
              </w:rPr>
              <w:t>Contribution of removed oestradiol cannot be separated from removed progesterone</w:t>
            </w:r>
          </w:p>
        </w:tc>
        <w:tc>
          <w:tcPr>
            <w:tcW w:w="1620" w:type="dxa"/>
            <w:tcMar>
              <w:top w:w="60" w:type="dxa"/>
              <w:left w:w="80" w:type="dxa"/>
              <w:bottom w:w="60" w:type="dxa"/>
              <w:right w:w="80" w:type="dxa"/>
            </w:tcMar>
          </w:tcPr>
          <w:p w14:paraId="757FAF21" w14:textId="77777777" w:rsidR="008E046C" w:rsidRDefault="00000000" w:rsidP="009D41F1">
            <w:pPr>
              <w:spacing w:before="100" w:beforeAutospacing="1" w:after="100" w:afterAutospacing="1"/>
            </w:pPr>
            <w:r>
              <w:rPr>
                <w:sz w:val="18"/>
                <w:szCs w:val="18"/>
              </w:rPr>
              <w:t>Heppelmann, Brömmling, et al. (2013); Silvestre et al. (2009)</w:t>
            </w:r>
          </w:p>
        </w:tc>
      </w:tr>
      <w:tr w:rsidR="008E046C" w14:paraId="252CE0A7" w14:textId="77777777">
        <w:tc>
          <w:tcPr>
            <w:tcW w:w="1616" w:type="dxa"/>
            <w:tcMar>
              <w:top w:w="60" w:type="dxa"/>
              <w:left w:w="80" w:type="dxa"/>
              <w:bottom w:w="60" w:type="dxa"/>
              <w:right w:w="80" w:type="dxa"/>
            </w:tcMar>
          </w:tcPr>
          <w:p w14:paraId="2DC25F89" w14:textId="77777777" w:rsidR="008E046C" w:rsidRDefault="00000000" w:rsidP="009D41F1">
            <w:pPr>
              <w:spacing w:before="100" w:beforeAutospacing="1" w:after="100" w:afterAutospacing="1"/>
            </w:pPr>
            <w:r>
              <w:rPr>
                <w:sz w:val="18"/>
                <w:szCs w:val="18"/>
              </w:rPr>
              <w:t>Earlier resumption of cyclicity is treated as desirable</w:t>
            </w:r>
          </w:p>
        </w:tc>
        <w:tc>
          <w:tcPr>
            <w:tcW w:w="1616" w:type="dxa"/>
            <w:tcMar>
              <w:top w:w="60" w:type="dxa"/>
              <w:left w:w="80" w:type="dxa"/>
              <w:bottom w:w="60" w:type="dxa"/>
              <w:right w:w="80" w:type="dxa"/>
            </w:tcMar>
          </w:tcPr>
          <w:p w14:paraId="14D7E07E" w14:textId="77777777" w:rsidR="008E046C" w:rsidRDefault="00000000" w:rsidP="009D41F1">
            <w:pPr>
              <w:spacing w:before="100" w:beforeAutospacing="1" w:after="100" w:afterAutospacing="1"/>
            </w:pPr>
            <w:r>
              <w:rPr>
                <w:sz w:val="18"/>
                <w:szCs w:val="18"/>
              </w:rPr>
              <w:t>Resumption before 19 days increased the risk of prolonged luteal phase before service</w:t>
            </w:r>
          </w:p>
        </w:tc>
        <w:tc>
          <w:tcPr>
            <w:tcW w:w="1616" w:type="dxa"/>
            <w:tcMar>
              <w:top w:w="60" w:type="dxa"/>
              <w:left w:w="80" w:type="dxa"/>
              <w:bottom w:w="60" w:type="dxa"/>
              <w:right w:w="80" w:type="dxa"/>
            </w:tcMar>
          </w:tcPr>
          <w:p w14:paraId="38CBED75" w14:textId="77777777" w:rsidR="008E046C" w:rsidRDefault="00000000" w:rsidP="009D41F1">
            <w:pPr>
              <w:spacing w:before="100" w:beforeAutospacing="1" w:after="100" w:afterAutospacing="1"/>
            </w:pPr>
            <w:r>
              <w:rPr>
                <w:sz w:val="18"/>
                <w:szCs w:val="18"/>
              </w:rPr>
              <w:t>Different outcome measured: interval to first ovulation versus subsequent cycle quality</w:t>
            </w:r>
          </w:p>
        </w:tc>
        <w:tc>
          <w:tcPr>
            <w:tcW w:w="1616" w:type="dxa"/>
            <w:tcMar>
              <w:top w:w="60" w:type="dxa"/>
              <w:left w:w="80" w:type="dxa"/>
              <w:bottom w:w="60" w:type="dxa"/>
              <w:right w:w="80" w:type="dxa"/>
            </w:tcMar>
          </w:tcPr>
          <w:p w14:paraId="02617760" w14:textId="77777777" w:rsidR="008E046C" w:rsidRDefault="00000000" w:rsidP="009D41F1">
            <w:pPr>
              <w:spacing w:before="100" w:beforeAutospacing="1" w:after="100" w:afterAutospacing="1"/>
            </w:pPr>
            <w:r>
              <w:rPr>
                <w:sz w:val="18"/>
                <w:szCs w:val="18"/>
              </w:rPr>
              <w:t>The relationship between timing of rebound and fertility is a window rather than a monotonic gradient</w:t>
            </w:r>
          </w:p>
        </w:tc>
        <w:tc>
          <w:tcPr>
            <w:tcW w:w="1616" w:type="dxa"/>
            <w:tcMar>
              <w:top w:w="60" w:type="dxa"/>
              <w:left w:w="80" w:type="dxa"/>
              <w:bottom w:w="60" w:type="dxa"/>
              <w:right w:w="80" w:type="dxa"/>
            </w:tcMar>
          </w:tcPr>
          <w:p w14:paraId="702D577E" w14:textId="77777777" w:rsidR="008E046C" w:rsidRDefault="00000000" w:rsidP="009D41F1">
            <w:pPr>
              <w:spacing w:before="100" w:beforeAutospacing="1" w:after="100" w:afterAutospacing="1"/>
            </w:pPr>
            <w:r>
              <w:rPr>
                <w:sz w:val="18"/>
                <w:szCs w:val="18"/>
              </w:rPr>
              <w:t>Confounding by puerperal disease was present in the observational design</w:t>
            </w:r>
          </w:p>
        </w:tc>
        <w:tc>
          <w:tcPr>
            <w:tcW w:w="1620" w:type="dxa"/>
            <w:tcMar>
              <w:top w:w="60" w:type="dxa"/>
              <w:left w:w="80" w:type="dxa"/>
              <w:bottom w:w="60" w:type="dxa"/>
              <w:right w:w="80" w:type="dxa"/>
            </w:tcMar>
          </w:tcPr>
          <w:p w14:paraId="168270C5" w14:textId="77777777" w:rsidR="008E046C" w:rsidRDefault="00000000" w:rsidP="009D41F1">
            <w:pPr>
              <w:spacing w:before="100" w:beforeAutospacing="1" w:after="100" w:afterAutospacing="1"/>
            </w:pPr>
            <w:r>
              <w:rPr>
                <w:sz w:val="18"/>
                <w:szCs w:val="18"/>
              </w:rPr>
              <w:t>Opsomer et al. (2000); Walsh et al. (2007)</w:t>
            </w:r>
          </w:p>
        </w:tc>
      </w:tr>
      <w:tr w:rsidR="008E046C" w14:paraId="342E08EC" w14:textId="77777777">
        <w:tc>
          <w:tcPr>
            <w:tcW w:w="1616" w:type="dxa"/>
            <w:tcMar>
              <w:top w:w="60" w:type="dxa"/>
              <w:left w:w="80" w:type="dxa"/>
              <w:bottom w:w="60" w:type="dxa"/>
              <w:right w:w="80" w:type="dxa"/>
            </w:tcMar>
          </w:tcPr>
          <w:p w14:paraId="45B32B27" w14:textId="77777777" w:rsidR="008E046C" w:rsidRDefault="00000000" w:rsidP="009D41F1">
            <w:pPr>
              <w:spacing w:before="100" w:beforeAutospacing="1" w:after="100" w:afterAutospacing="1"/>
            </w:pPr>
            <w:r>
              <w:rPr>
                <w:sz w:val="18"/>
                <w:szCs w:val="18"/>
              </w:rPr>
              <w:t>Strong uterine inflammation is regarded as harmful</w:t>
            </w:r>
          </w:p>
        </w:tc>
        <w:tc>
          <w:tcPr>
            <w:tcW w:w="1616" w:type="dxa"/>
            <w:tcMar>
              <w:top w:w="60" w:type="dxa"/>
              <w:left w:w="80" w:type="dxa"/>
              <w:bottom w:w="60" w:type="dxa"/>
              <w:right w:w="80" w:type="dxa"/>
            </w:tcMar>
          </w:tcPr>
          <w:p w14:paraId="058B51C3" w14:textId="77777777" w:rsidR="008E046C" w:rsidRDefault="00000000" w:rsidP="009D41F1">
            <w:pPr>
              <w:spacing w:before="100" w:beforeAutospacing="1" w:after="100" w:afterAutospacing="1"/>
            </w:pPr>
            <w:r>
              <w:rPr>
                <w:sz w:val="18"/>
                <w:szCs w:val="18"/>
              </w:rPr>
              <w:t>Robust early polymorphonuclear recruitment predicted an ovulatory first dominant follicle</w:t>
            </w:r>
          </w:p>
        </w:tc>
        <w:tc>
          <w:tcPr>
            <w:tcW w:w="1616" w:type="dxa"/>
            <w:tcMar>
              <w:top w:w="60" w:type="dxa"/>
              <w:left w:w="80" w:type="dxa"/>
              <w:bottom w:w="60" w:type="dxa"/>
              <w:right w:w="80" w:type="dxa"/>
            </w:tcMar>
          </w:tcPr>
          <w:p w14:paraId="4CCC4A1B" w14:textId="77777777" w:rsidR="008E046C" w:rsidRDefault="00000000" w:rsidP="009D41F1">
            <w:pPr>
              <w:spacing w:before="100" w:beforeAutospacing="1" w:after="100" w:afterAutospacing="1"/>
            </w:pPr>
            <w:r>
              <w:rPr>
                <w:sz w:val="18"/>
                <w:szCs w:val="18"/>
              </w:rPr>
              <w:t>Acute response at calving versus persistent inflammation later</w:t>
            </w:r>
          </w:p>
        </w:tc>
        <w:tc>
          <w:tcPr>
            <w:tcW w:w="1616" w:type="dxa"/>
            <w:tcMar>
              <w:top w:w="60" w:type="dxa"/>
              <w:left w:w="80" w:type="dxa"/>
              <w:bottom w:w="60" w:type="dxa"/>
              <w:right w:w="80" w:type="dxa"/>
            </w:tcMar>
          </w:tcPr>
          <w:p w14:paraId="5443C45A" w14:textId="77777777" w:rsidR="008E046C" w:rsidRDefault="00000000" w:rsidP="009D41F1">
            <w:pPr>
              <w:spacing w:before="100" w:beforeAutospacing="1" w:after="100" w:afterAutospacing="1"/>
            </w:pPr>
            <w:r>
              <w:rPr>
                <w:sz w:val="18"/>
                <w:szCs w:val="18"/>
              </w:rPr>
              <w:t>An appropriate acute response is protective; failure to resolve is harmful</w:t>
            </w:r>
          </w:p>
        </w:tc>
        <w:tc>
          <w:tcPr>
            <w:tcW w:w="1616" w:type="dxa"/>
            <w:tcMar>
              <w:top w:w="60" w:type="dxa"/>
              <w:left w:w="80" w:type="dxa"/>
              <w:bottom w:w="60" w:type="dxa"/>
              <w:right w:w="80" w:type="dxa"/>
            </w:tcMar>
          </w:tcPr>
          <w:p w14:paraId="46D082AB" w14:textId="77777777" w:rsidR="008E046C" w:rsidRDefault="00000000" w:rsidP="009D41F1">
            <w:pPr>
              <w:spacing w:before="100" w:beforeAutospacing="1" w:after="100" w:afterAutospacing="1"/>
            </w:pPr>
            <w:r>
              <w:rPr>
                <w:sz w:val="18"/>
                <w:szCs w:val="18"/>
              </w:rPr>
              <w:t>The threshold separating appropriate from excessive response is undefined</w:t>
            </w:r>
          </w:p>
        </w:tc>
        <w:tc>
          <w:tcPr>
            <w:tcW w:w="1620" w:type="dxa"/>
            <w:tcMar>
              <w:top w:w="60" w:type="dxa"/>
              <w:left w:w="80" w:type="dxa"/>
              <w:bottom w:w="60" w:type="dxa"/>
              <w:right w:w="80" w:type="dxa"/>
            </w:tcMar>
          </w:tcPr>
          <w:p w14:paraId="4831A905" w14:textId="77777777" w:rsidR="008E046C" w:rsidRDefault="00000000" w:rsidP="009D41F1">
            <w:pPr>
              <w:spacing w:before="100" w:beforeAutospacing="1" w:after="100" w:afterAutospacing="1"/>
            </w:pPr>
            <w:r>
              <w:rPr>
                <w:sz w:val="18"/>
                <w:szCs w:val="18"/>
              </w:rPr>
              <w:t>Cheong et al. (2017); Pascottini and LeBlanc (2020)</w:t>
            </w:r>
          </w:p>
        </w:tc>
      </w:tr>
      <w:tr w:rsidR="008E046C" w14:paraId="3AAF73CE" w14:textId="77777777">
        <w:tc>
          <w:tcPr>
            <w:tcW w:w="1616" w:type="dxa"/>
            <w:tcMar>
              <w:top w:w="60" w:type="dxa"/>
              <w:left w:w="80" w:type="dxa"/>
              <w:bottom w:w="60" w:type="dxa"/>
              <w:right w:w="80" w:type="dxa"/>
            </w:tcMar>
          </w:tcPr>
          <w:p w14:paraId="651912FC" w14:textId="77777777" w:rsidR="008E046C" w:rsidRDefault="00000000" w:rsidP="009D41F1">
            <w:pPr>
              <w:spacing w:before="100" w:beforeAutospacing="1" w:after="100" w:afterAutospacing="1"/>
            </w:pPr>
            <w:r>
              <w:rPr>
                <w:sz w:val="18"/>
                <w:szCs w:val="18"/>
              </w:rPr>
              <w:t>Uterine disease is associated with delayed ovarian rebound in field studies</w:t>
            </w:r>
          </w:p>
        </w:tc>
        <w:tc>
          <w:tcPr>
            <w:tcW w:w="1616" w:type="dxa"/>
            <w:tcMar>
              <w:top w:w="60" w:type="dxa"/>
              <w:left w:w="80" w:type="dxa"/>
              <w:bottom w:w="60" w:type="dxa"/>
              <w:right w:w="80" w:type="dxa"/>
            </w:tcMar>
          </w:tcPr>
          <w:p w14:paraId="0DFA31CE" w14:textId="77777777" w:rsidR="008E046C" w:rsidRDefault="00000000" w:rsidP="009D41F1">
            <w:pPr>
              <w:spacing w:before="100" w:beforeAutospacing="1" w:after="100" w:afterAutospacing="1"/>
            </w:pPr>
            <w:r>
              <w:rPr>
                <w:sz w:val="18"/>
                <w:szCs w:val="18"/>
              </w:rPr>
              <w:t>Cytological endometritis showed no association with uterine or cervical dimensions in clinically healthy cows</w:t>
            </w:r>
          </w:p>
        </w:tc>
        <w:tc>
          <w:tcPr>
            <w:tcW w:w="1616" w:type="dxa"/>
            <w:tcMar>
              <w:top w:w="60" w:type="dxa"/>
              <w:left w:w="80" w:type="dxa"/>
              <w:bottom w:w="60" w:type="dxa"/>
              <w:right w:w="80" w:type="dxa"/>
            </w:tcMar>
          </w:tcPr>
          <w:p w14:paraId="525560A9" w14:textId="77777777" w:rsidR="008E046C" w:rsidRDefault="00000000" w:rsidP="009D41F1">
            <w:pPr>
              <w:spacing w:before="100" w:beforeAutospacing="1" w:after="100" w:afterAutospacing="1"/>
            </w:pPr>
            <w:r>
              <w:rPr>
                <w:sz w:val="18"/>
                <w:szCs w:val="18"/>
              </w:rPr>
              <w:t>Fertility and endocrine endpoints versus dimensional endpoints</w:t>
            </w:r>
          </w:p>
        </w:tc>
        <w:tc>
          <w:tcPr>
            <w:tcW w:w="1616" w:type="dxa"/>
            <w:tcMar>
              <w:top w:w="60" w:type="dxa"/>
              <w:left w:w="80" w:type="dxa"/>
              <w:bottom w:w="60" w:type="dxa"/>
              <w:right w:w="80" w:type="dxa"/>
            </w:tcMar>
          </w:tcPr>
          <w:p w14:paraId="306A0F68" w14:textId="77777777" w:rsidR="008E046C" w:rsidRDefault="00000000" w:rsidP="009D41F1">
            <w:pPr>
              <w:spacing w:before="100" w:beforeAutospacing="1" w:after="100" w:afterAutospacing="1"/>
            </w:pPr>
            <w:r>
              <w:rPr>
                <w:sz w:val="18"/>
                <w:szCs w:val="18"/>
              </w:rPr>
              <w:t>Inflammation and organ size are distinct phenotypes with different determinants</w:t>
            </w:r>
          </w:p>
        </w:tc>
        <w:tc>
          <w:tcPr>
            <w:tcW w:w="1616" w:type="dxa"/>
            <w:tcMar>
              <w:top w:w="60" w:type="dxa"/>
              <w:left w:w="80" w:type="dxa"/>
              <w:bottom w:w="60" w:type="dxa"/>
              <w:right w:w="80" w:type="dxa"/>
            </w:tcMar>
          </w:tcPr>
          <w:p w14:paraId="6FDDE4B7" w14:textId="77777777" w:rsidR="008E046C" w:rsidRDefault="00000000" w:rsidP="009D41F1">
            <w:pPr>
              <w:spacing w:before="100" w:beforeAutospacing="1" w:after="100" w:afterAutospacing="1"/>
            </w:pPr>
            <w:r>
              <w:rPr>
                <w:sz w:val="18"/>
                <w:szCs w:val="18"/>
              </w:rPr>
              <w:t>Cross-sectional sampling in the dimensional study limits inference</w:t>
            </w:r>
          </w:p>
        </w:tc>
        <w:tc>
          <w:tcPr>
            <w:tcW w:w="1620" w:type="dxa"/>
            <w:tcMar>
              <w:top w:w="60" w:type="dxa"/>
              <w:left w:w="80" w:type="dxa"/>
              <w:bottom w:w="60" w:type="dxa"/>
              <w:right w:w="80" w:type="dxa"/>
            </w:tcMar>
          </w:tcPr>
          <w:p w14:paraId="2E9C3BD0" w14:textId="77777777" w:rsidR="008E046C" w:rsidRDefault="00000000" w:rsidP="009D41F1">
            <w:pPr>
              <w:spacing w:before="100" w:beforeAutospacing="1" w:after="100" w:afterAutospacing="1"/>
            </w:pPr>
            <w:r>
              <w:rPr>
                <w:sz w:val="18"/>
                <w:szCs w:val="18"/>
              </w:rPr>
              <w:t>Dubuc et al. (2012); Tobolski, Bogado Pascottini, et al. (2025)</w:t>
            </w:r>
          </w:p>
        </w:tc>
      </w:tr>
      <w:tr w:rsidR="008E046C" w14:paraId="2FE3F2FE" w14:textId="77777777">
        <w:tc>
          <w:tcPr>
            <w:tcW w:w="1616" w:type="dxa"/>
            <w:tcMar>
              <w:top w:w="60" w:type="dxa"/>
              <w:left w:w="80" w:type="dxa"/>
              <w:bottom w:w="60" w:type="dxa"/>
              <w:right w:w="80" w:type="dxa"/>
            </w:tcMar>
          </w:tcPr>
          <w:p w14:paraId="77FA661F" w14:textId="77777777" w:rsidR="008E046C" w:rsidRDefault="00000000" w:rsidP="009D41F1">
            <w:pPr>
              <w:spacing w:before="100" w:beforeAutospacing="1" w:after="100" w:afterAutospacing="1"/>
            </w:pPr>
            <w:r>
              <w:rPr>
                <w:sz w:val="18"/>
                <w:szCs w:val="18"/>
              </w:rPr>
              <w:t>Lactation is expected to impair involution through metabolic load</w:t>
            </w:r>
          </w:p>
        </w:tc>
        <w:tc>
          <w:tcPr>
            <w:tcW w:w="1616" w:type="dxa"/>
            <w:tcMar>
              <w:top w:w="60" w:type="dxa"/>
              <w:left w:w="80" w:type="dxa"/>
              <w:bottom w:w="60" w:type="dxa"/>
              <w:right w:w="80" w:type="dxa"/>
            </w:tcMar>
          </w:tcPr>
          <w:p w14:paraId="5C2CAD9E" w14:textId="77777777" w:rsidR="008E046C" w:rsidRDefault="00000000" w:rsidP="009D41F1">
            <w:pPr>
              <w:spacing w:before="100" w:beforeAutospacing="1" w:after="100" w:afterAutospacing="1"/>
            </w:pPr>
            <w:r>
              <w:rPr>
                <w:sz w:val="18"/>
                <w:szCs w:val="18"/>
              </w:rPr>
              <w:t>Non-lactating cows had larger uterine body diameter and greater fluid volume than lactating cows to day 42</w:t>
            </w:r>
          </w:p>
        </w:tc>
        <w:tc>
          <w:tcPr>
            <w:tcW w:w="1616" w:type="dxa"/>
            <w:tcMar>
              <w:top w:w="60" w:type="dxa"/>
              <w:left w:w="80" w:type="dxa"/>
              <w:bottom w:w="60" w:type="dxa"/>
              <w:right w:w="80" w:type="dxa"/>
            </w:tcMar>
          </w:tcPr>
          <w:p w14:paraId="390D7811" w14:textId="77777777" w:rsidR="008E046C" w:rsidRDefault="00000000" w:rsidP="009D41F1">
            <w:pPr>
              <w:spacing w:before="100" w:beforeAutospacing="1" w:after="100" w:afterAutospacing="1"/>
            </w:pPr>
            <w:r>
              <w:rPr>
                <w:sz w:val="18"/>
                <w:szCs w:val="18"/>
              </w:rPr>
              <w:t>Randomised drying off at calving versus observational comparison of yield</w:t>
            </w:r>
          </w:p>
        </w:tc>
        <w:tc>
          <w:tcPr>
            <w:tcW w:w="1616" w:type="dxa"/>
            <w:tcMar>
              <w:top w:w="60" w:type="dxa"/>
              <w:left w:w="80" w:type="dxa"/>
              <w:bottom w:w="60" w:type="dxa"/>
              <w:right w:w="80" w:type="dxa"/>
            </w:tcMar>
          </w:tcPr>
          <w:p w14:paraId="54C3ECB5" w14:textId="77777777" w:rsidR="008E046C" w:rsidRDefault="00000000" w:rsidP="009D41F1">
            <w:pPr>
              <w:spacing w:before="100" w:beforeAutospacing="1" w:after="100" w:afterAutospacing="1"/>
            </w:pPr>
            <w:r>
              <w:rPr>
                <w:sz w:val="18"/>
                <w:szCs w:val="18"/>
              </w:rPr>
              <w:t>Mechanical and endocrine effects of lactation partly offset its metabolic cost</w:t>
            </w:r>
          </w:p>
        </w:tc>
        <w:tc>
          <w:tcPr>
            <w:tcW w:w="1616" w:type="dxa"/>
            <w:tcMar>
              <w:top w:w="60" w:type="dxa"/>
              <w:left w:w="80" w:type="dxa"/>
              <w:bottom w:w="60" w:type="dxa"/>
              <w:right w:w="80" w:type="dxa"/>
            </w:tcMar>
          </w:tcPr>
          <w:p w14:paraId="7B5CAEFF" w14:textId="77777777" w:rsidR="008E046C" w:rsidRDefault="00000000" w:rsidP="009D41F1">
            <w:pPr>
              <w:spacing w:before="100" w:beforeAutospacing="1" w:after="100" w:afterAutospacing="1"/>
            </w:pPr>
            <w:r>
              <w:rPr>
                <w:sz w:val="18"/>
                <w:szCs w:val="18"/>
              </w:rPr>
              <w:t>Small sample of primiparous cows only</w:t>
            </w:r>
          </w:p>
        </w:tc>
        <w:tc>
          <w:tcPr>
            <w:tcW w:w="1620" w:type="dxa"/>
            <w:tcMar>
              <w:top w:w="60" w:type="dxa"/>
              <w:left w:w="80" w:type="dxa"/>
              <w:bottom w:w="60" w:type="dxa"/>
              <w:right w:w="80" w:type="dxa"/>
            </w:tcMar>
          </w:tcPr>
          <w:p w14:paraId="2DB26546" w14:textId="77777777" w:rsidR="008E046C" w:rsidRDefault="00000000" w:rsidP="009D41F1">
            <w:pPr>
              <w:spacing w:before="100" w:beforeAutospacing="1" w:after="100" w:afterAutospacing="1"/>
            </w:pPr>
            <w:r>
              <w:rPr>
                <w:sz w:val="18"/>
                <w:szCs w:val="18"/>
              </w:rPr>
              <w:t>Scully et al. (2013)</w:t>
            </w:r>
          </w:p>
        </w:tc>
      </w:tr>
    </w:tbl>
    <w:p w14:paraId="56EDB577" w14:textId="77777777" w:rsidR="008E046C" w:rsidRDefault="00000000" w:rsidP="009D41F1">
      <w:pPr>
        <w:spacing w:before="100" w:beforeAutospacing="1" w:after="100" w:afterAutospacing="1"/>
      </w:pPr>
      <w:r>
        <w:rPr>
          <w:sz w:val="18"/>
          <w:szCs w:val="18"/>
        </w:rPr>
        <w:t>Note. The table summarises interpretive positions supported by the cited studies and does not imply that any single explanation has been experimentally confirmed.</w:t>
      </w:r>
    </w:p>
    <w:p w14:paraId="78578319" w14:textId="77777777" w:rsidR="008E046C" w:rsidRDefault="00000000" w:rsidP="009D41F1">
      <w:pPr>
        <w:pStyle w:val="Heading1"/>
        <w:spacing w:before="100" w:beforeAutospacing="1" w:after="100" w:afterAutospacing="1"/>
      </w:pPr>
      <w:r>
        <w:rPr>
          <w:b/>
          <w:bCs/>
          <w:sz w:val="26"/>
          <w:szCs w:val="26"/>
        </w:rPr>
        <w:t>8. Translating the Evidence into Management</w:t>
      </w:r>
    </w:p>
    <w:p w14:paraId="504D535D" w14:textId="77777777" w:rsidR="008E046C" w:rsidRDefault="00000000" w:rsidP="009D41F1">
      <w:pPr>
        <w:pStyle w:val="Heading2"/>
        <w:spacing w:before="100" w:beforeAutospacing="1" w:after="100" w:afterAutospacing="1"/>
      </w:pPr>
      <w:r>
        <w:rPr>
          <w:b/>
          <w:bCs/>
          <w:sz w:val="24"/>
          <w:szCs w:val="24"/>
        </w:rPr>
        <w:t>8.1 Hormonal, ecbolic and antimicrobial intervention</w:t>
      </w:r>
    </w:p>
    <w:p w14:paraId="4183E53C" w14:textId="77777777" w:rsidR="008E046C" w:rsidRDefault="00000000" w:rsidP="009D41F1">
      <w:pPr>
        <w:spacing w:before="100" w:beforeAutospacing="1" w:after="100" w:afterAutospacing="1"/>
        <w:jc w:val="both"/>
      </w:pPr>
      <w:r>
        <w:t xml:space="preserve">Interventions directed at the early postpartum uterus have a long history and a modest evidence base. Ecbolic therapy intended to promote uterine evacuation in the early postpartum period was evaluated against involution and reproductive health outcomes and did not produce the benefits that its rationale predicts (Stephen et al., 2019). Early administration of prostaglandin F2α to cows with acute puerperal metritis influenced involution and fertility in an older controlled study (Melendez et al., 2004), but a </w:t>
      </w:r>
      <w:r>
        <w:lastRenderedPageBreak/>
        <w:t>randomised clinical trial comparing antibiotic and prostaglandin treatments for uterine health and reproductive performance found that the benefit depended on the disease phenotype treated rather than applying generally (Dubuc et al., 2011). One or two treatments with prostaglandin F2α before timed insemination did not improve fertility in cows with subclinical endometritis (Lima et al., 2013). The pattern across these studies is that ecbolic and luteolytic approaches have repeatedly failed to deliver benefits proportionate to their physiological rationale, which is more consistent with the reinterpretation proposed above than with the conventional account.</w:t>
      </w:r>
    </w:p>
    <w:p w14:paraId="7BFE0F73" w14:textId="77777777" w:rsidR="008E046C" w:rsidRDefault="00000000" w:rsidP="009D41F1">
      <w:pPr>
        <w:spacing w:before="100" w:beforeAutospacing="1" w:after="100" w:afterAutospacing="1"/>
        <w:jc w:val="both"/>
      </w:pPr>
      <w:r>
        <w:t>Treatment of clinical metritis with systemic antimicrobials remains standard, and a randomised comparison of ketoprofen with ceftiofur addressed the question of whether anti-inflammatory treatment could substitute for antimicrobial treatment (Paiano et al., 2024). Anti-inflammatory intervention more broadly has been tested against systemic inflammation, immune function and endometrial health in postpartum cows, with effects on intermediate markers that did not translate consistently into improved uterine health (Pascottini et al., 2020). These trials are among the better designed in the field, and their largely null or conditional results are informative: they suggest that by the time inflammation is clinically apparent, the determinants of the trajectory have already operated.</w:t>
      </w:r>
    </w:p>
    <w:p w14:paraId="5CA3BB1E" w14:textId="77777777" w:rsidR="008E046C" w:rsidRDefault="00000000" w:rsidP="009D41F1">
      <w:pPr>
        <w:spacing w:before="100" w:beforeAutospacing="1" w:after="100" w:afterAutospacing="1"/>
        <w:jc w:val="both"/>
      </w:pPr>
      <w:r>
        <w:t>Gonadotrophin-releasing hormone and prostaglandin F2α administered in the fifth week after calving affected the incidence of cystic ovarian follicles and persistent corpora lutea and altered fertility parameters (Lüttgenau et al., 2016), and presynchronisation strategies before timed insemination improve fertility at first service through better control of follicular and luteal status at the time of insemination (Souza et al., 2008). These ovarian interventions have a clearer evidence base than the uterine ones, but they act on the breeding decision rather than on recovery itself. Extending the voluntary waiting period from 60 to 88 days in cows receiving timed insemination altered reproductive performance, herd exit dynamics and lactation performance, illustrating that the timing of first service is itself a manipulable determinant of outcomes rather than a fixed constraint (Stangaferro et al., 2018).</w:t>
      </w:r>
    </w:p>
    <w:p w14:paraId="104E4FFC" w14:textId="77777777" w:rsidR="008E046C" w:rsidRDefault="00000000" w:rsidP="009D41F1">
      <w:pPr>
        <w:pStyle w:val="Heading2"/>
        <w:spacing w:before="100" w:beforeAutospacing="1" w:after="100" w:afterAutospacing="1"/>
      </w:pPr>
      <w:r>
        <w:rPr>
          <w:b/>
          <w:bCs/>
          <w:sz w:val="24"/>
          <w:szCs w:val="24"/>
        </w:rPr>
        <w:t>8.2 Nutritional, metabolic and preventive strategies</w:t>
      </w:r>
    </w:p>
    <w:p w14:paraId="275F211C" w14:textId="77777777" w:rsidR="008E046C" w:rsidRDefault="00000000" w:rsidP="009D41F1">
      <w:pPr>
        <w:spacing w:before="100" w:beforeAutospacing="1" w:after="100" w:afterAutospacing="1"/>
        <w:jc w:val="both"/>
      </w:pPr>
      <w:r>
        <w:t>Preventive approaches have the strongest theoretical claim, because they address the shared upstream determinant. Nutritional management before and after calving aimed at moderating the depth and duration of negative energy balance is supported by mechanistic and intervention evidence (Butler et al., 2006; Drackley &amp; Cardoso, 2014), and dry-period metabolic status is itself associated with the subsequent resumption of ovarian activity (Castro et al., 2012). Management of body condition across the dry period and early lactation follows from the same evidence (Roche et al., 2009). Mineral management has acquired additional justification from the association between fourth-week calcium concentration and involution and from the wider evidence on periparturient mineral metabolism (Tobolski, Bogado Pascottini, et al., 2025; Vieira-Neto et al., 2024).</w:t>
      </w:r>
    </w:p>
    <w:p w14:paraId="0785E93F" w14:textId="77777777" w:rsidR="008E046C" w:rsidRDefault="00000000" w:rsidP="009D41F1">
      <w:pPr>
        <w:spacing w:before="100" w:beforeAutospacing="1" w:after="100" w:afterAutospacing="1"/>
        <w:jc w:val="both"/>
      </w:pPr>
      <w:r>
        <w:t>More specific nutritional interventions have weaker support. Rumen-protected glucose hastened involution and increased follicle numbers in a small trial with physiological endpoints (Karimi et al., 2023), and intravaginally administered lactic acid bacteria were reported to expedite involution and modify hormonal profiles (Deng et al., 2015). Neither has been replicated at a scale, or with fertility endpoints, sufficient to justify recommendation. Heat stress mitigation has a stronger claim, since whole-body adaptations to heat stress have well-described reproductive consequences that extend into the postpartum period (Rhoads, 2023), although the direct evidence linking cooling strategies specifically to involution and to first ovulation is thinner than the evidence linking them to conception outcomes.</w:t>
      </w:r>
    </w:p>
    <w:p w14:paraId="3751C099" w14:textId="77777777" w:rsidR="008E046C" w:rsidRDefault="00000000" w:rsidP="009D41F1">
      <w:pPr>
        <w:pStyle w:val="Heading2"/>
        <w:spacing w:before="100" w:beforeAutospacing="1" w:after="100" w:afterAutospacing="1"/>
      </w:pPr>
      <w:r>
        <w:rPr>
          <w:b/>
          <w:bCs/>
          <w:sz w:val="24"/>
          <w:szCs w:val="24"/>
        </w:rPr>
        <w:t>8.3 Monitoring, genetics and the shape of future programmes</w:t>
      </w:r>
    </w:p>
    <w:p w14:paraId="56567596" w14:textId="77777777" w:rsidR="008E046C" w:rsidRDefault="00000000" w:rsidP="009D41F1">
      <w:pPr>
        <w:spacing w:before="100" w:beforeAutospacing="1" w:after="100" w:afterAutospacing="1"/>
        <w:jc w:val="both"/>
      </w:pPr>
      <w:r>
        <w:t xml:space="preserve">Monitoring strategies now permit earlier and more precise identification of cows at risk. Inflammatory and metabolic markers measured in the first weeks of lactation discriminate cows that will develop </w:t>
      </w:r>
      <w:r>
        <w:lastRenderedPageBreak/>
        <w:t>chronic reproductive tract disease before it is clinically evident (Bruinjé et al., 2026), and targeted reproductive management informed by transition-cow health has been articulated as a coherent framework (Bruinjé &amp; LeBlanc, 2024). Sensor-based prediction of metritis is feasible, with the caveat that reported performance is sensitive to data-processing choices (Vidal et al., 2023). In-line progesterone data support both individual management and population-level genetic evaluation (Bruinjé et al., 2019; Tarekegn et al., 2019). The broader technological trajectory of dairy reproductive management has been characterised as an intersection between biological understanding and continuous measurement (Lucy, 2025).</w:t>
      </w:r>
    </w:p>
    <w:p w14:paraId="4DE9EAAF" w14:textId="77777777" w:rsidR="008E046C" w:rsidRDefault="00000000" w:rsidP="009D41F1">
      <w:pPr>
        <w:spacing w:before="100" w:beforeAutospacing="1" w:after="100" w:afterAutospacing="1"/>
        <w:jc w:val="both"/>
      </w:pPr>
      <w:r>
        <w:t>Genetic approaches offer the only intervention that acts before the transition period begins. Fertility traits are heritable and have been incorporated into genomic evaluation (Ma et al., 2019), cows differing in genomic merit for fertility differ in postpartum physiology (Sitko et al., 2024), and the interaction between genetic merit and feeding system means that genetic gain must be evaluated within the system in which it is to be expressed (Bedere et al., 2016; Berry, 2018). The concept of a self-reinforcing cycle in which cows that recover well and conceive early enter the next lactation in better condition provides a useful frame for integrating genetic, nutritional and management interventions, although it should be treated as an organising heuristic rather than a demonstrated mechanism (Fricke et al., 2023).</w:t>
      </w:r>
    </w:p>
    <w:p w14:paraId="21DD2AB2" w14:textId="77777777" w:rsidR="008E046C" w:rsidRDefault="00000000" w:rsidP="009D41F1">
      <w:pPr>
        <w:spacing w:before="100" w:beforeAutospacing="1" w:after="100" w:afterAutospacing="1"/>
        <w:jc w:val="both"/>
      </w:pPr>
      <w:r>
        <w:t>Table 5 summarises the interventions for which controlled evidence exists, together with the outcome on which each was tested and the strength of the supporting evidence. The distribution is instructive: interventions acting on the breeding decision and on transition-period nutrition have the better evidence, while those acting directly on the involuting uterus have repeatedly failed to demonstrate benefit against fertility endpoints.</w:t>
      </w:r>
    </w:p>
    <w:p w14:paraId="3CBBB074" w14:textId="77777777" w:rsidR="008E046C" w:rsidRDefault="00000000" w:rsidP="009D41F1">
      <w:pPr>
        <w:spacing w:before="100" w:beforeAutospacing="1" w:after="100" w:afterAutospacing="1"/>
      </w:pPr>
      <w:r>
        <w:rPr>
          <w:b/>
          <w:bCs/>
          <w:sz w:val="22"/>
          <w:szCs w:val="22"/>
        </w:rPr>
        <w:t>Table 5. Interventions evaluated against postpartum uterine or ovarian recovery, with the outcome tested and strength of supporting evidence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165BEAE1" w14:textId="77777777">
        <w:trPr>
          <w:tblHeader/>
        </w:trPr>
        <w:tc>
          <w:tcPr>
            <w:tcW w:w="1616" w:type="dxa"/>
            <w:shd w:val="clear" w:color="auto" w:fill="E8E8E8"/>
            <w:tcMar>
              <w:top w:w="60" w:type="dxa"/>
              <w:left w:w="80" w:type="dxa"/>
              <w:bottom w:w="60" w:type="dxa"/>
              <w:right w:w="80" w:type="dxa"/>
            </w:tcMar>
          </w:tcPr>
          <w:p w14:paraId="076D180D" w14:textId="77777777" w:rsidR="008E046C" w:rsidRDefault="00000000" w:rsidP="009D41F1">
            <w:pPr>
              <w:spacing w:before="100" w:beforeAutospacing="1" w:after="100" w:afterAutospacing="1"/>
            </w:pPr>
            <w:r>
              <w:rPr>
                <w:b/>
                <w:bCs/>
                <w:sz w:val="18"/>
                <w:szCs w:val="18"/>
              </w:rPr>
              <w:t>Intervention</w:t>
            </w:r>
          </w:p>
        </w:tc>
        <w:tc>
          <w:tcPr>
            <w:tcW w:w="1616" w:type="dxa"/>
            <w:shd w:val="clear" w:color="auto" w:fill="E8E8E8"/>
            <w:tcMar>
              <w:top w:w="60" w:type="dxa"/>
              <w:left w:w="80" w:type="dxa"/>
              <w:bottom w:w="60" w:type="dxa"/>
              <w:right w:w="80" w:type="dxa"/>
            </w:tcMar>
          </w:tcPr>
          <w:p w14:paraId="7F407041" w14:textId="77777777" w:rsidR="008E046C" w:rsidRDefault="00000000" w:rsidP="009D41F1">
            <w:pPr>
              <w:spacing w:before="100" w:beforeAutospacing="1" w:after="100" w:afterAutospacing="1"/>
            </w:pPr>
            <w:r>
              <w:rPr>
                <w:b/>
                <w:bCs/>
                <w:sz w:val="18"/>
                <w:szCs w:val="18"/>
              </w:rPr>
              <w:t>Target process</w:t>
            </w:r>
          </w:p>
        </w:tc>
        <w:tc>
          <w:tcPr>
            <w:tcW w:w="1616" w:type="dxa"/>
            <w:shd w:val="clear" w:color="auto" w:fill="E8E8E8"/>
            <w:tcMar>
              <w:top w:w="60" w:type="dxa"/>
              <w:left w:w="80" w:type="dxa"/>
              <w:bottom w:w="60" w:type="dxa"/>
              <w:right w:w="80" w:type="dxa"/>
            </w:tcMar>
          </w:tcPr>
          <w:p w14:paraId="661F5D08" w14:textId="77777777" w:rsidR="008E046C" w:rsidRDefault="00000000" w:rsidP="009D41F1">
            <w:pPr>
              <w:spacing w:before="100" w:beforeAutospacing="1" w:after="100" w:afterAutospacing="1"/>
            </w:pPr>
            <w:r>
              <w:rPr>
                <w:b/>
                <w:bCs/>
                <w:sz w:val="18"/>
                <w:szCs w:val="18"/>
              </w:rPr>
              <w:t>Outcome on which tested</w:t>
            </w:r>
          </w:p>
        </w:tc>
        <w:tc>
          <w:tcPr>
            <w:tcW w:w="1616" w:type="dxa"/>
            <w:shd w:val="clear" w:color="auto" w:fill="E8E8E8"/>
            <w:tcMar>
              <w:top w:w="60" w:type="dxa"/>
              <w:left w:w="80" w:type="dxa"/>
              <w:bottom w:w="60" w:type="dxa"/>
              <w:right w:w="80" w:type="dxa"/>
            </w:tcMar>
          </w:tcPr>
          <w:p w14:paraId="5C40D9A4" w14:textId="77777777" w:rsidR="008E046C" w:rsidRDefault="00000000" w:rsidP="009D41F1">
            <w:pPr>
              <w:spacing w:before="100" w:beforeAutospacing="1" w:after="100" w:afterAutospacing="1"/>
            </w:pPr>
            <w:r>
              <w:rPr>
                <w:b/>
                <w:bCs/>
                <w:sz w:val="18"/>
                <w:szCs w:val="18"/>
              </w:rPr>
              <w:t>Direction of reported effect</w:t>
            </w:r>
          </w:p>
        </w:tc>
        <w:tc>
          <w:tcPr>
            <w:tcW w:w="1616" w:type="dxa"/>
            <w:shd w:val="clear" w:color="auto" w:fill="E8E8E8"/>
            <w:tcMar>
              <w:top w:w="60" w:type="dxa"/>
              <w:left w:w="80" w:type="dxa"/>
              <w:bottom w:w="60" w:type="dxa"/>
              <w:right w:w="80" w:type="dxa"/>
            </w:tcMar>
          </w:tcPr>
          <w:p w14:paraId="3EEA4B56" w14:textId="77777777" w:rsidR="008E046C" w:rsidRDefault="00000000" w:rsidP="009D41F1">
            <w:pPr>
              <w:spacing w:before="100" w:beforeAutospacing="1" w:after="100" w:afterAutospacing="1"/>
            </w:pPr>
            <w:r>
              <w:rPr>
                <w:b/>
                <w:bCs/>
                <w:sz w:val="18"/>
                <w:szCs w:val="18"/>
              </w:rPr>
              <w:t>Strength of evidence and limitation</w:t>
            </w:r>
          </w:p>
        </w:tc>
        <w:tc>
          <w:tcPr>
            <w:tcW w:w="1620" w:type="dxa"/>
            <w:shd w:val="clear" w:color="auto" w:fill="E8E8E8"/>
            <w:tcMar>
              <w:top w:w="60" w:type="dxa"/>
              <w:left w:w="80" w:type="dxa"/>
              <w:bottom w:w="60" w:type="dxa"/>
              <w:right w:w="80" w:type="dxa"/>
            </w:tcMar>
          </w:tcPr>
          <w:p w14:paraId="3D58E527" w14:textId="77777777" w:rsidR="008E046C" w:rsidRDefault="00000000" w:rsidP="009D41F1">
            <w:pPr>
              <w:spacing w:before="100" w:beforeAutospacing="1" w:after="100" w:afterAutospacing="1"/>
            </w:pPr>
            <w:r>
              <w:rPr>
                <w:b/>
                <w:bCs/>
                <w:sz w:val="18"/>
                <w:szCs w:val="18"/>
              </w:rPr>
              <w:t>Supporting references</w:t>
            </w:r>
          </w:p>
        </w:tc>
      </w:tr>
      <w:tr w:rsidR="008E046C" w14:paraId="26F5577F" w14:textId="77777777">
        <w:tc>
          <w:tcPr>
            <w:tcW w:w="1616" w:type="dxa"/>
            <w:tcMar>
              <w:top w:w="60" w:type="dxa"/>
              <w:left w:w="80" w:type="dxa"/>
              <w:bottom w:w="60" w:type="dxa"/>
              <w:right w:w="80" w:type="dxa"/>
            </w:tcMar>
          </w:tcPr>
          <w:p w14:paraId="5F4E67D1" w14:textId="77777777" w:rsidR="008E046C" w:rsidRDefault="00000000" w:rsidP="009D41F1">
            <w:pPr>
              <w:spacing w:before="100" w:beforeAutospacing="1" w:after="100" w:afterAutospacing="1"/>
            </w:pPr>
            <w:r>
              <w:rPr>
                <w:sz w:val="18"/>
                <w:szCs w:val="18"/>
              </w:rPr>
              <w:t>Ecbolic therapy in the early puerperium</w:t>
            </w:r>
          </w:p>
        </w:tc>
        <w:tc>
          <w:tcPr>
            <w:tcW w:w="1616" w:type="dxa"/>
            <w:tcMar>
              <w:top w:w="60" w:type="dxa"/>
              <w:left w:w="80" w:type="dxa"/>
              <w:bottom w:w="60" w:type="dxa"/>
              <w:right w:w="80" w:type="dxa"/>
            </w:tcMar>
          </w:tcPr>
          <w:p w14:paraId="5DF1B1F6" w14:textId="77777777" w:rsidR="008E046C" w:rsidRDefault="00000000" w:rsidP="009D41F1">
            <w:pPr>
              <w:spacing w:before="100" w:beforeAutospacing="1" w:after="100" w:afterAutospacing="1"/>
            </w:pPr>
            <w:r>
              <w:rPr>
                <w:sz w:val="18"/>
                <w:szCs w:val="18"/>
              </w:rPr>
              <w:t>Uterine evacuation</w:t>
            </w:r>
          </w:p>
        </w:tc>
        <w:tc>
          <w:tcPr>
            <w:tcW w:w="1616" w:type="dxa"/>
            <w:tcMar>
              <w:top w:w="60" w:type="dxa"/>
              <w:left w:w="80" w:type="dxa"/>
              <w:bottom w:w="60" w:type="dxa"/>
              <w:right w:w="80" w:type="dxa"/>
            </w:tcMar>
          </w:tcPr>
          <w:p w14:paraId="1C451FEF" w14:textId="77777777" w:rsidR="008E046C" w:rsidRDefault="00000000" w:rsidP="009D41F1">
            <w:pPr>
              <w:spacing w:before="100" w:beforeAutospacing="1" w:after="100" w:afterAutospacing="1"/>
            </w:pPr>
            <w:r>
              <w:rPr>
                <w:sz w:val="18"/>
                <w:szCs w:val="18"/>
              </w:rPr>
              <w:t>Involution and reproductive health</w:t>
            </w:r>
          </w:p>
        </w:tc>
        <w:tc>
          <w:tcPr>
            <w:tcW w:w="1616" w:type="dxa"/>
            <w:tcMar>
              <w:top w:w="60" w:type="dxa"/>
              <w:left w:w="80" w:type="dxa"/>
              <w:bottom w:w="60" w:type="dxa"/>
              <w:right w:w="80" w:type="dxa"/>
            </w:tcMar>
          </w:tcPr>
          <w:p w14:paraId="22E6C714" w14:textId="77777777" w:rsidR="008E046C" w:rsidRDefault="00000000" w:rsidP="009D41F1">
            <w:pPr>
              <w:spacing w:before="100" w:beforeAutospacing="1" w:after="100" w:afterAutospacing="1"/>
            </w:pPr>
            <w:r>
              <w:rPr>
                <w:sz w:val="18"/>
                <w:szCs w:val="18"/>
              </w:rPr>
              <w:t>No consistent benefit</w:t>
            </w:r>
          </w:p>
        </w:tc>
        <w:tc>
          <w:tcPr>
            <w:tcW w:w="1616" w:type="dxa"/>
            <w:tcMar>
              <w:top w:w="60" w:type="dxa"/>
              <w:left w:w="80" w:type="dxa"/>
              <w:bottom w:w="60" w:type="dxa"/>
              <w:right w:w="80" w:type="dxa"/>
            </w:tcMar>
          </w:tcPr>
          <w:p w14:paraId="0A700709" w14:textId="77777777" w:rsidR="008E046C" w:rsidRDefault="00000000" w:rsidP="009D41F1">
            <w:pPr>
              <w:spacing w:before="100" w:beforeAutospacing="1" w:after="100" w:afterAutospacing="1"/>
            </w:pPr>
            <w:r>
              <w:rPr>
                <w:sz w:val="18"/>
                <w:szCs w:val="18"/>
              </w:rPr>
              <w:t>Moderate; controlled study but limited to intermediate endpoints</w:t>
            </w:r>
          </w:p>
        </w:tc>
        <w:tc>
          <w:tcPr>
            <w:tcW w:w="1620" w:type="dxa"/>
            <w:tcMar>
              <w:top w:w="60" w:type="dxa"/>
              <w:left w:w="80" w:type="dxa"/>
              <w:bottom w:w="60" w:type="dxa"/>
              <w:right w:w="80" w:type="dxa"/>
            </w:tcMar>
          </w:tcPr>
          <w:p w14:paraId="06CAA3AA" w14:textId="77777777" w:rsidR="008E046C" w:rsidRDefault="00000000" w:rsidP="009D41F1">
            <w:pPr>
              <w:spacing w:before="100" w:beforeAutospacing="1" w:after="100" w:afterAutospacing="1"/>
            </w:pPr>
            <w:r>
              <w:rPr>
                <w:sz w:val="18"/>
                <w:szCs w:val="18"/>
              </w:rPr>
              <w:t>Stephen et al. (2019)</w:t>
            </w:r>
          </w:p>
        </w:tc>
      </w:tr>
      <w:tr w:rsidR="008E046C" w14:paraId="2797157A" w14:textId="77777777">
        <w:tc>
          <w:tcPr>
            <w:tcW w:w="1616" w:type="dxa"/>
            <w:tcMar>
              <w:top w:w="60" w:type="dxa"/>
              <w:left w:w="80" w:type="dxa"/>
              <w:bottom w:w="60" w:type="dxa"/>
              <w:right w:w="80" w:type="dxa"/>
            </w:tcMar>
          </w:tcPr>
          <w:p w14:paraId="2D2A7975" w14:textId="77777777" w:rsidR="008E046C" w:rsidRDefault="00000000" w:rsidP="009D41F1">
            <w:pPr>
              <w:spacing w:before="100" w:beforeAutospacing="1" w:after="100" w:afterAutospacing="1"/>
            </w:pPr>
            <w:r>
              <w:rPr>
                <w:sz w:val="18"/>
                <w:szCs w:val="18"/>
              </w:rPr>
              <w:t>Prostaglandin F2α for acute puerperal metritis</w:t>
            </w:r>
          </w:p>
        </w:tc>
        <w:tc>
          <w:tcPr>
            <w:tcW w:w="1616" w:type="dxa"/>
            <w:tcMar>
              <w:top w:w="60" w:type="dxa"/>
              <w:left w:w="80" w:type="dxa"/>
              <w:bottom w:w="60" w:type="dxa"/>
              <w:right w:w="80" w:type="dxa"/>
            </w:tcMar>
          </w:tcPr>
          <w:p w14:paraId="51823A92" w14:textId="77777777" w:rsidR="008E046C" w:rsidRDefault="00000000" w:rsidP="009D41F1">
            <w:pPr>
              <w:spacing w:before="100" w:beforeAutospacing="1" w:after="100" w:afterAutospacing="1"/>
            </w:pPr>
            <w:r>
              <w:rPr>
                <w:sz w:val="18"/>
                <w:szCs w:val="18"/>
              </w:rPr>
              <w:t>Uterine clearance</w:t>
            </w:r>
          </w:p>
        </w:tc>
        <w:tc>
          <w:tcPr>
            <w:tcW w:w="1616" w:type="dxa"/>
            <w:tcMar>
              <w:top w:w="60" w:type="dxa"/>
              <w:left w:w="80" w:type="dxa"/>
              <w:bottom w:w="60" w:type="dxa"/>
              <w:right w:w="80" w:type="dxa"/>
            </w:tcMar>
          </w:tcPr>
          <w:p w14:paraId="0C0DCE4E" w14:textId="77777777" w:rsidR="008E046C" w:rsidRDefault="00000000" w:rsidP="009D41F1">
            <w:pPr>
              <w:spacing w:before="100" w:beforeAutospacing="1" w:after="100" w:afterAutospacing="1"/>
            </w:pPr>
            <w:r>
              <w:rPr>
                <w:sz w:val="18"/>
                <w:szCs w:val="18"/>
              </w:rPr>
              <w:t>Involution and fertility</w:t>
            </w:r>
          </w:p>
        </w:tc>
        <w:tc>
          <w:tcPr>
            <w:tcW w:w="1616" w:type="dxa"/>
            <w:tcMar>
              <w:top w:w="60" w:type="dxa"/>
              <w:left w:w="80" w:type="dxa"/>
              <w:bottom w:w="60" w:type="dxa"/>
              <w:right w:w="80" w:type="dxa"/>
            </w:tcMar>
          </w:tcPr>
          <w:p w14:paraId="08B042F5" w14:textId="77777777" w:rsidR="008E046C" w:rsidRDefault="00000000" w:rsidP="009D41F1">
            <w:pPr>
              <w:spacing w:before="100" w:beforeAutospacing="1" w:after="100" w:afterAutospacing="1"/>
            </w:pPr>
            <w:r>
              <w:rPr>
                <w:sz w:val="18"/>
                <w:szCs w:val="18"/>
              </w:rPr>
              <w:t>Benefit reported in cows with clinical disease</w:t>
            </w:r>
          </w:p>
        </w:tc>
        <w:tc>
          <w:tcPr>
            <w:tcW w:w="1616" w:type="dxa"/>
            <w:tcMar>
              <w:top w:w="60" w:type="dxa"/>
              <w:left w:w="80" w:type="dxa"/>
              <w:bottom w:w="60" w:type="dxa"/>
              <w:right w:w="80" w:type="dxa"/>
            </w:tcMar>
          </w:tcPr>
          <w:p w14:paraId="6D056274" w14:textId="77777777" w:rsidR="008E046C" w:rsidRDefault="00000000" w:rsidP="009D41F1">
            <w:pPr>
              <w:spacing w:before="100" w:beforeAutospacing="1" w:after="100" w:afterAutospacing="1"/>
            </w:pPr>
            <w:r>
              <w:rPr>
                <w:sz w:val="18"/>
                <w:szCs w:val="18"/>
              </w:rPr>
              <w:t>Moderate; older design and effect conditional on phenotype treated</w:t>
            </w:r>
          </w:p>
        </w:tc>
        <w:tc>
          <w:tcPr>
            <w:tcW w:w="1620" w:type="dxa"/>
            <w:tcMar>
              <w:top w:w="60" w:type="dxa"/>
              <w:left w:w="80" w:type="dxa"/>
              <w:bottom w:w="60" w:type="dxa"/>
              <w:right w:w="80" w:type="dxa"/>
            </w:tcMar>
          </w:tcPr>
          <w:p w14:paraId="029EF7DA" w14:textId="77777777" w:rsidR="008E046C" w:rsidRDefault="00000000" w:rsidP="009D41F1">
            <w:pPr>
              <w:spacing w:before="100" w:beforeAutospacing="1" w:after="100" w:afterAutospacing="1"/>
            </w:pPr>
            <w:r>
              <w:rPr>
                <w:sz w:val="18"/>
                <w:szCs w:val="18"/>
              </w:rPr>
              <w:t>Dubuc et al. (2011); Melendez et al. (2004)</w:t>
            </w:r>
          </w:p>
        </w:tc>
      </w:tr>
      <w:tr w:rsidR="008E046C" w14:paraId="0375C51A" w14:textId="77777777">
        <w:tc>
          <w:tcPr>
            <w:tcW w:w="1616" w:type="dxa"/>
            <w:tcMar>
              <w:top w:w="60" w:type="dxa"/>
              <w:left w:w="80" w:type="dxa"/>
              <w:bottom w:w="60" w:type="dxa"/>
              <w:right w:w="80" w:type="dxa"/>
            </w:tcMar>
          </w:tcPr>
          <w:p w14:paraId="6A1FB466" w14:textId="77777777" w:rsidR="008E046C" w:rsidRDefault="00000000" w:rsidP="009D41F1">
            <w:pPr>
              <w:spacing w:before="100" w:beforeAutospacing="1" w:after="100" w:afterAutospacing="1"/>
            </w:pPr>
            <w:r>
              <w:rPr>
                <w:sz w:val="18"/>
                <w:szCs w:val="18"/>
              </w:rPr>
              <w:t>Prostaglandin F2α before timed insemination in subclinical endometritis</w:t>
            </w:r>
          </w:p>
        </w:tc>
        <w:tc>
          <w:tcPr>
            <w:tcW w:w="1616" w:type="dxa"/>
            <w:tcMar>
              <w:top w:w="60" w:type="dxa"/>
              <w:left w:w="80" w:type="dxa"/>
              <w:bottom w:w="60" w:type="dxa"/>
              <w:right w:w="80" w:type="dxa"/>
            </w:tcMar>
          </w:tcPr>
          <w:p w14:paraId="5D589E0C" w14:textId="77777777" w:rsidR="008E046C" w:rsidRDefault="00000000" w:rsidP="009D41F1">
            <w:pPr>
              <w:spacing w:before="100" w:beforeAutospacing="1" w:after="100" w:afterAutospacing="1"/>
            </w:pPr>
            <w:r>
              <w:rPr>
                <w:sz w:val="18"/>
                <w:szCs w:val="18"/>
              </w:rPr>
              <w:t>Uterine inflammation</w:t>
            </w:r>
          </w:p>
        </w:tc>
        <w:tc>
          <w:tcPr>
            <w:tcW w:w="1616" w:type="dxa"/>
            <w:tcMar>
              <w:top w:w="60" w:type="dxa"/>
              <w:left w:w="80" w:type="dxa"/>
              <w:bottom w:w="60" w:type="dxa"/>
              <w:right w:w="80" w:type="dxa"/>
            </w:tcMar>
          </w:tcPr>
          <w:p w14:paraId="2BB408E7" w14:textId="77777777" w:rsidR="008E046C" w:rsidRDefault="00000000" w:rsidP="009D41F1">
            <w:pPr>
              <w:spacing w:before="100" w:beforeAutospacing="1" w:after="100" w:afterAutospacing="1"/>
            </w:pPr>
            <w:r>
              <w:rPr>
                <w:sz w:val="18"/>
                <w:szCs w:val="18"/>
              </w:rPr>
              <w:t>Pregnancy per artificial insemination</w:t>
            </w:r>
          </w:p>
        </w:tc>
        <w:tc>
          <w:tcPr>
            <w:tcW w:w="1616" w:type="dxa"/>
            <w:tcMar>
              <w:top w:w="60" w:type="dxa"/>
              <w:left w:w="80" w:type="dxa"/>
              <w:bottom w:w="60" w:type="dxa"/>
              <w:right w:w="80" w:type="dxa"/>
            </w:tcMar>
          </w:tcPr>
          <w:p w14:paraId="34C657E4" w14:textId="77777777" w:rsidR="008E046C" w:rsidRDefault="00000000" w:rsidP="009D41F1">
            <w:pPr>
              <w:spacing w:before="100" w:beforeAutospacing="1" w:after="100" w:afterAutospacing="1"/>
            </w:pPr>
            <w:r>
              <w:rPr>
                <w:sz w:val="18"/>
                <w:szCs w:val="18"/>
              </w:rPr>
              <w:t>No benefit</w:t>
            </w:r>
          </w:p>
        </w:tc>
        <w:tc>
          <w:tcPr>
            <w:tcW w:w="1616" w:type="dxa"/>
            <w:tcMar>
              <w:top w:w="60" w:type="dxa"/>
              <w:left w:w="80" w:type="dxa"/>
              <w:bottom w:w="60" w:type="dxa"/>
              <w:right w:w="80" w:type="dxa"/>
            </w:tcMar>
          </w:tcPr>
          <w:p w14:paraId="382694BA" w14:textId="77777777" w:rsidR="008E046C" w:rsidRDefault="00000000" w:rsidP="009D41F1">
            <w:pPr>
              <w:spacing w:before="100" w:beforeAutospacing="1" w:after="100" w:afterAutospacing="1"/>
            </w:pPr>
            <w:r>
              <w:rPr>
                <w:sz w:val="18"/>
                <w:szCs w:val="18"/>
              </w:rPr>
              <w:t>Strong; randomised design with fertility endpoint</w:t>
            </w:r>
          </w:p>
        </w:tc>
        <w:tc>
          <w:tcPr>
            <w:tcW w:w="1620" w:type="dxa"/>
            <w:tcMar>
              <w:top w:w="60" w:type="dxa"/>
              <w:left w:w="80" w:type="dxa"/>
              <w:bottom w:w="60" w:type="dxa"/>
              <w:right w:w="80" w:type="dxa"/>
            </w:tcMar>
          </w:tcPr>
          <w:p w14:paraId="3B2487AD" w14:textId="77777777" w:rsidR="008E046C" w:rsidRDefault="00000000" w:rsidP="009D41F1">
            <w:pPr>
              <w:spacing w:before="100" w:beforeAutospacing="1" w:after="100" w:afterAutospacing="1"/>
            </w:pPr>
            <w:r>
              <w:rPr>
                <w:sz w:val="18"/>
                <w:szCs w:val="18"/>
              </w:rPr>
              <w:t>Lima et al. (2013)</w:t>
            </w:r>
          </w:p>
        </w:tc>
      </w:tr>
      <w:tr w:rsidR="008E046C" w14:paraId="440635C3" w14:textId="77777777">
        <w:tc>
          <w:tcPr>
            <w:tcW w:w="1616" w:type="dxa"/>
            <w:tcMar>
              <w:top w:w="60" w:type="dxa"/>
              <w:left w:w="80" w:type="dxa"/>
              <w:bottom w:w="60" w:type="dxa"/>
              <w:right w:w="80" w:type="dxa"/>
            </w:tcMar>
          </w:tcPr>
          <w:p w14:paraId="58173456" w14:textId="77777777" w:rsidR="008E046C" w:rsidRDefault="00000000" w:rsidP="009D41F1">
            <w:pPr>
              <w:spacing w:before="100" w:beforeAutospacing="1" w:after="100" w:afterAutospacing="1"/>
            </w:pPr>
            <w:r>
              <w:rPr>
                <w:sz w:val="18"/>
                <w:szCs w:val="18"/>
              </w:rPr>
              <w:t>Systemic anti-inflammatory treatment</w:t>
            </w:r>
          </w:p>
        </w:tc>
        <w:tc>
          <w:tcPr>
            <w:tcW w:w="1616" w:type="dxa"/>
            <w:tcMar>
              <w:top w:w="60" w:type="dxa"/>
              <w:left w:w="80" w:type="dxa"/>
              <w:bottom w:w="60" w:type="dxa"/>
              <w:right w:w="80" w:type="dxa"/>
            </w:tcMar>
          </w:tcPr>
          <w:p w14:paraId="0D3FA26F" w14:textId="77777777" w:rsidR="008E046C" w:rsidRDefault="00000000" w:rsidP="009D41F1">
            <w:pPr>
              <w:spacing w:before="100" w:beforeAutospacing="1" w:after="100" w:afterAutospacing="1"/>
            </w:pPr>
            <w:r>
              <w:rPr>
                <w:sz w:val="18"/>
                <w:szCs w:val="18"/>
              </w:rPr>
              <w:t>Systemic and endometrial inflammation</w:t>
            </w:r>
          </w:p>
        </w:tc>
        <w:tc>
          <w:tcPr>
            <w:tcW w:w="1616" w:type="dxa"/>
            <w:tcMar>
              <w:top w:w="60" w:type="dxa"/>
              <w:left w:w="80" w:type="dxa"/>
              <w:bottom w:w="60" w:type="dxa"/>
              <w:right w:w="80" w:type="dxa"/>
            </w:tcMar>
          </w:tcPr>
          <w:p w14:paraId="5D4731F9" w14:textId="77777777" w:rsidR="008E046C" w:rsidRDefault="00000000" w:rsidP="009D41F1">
            <w:pPr>
              <w:spacing w:before="100" w:beforeAutospacing="1" w:after="100" w:afterAutospacing="1"/>
            </w:pPr>
            <w:r>
              <w:rPr>
                <w:sz w:val="18"/>
                <w:szCs w:val="18"/>
              </w:rPr>
              <w:t>Inflammatory markers, immune function, endometrial health</w:t>
            </w:r>
          </w:p>
        </w:tc>
        <w:tc>
          <w:tcPr>
            <w:tcW w:w="1616" w:type="dxa"/>
            <w:tcMar>
              <w:top w:w="60" w:type="dxa"/>
              <w:left w:w="80" w:type="dxa"/>
              <w:bottom w:w="60" w:type="dxa"/>
              <w:right w:w="80" w:type="dxa"/>
            </w:tcMar>
          </w:tcPr>
          <w:p w14:paraId="0F54F966" w14:textId="77777777" w:rsidR="008E046C" w:rsidRDefault="00000000" w:rsidP="009D41F1">
            <w:pPr>
              <w:spacing w:before="100" w:beforeAutospacing="1" w:after="100" w:afterAutospacing="1"/>
            </w:pPr>
            <w:r>
              <w:rPr>
                <w:sz w:val="18"/>
                <w:szCs w:val="18"/>
              </w:rPr>
              <w:t>Effects on markers without consistent clinical benefit</w:t>
            </w:r>
          </w:p>
        </w:tc>
        <w:tc>
          <w:tcPr>
            <w:tcW w:w="1616" w:type="dxa"/>
            <w:tcMar>
              <w:top w:w="60" w:type="dxa"/>
              <w:left w:w="80" w:type="dxa"/>
              <w:bottom w:w="60" w:type="dxa"/>
              <w:right w:w="80" w:type="dxa"/>
            </w:tcMar>
          </w:tcPr>
          <w:p w14:paraId="49F06CA9" w14:textId="77777777" w:rsidR="008E046C" w:rsidRDefault="00000000" w:rsidP="009D41F1">
            <w:pPr>
              <w:spacing w:before="100" w:beforeAutospacing="1" w:after="100" w:afterAutospacing="1"/>
            </w:pPr>
            <w:r>
              <w:rPr>
                <w:sz w:val="18"/>
                <w:szCs w:val="18"/>
              </w:rPr>
              <w:t>Moderate to strong; well-controlled but intermediate endpoints</w:t>
            </w:r>
          </w:p>
        </w:tc>
        <w:tc>
          <w:tcPr>
            <w:tcW w:w="1620" w:type="dxa"/>
            <w:tcMar>
              <w:top w:w="60" w:type="dxa"/>
              <w:left w:w="80" w:type="dxa"/>
              <w:bottom w:w="60" w:type="dxa"/>
              <w:right w:w="80" w:type="dxa"/>
            </w:tcMar>
          </w:tcPr>
          <w:p w14:paraId="2785687C" w14:textId="77777777" w:rsidR="008E046C" w:rsidRDefault="00000000" w:rsidP="009D41F1">
            <w:pPr>
              <w:spacing w:before="100" w:beforeAutospacing="1" w:after="100" w:afterAutospacing="1"/>
            </w:pPr>
            <w:r>
              <w:rPr>
                <w:sz w:val="18"/>
                <w:szCs w:val="18"/>
              </w:rPr>
              <w:t>Pascottini et al. (2020)</w:t>
            </w:r>
          </w:p>
        </w:tc>
      </w:tr>
      <w:tr w:rsidR="008E046C" w14:paraId="3FF7992E" w14:textId="77777777">
        <w:tc>
          <w:tcPr>
            <w:tcW w:w="1616" w:type="dxa"/>
            <w:tcMar>
              <w:top w:w="60" w:type="dxa"/>
              <w:left w:w="80" w:type="dxa"/>
              <w:bottom w:w="60" w:type="dxa"/>
              <w:right w:w="80" w:type="dxa"/>
            </w:tcMar>
          </w:tcPr>
          <w:p w14:paraId="3D495614" w14:textId="77777777" w:rsidR="008E046C" w:rsidRDefault="00000000" w:rsidP="009D41F1">
            <w:pPr>
              <w:spacing w:before="100" w:beforeAutospacing="1" w:after="100" w:afterAutospacing="1"/>
            </w:pPr>
            <w:r>
              <w:rPr>
                <w:sz w:val="18"/>
                <w:szCs w:val="18"/>
              </w:rPr>
              <w:t>Ketoprofen compared with ceftiofur for clinical metritis</w:t>
            </w:r>
          </w:p>
        </w:tc>
        <w:tc>
          <w:tcPr>
            <w:tcW w:w="1616" w:type="dxa"/>
            <w:tcMar>
              <w:top w:w="60" w:type="dxa"/>
              <w:left w:w="80" w:type="dxa"/>
              <w:bottom w:w="60" w:type="dxa"/>
              <w:right w:w="80" w:type="dxa"/>
            </w:tcMar>
          </w:tcPr>
          <w:p w14:paraId="417807BF" w14:textId="77777777" w:rsidR="008E046C" w:rsidRDefault="00000000" w:rsidP="009D41F1">
            <w:pPr>
              <w:spacing w:before="100" w:beforeAutospacing="1" w:after="100" w:afterAutospacing="1"/>
            </w:pPr>
            <w:r>
              <w:rPr>
                <w:sz w:val="18"/>
                <w:szCs w:val="18"/>
              </w:rPr>
              <w:t>Uterine inflammation and infection</w:t>
            </w:r>
          </w:p>
        </w:tc>
        <w:tc>
          <w:tcPr>
            <w:tcW w:w="1616" w:type="dxa"/>
            <w:tcMar>
              <w:top w:w="60" w:type="dxa"/>
              <w:left w:w="80" w:type="dxa"/>
              <w:bottom w:w="60" w:type="dxa"/>
              <w:right w:w="80" w:type="dxa"/>
            </w:tcMar>
          </w:tcPr>
          <w:p w14:paraId="34CDF2FE" w14:textId="77777777" w:rsidR="008E046C" w:rsidRDefault="00000000" w:rsidP="009D41F1">
            <w:pPr>
              <w:spacing w:before="100" w:beforeAutospacing="1" w:after="100" w:afterAutospacing="1"/>
            </w:pPr>
            <w:r>
              <w:rPr>
                <w:sz w:val="18"/>
                <w:szCs w:val="18"/>
              </w:rPr>
              <w:t>Clinical cure and reproductive outcomes</w:t>
            </w:r>
          </w:p>
        </w:tc>
        <w:tc>
          <w:tcPr>
            <w:tcW w:w="1616" w:type="dxa"/>
            <w:tcMar>
              <w:top w:w="60" w:type="dxa"/>
              <w:left w:w="80" w:type="dxa"/>
              <w:bottom w:w="60" w:type="dxa"/>
              <w:right w:w="80" w:type="dxa"/>
            </w:tcMar>
          </w:tcPr>
          <w:p w14:paraId="5BEFD47C" w14:textId="77777777" w:rsidR="008E046C" w:rsidRDefault="00000000" w:rsidP="009D41F1">
            <w:pPr>
              <w:spacing w:before="100" w:beforeAutospacing="1" w:after="100" w:afterAutospacing="1"/>
            </w:pPr>
            <w:r>
              <w:rPr>
                <w:sz w:val="18"/>
                <w:szCs w:val="18"/>
              </w:rPr>
              <w:t>Comparative rather than superiority finding</w:t>
            </w:r>
          </w:p>
        </w:tc>
        <w:tc>
          <w:tcPr>
            <w:tcW w:w="1616" w:type="dxa"/>
            <w:tcMar>
              <w:top w:w="60" w:type="dxa"/>
              <w:left w:w="80" w:type="dxa"/>
              <w:bottom w:w="60" w:type="dxa"/>
              <w:right w:w="80" w:type="dxa"/>
            </w:tcMar>
          </w:tcPr>
          <w:p w14:paraId="1AB78D90" w14:textId="77777777" w:rsidR="008E046C" w:rsidRDefault="00000000" w:rsidP="009D41F1">
            <w:pPr>
              <w:spacing w:before="100" w:beforeAutospacing="1" w:after="100" w:afterAutospacing="1"/>
            </w:pPr>
            <w:r>
              <w:rPr>
                <w:sz w:val="18"/>
                <w:szCs w:val="18"/>
              </w:rPr>
              <w:t>Strong; randomised clinical trial</w:t>
            </w:r>
          </w:p>
        </w:tc>
        <w:tc>
          <w:tcPr>
            <w:tcW w:w="1620" w:type="dxa"/>
            <w:tcMar>
              <w:top w:w="60" w:type="dxa"/>
              <w:left w:w="80" w:type="dxa"/>
              <w:bottom w:w="60" w:type="dxa"/>
              <w:right w:w="80" w:type="dxa"/>
            </w:tcMar>
          </w:tcPr>
          <w:p w14:paraId="0EBE921A" w14:textId="77777777" w:rsidR="008E046C" w:rsidRDefault="00000000" w:rsidP="009D41F1">
            <w:pPr>
              <w:spacing w:before="100" w:beforeAutospacing="1" w:after="100" w:afterAutospacing="1"/>
            </w:pPr>
            <w:r>
              <w:rPr>
                <w:sz w:val="18"/>
                <w:szCs w:val="18"/>
              </w:rPr>
              <w:t>Paiano et al. (2024)</w:t>
            </w:r>
          </w:p>
        </w:tc>
      </w:tr>
      <w:tr w:rsidR="008E046C" w14:paraId="28918EC3" w14:textId="77777777">
        <w:tc>
          <w:tcPr>
            <w:tcW w:w="1616" w:type="dxa"/>
            <w:tcMar>
              <w:top w:w="60" w:type="dxa"/>
              <w:left w:w="80" w:type="dxa"/>
              <w:bottom w:w="60" w:type="dxa"/>
              <w:right w:w="80" w:type="dxa"/>
            </w:tcMar>
          </w:tcPr>
          <w:p w14:paraId="18BC5A39" w14:textId="77777777" w:rsidR="008E046C" w:rsidRDefault="00000000" w:rsidP="009D41F1">
            <w:pPr>
              <w:spacing w:before="100" w:beforeAutospacing="1" w:after="100" w:afterAutospacing="1"/>
            </w:pPr>
            <w:r>
              <w:rPr>
                <w:sz w:val="18"/>
                <w:szCs w:val="18"/>
              </w:rPr>
              <w:t>Suppression of early ovulation by follicular puncture or deslorelin implant</w:t>
            </w:r>
          </w:p>
        </w:tc>
        <w:tc>
          <w:tcPr>
            <w:tcW w:w="1616" w:type="dxa"/>
            <w:tcMar>
              <w:top w:w="60" w:type="dxa"/>
              <w:left w:w="80" w:type="dxa"/>
              <w:bottom w:w="60" w:type="dxa"/>
              <w:right w:w="80" w:type="dxa"/>
            </w:tcMar>
          </w:tcPr>
          <w:p w14:paraId="0CDDEE63" w14:textId="77777777" w:rsidR="008E046C" w:rsidRDefault="00000000" w:rsidP="009D41F1">
            <w:pPr>
              <w:spacing w:before="100" w:beforeAutospacing="1" w:after="100" w:afterAutospacing="1"/>
            </w:pPr>
            <w:r>
              <w:rPr>
                <w:sz w:val="18"/>
                <w:szCs w:val="18"/>
              </w:rPr>
              <w:t>Ovarian activity, tested against uterine outcome</w:t>
            </w:r>
          </w:p>
        </w:tc>
        <w:tc>
          <w:tcPr>
            <w:tcW w:w="1616" w:type="dxa"/>
            <w:tcMar>
              <w:top w:w="60" w:type="dxa"/>
              <w:left w:w="80" w:type="dxa"/>
              <w:bottom w:w="60" w:type="dxa"/>
              <w:right w:w="80" w:type="dxa"/>
            </w:tcMar>
          </w:tcPr>
          <w:p w14:paraId="390F0FDA" w14:textId="77777777" w:rsidR="008E046C" w:rsidRDefault="00000000" w:rsidP="009D41F1">
            <w:pPr>
              <w:spacing w:before="100" w:beforeAutospacing="1" w:after="100" w:afterAutospacing="1"/>
            </w:pPr>
            <w:r>
              <w:rPr>
                <w:sz w:val="18"/>
                <w:szCs w:val="18"/>
              </w:rPr>
              <w:t>Uterine and cervical dimensions, vaginal discharge</w:t>
            </w:r>
          </w:p>
        </w:tc>
        <w:tc>
          <w:tcPr>
            <w:tcW w:w="1616" w:type="dxa"/>
            <w:tcMar>
              <w:top w:w="60" w:type="dxa"/>
              <w:left w:w="80" w:type="dxa"/>
              <w:bottom w:w="60" w:type="dxa"/>
              <w:right w:w="80" w:type="dxa"/>
            </w:tcMar>
          </w:tcPr>
          <w:p w14:paraId="11DFE767" w14:textId="77777777" w:rsidR="008E046C" w:rsidRDefault="00000000" w:rsidP="009D41F1">
            <w:pPr>
              <w:spacing w:before="100" w:beforeAutospacing="1" w:after="100" w:afterAutospacing="1"/>
            </w:pPr>
            <w:r>
              <w:rPr>
                <w:sz w:val="18"/>
                <w:szCs w:val="18"/>
              </w:rPr>
              <w:t>Improved uterine measures without fertility detriment</w:t>
            </w:r>
          </w:p>
        </w:tc>
        <w:tc>
          <w:tcPr>
            <w:tcW w:w="1616" w:type="dxa"/>
            <w:tcMar>
              <w:top w:w="60" w:type="dxa"/>
              <w:left w:w="80" w:type="dxa"/>
              <w:bottom w:w="60" w:type="dxa"/>
              <w:right w:w="80" w:type="dxa"/>
            </w:tcMar>
          </w:tcPr>
          <w:p w14:paraId="55BD1FA7" w14:textId="77777777" w:rsidR="008E046C" w:rsidRDefault="00000000" w:rsidP="009D41F1">
            <w:pPr>
              <w:spacing w:before="100" w:beforeAutospacing="1" w:after="100" w:afterAutospacing="1"/>
            </w:pPr>
            <w:r>
              <w:rPr>
                <w:sz w:val="18"/>
                <w:szCs w:val="18"/>
              </w:rPr>
              <w:t>Moderate; small samples, mechanistic rather than practical intent</w:t>
            </w:r>
          </w:p>
        </w:tc>
        <w:tc>
          <w:tcPr>
            <w:tcW w:w="1620" w:type="dxa"/>
            <w:tcMar>
              <w:top w:w="60" w:type="dxa"/>
              <w:left w:w="80" w:type="dxa"/>
              <w:bottom w:w="60" w:type="dxa"/>
              <w:right w:w="80" w:type="dxa"/>
            </w:tcMar>
          </w:tcPr>
          <w:p w14:paraId="53741D36" w14:textId="77777777" w:rsidR="008E046C" w:rsidRDefault="00000000" w:rsidP="009D41F1">
            <w:pPr>
              <w:spacing w:before="100" w:beforeAutospacing="1" w:after="100" w:afterAutospacing="1"/>
            </w:pPr>
            <w:r>
              <w:rPr>
                <w:sz w:val="18"/>
                <w:szCs w:val="18"/>
              </w:rPr>
              <w:t>Heppelmann, Brömmling, et al. (2013); Silvestre et al. (2009)</w:t>
            </w:r>
          </w:p>
        </w:tc>
      </w:tr>
      <w:tr w:rsidR="008E046C" w14:paraId="030DB25F" w14:textId="77777777">
        <w:tc>
          <w:tcPr>
            <w:tcW w:w="1616" w:type="dxa"/>
            <w:tcMar>
              <w:top w:w="60" w:type="dxa"/>
              <w:left w:w="80" w:type="dxa"/>
              <w:bottom w:w="60" w:type="dxa"/>
              <w:right w:w="80" w:type="dxa"/>
            </w:tcMar>
          </w:tcPr>
          <w:p w14:paraId="731EA920" w14:textId="77777777" w:rsidR="008E046C" w:rsidRDefault="00000000" w:rsidP="009D41F1">
            <w:pPr>
              <w:spacing w:before="100" w:beforeAutospacing="1" w:after="100" w:afterAutospacing="1"/>
            </w:pPr>
            <w:r>
              <w:rPr>
                <w:sz w:val="18"/>
                <w:szCs w:val="18"/>
              </w:rPr>
              <w:lastRenderedPageBreak/>
              <w:t>Gonadotrophin-releasing hormone or prostaglandin F2α at week 5</w:t>
            </w:r>
          </w:p>
        </w:tc>
        <w:tc>
          <w:tcPr>
            <w:tcW w:w="1616" w:type="dxa"/>
            <w:tcMar>
              <w:top w:w="60" w:type="dxa"/>
              <w:left w:w="80" w:type="dxa"/>
              <w:bottom w:w="60" w:type="dxa"/>
              <w:right w:w="80" w:type="dxa"/>
            </w:tcMar>
          </w:tcPr>
          <w:p w14:paraId="7A4B2C1B" w14:textId="77777777" w:rsidR="008E046C" w:rsidRDefault="00000000" w:rsidP="009D41F1">
            <w:pPr>
              <w:spacing w:before="100" w:beforeAutospacing="1" w:after="100" w:afterAutospacing="1"/>
            </w:pPr>
            <w:r>
              <w:rPr>
                <w:sz w:val="18"/>
                <w:szCs w:val="18"/>
              </w:rPr>
              <w:t>Ovarian structures</w:t>
            </w:r>
          </w:p>
        </w:tc>
        <w:tc>
          <w:tcPr>
            <w:tcW w:w="1616" w:type="dxa"/>
            <w:tcMar>
              <w:top w:w="60" w:type="dxa"/>
              <w:left w:w="80" w:type="dxa"/>
              <w:bottom w:w="60" w:type="dxa"/>
              <w:right w:w="80" w:type="dxa"/>
            </w:tcMar>
          </w:tcPr>
          <w:p w14:paraId="30E7EED6" w14:textId="77777777" w:rsidR="008E046C" w:rsidRDefault="00000000" w:rsidP="009D41F1">
            <w:pPr>
              <w:spacing w:before="100" w:beforeAutospacing="1" w:after="100" w:afterAutospacing="1"/>
            </w:pPr>
            <w:r>
              <w:rPr>
                <w:sz w:val="18"/>
                <w:szCs w:val="18"/>
              </w:rPr>
              <w:t>Cystic follicles, persistent corpora lutea, fertility parameters</w:t>
            </w:r>
          </w:p>
        </w:tc>
        <w:tc>
          <w:tcPr>
            <w:tcW w:w="1616" w:type="dxa"/>
            <w:tcMar>
              <w:top w:w="60" w:type="dxa"/>
              <w:left w:w="80" w:type="dxa"/>
              <w:bottom w:w="60" w:type="dxa"/>
              <w:right w:w="80" w:type="dxa"/>
            </w:tcMar>
          </w:tcPr>
          <w:p w14:paraId="4CC2584A" w14:textId="77777777" w:rsidR="008E046C" w:rsidRDefault="00000000" w:rsidP="009D41F1">
            <w:pPr>
              <w:spacing w:before="100" w:beforeAutospacing="1" w:after="100" w:afterAutospacing="1"/>
            </w:pPr>
            <w:r>
              <w:rPr>
                <w:sz w:val="18"/>
                <w:szCs w:val="18"/>
              </w:rPr>
              <w:t>Altered incidence of ovarian abnormality</w:t>
            </w:r>
          </w:p>
        </w:tc>
        <w:tc>
          <w:tcPr>
            <w:tcW w:w="1616" w:type="dxa"/>
            <w:tcMar>
              <w:top w:w="60" w:type="dxa"/>
              <w:left w:w="80" w:type="dxa"/>
              <w:bottom w:w="60" w:type="dxa"/>
              <w:right w:w="80" w:type="dxa"/>
            </w:tcMar>
          </w:tcPr>
          <w:p w14:paraId="56C1F2D6" w14:textId="77777777" w:rsidR="008E046C" w:rsidRDefault="00000000" w:rsidP="009D41F1">
            <w:pPr>
              <w:spacing w:before="100" w:beforeAutospacing="1" w:after="100" w:afterAutospacing="1"/>
            </w:pPr>
            <w:r>
              <w:rPr>
                <w:sz w:val="18"/>
                <w:szCs w:val="18"/>
              </w:rPr>
              <w:t>Moderate; single-study design</w:t>
            </w:r>
          </w:p>
        </w:tc>
        <w:tc>
          <w:tcPr>
            <w:tcW w:w="1620" w:type="dxa"/>
            <w:tcMar>
              <w:top w:w="60" w:type="dxa"/>
              <w:left w:w="80" w:type="dxa"/>
              <w:bottom w:w="60" w:type="dxa"/>
              <w:right w:w="80" w:type="dxa"/>
            </w:tcMar>
          </w:tcPr>
          <w:p w14:paraId="698DE16B" w14:textId="77777777" w:rsidR="008E046C" w:rsidRDefault="00000000" w:rsidP="009D41F1">
            <w:pPr>
              <w:spacing w:before="100" w:beforeAutospacing="1" w:after="100" w:afterAutospacing="1"/>
            </w:pPr>
            <w:r>
              <w:rPr>
                <w:sz w:val="18"/>
                <w:szCs w:val="18"/>
              </w:rPr>
              <w:t>Lüttgenau et al. (2016)</w:t>
            </w:r>
          </w:p>
        </w:tc>
      </w:tr>
      <w:tr w:rsidR="008E046C" w14:paraId="447EA936" w14:textId="77777777">
        <w:tc>
          <w:tcPr>
            <w:tcW w:w="1616" w:type="dxa"/>
            <w:tcMar>
              <w:top w:w="60" w:type="dxa"/>
              <w:left w:w="80" w:type="dxa"/>
              <w:bottom w:w="60" w:type="dxa"/>
              <w:right w:w="80" w:type="dxa"/>
            </w:tcMar>
          </w:tcPr>
          <w:p w14:paraId="3F809A96" w14:textId="77777777" w:rsidR="008E046C" w:rsidRDefault="00000000" w:rsidP="009D41F1">
            <w:pPr>
              <w:spacing w:before="100" w:beforeAutospacing="1" w:after="100" w:afterAutospacing="1"/>
            </w:pPr>
            <w:r>
              <w:rPr>
                <w:sz w:val="18"/>
                <w:szCs w:val="18"/>
              </w:rPr>
              <w:t>Presynchronisation before timed artificial insemination</w:t>
            </w:r>
          </w:p>
        </w:tc>
        <w:tc>
          <w:tcPr>
            <w:tcW w:w="1616" w:type="dxa"/>
            <w:tcMar>
              <w:top w:w="60" w:type="dxa"/>
              <w:left w:w="80" w:type="dxa"/>
              <w:bottom w:w="60" w:type="dxa"/>
              <w:right w:w="80" w:type="dxa"/>
            </w:tcMar>
          </w:tcPr>
          <w:p w14:paraId="43B74F8D" w14:textId="77777777" w:rsidR="008E046C" w:rsidRDefault="00000000" w:rsidP="009D41F1">
            <w:pPr>
              <w:spacing w:before="100" w:beforeAutospacing="1" w:after="100" w:afterAutospacing="1"/>
            </w:pPr>
            <w:r>
              <w:rPr>
                <w:sz w:val="18"/>
                <w:szCs w:val="18"/>
              </w:rPr>
              <w:t>Follicular and luteal status at insemination</w:t>
            </w:r>
          </w:p>
        </w:tc>
        <w:tc>
          <w:tcPr>
            <w:tcW w:w="1616" w:type="dxa"/>
            <w:tcMar>
              <w:top w:w="60" w:type="dxa"/>
              <w:left w:w="80" w:type="dxa"/>
              <w:bottom w:w="60" w:type="dxa"/>
              <w:right w:w="80" w:type="dxa"/>
            </w:tcMar>
          </w:tcPr>
          <w:p w14:paraId="6A73A3A5" w14:textId="77777777" w:rsidR="008E046C" w:rsidRDefault="00000000" w:rsidP="009D41F1">
            <w:pPr>
              <w:spacing w:before="100" w:beforeAutospacing="1" w:after="100" w:afterAutospacing="1"/>
            </w:pPr>
            <w:r>
              <w:rPr>
                <w:sz w:val="18"/>
                <w:szCs w:val="18"/>
              </w:rPr>
              <w:t>Pregnancy at first service</w:t>
            </w:r>
          </w:p>
        </w:tc>
        <w:tc>
          <w:tcPr>
            <w:tcW w:w="1616" w:type="dxa"/>
            <w:tcMar>
              <w:top w:w="60" w:type="dxa"/>
              <w:left w:w="80" w:type="dxa"/>
              <w:bottom w:w="60" w:type="dxa"/>
              <w:right w:w="80" w:type="dxa"/>
            </w:tcMar>
          </w:tcPr>
          <w:p w14:paraId="7159DF75" w14:textId="77777777" w:rsidR="008E046C" w:rsidRDefault="00000000" w:rsidP="009D41F1">
            <w:pPr>
              <w:spacing w:before="100" w:beforeAutospacing="1" w:after="100" w:afterAutospacing="1"/>
            </w:pPr>
            <w:r>
              <w:rPr>
                <w:sz w:val="18"/>
                <w:szCs w:val="18"/>
              </w:rPr>
              <w:t>Improved fertility</w:t>
            </w:r>
          </w:p>
        </w:tc>
        <w:tc>
          <w:tcPr>
            <w:tcW w:w="1616" w:type="dxa"/>
            <w:tcMar>
              <w:top w:w="60" w:type="dxa"/>
              <w:left w:w="80" w:type="dxa"/>
              <w:bottom w:w="60" w:type="dxa"/>
              <w:right w:w="80" w:type="dxa"/>
            </w:tcMar>
          </w:tcPr>
          <w:p w14:paraId="1FDE88A3" w14:textId="77777777" w:rsidR="008E046C" w:rsidRDefault="00000000" w:rsidP="009D41F1">
            <w:pPr>
              <w:spacing w:before="100" w:beforeAutospacing="1" w:after="100" w:afterAutospacing="1"/>
            </w:pPr>
            <w:r>
              <w:rPr>
                <w:sz w:val="18"/>
                <w:szCs w:val="18"/>
              </w:rPr>
              <w:t>Strong; replicated across studies and herds</w:t>
            </w:r>
          </w:p>
        </w:tc>
        <w:tc>
          <w:tcPr>
            <w:tcW w:w="1620" w:type="dxa"/>
            <w:tcMar>
              <w:top w:w="60" w:type="dxa"/>
              <w:left w:w="80" w:type="dxa"/>
              <w:bottom w:w="60" w:type="dxa"/>
              <w:right w:w="80" w:type="dxa"/>
            </w:tcMar>
          </w:tcPr>
          <w:p w14:paraId="372C95E1" w14:textId="77777777" w:rsidR="008E046C" w:rsidRDefault="00000000" w:rsidP="009D41F1">
            <w:pPr>
              <w:spacing w:before="100" w:beforeAutospacing="1" w:after="100" w:afterAutospacing="1"/>
            </w:pPr>
            <w:r>
              <w:rPr>
                <w:sz w:val="18"/>
                <w:szCs w:val="18"/>
              </w:rPr>
              <w:t>Souza et al. (2008)</w:t>
            </w:r>
          </w:p>
        </w:tc>
      </w:tr>
      <w:tr w:rsidR="008E046C" w14:paraId="6C15606F" w14:textId="77777777">
        <w:tc>
          <w:tcPr>
            <w:tcW w:w="1616" w:type="dxa"/>
            <w:tcMar>
              <w:top w:w="60" w:type="dxa"/>
              <w:left w:w="80" w:type="dxa"/>
              <w:bottom w:w="60" w:type="dxa"/>
              <w:right w:w="80" w:type="dxa"/>
            </w:tcMar>
          </w:tcPr>
          <w:p w14:paraId="4A2E599A" w14:textId="77777777" w:rsidR="008E046C" w:rsidRDefault="00000000" w:rsidP="009D41F1">
            <w:pPr>
              <w:spacing w:before="100" w:beforeAutospacing="1" w:after="100" w:afterAutospacing="1"/>
            </w:pPr>
            <w:r>
              <w:rPr>
                <w:sz w:val="18"/>
                <w:szCs w:val="18"/>
              </w:rPr>
              <w:t>Extended voluntary waiting period</w:t>
            </w:r>
          </w:p>
        </w:tc>
        <w:tc>
          <w:tcPr>
            <w:tcW w:w="1616" w:type="dxa"/>
            <w:tcMar>
              <w:top w:w="60" w:type="dxa"/>
              <w:left w:w="80" w:type="dxa"/>
              <w:bottom w:w="60" w:type="dxa"/>
              <w:right w:w="80" w:type="dxa"/>
            </w:tcMar>
          </w:tcPr>
          <w:p w14:paraId="6F3052BE" w14:textId="77777777" w:rsidR="008E046C" w:rsidRDefault="00000000" w:rsidP="009D41F1">
            <w:pPr>
              <w:spacing w:before="100" w:beforeAutospacing="1" w:after="100" w:afterAutospacing="1"/>
            </w:pPr>
            <w:r>
              <w:rPr>
                <w:sz w:val="18"/>
                <w:szCs w:val="18"/>
              </w:rPr>
              <w:t>Timing of first service</w:t>
            </w:r>
          </w:p>
        </w:tc>
        <w:tc>
          <w:tcPr>
            <w:tcW w:w="1616" w:type="dxa"/>
            <w:tcMar>
              <w:top w:w="60" w:type="dxa"/>
              <w:left w:w="80" w:type="dxa"/>
              <w:bottom w:w="60" w:type="dxa"/>
              <w:right w:w="80" w:type="dxa"/>
            </w:tcMar>
          </w:tcPr>
          <w:p w14:paraId="2BE32F26" w14:textId="77777777" w:rsidR="008E046C" w:rsidRDefault="00000000" w:rsidP="009D41F1">
            <w:pPr>
              <w:spacing w:before="100" w:beforeAutospacing="1" w:after="100" w:afterAutospacing="1"/>
            </w:pPr>
            <w:r>
              <w:rPr>
                <w:sz w:val="18"/>
                <w:szCs w:val="18"/>
              </w:rPr>
              <w:t>Reproductive performance, herd exit, lactation performance</w:t>
            </w:r>
          </w:p>
        </w:tc>
        <w:tc>
          <w:tcPr>
            <w:tcW w:w="1616" w:type="dxa"/>
            <w:tcMar>
              <w:top w:w="60" w:type="dxa"/>
              <w:left w:w="80" w:type="dxa"/>
              <w:bottom w:w="60" w:type="dxa"/>
              <w:right w:w="80" w:type="dxa"/>
            </w:tcMar>
          </w:tcPr>
          <w:p w14:paraId="45947C7A" w14:textId="77777777" w:rsidR="008E046C" w:rsidRDefault="00000000" w:rsidP="009D41F1">
            <w:pPr>
              <w:spacing w:before="100" w:beforeAutospacing="1" w:after="100" w:afterAutospacing="1"/>
            </w:pPr>
            <w:r>
              <w:rPr>
                <w:sz w:val="18"/>
                <w:szCs w:val="18"/>
              </w:rPr>
              <w:t>Altered outcomes with trade-offs</w:t>
            </w:r>
          </w:p>
        </w:tc>
        <w:tc>
          <w:tcPr>
            <w:tcW w:w="1616" w:type="dxa"/>
            <w:tcMar>
              <w:top w:w="60" w:type="dxa"/>
              <w:left w:w="80" w:type="dxa"/>
              <w:bottom w:w="60" w:type="dxa"/>
              <w:right w:w="80" w:type="dxa"/>
            </w:tcMar>
          </w:tcPr>
          <w:p w14:paraId="6C782C95" w14:textId="77777777" w:rsidR="008E046C" w:rsidRDefault="00000000" w:rsidP="009D41F1">
            <w:pPr>
              <w:spacing w:before="100" w:beforeAutospacing="1" w:after="100" w:afterAutospacing="1"/>
            </w:pPr>
            <w:r>
              <w:rPr>
                <w:sz w:val="18"/>
                <w:szCs w:val="18"/>
              </w:rPr>
              <w:t>Strong; large controlled study, herd-specific economics</w:t>
            </w:r>
          </w:p>
        </w:tc>
        <w:tc>
          <w:tcPr>
            <w:tcW w:w="1620" w:type="dxa"/>
            <w:tcMar>
              <w:top w:w="60" w:type="dxa"/>
              <w:left w:w="80" w:type="dxa"/>
              <w:bottom w:w="60" w:type="dxa"/>
              <w:right w:w="80" w:type="dxa"/>
            </w:tcMar>
          </w:tcPr>
          <w:p w14:paraId="59534F48" w14:textId="77777777" w:rsidR="008E046C" w:rsidRDefault="00000000" w:rsidP="009D41F1">
            <w:pPr>
              <w:spacing w:before="100" w:beforeAutospacing="1" w:after="100" w:afterAutospacing="1"/>
            </w:pPr>
            <w:r>
              <w:rPr>
                <w:sz w:val="18"/>
                <w:szCs w:val="18"/>
              </w:rPr>
              <w:t>Stangaferro et al. (2018)</w:t>
            </w:r>
          </w:p>
        </w:tc>
      </w:tr>
      <w:tr w:rsidR="008E046C" w14:paraId="15C01DA3" w14:textId="77777777">
        <w:tc>
          <w:tcPr>
            <w:tcW w:w="1616" w:type="dxa"/>
            <w:tcMar>
              <w:top w:w="60" w:type="dxa"/>
              <w:left w:w="80" w:type="dxa"/>
              <w:bottom w:w="60" w:type="dxa"/>
              <w:right w:w="80" w:type="dxa"/>
            </w:tcMar>
          </w:tcPr>
          <w:p w14:paraId="0B217604" w14:textId="77777777" w:rsidR="008E046C" w:rsidRDefault="00000000" w:rsidP="009D41F1">
            <w:pPr>
              <w:spacing w:before="100" w:beforeAutospacing="1" w:after="100" w:afterAutospacing="1"/>
            </w:pPr>
            <w:r>
              <w:rPr>
                <w:sz w:val="18"/>
                <w:szCs w:val="18"/>
              </w:rPr>
              <w:t>Glucogenic supplementation in early lactation</w:t>
            </w:r>
          </w:p>
        </w:tc>
        <w:tc>
          <w:tcPr>
            <w:tcW w:w="1616" w:type="dxa"/>
            <w:tcMar>
              <w:top w:w="60" w:type="dxa"/>
              <w:left w:w="80" w:type="dxa"/>
              <w:bottom w:w="60" w:type="dxa"/>
              <w:right w:w="80" w:type="dxa"/>
            </w:tcMar>
          </w:tcPr>
          <w:p w14:paraId="1DB93C51" w14:textId="77777777" w:rsidR="008E046C" w:rsidRDefault="00000000" w:rsidP="009D41F1">
            <w:pPr>
              <w:spacing w:before="100" w:beforeAutospacing="1" w:after="100" w:afterAutospacing="1"/>
            </w:pPr>
            <w:r>
              <w:rPr>
                <w:sz w:val="18"/>
                <w:szCs w:val="18"/>
              </w:rPr>
              <w:t>Energy balance and follicular development</w:t>
            </w:r>
          </w:p>
        </w:tc>
        <w:tc>
          <w:tcPr>
            <w:tcW w:w="1616" w:type="dxa"/>
            <w:tcMar>
              <w:top w:w="60" w:type="dxa"/>
              <w:left w:w="80" w:type="dxa"/>
              <w:bottom w:w="60" w:type="dxa"/>
              <w:right w:w="80" w:type="dxa"/>
            </w:tcMar>
          </w:tcPr>
          <w:p w14:paraId="664BA021" w14:textId="77777777" w:rsidR="008E046C" w:rsidRDefault="00000000" w:rsidP="009D41F1">
            <w:pPr>
              <w:spacing w:before="100" w:beforeAutospacing="1" w:after="100" w:afterAutospacing="1"/>
            </w:pPr>
            <w:r>
              <w:rPr>
                <w:sz w:val="18"/>
                <w:szCs w:val="18"/>
              </w:rPr>
              <w:t>First follicle wave; involution and follicle numbers</w:t>
            </w:r>
          </w:p>
        </w:tc>
        <w:tc>
          <w:tcPr>
            <w:tcW w:w="1616" w:type="dxa"/>
            <w:tcMar>
              <w:top w:w="60" w:type="dxa"/>
              <w:left w:w="80" w:type="dxa"/>
              <w:bottom w:w="60" w:type="dxa"/>
              <w:right w:w="80" w:type="dxa"/>
            </w:tcMar>
          </w:tcPr>
          <w:p w14:paraId="7E4AEE5F" w14:textId="77777777" w:rsidR="008E046C" w:rsidRDefault="00000000" w:rsidP="009D41F1">
            <w:pPr>
              <w:spacing w:before="100" w:beforeAutospacing="1" w:after="100" w:afterAutospacing="1"/>
            </w:pPr>
            <w:r>
              <w:rPr>
                <w:sz w:val="18"/>
                <w:szCs w:val="18"/>
              </w:rPr>
              <w:t>Favourable effects on physiological endpoints</w:t>
            </w:r>
          </w:p>
        </w:tc>
        <w:tc>
          <w:tcPr>
            <w:tcW w:w="1616" w:type="dxa"/>
            <w:tcMar>
              <w:top w:w="60" w:type="dxa"/>
              <w:left w:w="80" w:type="dxa"/>
              <w:bottom w:w="60" w:type="dxa"/>
              <w:right w:w="80" w:type="dxa"/>
            </w:tcMar>
          </w:tcPr>
          <w:p w14:paraId="1BA7B14B" w14:textId="77777777" w:rsidR="008E046C" w:rsidRDefault="00000000" w:rsidP="009D41F1">
            <w:pPr>
              <w:spacing w:before="100" w:beforeAutospacing="1" w:after="100" w:afterAutospacing="1"/>
            </w:pPr>
            <w:r>
              <w:rPr>
                <w:sz w:val="18"/>
                <w:szCs w:val="18"/>
              </w:rPr>
              <w:t>Moderate for propylene glycol, weak for rumen-protected glucose; small samples</w:t>
            </w:r>
          </w:p>
        </w:tc>
        <w:tc>
          <w:tcPr>
            <w:tcW w:w="1620" w:type="dxa"/>
            <w:tcMar>
              <w:top w:w="60" w:type="dxa"/>
              <w:left w:w="80" w:type="dxa"/>
              <w:bottom w:w="60" w:type="dxa"/>
              <w:right w:w="80" w:type="dxa"/>
            </w:tcMar>
          </w:tcPr>
          <w:p w14:paraId="0B494A9D" w14:textId="77777777" w:rsidR="008E046C" w:rsidRDefault="00000000" w:rsidP="009D41F1">
            <w:pPr>
              <w:spacing w:before="100" w:beforeAutospacing="1" w:after="100" w:afterAutospacing="1"/>
            </w:pPr>
            <w:r>
              <w:rPr>
                <w:sz w:val="18"/>
                <w:szCs w:val="18"/>
              </w:rPr>
              <w:t>Butler et al. (2006); Karimi et al. (2023)</w:t>
            </w:r>
          </w:p>
        </w:tc>
      </w:tr>
      <w:tr w:rsidR="008E046C" w14:paraId="0DEA1300" w14:textId="77777777">
        <w:tc>
          <w:tcPr>
            <w:tcW w:w="1616" w:type="dxa"/>
            <w:tcMar>
              <w:top w:w="60" w:type="dxa"/>
              <w:left w:w="80" w:type="dxa"/>
              <w:bottom w:w="60" w:type="dxa"/>
              <w:right w:w="80" w:type="dxa"/>
            </w:tcMar>
          </w:tcPr>
          <w:p w14:paraId="063DBD53" w14:textId="77777777" w:rsidR="008E046C" w:rsidRDefault="00000000" w:rsidP="009D41F1">
            <w:pPr>
              <w:spacing w:before="100" w:beforeAutospacing="1" w:after="100" w:afterAutospacing="1"/>
            </w:pPr>
            <w:r>
              <w:rPr>
                <w:sz w:val="18"/>
                <w:szCs w:val="18"/>
              </w:rPr>
              <w:t>Intravaginal lactic acid bacteria</w:t>
            </w:r>
          </w:p>
        </w:tc>
        <w:tc>
          <w:tcPr>
            <w:tcW w:w="1616" w:type="dxa"/>
            <w:tcMar>
              <w:top w:w="60" w:type="dxa"/>
              <w:left w:w="80" w:type="dxa"/>
              <w:bottom w:w="60" w:type="dxa"/>
              <w:right w:w="80" w:type="dxa"/>
            </w:tcMar>
          </w:tcPr>
          <w:p w14:paraId="0994DB18" w14:textId="77777777" w:rsidR="008E046C" w:rsidRDefault="00000000" w:rsidP="009D41F1">
            <w:pPr>
              <w:spacing w:before="100" w:beforeAutospacing="1" w:after="100" w:afterAutospacing="1"/>
            </w:pPr>
            <w:r>
              <w:rPr>
                <w:sz w:val="18"/>
                <w:szCs w:val="18"/>
              </w:rPr>
              <w:t>Uterine microbial environment</w:t>
            </w:r>
          </w:p>
        </w:tc>
        <w:tc>
          <w:tcPr>
            <w:tcW w:w="1616" w:type="dxa"/>
            <w:tcMar>
              <w:top w:w="60" w:type="dxa"/>
              <w:left w:w="80" w:type="dxa"/>
              <w:bottom w:w="60" w:type="dxa"/>
              <w:right w:w="80" w:type="dxa"/>
            </w:tcMar>
          </w:tcPr>
          <w:p w14:paraId="2EA5D534" w14:textId="77777777" w:rsidR="008E046C" w:rsidRDefault="00000000" w:rsidP="009D41F1">
            <w:pPr>
              <w:spacing w:before="100" w:beforeAutospacing="1" w:after="100" w:afterAutospacing="1"/>
            </w:pPr>
            <w:r>
              <w:rPr>
                <w:sz w:val="18"/>
                <w:szCs w:val="18"/>
              </w:rPr>
              <w:t>Involution and hormonal profiles</w:t>
            </w:r>
          </w:p>
        </w:tc>
        <w:tc>
          <w:tcPr>
            <w:tcW w:w="1616" w:type="dxa"/>
            <w:tcMar>
              <w:top w:w="60" w:type="dxa"/>
              <w:left w:w="80" w:type="dxa"/>
              <w:bottom w:w="60" w:type="dxa"/>
              <w:right w:w="80" w:type="dxa"/>
            </w:tcMar>
          </w:tcPr>
          <w:p w14:paraId="2AF0E92F" w14:textId="77777777" w:rsidR="008E046C" w:rsidRDefault="00000000" w:rsidP="009D41F1">
            <w:pPr>
              <w:spacing w:before="100" w:beforeAutospacing="1" w:after="100" w:afterAutospacing="1"/>
            </w:pPr>
            <w:r>
              <w:rPr>
                <w:sz w:val="18"/>
                <w:szCs w:val="18"/>
              </w:rPr>
              <w:t>Favourable effects reported</w:t>
            </w:r>
          </w:p>
        </w:tc>
        <w:tc>
          <w:tcPr>
            <w:tcW w:w="1616" w:type="dxa"/>
            <w:tcMar>
              <w:top w:w="60" w:type="dxa"/>
              <w:left w:w="80" w:type="dxa"/>
              <w:bottom w:w="60" w:type="dxa"/>
              <w:right w:w="80" w:type="dxa"/>
            </w:tcMar>
          </w:tcPr>
          <w:p w14:paraId="772E79E0" w14:textId="77777777" w:rsidR="008E046C" w:rsidRDefault="00000000" w:rsidP="009D41F1">
            <w:pPr>
              <w:spacing w:before="100" w:beforeAutospacing="1" w:after="100" w:afterAutospacing="1"/>
            </w:pPr>
            <w:r>
              <w:rPr>
                <w:sz w:val="18"/>
                <w:szCs w:val="18"/>
              </w:rPr>
              <w:t>Weak; single study, no fertility endpoint, not replicated</w:t>
            </w:r>
          </w:p>
        </w:tc>
        <w:tc>
          <w:tcPr>
            <w:tcW w:w="1620" w:type="dxa"/>
            <w:tcMar>
              <w:top w:w="60" w:type="dxa"/>
              <w:left w:w="80" w:type="dxa"/>
              <w:bottom w:w="60" w:type="dxa"/>
              <w:right w:w="80" w:type="dxa"/>
            </w:tcMar>
          </w:tcPr>
          <w:p w14:paraId="4D06835B" w14:textId="77777777" w:rsidR="008E046C" w:rsidRDefault="00000000" w:rsidP="009D41F1">
            <w:pPr>
              <w:spacing w:before="100" w:beforeAutospacing="1" w:after="100" w:afterAutospacing="1"/>
            </w:pPr>
            <w:r>
              <w:rPr>
                <w:sz w:val="18"/>
                <w:szCs w:val="18"/>
              </w:rPr>
              <w:t>Deng et al. (2015)</w:t>
            </w:r>
          </w:p>
        </w:tc>
      </w:tr>
      <w:tr w:rsidR="008E046C" w14:paraId="01FE267F" w14:textId="77777777">
        <w:tc>
          <w:tcPr>
            <w:tcW w:w="1616" w:type="dxa"/>
            <w:tcMar>
              <w:top w:w="60" w:type="dxa"/>
              <w:left w:w="80" w:type="dxa"/>
              <w:bottom w:w="60" w:type="dxa"/>
              <w:right w:w="80" w:type="dxa"/>
            </w:tcMar>
          </w:tcPr>
          <w:p w14:paraId="67E7B1C7" w14:textId="77777777" w:rsidR="008E046C" w:rsidRDefault="00000000" w:rsidP="009D41F1">
            <w:pPr>
              <w:spacing w:before="100" w:beforeAutospacing="1" w:after="100" w:afterAutospacing="1"/>
            </w:pPr>
            <w:r>
              <w:rPr>
                <w:sz w:val="18"/>
                <w:szCs w:val="18"/>
              </w:rPr>
              <w:t>Transition nutrition and body condition management</w:t>
            </w:r>
          </w:p>
        </w:tc>
        <w:tc>
          <w:tcPr>
            <w:tcW w:w="1616" w:type="dxa"/>
            <w:tcMar>
              <w:top w:w="60" w:type="dxa"/>
              <w:left w:w="80" w:type="dxa"/>
              <w:bottom w:w="60" w:type="dxa"/>
              <w:right w:w="80" w:type="dxa"/>
            </w:tcMar>
          </w:tcPr>
          <w:p w14:paraId="3E9C03C6" w14:textId="77777777" w:rsidR="008E046C" w:rsidRDefault="00000000" w:rsidP="009D41F1">
            <w:pPr>
              <w:spacing w:before="100" w:beforeAutospacing="1" w:after="100" w:afterAutospacing="1"/>
            </w:pPr>
            <w:r>
              <w:rPr>
                <w:sz w:val="18"/>
                <w:szCs w:val="18"/>
              </w:rPr>
              <w:t>Depth and duration of negative energy balance</w:t>
            </w:r>
          </w:p>
        </w:tc>
        <w:tc>
          <w:tcPr>
            <w:tcW w:w="1616" w:type="dxa"/>
            <w:tcMar>
              <w:top w:w="60" w:type="dxa"/>
              <w:left w:w="80" w:type="dxa"/>
              <w:bottom w:w="60" w:type="dxa"/>
              <w:right w:w="80" w:type="dxa"/>
            </w:tcMar>
          </w:tcPr>
          <w:p w14:paraId="02498CAA" w14:textId="77777777" w:rsidR="008E046C" w:rsidRDefault="00000000" w:rsidP="009D41F1">
            <w:pPr>
              <w:spacing w:before="100" w:beforeAutospacing="1" w:after="100" w:afterAutospacing="1"/>
            </w:pPr>
            <w:r>
              <w:rPr>
                <w:sz w:val="18"/>
                <w:szCs w:val="18"/>
              </w:rPr>
              <w:t>Health and reproductive performance</w:t>
            </w:r>
          </w:p>
        </w:tc>
        <w:tc>
          <w:tcPr>
            <w:tcW w:w="1616" w:type="dxa"/>
            <w:tcMar>
              <w:top w:w="60" w:type="dxa"/>
              <w:left w:w="80" w:type="dxa"/>
              <w:bottom w:w="60" w:type="dxa"/>
              <w:right w:w="80" w:type="dxa"/>
            </w:tcMar>
          </w:tcPr>
          <w:p w14:paraId="5AA5FF0B" w14:textId="77777777" w:rsidR="008E046C" w:rsidRDefault="00000000" w:rsidP="009D41F1">
            <w:pPr>
              <w:spacing w:before="100" w:beforeAutospacing="1" w:after="100" w:afterAutospacing="1"/>
            </w:pPr>
            <w:r>
              <w:rPr>
                <w:sz w:val="18"/>
                <w:szCs w:val="18"/>
              </w:rPr>
              <w:t>Favourable</w:t>
            </w:r>
          </w:p>
        </w:tc>
        <w:tc>
          <w:tcPr>
            <w:tcW w:w="1616" w:type="dxa"/>
            <w:tcMar>
              <w:top w:w="60" w:type="dxa"/>
              <w:left w:w="80" w:type="dxa"/>
              <w:bottom w:w="60" w:type="dxa"/>
              <w:right w:w="80" w:type="dxa"/>
            </w:tcMar>
          </w:tcPr>
          <w:p w14:paraId="2D362610" w14:textId="77777777" w:rsidR="008E046C" w:rsidRDefault="00000000" w:rsidP="009D41F1">
            <w:pPr>
              <w:spacing w:before="100" w:beforeAutospacing="1" w:after="100" w:afterAutospacing="1"/>
            </w:pPr>
            <w:r>
              <w:rPr>
                <w:sz w:val="18"/>
                <w:szCs w:val="18"/>
              </w:rPr>
              <w:t>Strong as a body of evidence; specific protocols vary by system</w:t>
            </w:r>
          </w:p>
        </w:tc>
        <w:tc>
          <w:tcPr>
            <w:tcW w:w="1620" w:type="dxa"/>
            <w:tcMar>
              <w:top w:w="60" w:type="dxa"/>
              <w:left w:w="80" w:type="dxa"/>
              <w:bottom w:w="60" w:type="dxa"/>
              <w:right w:w="80" w:type="dxa"/>
            </w:tcMar>
          </w:tcPr>
          <w:p w14:paraId="115EEEDC" w14:textId="77777777" w:rsidR="008E046C" w:rsidRDefault="00000000" w:rsidP="009D41F1">
            <w:pPr>
              <w:spacing w:before="100" w:beforeAutospacing="1" w:after="100" w:afterAutospacing="1"/>
            </w:pPr>
            <w:r>
              <w:rPr>
                <w:sz w:val="18"/>
                <w:szCs w:val="18"/>
              </w:rPr>
              <w:t>Drackley and Cardoso (2014); Roche et al. (2009)</w:t>
            </w:r>
          </w:p>
        </w:tc>
      </w:tr>
    </w:tbl>
    <w:p w14:paraId="0E178EF0" w14:textId="77777777" w:rsidR="008E046C" w:rsidRDefault="00000000" w:rsidP="009D41F1">
      <w:pPr>
        <w:spacing w:before="100" w:beforeAutospacing="1" w:after="100" w:afterAutospacing="1"/>
      </w:pPr>
      <w:r>
        <w:rPr>
          <w:sz w:val="18"/>
          <w:szCs w:val="18"/>
        </w:rPr>
        <w:t>Note. Strength of evidence refers to the design and endpoint of the cited studies rather than to a formal grading system. Interventions are described as tested and are not treatment recommendations.</w:t>
      </w:r>
    </w:p>
    <w:p w14:paraId="38D33487" w14:textId="77777777" w:rsidR="008E046C" w:rsidRDefault="00000000" w:rsidP="009D41F1">
      <w:pPr>
        <w:pStyle w:val="Heading1"/>
        <w:spacing w:before="100" w:beforeAutospacing="1" w:after="100" w:afterAutospacing="1"/>
      </w:pPr>
      <w:r>
        <w:rPr>
          <w:b/>
          <w:bCs/>
          <w:sz w:val="26"/>
          <w:szCs w:val="26"/>
        </w:rPr>
        <w:t>9. Future Directions</w:t>
      </w:r>
    </w:p>
    <w:p w14:paraId="1992F763" w14:textId="77777777" w:rsidR="008E046C" w:rsidRDefault="00000000" w:rsidP="009D41F1">
      <w:pPr>
        <w:spacing w:before="100" w:beforeAutospacing="1" w:after="100" w:afterAutospacing="1"/>
        <w:jc w:val="both"/>
      </w:pPr>
      <w:r>
        <w:t>The first priority is resolution of the directional question that has remained open since it was posed explicitly a quarter of a century ago. The unresolved problem is whether early ovarian activity exerts a causal effect on uterine recovery, whether uterine inflammation exerts a causal effect on ovarian rebound, or whether both associations arise principally from shared upstream determinants. Current evidence is inadequate because the observational studies that generate the association cannot break the confounding, and the two experimental suppression studies removed follicular oestradiol and luteal progesterone together (Heppelmann, Brömmling, et al., 2013; Sheldon et al., 2000; Silvestre et al., 2009). The appropriate design is a factorial experiment in which follicular oestradiol exposure and luteal progesterone exposure during the second to fourth weeks after calving are manipulated independently, using ovulation suppression with and without controlled exogenous oestradiol or progesterone replacement, in cows stratified by transition-period inflammatory status. Outcomes should include endometrial cytology and transcriptomic markers of repair rather than tract dimensions alone, with sufficient animals per cell to detect differences in cytological rather than dimensional endpoints. Work of this kind would materially advance the field because it addresses the assumption on which a substantial part of postpartum intervention practice rests.</w:t>
      </w:r>
    </w:p>
    <w:p w14:paraId="36294A5C" w14:textId="77777777" w:rsidR="008E046C" w:rsidRDefault="00000000" w:rsidP="009D41F1">
      <w:pPr>
        <w:spacing w:before="100" w:beforeAutospacing="1" w:after="100" w:afterAutospacing="1"/>
        <w:jc w:val="both"/>
      </w:pPr>
      <w:r>
        <w:t xml:space="preserve">A second immediate priority is validation of involution endpoints against endometrial function. The problem is that dimensional endpoints are used as though they indicated readiness for pregnancy, while the one recent study comparing them directly with cytological inflammation in clinically healthy cows found no association (Tobolski, Bogado Pascottini, et al., 2025). What is required is a prospective cohort in which tract dimensions, uterine perfusion, endometrial cytology and endometrial transcriptomic or proteomic markers are measured serially in the same animals, with pregnancy at first service and time to pregnancy as endpoints, and with analysis designed to establish which measure </w:t>
      </w:r>
      <w:r>
        <w:lastRenderedPageBreak/>
        <w:t>carries independent predictive information. Such a study should be multicentre to capture variation in system and breed, and it should report the incremental predictive value of each measure rather than testing each in isolation. The outcome would either justify continued use of dimensional endpoints or, more probably, replace them.</w:t>
      </w:r>
    </w:p>
    <w:p w14:paraId="69168A81" w14:textId="77777777" w:rsidR="008E046C" w:rsidRDefault="00000000" w:rsidP="009D41F1">
      <w:pPr>
        <w:spacing w:before="100" w:beforeAutospacing="1" w:after="100" w:afterAutospacing="1"/>
        <w:jc w:val="both"/>
      </w:pPr>
      <w:r>
        <w:t>Harmonisation of phenotype definitions is a third priority and is a precondition for cumulative progress. The prevalence of anovulation reported in the literature varies between roughly 17 and 72 per cent depending on the day and criterion of assessment, and cytological thresholds for subclinical endometritis vary with day postpartum, sampling method and production system (Dubuc et al., 2012; Madoz et al., 2013; Wagener et al., 2017). Progress requires consensus reporting standards specifying the day of assessment, the criterion, the sampling method and the classification rule in full, together with reanalysis of existing datasets under common definitions where the raw data permit. The methodological work needed here is not expensive relative to its value, since much of it involves reanalysis rather than new data collection, and it would allow the many well-conducted studies already published to be compared meaningfully.</w:t>
      </w:r>
    </w:p>
    <w:p w14:paraId="20CC63F6" w14:textId="77777777" w:rsidR="008E046C" w:rsidRDefault="00000000" w:rsidP="009D41F1">
      <w:pPr>
        <w:spacing w:before="100" w:beforeAutospacing="1" w:after="100" w:afterAutospacing="1"/>
        <w:jc w:val="both"/>
      </w:pPr>
      <w:r>
        <w:t>A fourth priority concerns continuous phenotyping and its interpretation. In-line milk progesterone and activity sensors generate dense longitudinal data that reveal short luteal phases, atypical profiles and silent ovulations invisible to episodic sampling (Bruinjé et al., 2019; Sakaguchi, 2010). What has not been established is which features of these continuous profiles predict fertility independently of the categorical phenotypes they replace, or whether sensor-derived features can substitute for invasive measures of endometrial inflammation. Studies should combine continuous endocrine and behavioural monitoring with periodic cytological and, where feasible, molecular assessment of the endometrium in the same animals, and should report predictive performance with explicit description of data pre-processing, since prediction accuracy in this domain is sensitive to processing choices (Vidal et al., 2023). The relevant timescale is a full lactation, and the relevant outcome measures are pregnancy per artificial insemination and time to pregnancy rather than intermediate classifications.</w:t>
      </w:r>
    </w:p>
    <w:p w14:paraId="5C2399D3" w14:textId="77777777" w:rsidR="008E046C" w:rsidRDefault="00000000" w:rsidP="009D41F1">
      <w:pPr>
        <w:spacing w:before="100" w:beforeAutospacing="1" w:after="100" w:afterAutospacing="1"/>
        <w:jc w:val="both"/>
      </w:pPr>
      <w:r>
        <w:t>Longer-term priorities include the extension of mechanistic work from tissue to systemic integration, and the correction of geographical imbalance. Cell-based evidence that lipopolysaccharide and inflammatory mediators impair granulosa cell function and oocyte competence is convincing at the level of mechanism but has not been connected quantitatively to the concentrations and durations of exposure that occur in cows with subclinical disease (Heidari et al., 2019; Magata, 2020; Yamamoto et al., 2023). Dose-matched in vivo work, in which follicular fluid endotoxin and cytokine concentrations are measured alongside ovulatory outcome and subsequent embryo quality, would establish whether the demonstrated mechanism operates at physiologically relevant intensities. In parallel, the concentration of evidence in temperate confinement systems limits confidence in its application elsewhere. Studies from high-altitude tropical and seasonal grazing systems show different incidence patterns and risk factor structures (Ribeiro et al., 2013; Rojas Canadas et al., 2023; Vallejo-Timaran et al., 2021), and equivalent characterisation is needed in tropical smallholder systems, in crossbred populations and under conditions of heat stress, where the interaction between thermal load and postpartum recovery remains poorly quantified (Rhoads, 2023).</w:t>
      </w:r>
    </w:p>
    <w:p w14:paraId="5CD11C1A" w14:textId="77777777" w:rsidR="008E046C" w:rsidRDefault="00000000" w:rsidP="009D41F1">
      <w:pPr>
        <w:spacing w:before="100" w:beforeAutospacing="1" w:after="100" w:afterAutospacing="1"/>
        <w:jc w:val="both"/>
      </w:pPr>
      <w:r>
        <w:t xml:space="preserve">Finally, genetic and genomic approaches deserve targeted rather than general investment. Endocrine fertility traits derived from continuous progesterone monitoring are heritable and estimable at population scale, and cows differing in genomic merit for fertility differ in several postpartum physiological intermediates (Sitko et al., 2024; Tarekegn et al., 2019). The unresolved question is which intermediate carries the genetic effect, since that determines whether selection and management act on the same pathway or on different ones. Mendelian randomisation-style analyses using genomic merit as an instrument, applied to large cohorts with detailed postpartum phenotyping, would allow the effect of specific intermediates on fertility to be estimated with less confounding than conventional observational designs permit. Given the interaction between genetic merit and feeding system, such </w:t>
      </w:r>
      <w:r>
        <w:lastRenderedPageBreak/>
        <w:t>work must be replicated across production environments before its conclusions are applied generally (Bedere et al., 2016).</w:t>
      </w:r>
    </w:p>
    <w:p w14:paraId="5D2FF33A" w14:textId="77777777" w:rsidR="008E046C" w:rsidRDefault="00000000" w:rsidP="009D41F1">
      <w:pPr>
        <w:pStyle w:val="Heading1"/>
        <w:spacing w:before="100" w:beforeAutospacing="1" w:after="100" w:afterAutospacing="1"/>
      </w:pPr>
      <w:r>
        <w:rPr>
          <w:b/>
          <w:bCs/>
          <w:sz w:val="26"/>
          <w:szCs w:val="26"/>
        </w:rPr>
        <w:t>10. Conclusions</w:t>
      </w:r>
    </w:p>
    <w:p w14:paraId="1392D37C" w14:textId="77777777" w:rsidR="008E046C" w:rsidRDefault="00000000" w:rsidP="009D41F1">
      <w:pPr>
        <w:spacing w:before="100" w:beforeAutospacing="1" w:after="100" w:afterAutospacing="1"/>
        <w:jc w:val="both"/>
      </w:pPr>
      <w:r>
        <w:t>Postpartum uterine involution and the resumption of ovulatory ovarian activity in dairy cattle are well described as parallel processes and poorly understood as a coupled system. The evidence supports several conclusions with reasonable confidence. The macroscopic sequence of involution is consistent and reproducible, and its dimensional endpoint is reached within approximately four to six weeks in clinically normal cows, but that endpoint does not indicate that the endometrium has completed repair or resolved inflammation. Resumption of ovarian cyclicity is limited not by follicular growth, which resumes within one to two weeks in most cows, but by whether the first dominant follicle ovulates, and this decision is governed principally by gonadotrophic support that is itself sensitive to energy balance, insulin and the somatotropic axis. Impaired recovery of both kinds remains common, and the proportion of cows affected has not fallen appreciably despite two decades of intensified reproductive management.</w:t>
      </w:r>
    </w:p>
    <w:p w14:paraId="02C8069B" w14:textId="77777777" w:rsidR="008E046C" w:rsidRDefault="00000000" w:rsidP="009D41F1">
      <w:pPr>
        <w:spacing w:before="100" w:beforeAutospacing="1" w:after="100" w:afterAutospacing="1"/>
        <w:jc w:val="both"/>
      </w:pPr>
      <w:r>
        <w:t>The strongest and most consistent finding across the literature is that transition-period inflammation and metabolic status influence both recoveries. Inflammatory and metabolic markers measured in the first weeks of lactation predict subsequent chronic reproductive tract disease and prolonged anovulation alike, and conditions anatomically remote from the reproductive tract, such as lameness, alter both processes in the same direction. Uterine inflammation is additionally capable of suppressing ovarian function through mechanisms demonstrated at the level of the follicle and the oocyte, and this directed effect is supported by evidence of adequate quality. The reciprocal claim, that early ovarian activity accelerates uterine involution, rests principally on observational associations that experimental suppression of ovulation has failed to confirm and has in some respects contradicted. A model placing shared upstream determinants above both processes, with an additional directed effect running from uterus to ovary, accommodates the available evidence more economically than either unidirectional account.</w:t>
      </w:r>
    </w:p>
    <w:p w14:paraId="4EB21185" w14:textId="77777777" w:rsidR="008E046C" w:rsidRDefault="00000000" w:rsidP="009D41F1">
      <w:pPr>
        <w:spacing w:before="100" w:beforeAutospacing="1" w:after="100" w:afterAutospacing="1"/>
        <w:jc w:val="both"/>
      </w:pPr>
      <w:r>
        <w:t>Two conclusions are more tentative and should be treated as such. The interpretation that early luteal progesterone is unfavourable during the period when the endometrium is still resolving inflammation is consistent with the suppression experiments but has not been tested by designs that separate progesterone from oestradiol. The proposition that dimensional endpoints should be replaced by functional measures of endometrial competence follows logically from the dissociation observed between tract size and cytological inflammation, but rests at present on a small number of studies.</w:t>
      </w:r>
    </w:p>
    <w:p w14:paraId="2056F16A" w14:textId="77777777" w:rsidR="008E046C" w:rsidRDefault="00000000" w:rsidP="009D41F1">
      <w:pPr>
        <w:spacing w:before="100" w:beforeAutospacing="1" w:after="100" w:afterAutospacing="1"/>
        <w:jc w:val="both"/>
      </w:pPr>
      <w:r>
        <w:t>The practical significance of this synthesis lies in where intervention effort is directed. Treatments applied to the involuting uterus, whether ecbolic, luteolytic or anti-inflammatory, have repeatedly produced effects on intermediate markers without corresponding improvements in fertility, which is what would be expected if the determinants of the trajectory operate before the clinical phenotype appears. Interventions acting on transition-period nutrition, mineral status and inflammation, and those acting on the breeding decision through synchronisation and the timing of first service, have better support. The broader implication for research is that progress now depends less on additional description of either recovery and more on designs capable of distinguishing shared causation from reciprocal effect, and on phenotypes validated against the biological states they are taken to represent rather than against convenience.</w:t>
      </w:r>
    </w:p>
    <w:p w14:paraId="42782EAC" w14:textId="77777777" w:rsidR="008E046C" w:rsidRDefault="00000000" w:rsidP="009D41F1">
      <w:pPr>
        <w:pStyle w:val="Heading1"/>
        <w:spacing w:before="100" w:beforeAutospacing="1" w:after="100" w:afterAutospacing="1"/>
      </w:pPr>
      <w:r>
        <w:rPr>
          <w:b/>
          <w:bCs/>
          <w:sz w:val="26"/>
          <w:szCs w:val="26"/>
        </w:rPr>
        <w:t>11. Limitations</w:t>
      </w:r>
    </w:p>
    <w:p w14:paraId="17A35B0C" w14:textId="77777777" w:rsidR="008E046C" w:rsidRDefault="00000000" w:rsidP="009D41F1">
      <w:pPr>
        <w:spacing w:before="100" w:beforeAutospacing="1" w:after="100" w:afterAutospacing="1"/>
        <w:jc w:val="both"/>
      </w:pPr>
      <w:r>
        <w:t xml:space="preserve">This review is a narrative synthesis and carries the limitations intrinsic to that format. Study identification and selection were purposive rather than exhaustive, appraisal was conducted by structured judgement rather than by a validated instrument, and the weighting of conflicting evidence </w:t>
      </w:r>
      <w:r>
        <w:lastRenderedPageBreak/>
        <w:t>reflects interpretive decisions that another reviewer might reasonably make differently. Selection bias in favour of studies that support the interpretive framework developed here cannot be excluded, although the framework was revised in response to the experimental suppression findings rather than constructed in advance of them. The transparency of the search and appraisal process reduces but does not eliminate this risk.</w:t>
      </w:r>
    </w:p>
    <w:p w14:paraId="70E897AD" w14:textId="77777777" w:rsidR="008E046C" w:rsidRDefault="00000000" w:rsidP="009D41F1">
      <w:pPr>
        <w:spacing w:before="100" w:beforeAutospacing="1" w:after="100" w:afterAutospacing="1"/>
        <w:jc w:val="both"/>
      </w:pPr>
      <w:r>
        <w:t>Access to bibliographic resources was incomplete. Only two sources were searched directly, and no subscription database was available, so relevant literature indexed exclusively in resources such as agricultural and veterinary subject databases may not have been retrieved. Backward and forward citation searching was not performed systematically, which further limits the completeness of retrieval. Only publications available in English were used, and given that substantial dairy research is published in other languages, this restriction is likely to have reduced representation of work from several important production regions. Some records were used on the basis of the abstract and verified bibliographic record where the full text could not be obtained, and such records supported descriptive rather than quantitative claims.</w:t>
      </w:r>
    </w:p>
    <w:p w14:paraId="260FAA28" w14:textId="77777777" w:rsidR="008E046C" w:rsidRDefault="00000000" w:rsidP="009D41F1">
      <w:pPr>
        <w:spacing w:before="100" w:beforeAutospacing="1" w:after="100" w:afterAutospacing="1"/>
        <w:jc w:val="both"/>
      </w:pPr>
      <w:r>
        <w:t>The evidence base itself imposes constraints. Studies differ widely in the definitions applied to nominally identical phenotypes, in the frequency of measurement, in parity structure and in production system, which limits comparability and precludes quantitative synthesis. Much of the evidence on the relationship between the two recoveries is observational, so causal interpretation is constrained by confounding that the designs cannot address. Several of the intervention studies that bear most directly on the central argument used small numbers of animals and physiological rather than fertility endpoints. Geographical representation is uneven, with the literature concentrated in temperate confinement systems of North America and Western Europe and comparatively sparse for tropical, subtropical and smallholder contexts. Long-term evidence is scarce, since most studies follow cows for a single lactation or less, and carryover effects across lactations are consequently poorly characterised. Publication bias in favour of positive intervention results is plausible in this field, and the repeated appearance of null findings in the more recent and better designed trials may indicate that earlier positive reports were selectively published. Finally, the field is developing rapidly in the areas of continuous monitoring and molecular characterisation, so conclusions drawn about those technologies are provisional and will require revision as larger validation studies appear.</w:t>
      </w:r>
    </w:p>
    <w:p w14:paraId="4200606E" w14:textId="77777777" w:rsidR="0038246B" w:rsidRPr="000839CE" w:rsidRDefault="0038246B" w:rsidP="0038246B">
      <w:pPr>
        <w:rPr>
          <w:b/>
        </w:rPr>
      </w:pPr>
      <w:r w:rsidRPr="000839CE">
        <w:rPr>
          <w:b/>
        </w:rPr>
        <w:t>Declaration of AI Use</w:t>
      </w:r>
    </w:p>
    <w:p w14:paraId="23802984" w14:textId="77777777" w:rsidR="0038246B" w:rsidRPr="000839CE" w:rsidRDefault="0038246B" w:rsidP="0038246B"/>
    <w:p w14:paraId="06C5605C" w14:textId="77777777" w:rsidR="0038246B" w:rsidRPr="000839CE" w:rsidRDefault="0038246B" w:rsidP="0038246B">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DA0844D" w14:textId="77777777" w:rsidR="0038246B" w:rsidRDefault="0038246B" w:rsidP="009D41F1">
      <w:pPr>
        <w:spacing w:before="100" w:beforeAutospacing="1" w:after="100" w:afterAutospacing="1"/>
        <w:jc w:val="both"/>
      </w:pPr>
    </w:p>
    <w:p w14:paraId="41FF7FFF" w14:textId="77777777" w:rsidR="008E046C" w:rsidRDefault="00000000" w:rsidP="009D41F1">
      <w:pPr>
        <w:pStyle w:val="Heading1"/>
        <w:spacing w:before="100" w:beforeAutospacing="1" w:after="100" w:afterAutospacing="1"/>
      </w:pPr>
      <w:r>
        <w:rPr>
          <w:b/>
          <w:bCs/>
          <w:sz w:val="26"/>
          <w:szCs w:val="26"/>
        </w:rPr>
        <w:t>References</w:t>
      </w:r>
    </w:p>
    <w:p w14:paraId="01DE2DB6" w14:textId="77777777" w:rsidR="008E046C" w:rsidRDefault="00000000" w:rsidP="009D41F1">
      <w:pPr>
        <w:spacing w:before="100" w:beforeAutospacing="1" w:after="100" w:afterAutospacing="1"/>
        <w:ind w:left="720" w:hanging="720"/>
      </w:pPr>
      <w:r>
        <w:t xml:space="preserve">Abdelli, A., Raboisson, D., Kaidi, R., Ibrahim, B., Kalem, A., &amp; Iguer-Ouada, M. (2017). Elevated non-esterified fatty acid and β-hydroxybutyrate in transition dairy cows and their association with reproductive performance and disorders: A meta-analysis. </w:t>
      </w:r>
      <w:r>
        <w:rPr>
          <w:i/>
          <w:iCs/>
        </w:rPr>
        <w:t>Theriogenology, 93</w:t>
      </w:r>
      <w:r>
        <w:t>, 99–104. https://doi.org/10.1016/j.theriogenology.2017.01.030</w:t>
      </w:r>
    </w:p>
    <w:p w14:paraId="438C4AF3" w14:textId="77777777" w:rsidR="008E046C" w:rsidRDefault="00000000" w:rsidP="009D41F1">
      <w:pPr>
        <w:spacing w:before="100" w:beforeAutospacing="1" w:after="100" w:afterAutospacing="1"/>
        <w:ind w:left="720" w:hanging="720"/>
      </w:pPr>
      <w:r>
        <w:lastRenderedPageBreak/>
        <w:t xml:space="preserve">Alemu, T. W., Santschi, D. E., Cue, R. I., &amp; Duggavathi, R. (2023). Reproductive performance of lactating dairy cows with elevated milk β-hydroxybutyrate levels during first 6 weeks of lactation. </w:t>
      </w:r>
      <w:r>
        <w:rPr>
          <w:i/>
          <w:iCs/>
        </w:rPr>
        <w:t>Journal of Dairy Science, 106</w:t>
      </w:r>
      <w:r>
        <w:t>(7), 5165–5181. https://doi.org/10.3168/jds.2022-22406</w:t>
      </w:r>
    </w:p>
    <w:p w14:paraId="78243015" w14:textId="77777777" w:rsidR="008E046C" w:rsidRDefault="00000000" w:rsidP="009D41F1">
      <w:pPr>
        <w:spacing w:before="100" w:beforeAutospacing="1" w:after="100" w:afterAutospacing="1"/>
        <w:ind w:left="720" w:hanging="720"/>
      </w:pPr>
      <w:r>
        <w:t xml:space="preserve">Baethge, C., Goldbeck-Wood, S., &amp; Mertens, S. (2019). SANRA—a scale for the quality assessment of narrative review articles. </w:t>
      </w:r>
      <w:r>
        <w:rPr>
          <w:i/>
          <w:iCs/>
        </w:rPr>
        <w:t>Research Integrity and Peer Review, 4</w:t>
      </w:r>
      <w:r>
        <w:t>, Article 5. https://doi.org/10.1186/s41073-019-0064-8</w:t>
      </w:r>
    </w:p>
    <w:p w14:paraId="1F558460" w14:textId="77777777" w:rsidR="008E046C" w:rsidRDefault="00000000" w:rsidP="009D41F1">
      <w:pPr>
        <w:spacing w:before="100" w:beforeAutospacing="1" w:after="100" w:afterAutospacing="1"/>
        <w:ind w:left="720" w:hanging="720"/>
      </w:pPr>
      <w:r>
        <w:t xml:space="preserve">Bedere, N., Delaby, L., Ducrocq, V., Leurent-Colette, S., &amp; Disenhaus, C. (2016). Toward improved postpartum cyclicity of primiparous dairy cows: Effects of genetic merit for production traits under contrasting feeding systems. </w:t>
      </w:r>
      <w:r>
        <w:rPr>
          <w:i/>
          <w:iCs/>
        </w:rPr>
        <w:t>Journal of Dairy Science, 99</w:t>
      </w:r>
      <w:r>
        <w:t>(2), 1266–1276. https://doi.org/10.3168/jds.2015-9843</w:t>
      </w:r>
    </w:p>
    <w:p w14:paraId="2EC41C56" w14:textId="77777777" w:rsidR="008E046C" w:rsidRDefault="00000000" w:rsidP="009D41F1">
      <w:pPr>
        <w:spacing w:before="100" w:beforeAutospacing="1" w:after="100" w:afterAutospacing="1"/>
        <w:ind w:left="720" w:hanging="720"/>
      </w:pPr>
      <w:r>
        <w:t xml:space="preserve">Berry, D. P. (2018). Symposium review: Breeding a better cow—Will she be adaptable? </w:t>
      </w:r>
      <w:r>
        <w:rPr>
          <w:i/>
          <w:iCs/>
        </w:rPr>
        <w:t>Journal of Dairy Science, 101</w:t>
      </w:r>
      <w:r>
        <w:t>(4), 3665–3685. https://doi.org/10.3168/jds.2017-13309</w:t>
      </w:r>
    </w:p>
    <w:p w14:paraId="347FD154" w14:textId="77777777" w:rsidR="008E046C" w:rsidRDefault="00000000" w:rsidP="009D41F1">
      <w:pPr>
        <w:spacing w:before="100" w:beforeAutospacing="1" w:after="100" w:afterAutospacing="1"/>
        <w:ind w:left="720" w:hanging="720"/>
      </w:pPr>
      <w:r>
        <w:t xml:space="preserve">Bogado Pascottini, O., LeBlanc, S. J., Gnemi, G., Leroy, J. L. M. R., &amp; Opsomer, G. (2023). Genesis of clinical and subclinical endometritis in dairy cows. </w:t>
      </w:r>
      <w:r>
        <w:rPr>
          <w:i/>
          <w:iCs/>
        </w:rPr>
        <w:t>Reproduction, 166</w:t>
      </w:r>
      <w:r>
        <w:t>(2), R15–R24. https://doi.org/10.1530/REP-22-0452</w:t>
      </w:r>
    </w:p>
    <w:p w14:paraId="268E654D" w14:textId="77777777" w:rsidR="008E046C" w:rsidRDefault="00000000" w:rsidP="009D41F1">
      <w:pPr>
        <w:spacing w:before="100" w:beforeAutospacing="1" w:after="100" w:afterAutospacing="1"/>
        <w:ind w:left="720" w:hanging="720"/>
      </w:pPr>
      <w:r>
        <w:t xml:space="preserve">Bruinjé, T. C., Bogado Pascottini, O., &amp; LeBlanc, S. J. (2026). Inflammatory and metabolic markers in postpartum dairy cows developing chronic reproductive tract disease: A case-control study. </w:t>
      </w:r>
      <w:r>
        <w:rPr>
          <w:i/>
          <w:iCs/>
        </w:rPr>
        <w:t>Journal of Dairy Science, 109</w:t>
      </w:r>
      <w:r>
        <w:t>(1), 572–583. https://doi.org/10.3168/jds.2025-26910</w:t>
      </w:r>
    </w:p>
    <w:p w14:paraId="3FD0F006" w14:textId="77777777" w:rsidR="008E046C" w:rsidRDefault="00000000" w:rsidP="009D41F1">
      <w:pPr>
        <w:spacing w:before="100" w:beforeAutospacing="1" w:after="100" w:afterAutospacing="1"/>
        <w:ind w:left="720" w:hanging="720"/>
      </w:pPr>
      <w:r>
        <w:t xml:space="preserve">Bruinjé, T. C., Colazo, M. G., Ribeiro, E. S., Gobikrushanth, M., &amp; Ambrose, D. J. (2019). Using in-line milk progesterone data to characterize parameters of luteal activity and their association with fertility in Holstein cows. </w:t>
      </w:r>
      <w:r>
        <w:rPr>
          <w:i/>
          <w:iCs/>
        </w:rPr>
        <w:t>Journal of Dairy Science, 102</w:t>
      </w:r>
      <w:r>
        <w:t>(1), 780–798. https://doi.org/10.3168/jds.2018-14654</w:t>
      </w:r>
    </w:p>
    <w:p w14:paraId="4D94E0BC" w14:textId="77777777" w:rsidR="008E046C" w:rsidRDefault="00000000" w:rsidP="009D41F1">
      <w:pPr>
        <w:spacing w:before="100" w:beforeAutospacing="1" w:after="100" w:afterAutospacing="1"/>
        <w:ind w:left="720" w:hanging="720"/>
      </w:pPr>
      <w:r>
        <w:t xml:space="preserve">Bruinjé, T. C., &amp; LeBlanc, S. J. (2024). Graduate Student Literature Review: Implications of transition cow health for reproductive function and targeted reproductive management. </w:t>
      </w:r>
      <w:r>
        <w:rPr>
          <w:i/>
          <w:iCs/>
        </w:rPr>
        <w:t>Journal of Dairy Science, 107</w:t>
      </w:r>
      <w:r>
        <w:t>(10), 8234–8246. https://doi.org/10.3168/jds.2023-24562</w:t>
      </w:r>
    </w:p>
    <w:p w14:paraId="637E5BDE" w14:textId="77777777" w:rsidR="008E046C" w:rsidRDefault="00000000" w:rsidP="009D41F1">
      <w:pPr>
        <w:spacing w:before="100" w:beforeAutospacing="1" w:after="100" w:afterAutospacing="1"/>
        <w:ind w:left="720" w:hanging="720"/>
      </w:pPr>
      <w:r>
        <w:t xml:space="preserve">Bruinjé, T. C., &amp; LeBlanc, S. J. (2025). Invited review: Inflammation and health in the transition period influence reproductive function in dairy cows. </w:t>
      </w:r>
      <w:r>
        <w:rPr>
          <w:i/>
          <w:iCs/>
        </w:rPr>
        <w:t>Animals, 15</w:t>
      </w:r>
      <w:r>
        <w:t>(5), Article 633. https://doi.org/10.3390/ani15050633</w:t>
      </w:r>
    </w:p>
    <w:p w14:paraId="0197501C" w14:textId="77777777" w:rsidR="008E046C" w:rsidRDefault="00000000" w:rsidP="009D41F1">
      <w:pPr>
        <w:spacing w:before="100" w:beforeAutospacing="1" w:after="100" w:afterAutospacing="1"/>
        <w:ind w:left="720" w:hanging="720"/>
      </w:pPr>
      <w:r>
        <w:t xml:space="preserve">Butler, S. T., Pelton, S. H., &amp; Butler, W. R. (2006). Energy balance, metabolic status, and the first postpartum ovarian follicle wave in cows administered propylene glycol. </w:t>
      </w:r>
      <w:r>
        <w:rPr>
          <w:i/>
          <w:iCs/>
        </w:rPr>
        <w:t>Journal of Dairy Science, 89</w:t>
      </w:r>
      <w:r>
        <w:t>(8), 2938–2951. https://doi.org/10.3168/jds.S0022-0302(06)72566-8</w:t>
      </w:r>
    </w:p>
    <w:p w14:paraId="24E8EA56" w14:textId="77777777" w:rsidR="008E046C" w:rsidRDefault="00000000" w:rsidP="009D41F1">
      <w:pPr>
        <w:spacing w:before="100" w:beforeAutospacing="1" w:after="100" w:afterAutospacing="1"/>
        <w:ind w:left="720" w:hanging="720"/>
      </w:pPr>
      <w:r>
        <w:t xml:space="preserve">Butler, W. R. (2000). Nutritional interactions with reproductive performance in dairy cattle. </w:t>
      </w:r>
      <w:r>
        <w:rPr>
          <w:i/>
          <w:iCs/>
        </w:rPr>
        <w:t>Animal Reproduction Science, 60–61</w:t>
      </w:r>
      <w:r>
        <w:t>, 449–457. https://doi.org/10.1016/S0378-4320(00)00076-2</w:t>
      </w:r>
    </w:p>
    <w:p w14:paraId="1672A682" w14:textId="77777777" w:rsidR="008E046C" w:rsidRDefault="00000000" w:rsidP="009D41F1">
      <w:pPr>
        <w:spacing w:before="100" w:beforeAutospacing="1" w:after="100" w:afterAutospacing="1"/>
        <w:ind w:left="720" w:hanging="720"/>
      </w:pPr>
      <w:r>
        <w:t xml:space="preserve">Castro, N., Kawashima, C., van Dorland, H. A., Morel, I., Miyamoto, A., &amp; Bruckmaier, R. M. (2012). Metabolic and energy status during the dry period is crucial for the resumption of ovarian activity postpartum in dairy cows. </w:t>
      </w:r>
      <w:r>
        <w:rPr>
          <w:i/>
          <w:iCs/>
        </w:rPr>
        <w:t>Journal of Dairy Science, 95</w:t>
      </w:r>
      <w:r>
        <w:t>(10), 5804–5812. https://doi.org/10.3168/jds.2012-5666</w:t>
      </w:r>
    </w:p>
    <w:p w14:paraId="476A9039" w14:textId="77777777" w:rsidR="008E046C" w:rsidRDefault="00000000" w:rsidP="009D41F1">
      <w:pPr>
        <w:spacing w:before="100" w:beforeAutospacing="1" w:after="100" w:afterAutospacing="1"/>
        <w:ind w:left="720" w:hanging="720"/>
      </w:pPr>
      <w:r>
        <w:t xml:space="preserve">Cerri, R. L. A., Burnett, T. A., Madureira, A. M. L., Silper, B. F., Denis-Robichaud, J., LeBlanc, S., Cooke, R. F., &amp; Vasconcelos, J. L. M. (2021). Symposium review: Linking activity-sensor </w:t>
      </w:r>
      <w:r>
        <w:lastRenderedPageBreak/>
        <w:t xml:space="preserve">data and physiology to improve dairy cow fertility. </w:t>
      </w:r>
      <w:r>
        <w:rPr>
          <w:i/>
          <w:iCs/>
        </w:rPr>
        <w:t>Journal of Dairy Science, 104</w:t>
      </w:r>
      <w:r>
        <w:t>(1), 1220–1231. https://doi.org/10.3168/jds.2019-17893</w:t>
      </w:r>
    </w:p>
    <w:p w14:paraId="5E2BA55F" w14:textId="77777777" w:rsidR="008E046C" w:rsidRDefault="00000000" w:rsidP="009D41F1">
      <w:pPr>
        <w:spacing w:before="100" w:beforeAutospacing="1" w:after="100" w:afterAutospacing="1"/>
        <w:ind w:left="720" w:hanging="720"/>
      </w:pPr>
      <w:r>
        <w:t xml:space="preserve">Cheong, S. H., Sá Filho, O. G., Absalon-Medina, V. A., Schneider, A., Butler, W. R., &amp; Gilbert, R. O. (2017). Uterine and systemic inflammation influences ovarian follicular function in postpartum dairy cows. </w:t>
      </w:r>
      <w:r>
        <w:rPr>
          <w:i/>
          <w:iCs/>
        </w:rPr>
        <w:t>PLOS ONE, 12</w:t>
      </w:r>
      <w:r>
        <w:t>(5), Article e0177356. https://doi.org/10.1371/journal.pone.0177356</w:t>
      </w:r>
    </w:p>
    <w:p w14:paraId="4B741AC2" w14:textId="77777777" w:rsidR="008E046C" w:rsidRDefault="00000000" w:rsidP="009D41F1">
      <w:pPr>
        <w:spacing w:before="100" w:beforeAutospacing="1" w:after="100" w:afterAutospacing="1"/>
        <w:ind w:left="720" w:hanging="720"/>
      </w:pPr>
      <w:r>
        <w:t xml:space="preserve">Crowe, M. A. (2008). Resumption of ovarian cyclicity in post-partum beef and dairy cows. </w:t>
      </w:r>
      <w:r>
        <w:rPr>
          <w:i/>
          <w:iCs/>
        </w:rPr>
        <w:t>Reproduction in Domestic Animals, 43</w:t>
      </w:r>
      <w:r>
        <w:t>(Suppl. 5), 20–28. https://doi.org/10.1111/j.1439-0531.2008.01210.x</w:t>
      </w:r>
    </w:p>
    <w:p w14:paraId="403357DF" w14:textId="77777777" w:rsidR="008E046C" w:rsidRDefault="00000000" w:rsidP="009D41F1">
      <w:pPr>
        <w:spacing w:before="100" w:beforeAutospacing="1" w:after="100" w:afterAutospacing="1"/>
        <w:ind w:left="720" w:hanging="720"/>
      </w:pPr>
      <w:r>
        <w:t xml:space="preserve">Crowe, M. A., Diskin, M. G., &amp; Williams, E. J. (2014). Parturition to resumption of ovarian cyclicity: Comparative aspects of beef and dairy cows. </w:t>
      </w:r>
      <w:r>
        <w:rPr>
          <w:i/>
          <w:iCs/>
        </w:rPr>
        <w:t>Animal, 8</w:t>
      </w:r>
      <w:r>
        <w:t>(Suppl. 1), 40–53. https://doi.org/10.1017/S1751731114000251</w:t>
      </w:r>
    </w:p>
    <w:p w14:paraId="0CBEE639" w14:textId="77777777" w:rsidR="008E046C" w:rsidRDefault="00000000" w:rsidP="009D41F1">
      <w:pPr>
        <w:spacing w:before="100" w:beforeAutospacing="1" w:after="100" w:afterAutospacing="1"/>
        <w:ind w:left="720" w:hanging="720"/>
      </w:pPr>
      <w:r>
        <w:t xml:space="preserve">Darwash, A. O., Lamming, G. E., &amp; Woolliams, J. A. (1997). Estimation of genetic variation in the interval from calving to postpartum ovulation of dairy cows. </w:t>
      </w:r>
      <w:r>
        <w:rPr>
          <w:i/>
          <w:iCs/>
        </w:rPr>
        <w:t>Journal of Dairy Science, 80</w:t>
      </w:r>
      <w:r>
        <w:t>(6), 1227–1234. https://doi.org/10.3168/jds.S0022-0302(97)76051-X</w:t>
      </w:r>
    </w:p>
    <w:p w14:paraId="1292D4E1" w14:textId="77777777" w:rsidR="008E046C" w:rsidRDefault="00000000" w:rsidP="009D41F1">
      <w:pPr>
        <w:spacing w:before="100" w:beforeAutospacing="1" w:after="100" w:afterAutospacing="1"/>
        <w:ind w:left="720" w:hanging="720"/>
      </w:pPr>
      <w:r>
        <w:t xml:space="preserve">Deng, Q., Odhiambo, J. F., Farooq, U., Lam, T., Dunn, S. M., Gänzle, M. G., &amp; Ametaj, B. N. (2015). Intravaginally administered lactic acid bacteria expedited uterine involution and modulated hormonal profiles of transition dairy cows. </w:t>
      </w:r>
      <w:r>
        <w:rPr>
          <w:i/>
          <w:iCs/>
        </w:rPr>
        <w:t>Journal of Dairy Science, 98</w:t>
      </w:r>
      <w:r>
        <w:t>(9), 6018–6028. https://doi.org/10.3168/jds.2014-8559</w:t>
      </w:r>
    </w:p>
    <w:p w14:paraId="25FD69BF" w14:textId="77777777" w:rsidR="008E046C" w:rsidRDefault="00000000" w:rsidP="009D41F1">
      <w:pPr>
        <w:spacing w:before="100" w:beforeAutospacing="1" w:after="100" w:afterAutospacing="1"/>
        <w:ind w:left="720" w:hanging="720"/>
      </w:pPr>
      <w:r>
        <w:t xml:space="preserve">Diskin, M. G., Mackey, D. R., Roche, J. F., &amp; Sreenan, J. M. (2003). Effects of nutrition and metabolic status on circulating hormones and ovarian follicle development in cattle. </w:t>
      </w:r>
      <w:r>
        <w:rPr>
          <w:i/>
          <w:iCs/>
        </w:rPr>
        <w:t>Animal Reproduction Science, 78</w:t>
      </w:r>
      <w:r>
        <w:t>(3–4), 345–370. https://doi.org/10.1016/S0378-4320(03)00099-X</w:t>
      </w:r>
    </w:p>
    <w:p w14:paraId="05CE8C19" w14:textId="77777777" w:rsidR="008E046C" w:rsidRDefault="00000000" w:rsidP="009D41F1">
      <w:pPr>
        <w:spacing w:before="100" w:beforeAutospacing="1" w:after="100" w:afterAutospacing="1"/>
        <w:ind w:left="720" w:hanging="720"/>
      </w:pPr>
      <w:r>
        <w:t xml:space="preserve">Drackley, J. K., &amp; Cardoso, F. C. (2014). Prepartum and postpartum nutritional management to optimize fertility in high-yielding dairy cows in confined TMR systems. </w:t>
      </w:r>
      <w:r>
        <w:rPr>
          <w:i/>
          <w:iCs/>
        </w:rPr>
        <w:t>Animal, 8</w:t>
      </w:r>
      <w:r>
        <w:t>(Suppl. 1), 5–14. https://doi.org/10.1017/S1751731114000731</w:t>
      </w:r>
    </w:p>
    <w:p w14:paraId="5FE1480A" w14:textId="77777777" w:rsidR="008E046C" w:rsidRDefault="00000000" w:rsidP="009D41F1">
      <w:pPr>
        <w:spacing w:before="100" w:beforeAutospacing="1" w:after="100" w:afterAutospacing="1"/>
        <w:ind w:left="720" w:hanging="720"/>
      </w:pPr>
      <w:r>
        <w:t xml:space="preserve">Dubuc, J., Duffield, T. F., Leslie, K. E., Walton, J. S., &amp; LeBlanc, S. J. (2010a). Definitions and diagnosis of postpartum endometritis in dairy cows. </w:t>
      </w:r>
      <w:r>
        <w:rPr>
          <w:i/>
          <w:iCs/>
        </w:rPr>
        <w:t>Journal of Dairy Science, 93</w:t>
      </w:r>
      <w:r>
        <w:t>(11), 5225–5233. https://doi.org/10.3168/jds.2010-3428</w:t>
      </w:r>
    </w:p>
    <w:p w14:paraId="609580DF" w14:textId="77777777" w:rsidR="008E046C" w:rsidRDefault="00000000" w:rsidP="009D41F1">
      <w:pPr>
        <w:spacing w:before="100" w:beforeAutospacing="1" w:after="100" w:afterAutospacing="1"/>
        <w:ind w:left="720" w:hanging="720"/>
      </w:pPr>
      <w:r>
        <w:t xml:space="preserve">Dubuc, J., Duffield, T. F., Leslie, K. E., Walton, J. S., &amp; LeBlanc, S. J. (2010b). Risk factors for postpartum uterine diseases in dairy cows. </w:t>
      </w:r>
      <w:r>
        <w:rPr>
          <w:i/>
          <w:iCs/>
        </w:rPr>
        <w:t>Journal of Dairy Science, 93</w:t>
      </w:r>
      <w:r>
        <w:t>(12), 5764–5771. https://doi.org/10.3168/jds.2010-3429</w:t>
      </w:r>
    </w:p>
    <w:p w14:paraId="627DD1A9" w14:textId="77777777" w:rsidR="008E046C" w:rsidRDefault="00000000" w:rsidP="009D41F1">
      <w:pPr>
        <w:spacing w:before="100" w:beforeAutospacing="1" w:after="100" w:afterAutospacing="1"/>
        <w:ind w:left="720" w:hanging="720"/>
      </w:pPr>
      <w:r>
        <w:t xml:space="preserve">Dubuc, J., Duffield, T. F., Leslie, K. E., Walton, J. S., &amp; LeBlanc, S. J. (2011). Randomized clinical trial of antibiotic and prostaglandin treatments for uterine health and reproductive performance in dairy cows. </w:t>
      </w:r>
      <w:r>
        <w:rPr>
          <w:i/>
          <w:iCs/>
        </w:rPr>
        <w:t>Journal of Dairy Science, 94</w:t>
      </w:r>
      <w:r>
        <w:t>(3), 1325–1338. https://doi.org/10.3168/jds.2010-3757</w:t>
      </w:r>
    </w:p>
    <w:p w14:paraId="0FE13AC1" w14:textId="77777777" w:rsidR="008E046C" w:rsidRDefault="00000000" w:rsidP="009D41F1">
      <w:pPr>
        <w:spacing w:before="100" w:beforeAutospacing="1" w:after="100" w:afterAutospacing="1"/>
        <w:ind w:left="720" w:hanging="720"/>
      </w:pPr>
      <w:r>
        <w:t xml:space="preserve">Dubuc, J., Duffield, T. F., Leslie, K. E., Walton, J. S., &amp; LeBlanc, S. J. (2012). Risk factors and effects of postpartum anovulation in dairy cows. </w:t>
      </w:r>
      <w:r>
        <w:rPr>
          <w:i/>
          <w:iCs/>
        </w:rPr>
        <w:t>Journal of Dairy Science, 95</w:t>
      </w:r>
      <w:r>
        <w:t>(4), 1845–1854. https://doi.org/10.3168/jds.2011-4781</w:t>
      </w:r>
    </w:p>
    <w:p w14:paraId="4E97C957" w14:textId="77777777" w:rsidR="008E046C" w:rsidRDefault="00000000" w:rsidP="009D41F1">
      <w:pPr>
        <w:spacing w:before="100" w:beforeAutospacing="1" w:after="100" w:afterAutospacing="1"/>
        <w:ind w:left="720" w:hanging="720"/>
      </w:pPr>
      <w:r>
        <w:t xml:space="preserve">Esposito, G., Irons, P. C., Webb, E. C., &amp; Chapwanya, A. (2014). Interactions between negative energy balance, metabolic diseases, uterine health and immune response in transition dairy </w:t>
      </w:r>
      <w:r>
        <w:lastRenderedPageBreak/>
        <w:t xml:space="preserve">cows. </w:t>
      </w:r>
      <w:r>
        <w:rPr>
          <w:i/>
          <w:iCs/>
        </w:rPr>
        <w:t>Animal Reproduction Science, 144</w:t>
      </w:r>
      <w:r>
        <w:t>(3–4), 60–71. https://doi.org/10.1016/j.anireprosci.2013.11.007</w:t>
      </w:r>
    </w:p>
    <w:p w14:paraId="3013F688" w14:textId="77777777" w:rsidR="008E046C" w:rsidRDefault="00000000" w:rsidP="009D41F1">
      <w:pPr>
        <w:spacing w:before="100" w:beforeAutospacing="1" w:after="100" w:afterAutospacing="1"/>
        <w:ind w:left="720" w:hanging="720"/>
      </w:pPr>
      <w:r>
        <w:t xml:space="preserve">Foley, C., Chapwanya, A., Creevey, C. J., Narciandi, F., Morris, D., Kenny, E. M., Cormican, P., Callanan, J. J., O'Farrelly, C., &amp; Meade, K. G. (2012). Global endometrial transcriptomic profiling: Transient immune activation precedes tissue proliferation and repair in healthy beef cows. </w:t>
      </w:r>
      <w:r>
        <w:rPr>
          <w:i/>
          <w:iCs/>
        </w:rPr>
        <w:t>BMC Genomics, 13</w:t>
      </w:r>
      <w:r>
        <w:t>, Article 489. https://doi.org/10.1186/1471-2164-13-489</w:t>
      </w:r>
    </w:p>
    <w:p w14:paraId="08E596C7" w14:textId="77777777" w:rsidR="008E046C" w:rsidRDefault="00000000" w:rsidP="009D41F1">
      <w:pPr>
        <w:spacing w:before="100" w:beforeAutospacing="1" w:after="100" w:afterAutospacing="1"/>
        <w:ind w:left="720" w:hanging="720"/>
      </w:pPr>
      <w:r>
        <w:t xml:space="preserve">Fricke, P. M., Wiltbank, M. C., &amp; Pursley, J. R. (2023). The high fertility cycle. </w:t>
      </w:r>
      <w:r>
        <w:rPr>
          <w:i/>
          <w:iCs/>
        </w:rPr>
        <w:t>JDS Communications, 4</w:t>
      </w:r>
      <w:r>
        <w:t>(2), 127–131. https://doi.org/10.3168/jdsc.2022-0280</w:t>
      </w:r>
    </w:p>
    <w:p w14:paraId="6AD5FBD3" w14:textId="77777777" w:rsidR="008E046C" w:rsidRDefault="00000000" w:rsidP="009D41F1">
      <w:pPr>
        <w:spacing w:before="100" w:beforeAutospacing="1" w:after="100" w:afterAutospacing="1"/>
        <w:ind w:left="720" w:hanging="720"/>
      </w:pPr>
      <w:r>
        <w:t xml:space="preserve">Gabler, C., Fischer, C., Drillich, M., Einspanier, R., &amp; Heuwieser, W. (2010). Time-dependent mRNA expression of selected pro-inflammatory factors in the endometrium of primiparous cows postpartum. </w:t>
      </w:r>
      <w:r>
        <w:rPr>
          <w:i/>
          <w:iCs/>
        </w:rPr>
        <w:t>Reproductive Biology and Endocrinology, 8</w:t>
      </w:r>
      <w:r>
        <w:t>, Article 152. https://doi.org/10.1186/1477-7827-8-152</w:t>
      </w:r>
    </w:p>
    <w:p w14:paraId="2E2ABBF3" w14:textId="77777777" w:rsidR="008E046C" w:rsidRDefault="00000000" w:rsidP="009D41F1">
      <w:pPr>
        <w:spacing w:before="100" w:beforeAutospacing="1" w:after="100" w:afterAutospacing="1"/>
        <w:ind w:left="720" w:hanging="720"/>
      </w:pPr>
      <w:r>
        <w:t xml:space="preserve">Galvão, K. N., Bicalho, R. C., &amp; Jeon, S. J. (2019). Symposium review: The uterine microbiome associated with the development of uterine disease in dairy cows. </w:t>
      </w:r>
      <w:r>
        <w:rPr>
          <w:i/>
          <w:iCs/>
        </w:rPr>
        <w:t>Journal of Dairy Science, 102</w:t>
      </w:r>
      <w:r>
        <w:t>(12), 11786–11797. https://doi.org/10.3168/jds.2019-17106</w:t>
      </w:r>
    </w:p>
    <w:p w14:paraId="38791B24" w14:textId="77777777" w:rsidR="008E046C" w:rsidRDefault="00000000" w:rsidP="009D41F1">
      <w:pPr>
        <w:spacing w:before="100" w:beforeAutospacing="1" w:after="100" w:afterAutospacing="1"/>
        <w:ind w:left="720" w:hanging="720"/>
      </w:pPr>
      <w:r>
        <w:t xml:space="preserve">Heidari, M., Kafi, M., Mirzaei, A., Asaadi, A., &amp; Mokhtari, A. (2019). Effects of follicular fluid of preovulatory follicles of repeat breeder dairy cows with subclinical endometritis on oocyte developmental competence. </w:t>
      </w:r>
      <w:r>
        <w:rPr>
          <w:i/>
          <w:iCs/>
        </w:rPr>
        <w:t>Animal Reproduction Science, 205</w:t>
      </w:r>
      <w:r>
        <w:t>, 62–69. https://doi.org/10.1016/j.anireprosci.2019.04.004</w:t>
      </w:r>
    </w:p>
    <w:p w14:paraId="191300F5" w14:textId="77777777" w:rsidR="008E046C" w:rsidRDefault="00000000" w:rsidP="009D41F1">
      <w:pPr>
        <w:spacing w:before="100" w:beforeAutospacing="1" w:after="100" w:afterAutospacing="1"/>
        <w:ind w:left="720" w:hanging="720"/>
      </w:pPr>
      <w:r>
        <w:t xml:space="preserve">Heppelmann, M., Brömmling, A., Weinert, M., Piechotta, M., Wrenzycki, C., &amp; Bollwein, H. (2013). Effect of postpartum suppression of ovulation on uterine involution in dairy cows. </w:t>
      </w:r>
      <w:r>
        <w:rPr>
          <w:i/>
          <w:iCs/>
        </w:rPr>
        <w:t>Theriogenology, 80</w:t>
      </w:r>
      <w:r>
        <w:t>(5), 519–525. https://doi.org/10.1016/j.theriogenology.2013.05.017</w:t>
      </w:r>
    </w:p>
    <w:p w14:paraId="0918786C" w14:textId="77777777" w:rsidR="008E046C" w:rsidRDefault="00000000" w:rsidP="009D41F1">
      <w:pPr>
        <w:spacing w:before="100" w:beforeAutospacing="1" w:after="100" w:afterAutospacing="1"/>
        <w:ind w:left="720" w:hanging="720"/>
      </w:pPr>
      <w:r>
        <w:t xml:space="preserve">Heppelmann, M., Krach, K., Krüger, L., Benz, P., Herzog, K., Piechotta, M., Hoedemaker, M., &amp; Bollwein, H. (2015). Technical note: The use of a sonomicrometry system for monitoring uterine involution in postpartum dairy cows. </w:t>
      </w:r>
      <w:r>
        <w:rPr>
          <w:i/>
          <w:iCs/>
        </w:rPr>
        <w:t>Journal of Dairy Science, 98</w:t>
      </w:r>
      <w:r>
        <w:t>(3), 1862–1869. https://doi.org/10.3168/jds.2014-7500</w:t>
      </w:r>
    </w:p>
    <w:p w14:paraId="0AD06A4E" w14:textId="77777777" w:rsidR="008E046C" w:rsidRDefault="00000000" w:rsidP="009D41F1">
      <w:pPr>
        <w:spacing w:before="100" w:beforeAutospacing="1" w:after="100" w:afterAutospacing="1"/>
        <w:ind w:left="720" w:hanging="720"/>
      </w:pPr>
      <w:r>
        <w:t xml:space="preserve">Heppelmann, M., Krüger, L., Leidl, S., &amp; Bollwein, H. (2013). Transrectal Doppler sonography of uterine blood flow during the first two weeks after parturition in Simmenthal heifers. </w:t>
      </w:r>
      <w:r>
        <w:rPr>
          <w:i/>
          <w:iCs/>
        </w:rPr>
        <w:t>Journal of Veterinary Science, 14</w:t>
      </w:r>
      <w:r>
        <w:t>(3), 323–327. https://doi.org/10.4142/jvs.2013.14.3.323</w:t>
      </w:r>
    </w:p>
    <w:p w14:paraId="788AE61C" w14:textId="77777777" w:rsidR="008E046C" w:rsidRDefault="00000000" w:rsidP="009D41F1">
      <w:pPr>
        <w:spacing w:before="100" w:beforeAutospacing="1" w:after="100" w:afterAutospacing="1"/>
        <w:ind w:left="720" w:hanging="720"/>
      </w:pPr>
      <w:r>
        <w:t xml:space="preserve">Jeon, S. J., Vieira-Neto, A., Gobikrushanth, M., Daetz, R., Mingoti, R. D., Parize, A. C. B., de Freitas, S. L., da Costa, A. N. L., Bicalho, R. C., Lima, S., Jeong, K. C., &amp; Galvão, K. N. (2015). Uterine microbiota progression from calving until establishment of metritis in dairy cows. </w:t>
      </w:r>
      <w:r>
        <w:rPr>
          <w:i/>
          <w:iCs/>
        </w:rPr>
        <w:t>Applied and Environmental Microbiology, 81</w:t>
      </w:r>
      <w:r>
        <w:t>(18), 6324–6332. https://doi.org/10.1128/AEM.01753-15</w:t>
      </w:r>
    </w:p>
    <w:p w14:paraId="03AAADB9" w14:textId="77777777" w:rsidR="008E046C" w:rsidRDefault="00000000" w:rsidP="009D41F1">
      <w:pPr>
        <w:spacing w:before="100" w:beforeAutospacing="1" w:after="100" w:afterAutospacing="1"/>
        <w:ind w:left="720" w:hanging="720"/>
      </w:pPr>
      <w:r>
        <w:t xml:space="preserve">Karimi, R., Towhidi, A., Ganjkhanlou, M., Ghasemzadeh-Nava, H., Khoee, S., &amp; Kastelic, J. (2023). Rumen-protected glucose hastens uterine involution and increases numbers of ovarian follicles in early post-partum dairy cows. </w:t>
      </w:r>
      <w:r>
        <w:rPr>
          <w:i/>
          <w:iCs/>
        </w:rPr>
        <w:t>Reproduction in Domestic Animals, 58</w:t>
      </w:r>
      <w:r>
        <w:t>(4), 511–518. https://doi.org/10.1111/rda.14319</w:t>
      </w:r>
    </w:p>
    <w:p w14:paraId="45D734E6" w14:textId="77777777" w:rsidR="008E046C" w:rsidRDefault="00000000" w:rsidP="009D41F1">
      <w:pPr>
        <w:spacing w:before="100" w:beforeAutospacing="1" w:after="100" w:afterAutospacing="1"/>
        <w:ind w:left="720" w:hanging="720"/>
      </w:pPr>
      <w:r>
        <w:t xml:space="preserve">Kasimanickam, R., Duffield, T. F., Foster, R. A., Gartley, C. J., Leslie, K. E., Walton, J. S., &amp; Johnson, W. H. (2004). Endometrial cytology and ultrasonography for the detection of subclinical endometritis in postpartum dairy cows. </w:t>
      </w:r>
      <w:r>
        <w:rPr>
          <w:i/>
          <w:iCs/>
        </w:rPr>
        <w:t>Theriogenology, 62</w:t>
      </w:r>
      <w:r>
        <w:t>(1–2), 9–23. https://doi.org/10.1016/j.theriogenology.2003.03.001</w:t>
      </w:r>
    </w:p>
    <w:p w14:paraId="6C153936" w14:textId="77777777" w:rsidR="008E046C" w:rsidRDefault="00000000" w:rsidP="009D41F1">
      <w:pPr>
        <w:spacing w:before="100" w:beforeAutospacing="1" w:after="100" w:afterAutospacing="1"/>
        <w:ind w:left="720" w:hanging="720"/>
      </w:pPr>
      <w:r>
        <w:lastRenderedPageBreak/>
        <w:t xml:space="preserve">Kawashima, C., Matsui, M., Shimizu, T., Kida, K., &amp; Miyamoto, A. (2012). Nutritional factors that regulate ovulation of the dominant follicle during the first follicular wave postpartum in high-producing dairy cows. </w:t>
      </w:r>
      <w:r>
        <w:rPr>
          <w:i/>
          <w:iCs/>
        </w:rPr>
        <w:t>Journal of Reproduction and Development, 58</w:t>
      </w:r>
      <w:r>
        <w:t>(1), 10–16. https://doi.org/10.1262/jrd.11-139n</w:t>
      </w:r>
    </w:p>
    <w:p w14:paraId="0540CEC6" w14:textId="77777777" w:rsidR="008E046C" w:rsidRDefault="00000000" w:rsidP="009D41F1">
      <w:pPr>
        <w:spacing w:before="100" w:beforeAutospacing="1" w:after="100" w:afterAutospacing="1"/>
        <w:ind w:left="720" w:hanging="720"/>
      </w:pPr>
      <w:r>
        <w:t xml:space="preserve">Krueger, L., Koerte, J., Tsousis, G., Herzog, K., Flachowsky, G., &amp; Bollwein, H. (2009). Transrectal Doppler sonography of uterine blood flow during the first 12 weeks after parturition in healthy dairy cows. </w:t>
      </w:r>
      <w:r>
        <w:rPr>
          <w:i/>
          <w:iCs/>
        </w:rPr>
        <w:t>Animal Reproduction Science, 114</w:t>
      </w:r>
      <w:r>
        <w:t>(1–3), 23–31. https://doi.org/10.1016/j.anireprosci.2008.09.006</w:t>
      </w:r>
    </w:p>
    <w:p w14:paraId="224922AD" w14:textId="77777777" w:rsidR="008E046C" w:rsidRDefault="00000000" w:rsidP="009D41F1">
      <w:pPr>
        <w:spacing w:before="100" w:beforeAutospacing="1" w:after="100" w:afterAutospacing="1"/>
        <w:ind w:left="720" w:hanging="720"/>
      </w:pPr>
      <w:r>
        <w:t xml:space="preserve">LeBlanc, S. J. (2008). Postpartum uterine disease and dairy herd reproductive performance: A review. </w:t>
      </w:r>
      <w:r>
        <w:rPr>
          <w:i/>
          <w:iCs/>
        </w:rPr>
        <w:t>The Veterinary Journal, 176</w:t>
      </w:r>
      <w:r>
        <w:t>(1), 102–114. https://doi.org/10.1016/j.tvjl.2007.12.019</w:t>
      </w:r>
    </w:p>
    <w:p w14:paraId="6AC408C8" w14:textId="77777777" w:rsidR="008E046C" w:rsidRDefault="00000000" w:rsidP="009D41F1">
      <w:pPr>
        <w:spacing w:before="100" w:beforeAutospacing="1" w:after="100" w:afterAutospacing="1"/>
        <w:ind w:left="720" w:hanging="720"/>
      </w:pPr>
      <w:r>
        <w:t xml:space="preserve">LeBlanc, S. J. (2023). Review: Postpartum reproductive disease and fertility in dairy cows. </w:t>
      </w:r>
      <w:r>
        <w:rPr>
          <w:i/>
          <w:iCs/>
        </w:rPr>
        <w:t>Animal, 17</w:t>
      </w:r>
      <w:r>
        <w:t>(Suppl. 1), Article 100781. https://doi.org/10.1016/j.animal.2023.100781</w:t>
      </w:r>
    </w:p>
    <w:p w14:paraId="7D91DADC" w14:textId="77777777" w:rsidR="008E046C" w:rsidRDefault="00000000" w:rsidP="009D41F1">
      <w:pPr>
        <w:spacing w:before="100" w:beforeAutospacing="1" w:after="100" w:afterAutospacing="1"/>
        <w:ind w:left="720" w:hanging="720"/>
      </w:pPr>
      <w:r>
        <w:t xml:space="preserve">Lima, F. S., Bisinotto, R. S., Ribeiro, E. S., Greco, L. F., Ayres, H., Favoreto, M. G., Carvalho, M. R., Galvão, K. N., &amp; Santos, J. E. P. (2013). Effects of 1 or 2 treatments with prostaglandin F2α on subclinical endometritis and fertility in lactating dairy cows inseminated by timed artificial insemination. </w:t>
      </w:r>
      <w:r>
        <w:rPr>
          <w:i/>
          <w:iCs/>
        </w:rPr>
        <w:t>Journal of Dairy Science, 96</w:t>
      </w:r>
      <w:r>
        <w:t>(10), 6480–6488. https://doi.org/10.3168/jds.2013-6850</w:t>
      </w:r>
    </w:p>
    <w:p w14:paraId="5F8633F0" w14:textId="77777777" w:rsidR="008E046C" w:rsidRDefault="00000000" w:rsidP="009D41F1">
      <w:pPr>
        <w:spacing w:before="100" w:beforeAutospacing="1" w:after="100" w:afterAutospacing="1"/>
        <w:ind w:left="720" w:hanging="720"/>
      </w:pPr>
      <w:r>
        <w:t xml:space="preserve">Llewellyn, S., Fitzpatrick, R., Kenny, D. A., Murphy, J. J., Scaramuzzi, R. J., &amp; Wathes, D. C. (2007). Effect of negative energy balance on the insulin-like growth factor system in pre-recruitment ovarian follicles of post partum dairy cows. </w:t>
      </w:r>
      <w:r>
        <w:rPr>
          <w:i/>
          <w:iCs/>
        </w:rPr>
        <w:t>Reproduction, 133</w:t>
      </w:r>
      <w:r>
        <w:t>(3), 627–639. https://doi.org/10.1530/REP-06-0122</w:t>
      </w:r>
    </w:p>
    <w:p w14:paraId="3A836E81" w14:textId="77777777" w:rsidR="008E046C" w:rsidRDefault="00000000" w:rsidP="009D41F1">
      <w:pPr>
        <w:spacing w:before="100" w:beforeAutospacing="1" w:after="100" w:afterAutospacing="1"/>
        <w:ind w:left="720" w:hanging="720"/>
      </w:pPr>
      <w:r>
        <w:t xml:space="preserve">López-Gatius, F., &amp; Garcia-Ispierto, I. (2022). Clinical overview of luteal deficiency in dairy cattle. </w:t>
      </w:r>
      <w:r>
        <w:rPr>
          <w:i/>
          <w:iCs/>
        </w:rPr>
        <w:t>Animals, 12</w:t>
      </w:r>
      <w:r>
        <w:t>(15), Article 1871. https://doi.org/10.3390/ani12151871</w:t>
      </w:r>
    </w:p>
    <w:p w14:paraId="5F332F6A" w14:textId="77777777" w:rsidR="008E046C" w:rsidRDefault="00000000" w:rsidP="009D41F1">
      <w:pPr>
        <w:spacing w:before="100" w:beforeAutospacing="1" w:after="100" w:afterAutospacing="1"/>
        <w:ind w:left="720" w:hanging="720"/>
      </w:pPr>
      <w:r>
        <w:t xml:space="preserve">Lucy, M. C. (2001). Reproductive loss in high-producing dairy cattle: Where will it end? </w:t>
      </w:r>
      <w:r>
        <w:rPr>
          <w:i/>
          <w:iCs/>
        </w:rPr>
        <w:t>Journal of Dairy Science, 84</w:t>
      </w:r>
      <w:r>
        <w:t>(6), 1277–1293. https://doi.org/10.3168/jds.S0022-0302(01)70158-0</w:t>
      </w:r>
    </w:p>
    <w:p w14:paraId="49AEEC92" w14:textId="77777777" w:rsidR="008E046C" w:rsidRDefault="00000000" w:rsidP="009D41F1">
      <w:pPr>
        <w:spacing w:before="100" w:beforeAutospacing="1" w:after="100" w:afterAutospacing="1"/>
        <w:ind w:left="720" w:hanging="720"/>
      </w:pPr>
      <w:r>
        <w:t xml:space="preserve">Lucy, M. C. (2025). The intersection of biology and advanced technologies defines the future of dairy reproductive management. </w:t>
      </w:r>
      <w:r>
        <w:rPr>
          <w:i/>
          <w:iCs/>
        </w:rPr>
        <w:t>JDS Communications, 6</w:t>
      </w:r>
      <w:r>
        <w:t>(Suppl. 1), S47–S53. https://doi.org/10.3168/jdsc.2025-0840</w:t>
      </w:r>
    </w:p>
    <w:p w14:paraId="56B66891" w14:textId="77777777" w:rsidR="008E046C" w:rsidRDefault="00000000" w:rsidP="009D41F1">
      <w:pPr>
        <w:spacing w:before="100" w:beforeAutospacing="1" w:after="100" w:afterAutospacing="1"/>
        <w:ind w:left="720" w:hanging="720"/>
      </w:pPr>
      <w:r>
        <w:t xml:space="preserve">Lüttgenau, J., Kögel, T., &amp; Bollwein, H. (2016). Effects of GnRH or PGF2α in week 5 postpartum on the incidence of cystic ovarian follicles and persistent corpora lutea and on fertility parameters in dairy cows. </w:t>
      </w:r>
      <w:r>
        <w:rPr>
          <w:i/>
          <w:iCs/>
        </w:rPr>
        <w:t>Theriogenology, 85</w:t>
      </w:r>
      <w:r>
        <w:t>(5), 904–913. https://doi.org/10.1016/j.theriogenology.2015.10.040</w:t>
      </w:r>
    </w:p>
    <w:p w14:paraId="2ED6601D" w14:textId="77777777" w:rsidR="008E046C" w:rsidRDefault="00000000" w:rsidP="009D41F1">
      <w:pPr>
        <w:spacing w:before="100" w:beforeAutospacing="1" w:after="100" w:afterAutospacing="1"/>
        <w:ind w:left="720" w:hanging="720"/>
      </w:pPr>
      <w:r>
        <w:t xml:space="preserve">Ma, L., Cole, J. B., Da, Y., &amp; VanRaden, P. M. (2019). Symposium review: Genetics, genome-wide association study, and genetic improvement of dairy fertility traits. </w:t>
      </w:r>
      <w:r>
        <w:rPr>
          <w:i/>
          <w:iCs/>
        </w:rPr>
        <w:t>Journal of Dairy Science, 102</w:t>
      </w:r>
      <w:r>
        <w:t>(4), 3735–3743. https://doi.org/10.3168/jds.2018-15269</w:t>
      </w:r>
    </w:p>
    <w:p w14:paraId="7131FF6A" w14:textId="77777777" w:rsidR="008E046C" w:rsidRDefault="00000000" w:rsidP="009D41F1">
      <w:pPr>
        <w:spacing w:before="100" w:beforeAutospacing="1" w:after="100" w:afterAutospacing="1"/>
        <w:ind w:left="720" w:hanging="720"/>
      </w:pPr>
      <w:r>
        <w:t xml:space="preserve">Madoz, L. V., Giuliodori, M. J., Jaureguiberry, M., Plöntzke, J., Drillich, M., &amp; de la Sota, R. L. (2013). The relationship between endometrial cytology during estrous cycle and cutoff points for the diagnosis of subclinical endometritis in grazing dairy cows. </w:t>
      </w:r>
      <w:r>
        <w:rPr>
          <w:i/>
          <w:iCs/>
        </w:rPr>
        <w:t>Journal of Dairy Science, 96</w:t>
      </w:r>
      <w:r>
        <w:t>(7), 4333–4339. https://doi.org/10.3168/jds.2012-6269</w:t>
      </w:r>
    </w:p>
    <w:p w14:paraId="26207F45" w14:textId="77777777" w:rsidR="008E046C" w:rsidRDefault="00000000" w:rsidP="009D41F1">
      <w:pPr>
        <w:spacing w:before="100" w:beforeAutospacing="1" w:after="100" w:afterAutospacing="1"/>
        <w:ind w:left="720" w:hanging="720"/>
      </w:pPr>
      <w:r>
        <w:lastRenderedPageBreak/>
        <w:t xml:space="preserve">Magata, F. (2020). Lipopolysaccharide-induced mechanisms of ovarian dysfunction in cows with uterine inflammatory diseases. </w:t>
      </w:r>
      <w:r>
        <w:rPr>
          <w:i/>
          <w:iCs/>
        </w:rPr>
        <w:t>Journal of Reproduction and Development, 66</w:t>
      </w:r>
      <w:r>
        <w:t>(4), 311–317. https://doi.org/10.1262/jrd.2020-021</w:t>
      </w:r>
    </w:p>
    <w:p w14:paraId="47BF33FC" w14:textId="77777777" w:rsidR="008E046C" w:rsidRDefault="00000000" w:rsidP="009D41F1">
      <w:pPr>
        <w:spacing w:before="100" w:beforeAutospacing="1" w:after="100" w:afterAutospacing="1"/>
        <w:ind w:left="720" w:hanging="720"/>
      </w:pPr>
      <w:r>
        <w:t xml:space="preserve">Magata, F., Hartmann, D., Ishii, M., Miura, R., Takahashi, H., Matsui, M., Kida, K., Miyamoto, A., &amp; Bollwein, H. (2013). Effects of exogenous oxytocin on uterine blood flow in puerperal dairy cows: The impact of days after parturition and retained fetal membranes. </w:t>
      </w:r>
      <w:r>
        <w:rPr>
          <w:i/>
          <w:iCs/>
        </w:rPr>
        <w:t>The Veterinary Journal, 196</w:t>
      </w:r>
      <w:r>
        <w:t>(1), 76–80. https://doi.org/10.1016/j.tvjl.2012.08.010</w:t>
      </w:r>
    </w:p>
    <w:p w14:paraId="0D3A340D" w14:textId="77777777" w:rsidR="008E046C" w:rsidRDefault="00000000" w:rsidP="009D41F1">
      <w:pPr>
        <w:spacing w:before="100" w:beforeAutospacing="1" w:after="100" w:afterAutospacing="1"/>
        <w:ind w:left="720" w:hanging="720"/>
      </w:pPr>
      <w:r>
        <w:t xml:space="preserve">Mateus, L., Lopes da Costa, L., Bernardo, F., &amp; Robalo Silva, J. (2002). Influence of puerperal uterine infection on uterine involution and postpartum ovarian activity in dairy cows. </w:t>
      </w:r>
      <w:r>
        <w:rPr>
          <w:i/>
          <w:iCs/>
        </w:rPr>
        <w:t>Reproduction in Domestic Animals, 37</w:t>
      </w:r>
      <w:r>
        <w:t>(1), 31–35. https://doi.org/10.1046/j.1439-0531.2002.00317.x</w:t>
      </w:r>
    </w:p>
    <w:p w14:paraId="0CEB809C" w14:textId="77777777" w:rsidR="008E046C" w:rsidRDefault="00000000" w:rsidP="009D41F1">
      <w:pPr>
        <w:spacing w:before="100" w:beforeAutospacing="1" w:after="100" w:afterAutospacing="1"/>
        <w:ind w:left="720" w:hanging="720"/>
      </w:pPr>
      <w:r>
        <w:t xml:space="preserve">Melendez, P., McHale, J., Bartolome, J., Archbald, L. F., &amp; Donovan, G. A. (2004). Uterine involution and fertility of Holstein cows subsequent to early postpartum PGF2α treatment for acute puerperal metritis. </w:t>
      </w:r>
      <w:r>
        <w:rPr>
          <w:i/>
          <w:iCs/>
        </w:rPr>
        <w:t>Journal of Dairy Science, 87</w:t>
      </w:r>
      <w:r>
        <w:t>(10), 3238–3246. https://doi.org/10.3168/jds.S0022-0302(04)73460-8</w:t>
      </w:r>
    </w:p>
    <w:p w14:paraId="41B1A8C1" w14:textId="77777777" w:rsidR="008E046C" w:rsidRDefault="00000000" w:rsidP="009D41F1">
      <w:pPr>
        <w:spacing w:before="100" w:beforeAutospacing="1" w:after="100" w:afterAutospacing="1"/>
        <w:ind w:left="720" w:hanging="720"/>
      </w:pPr>
      <w:r>
        <w:t xml:space="preserve">Monteiro, P. L. J., Gonzales, B., Drum, J. N., Santos, J. E. P., Wiltbank, M. C., &amp; Sartori, R. (2021). Prevalence and risk factors related to anovular phenotypes in dairy cows. </w:t>
      </w:r>
      <w:r>
        <w:rPr>
          <w:i/>
          <w:iCs/>
        </w:rPr>
        <w:t>Journal of Dairy Science, 104</w:t>
      </w:r>
      <w:r>
        <w:t>(2), 2369–2383. https://doi.org/10.3168/jds.2020-18828</w:t>
      </w:r>
    </w:p>
    <w:p w14:paraId="57A3C3E9" w14:textId="77777777" w:rsidR="008E046C" w:rsidRDefault="00000000" w:rsidP="009D41F1">
      <w:pPr>
        <w:spacing w:before="100" w:beforeAutospacing="1" w:after="100" w:afterAutospacing="1"/>
        <w:ind w:left="720" w:hanging="720"/>
      </w:pPr>
      <w:r>
        <w:t xml:space="preserve">Moore, S. G., Feehily, C., Doyle, R. C., Buckley, F., Lonergan, P., Cotter, P. D., &amp; Butler, S. T. (2023). Associations between the postpartum uterine and vaginal microbiota and the subsequent development of purulent vaginal discharge vary with dairy cow breed and parity. </w:t>
      </w:r>
      <w:r>
        <w:rPr>
          <w:i/>
          <w:iCs/>
        </w:rPr>
        <w:t>Journal of Dairy Science, 106</w:t>
      </w:r>
      <w:r>
        <w:t>(11), 8133–8151. https://doi.org/10.3168/jds.2022-22720</w:t>
      </w:r>
    </w:p>
    <w:p w14:paraId="409FACA4" w14:textId="77777777" w:rsidR="008E046C" w:rsidRDefault="00000000" w:rsidP="009D41F1">
      <w:pPr>
        <w:spacing w:before="100" w:beforeAutospacing="1" w:after="100" w:afterAutospacing="1"/>
        <w:ind w:left="720" w:hanging="720"/>
      </w:pPr>
      <w:r>
        <w:t xml:space="preserve">Moraes, J. G. N., Silva, P. R. B., Mendonça, L. G. D., Okada, C. T. C., &amp; Chebel, R. C. (2021). Risk factors for purulent vaginal discharge and its association with reproductive performance of lactating Jersey cows. </w:t>
      </w:r>
      <w:r>
        <w:rPr>
          <w:i/>
          <w:iCs/>
        </w:rPr>
        <w:t>Journal of Dairy Science, 104</w:t>
      </w:r>
      <w:r>
        <w:t>(12), 12816–12829. https://doi.org/10.3168/jds.2021-20502</w:t>
      </w:r>
    </w:p>
    <w:p w14:paraId="48AEF81A" w14:textId="77777777" w:rsidR="008E046C" w:rsidRDefault="00000000" w:rsidP="009D41F1">
      <w:pPr>
        <w:spacing w:before="100" w:beforeAutospacing="1" w:after="100" w:afterAutospacing="1"/>
        <w:ind w:left="720" w:hanging="720"/>
      </w:pPr>
      <w:r>
        <w:t xml:space="preserve">Oltenacu, P. A., Britt, J. H., Braun, R. K., &amp; Mellenberger, R. W. (1983). Relationships among type of parturition, type of discharge from genital tract, involution of cervix, and subsequent reproductive performance in Holstein cows. </w:t>
      </w:r>
      <w:r>
        <w:rPr>
          <w:i/>
          <w:iCs/>
        </w:rPr>
        <w:t>Journal of Dairy Science, 66</w:t>
      </w:r>
      <w:r>
        <w:t>(3), 612–619. https://doi.org/10.3168/jds.S0022-0302(83)81832-3</w:t>
      </w:r>
    </w:p>
    <w:p w14:paraId="7B70E631" w14:textId="77777777" w:rsidR="008E046C" w:rsidRDefault="00000000" w:rsidP="009D41F1">
      <w:pPr>
        <w:spacing w:before="100" w:beforeAutospacing="1" w:after="100" w:afterAutospacing="1"/>
        <w:ind w:left="720" w:hanging="720"/>
      </w:pPr>
      <w:r>
        <w:t xml:space="preserve">Opsomer, G., Gröhn, Y. T., Hertl, J., Coryn, M., Deluyker, H., &amp; de Kruif, A. (2000). Risk factors for post partum ovarian dysfunction in high producing dairy cows in Belgium: A field study. </w:t>
      </w:r>
      <w:r>
        <w:rPr>
          <w:i/>
          <w:iCs/>
        </w:rPr>
        <w:t>Theriogenology, 53</w:t>
      </w:r>
      <w:r>
        <w:t>(4), 841–857. https://doi.org/10.1016/S0093-691X(00)00234-X</w:t>
      </w:r>
    </w:p>
    <w:p w14:paraId="353BE375" w14:textId="77777777" w:rsidR="008E046C" w:rsidRDefault="00000000" w:rsidP="009D41F1">
      <w:pPr>
        <w:spacing w:before="100" w:beforeAutospacing="1" w:after="100" w:afterAutospacing="1"/>
        <w:ind w:left="720" w:hanging="720"/>
      </w:pPr>
      <w:r>
        <w:t xml:space="preserve">Ortega, H. H., Marelli, B. E., Rey, F., Amweg, A. N., Díaz, P. U., Stangaferro, M. L., &amp; Salvetti, N. R. (2015). Molecular aspects of bovine cystic ovarian disease pathogenesis. </w:t>
      </w:r>
      <w:r>
        <w:rPr>
          <w:i/>
          <w:iCs/>
        </w:rPr>
        <w:t>Reproduction, 149</w:t>
      </w:r>
      <w:r>
        <w:t>(6), R251–R264. https://doi.org/10.1530/REP-14-0618</w:t>
      </w:r>
    </w:p>
    <w:p w14:paraId="5591CA82" w14:textId="77777777" w:rsidR="008E046C" w:rsidRDefault="00000000" w:rsidP="009D41F1">
      <w:pPr>
        <w:spacing w:before="100" w:beforeAutospacing="1" w:after="100" w:afterAutospacing="1"/>
        <w:ind w:left="720" w:hanging="720"/>
      </w:pPr>
      <w:r>
        <w:t xml:space="preserve">Ospina, P. A., McArt, J. A., Overton, T. R., Stokol, T., &amp; Nydam, D. V. (2013). Using nonesterified fatty acids and β-hydroxybutyrate concentrations during the transition period for herd-level monitoring of increased risk of disease and decreased reproductive and milking performance. </w:t>
      </w:r>
      <w:r>
        <w:rPr>
          <w:i/>
          <w:iCs/>
        </w:rPr>
        <w:t>Veterinary Clinics of North America: Food Animal Practice, 29</w:t>
      </w:r>
      <w:r>
        <w:t>(2), 387–412. https://doi.org/10.1016/j.cvfa.2013.04.003</w:t>
      </w:r>
    </w:p>
    <w:p w14:paraId="5512B03F" w14:textId="77777777" w:rsidR="008E046C" w:rsidRDefault="00000000" w:rsidP="009D41F1">
      <w:pPr>
        <w:spacing w:before="100" w:beforeAutospacing="1" w:after="100" w:afterAutospacing="1"/>
        <w:ind w:left="720" w:hanging="720"/>
      </w:pPr>
      <w:r>
        <w:lastRenderedPageBreak/>
        <w:t xml:space="preserve">Paiano, R. B., Morrison, E. I., &amp; LeBlanc, S. J. (2024). Randomized clinical trial of ketoprofen or ceftiofur for treatment of metritis in dairy cows. </w:t>
      </w:r>
      <w:r>
        <w:rPr>
          <w:i/>
          <w:iCs/>
        </w:rPr>
        <w:t>Journal of Dairy Science, 107</w:t>
      </w:r>
      <w:r>
        <w:t>(10), 8366–8377. https://doi.org/10.3168/jds.2023-24585</w:t>
      </w:r>
    </w:p>
    <w:p w14:paraId="4900449E" w14:textId="77777777" w:rsidR="008E046C" w:rsidRDefault="00000000" w:rsidP="009D41F1">
      <w:pPr>
        <w:spacing w:before="100" w:beforeAutospacing="1" w:after="100" w:afterAutospacing="1"/>
        <w:ind w:left="720" w:hanging="720"/>
      </w:pPr>
      <w:r>
        <w:t xml:space="preserve">Pascottini, O. B., &amp; LeBlanc, S. J. (2020). Modulation of immune function in the bovine uterus peripartum. </w:t>
      </w:r>
      <w:r>
        <w:rPr>
          <w:i/>
          <w:iCs/>
        </w:rPr>
        <w:t>Theriogenology, 150</w:t>
      </w:r>
      <w:r>
        <w:t>, 193–200. https://doi.org/10.1016/j.theriogenology.2020.01.042</w:t>
      </w:r>
    </w:p>
    <w:p w14:paraId="2A55322C" w14:textId="77777777" w:rsidR="008E046C" w:rsidRDefault="00000000" w:rsidP="009D41F1">
      <w:pPr>
        <w:spacing w:before="100" w:beforeAutospacing="1" w:after="100" w:afterAutospacing="1"/>
        <w:ind w:left="720" w:hanging="720"/>
      </w:pPr>
      <w:r>
        <w:t xml:space="preserve">Pascottini, O. B., Van Schyndel, S. J., Spricigo, J. F. W., Carvalho, M. R., Mion, B., Ribeiro, E. S., &amp; LeBlanc, S. J. (2020). Effect of anti-inflammatory treatment on systemic inflammation, immune function, and endometrial health in postpartum dairy cows. </w:t>
      </w:r>
      <w:r>
        <w:rPr>
          <w:i/>
          <w:iCs/>
        </w:rPr>
        <w:t>Scientific Reports, 10</w:t>
      </w:r>
      <w:r>
        <w:t>, Article 5236. https://doi.org/10.1038/s41598-020-62103-x</w:t>
      </w:r>
    </w:p>
    <w:p w14:paraId="2172947C" w14:textId="77777777" w:rsidR="008E046C" w:rsidRDefault="00000000" w:rsidP="009D41F1">
      <w:pPr>
        <w:spacing w:before="100" w:beforeAutospacing="1" w:after="100" w:afterAutospacing="1"/>
        <w:ind w:left="720" w:hanging="720"/>
      </w:pPr>
      <w:r>
        <w:t xml:space="preserve">Petersson, K.-J., Berglund, B., Strandberg, E., Gustafsson, H., Flint, A. P. F., Woolliams, J. A., &amp; Royal, M. D. (2007). Genetic analysis of postpartum measures of luteal activity in dairy cows. </w:t>
      </w:r>
      <w:r>
        <w:rPr>
          <w:i/>
          <w:iCs/>
        </w:rPr>
        <w:t>Journal of Dairy Science, 90</w:t>
      </w:r>
      <w:r>
        <w:t>(1), 427–434. https://doi.org/10.3168/jds.S0022-0302(07)72644-9</w:t>
      </w:r>
    </w:p>
    <w:p w14:paraId="43B70C00" w14:textId="77777777" w:rsidR="008E046C" w:rsidRDefault="00000000" w:rsidP="009D41F1">
      <w:pPr>
        <w:spacing w:before="100" w:beforeAutospacing="1" w:after="100" w:afterAutospacing="1"/>
        <w:ind w:left="720" w:hanging="720"/>
      </w:pPr>
      <w:r>
        <w:t xml:space="preserve">Praxitelous, A., Katsoulos, P. D., Tsaousioti, A., Brozos, C., Schmicke, M., Boscos, C. M., &amp; Tsousis, G. (2023). Comparison of uterine involution and the resumption of ovarian cyclicity between lame and sound Holstein cows. </w:t>
      </w:r>
      <w:r>
        <w:rPr>
          <w:i/>
          <w:iCs/>
        </w:rPr>
        <w:t>Animals, 13</w:t>
      </w:r>
      <w:r>
        <w:t>(23), Article 3645. https://doi.org/10.3390/ani13233645</w:t>
      </w:r>
    </w:p>
    <w:p w14:paraId="60542341" w14:textId="77777777" w:rsidR="008E046C" w:rsidRDefault="00000000" w:rsidP="009D41F1">
      <w:pPr>
        <w:spacing w:before="100" w:beforeAutospacing="1" w:after="100" w:afterAutospacing="1"/>
        <w:ind w:left="720" w:hanging="720"/>
      </w:pPr>
      <w:r>
        <w:t xml:space="preserve">Raboisson, D., Mounié, M., &amp; Maigné, E. (2014). Diseases, reproductive performance, and changes in milk production associated with subclinical ketosis in dairy cows: A meta-analysis and review. </w:t>
      </w:r>
      <w:r>
        <w:rPr>
          <w:i/>
          <w:iCs/>
        </w:rPr>
        <w:t>Journal of Dairy Science, 97</w:t>
      </w:r>
      <w:r>
        <w:t>(12), 7547–7563. https://doi.org/10.3168/jds.2014-8237</w:t>
      </w:r>
    </w:p>
    <w:p w14:paraId="16D96ADA" w14:textId="77777777" w:rsidR="008E046C" w:rsidRDefault="00000000" w:rsidP="009D41F1">
      <w:pPr>
        <w:spacing w:before="100" w:beforeAutospacing="1" w:after="100" w:afterAutospacing="1"/>
        <w:ind w:left="720" w:hanging="720"/>
      </w:pPr>
      <w:r>
        <w:t xml:space="preserve">Rashid, M. H., Bogado Pascottini, O., Xie, L., Niazi, M., Lietaer, L., Comlekcioglu, U., &amp; Opsomer, G. (2025). Shotgun metagenomic composition, microbial interactions and functional insights into the uterine microbiome of postpartum dairy cows with clinical and subclinical endometritis. </w:t>
      </w:r>
      <w:r>
        <w:rPr>
          <w:i/>
          <w:iCs/>
        </w:rPr>
        <w:t>Scientific Reports, 15</w:t>
      </w:r>
      <w:r>
        <w:t>, Article 18274. https://doi.org/10.1038/s41598-025-03265-4</w:t>
      </w:r>
    </w:p>
    <w:p w14:paraId="2DE4F8CD" w14:textId="77777777" w:rsidR="008E046C" w:rsidRDefault="00000000" w:rsidP="009D41F1">
      <w:pPr>
        <w:spacing w:before="100" w:beforeAutospacing="1" w:after="100" w:afterAutospacing="1"/>
        <w:ind w:left="720" w:hanging="720"/>
      </w:pPr>
      <w:r>
        <w:t xml:space="preserve">Reist, M., Koller, A., Busato, A., Kupfer, U., &amp; Blum, J. W. (2000). First ovulation and ketone body status in the early postpartum period of dairy cows. </w:t>
      </w:r>
      <w:r>
        <w:rPr>
          <w:i/>
          <w:iCs/>
        </w:rPr>
        <w:t>Theriogenology, 54</w:t>
      </w:r>
      <w:r>
        <w:t>(5), 685–701. https://doi.org/10.1016/S0093-691X(00)00383-6</w:t>
      </w:r>
    </w:p>
    <w:p w14:paraId="44298E83" w14:textId="77777777" w:rsidR="008E046C" w:rsidRDefault="00000000" w:rsidP="009D41F1">
      <w:pPr>
        <w:spacing w:before="100" w:beforeAutospacing="1" w:after="100" w:afterAutospacing="1"/>
        <w:ind w:left="720" w:hanging="720"/>
      </w:pPr>
      <w:r>
        <w:t xml:space="preserve">Rhoads, M. L. (2023). Review: Reproductive consequences of whole-body adaptations of dairy cattle to heat stress. </w:t>
      </w:r>
      <w:r>
        <w:rPr>
          <w:i/>
          <w:iCs/>
        </w:rPr>
        <w:t>Animal, 17</w:t>
      </w:r>
      <w:r>
        <w:t>(Suppl. 1), Article 100847. https://doi.org/10.1016/j.animal.2023.100847</w:t>
      </w:r>
    </w:p>
    <w:p w14:paraId="094D20B8" w14:textId="77777777" w:rsidR="008E046C" w:rsidRDefault="00000000" w:rsidP="009D41F1">
      <w:pPr>
        <w:spacing w:before="100" w:beforeAutospacing="1" w:after="100" w:afterAutospacing="1"/>
        <w:ind w:left="720" w:hanging="720"/>
      </w:pPr>
      <w:r>
        <w:t xml:space="preserve">Ribeiro, E. S., Lima, F. S., Greco, L. F., Bisinotto, R. S., Monteiro, A. P. A., Favoreto, M., Ayres, H., Marsola, R. S., Martinez, N., Thatcher, W. W., &amp; Santos, J. E. P. (2013). Prevalence of periparturient diseases and effects on fertility of seasonally calving grazing dairy cows supplemented with concentrates. </w:t>
      </w:r>
      <w:r>
        <w:rPr>
          <w:i/>
          <w:iCs/>
        </w:rPr>
        <w:t>Journal of Dairy Science, 96</w:t>
      </w:r>
      <w:r>
        <w:t>(9), 5682–5697. https://doi.org/10.3168/jds.2012-6335</w:t>
      </w:r>
    </w:p>
    <w:p w14:paraId="6EECE03F" w14:textId="77777777" w:rsidR="008E046C" w:rsidRDefault="00000000" w:rsidP="009D41F1">
      <w:pPr>
        <w:spacing w:before="100" w:beforeAutospacing="1" w:after="100" w:afterAutospacing="1"/>
        <w:ind w:left="720" w:hanging="720"/>
      </w:pPr>
      <w:r>
        <w:t xml:space="preserve">Roche, J. R., Friggens, N. C., Kay, J. K., Fisher, M. W., Stafford, K. J., &amp; Berry, D. P. (2009). Invited review: Body condition score and its association with dairy cow productivity, health, and welfare. </w:t>
      </w:r>
      <w:r>
        <w:rPr>
          <w:i/>
          <w:iCs/>
        </w:rPr>
        <w:t>Journal of Dairy Science, 92</w:t>
      </w:r>
      <w:r>
        <w:t>(12), 5769–5801. https://doi.org/10.3168/jds.2009-2431</w:t>
      </w:r>
    </w:p>
    <w:p w14:paraId="1063D3F1" w14:textId="77777777" w:rsidR="008E046C" w:rsidRDefault="00000000" w:rsidP="009D41F1">
      <w:pPr>
        <w:spacing w:before="100" w:beforeAutospacing="1" w:after="100" w:afterAutospacing="1"/>
        <w:ind w:left="720" w:hanging="720"/>
      </w:pPr>
      <w:r>
        <w:lastRenderedPageBreak/>
        <w:t xml:space="preserve">Rojas Canadas, E., Herlihy, M. M., Kenneally, J., Kearney, F., Lonergan, P., &amp; Butler, S. T. (2023). Postpartum vaginal discharge score is associated with genetic traits, postpartum fertility phenotypes, metabolic status, and overall reproductive performance in seasonal-calving pasture-based dairy cows. </w:t>
      </w:r>
      <w:r>
        <w:rPr>
          <w:i/>
          <w:iCs/>
        </w:rPr>
        <w:t>Journal of Dairy Science, 106</w:t>
      </w:r>
      <w:r>
        <w:t>(12), 9778–9792. https://doi.org/10.3168/jds.2023-23324</w:t>
      </w:r>
    </w:p>
    <w:p w14:paraId="60C66C30" w14:textId="77777777" w:rsidR="008E046C" w:rsidRDefault="00000000" w:rsidP="009D41F1">
      <w:pPr>
        <w:spacing w:before="100" w:beforeAutospacing="1" w:after="100" w:afterAutospacing="1"/>
        <w:ind w:left="720" w:hanging="720"/>
      </w:pPr>
      <w:r>
        <w:t xml:space="preserve">Sakaguchi, M. (2010). Oestrous expression and relapse back into anoestrus at early postpartum ovulations in fertile dairy cows. </w:t>
      </w:r>
      <w:r>
        <w:rPr>
          <w:i/>
          <w:iCs/>
        </w:rPr>
        <w:t>Veterinary Record, 167</w:t>
      </w:r>
      <w:r>
        <w:t>(12), 446–450. https://doi.org/10.1136/vr.c3853</w:t>
      </w:r>
    </w:p>
    <w:p w14:paraId="37314AA6" w14:textId="77777777" w:rsidR="008E046C" w:rsidRDefault="00000000" w:rsidP="009D41F1">
      <w:pPr>
        <w:spacing w:before="100" w:beforeAutospacing="1" w:after="100" w:afterAutospacing="1"/>
        <w:ind w:left="720" w:hanging="720"/>
      </w:pPr>
      <w:r>
        <w:t xml:space="preserve">Sankarganesh, D., Krishna Prasad, P. D. S. S. Y., Sujit, S., Gnana Thiraviam, A. I., &amp; Ambrose, D. J. (2026). Estrus detection in dairy cattle: An updated review on strategies and technologies. </w:t>
      </w:r>
      <w:r>
        <w:rPr>
          <w:i/>
          <w:iCs/>
        </w:rPr>
        <w:t>Frontiers in Veterinary Science, 13</w:t>
      </w:r>
      <w:r>
        <w:t>, Article 1807199. https://doi.org/10.3389/fvets.2026.1807199</w:t>
      </w:r>
    </w:p>
    <w:p w14:paraId="79099AA4" w14:textId="77777777" w:rsidR="008E046C" w:rsidRDefault="00000000" w:rsidP="009D41F1">
      <w:pPr>
        <w:spacing w:before="100" w:beforeAutospacing="1" w:after="100" w:afterAutospacing="1"/>
        <w:ind w:left="720" w:hanging="720"/>
      </w:pPr>
      <w:r>
        <w:t xml:space="preserve">Scully, S., Maillo, V., Duffy, P., Kelly, A. K., Crowe, M. A., Rizos, D., &amp; Lonergan, P. (2013). The effect of lactation on post-partum uterine involution in Holstein dairy cows. </w:t>
      </w:r>
      <w:r>
        <w:rPr>
          <w:i/>
          <w:iCs/>
        </w:rPr>
        <w:t>Reproduction in Domestic Animals, 48</w:t>
      </w:r>
      <w:r>
        <w:t>(6), 888–892. https://doi.org/10.1111/rda.12181</w:t>
      </w:r>
    </w:p>
    <w:p w14:paraId="007E8BB4" w14:textId="77777777" w:rsidR="008E046C" w:rsidRDefault="00000000" w:rsidP="009D41F1">
      <w:pPr>
        <w:spacing w:before="100" w:beforeAutospacing="1" w:after="100" w:afterAutospacing="1"/>
        <w:ind w:left="720" w:hanging="720"/>
      </w:pPr>
      <w:r>
        <w:t xml:space="preserve">Sheldon, I. M., Cronin, J., Goetze, L., Donofrio, G., &amp; Schuberth, H.-J. (2009). Defining postpartum uterine disease and the mechanisms of infection and immunity in the female reproductive tract in cattle. </w:t>
      </w:r>
      <w:r>
        <w:rPr>
          <w:i/>
          <w:iCs/>
        </w:rPr>
        <w:t>Biology of Reproduction, 81</w:t>
      </w:r>
      <w:r>
        <w:t>(6), 1025–1032. https://doi.org/10.1095/biolreprod.109.077370</w:t>
      </w:r>
    </w:p>
    <w:p w14:paraId="11C23144" w14:textId="77777777" w:rsidR="008E046C" w:rsidRDefault="00000000" w:rsidP="009D41F1">
      <w:pPr>
        <w:spacing w:before="100" w:beforeAutospacing="1" w:after="100" w:afterAutospacing="1"/>
        <w:ind w:left="720" w:hanging="720"/>
      </w:pPr>
      <w:r>
        <w:t xml:space="preserve">Sheldon, I. M., Lewis, G. S., LeBlanc, S., &amp; Gilbert, R. O. (2006). Defining postpartum uterine disease in cattle. </w:t>
      </w:r>
      <w:r>
        <w:rPr>
          <w:i/>
          <w:iCs/>
        </w:rPr>
        <w:t>Theriogenology, 65</w:t>
      </w:r>
      <w:r>
        <w:t>(8), 1516–1530. https://doi.org/10.1016/j.theriogenology.2005.08.021</w:t>
      </w:r>
    </w:p>
    <w:p w14:paraId="61E8AC02" w14:textId="77777777" w:rsidR="008E046C" w:rsidRDefault="00000000" w:rsidP="009D41F1">
      <w:pPr>
        <w:spacing w:before="100" w:beforeAutospacing="1" w:after="100" w:afterAutospacing="1"/>
        <w:ind w:left="720" w:hanging="720"/>
      </w:pPr>
      <w:r>
        <w:t xml:space="preserve">Sheldon, I. M., Noakes, D. E., &amp; Dobson, H. (2000). The influence of ovarian activity and uterine involution determined by ultrasonography on subsequent reproductive performance of dairy cows. </w:t>
      </w:r>
      <w:r>
        <w:rPr>
          <w:i/>
          <w:iCs/>
        </w:rPr>
        <w:t>Theriogenology, 54</w:t>
      </w:r>
      <w:r>
        <w:t>(3), 409–419. https://doi.org/10.1016/S0093-691X(00)00358-7</w:t>
      </w:r>
    </w:p>
    <w:p w14:paraId="361BB7CF" w14:textId="77777777" w:rsidR="008E046C" w:rsidRDefault="00000000" w:rsidP="009D41F1">
      <w:pPr>
        <w:spacing w:before="100" w:beforeAutospacing="1" w:after="100" w:afterAutospacing="1"/>
        <w:ind w:left="720" w:hanging="720"/>
      </w:pPr>
      <w:r>
        <w:t xml:space="preserve">Shrestha, H. K., Nakao, T., Higaki, T., Suzuki, T., &amp; Akita, M. (2004). Resumption of postpartum ovarian cyclicity in high-producing Holstein cows. </w:t>
      </w:r>
      <w:r>
        <w:rPr>
          <w:i/>
          <w:iCs/>
        </w:rPr>
        <w:t>Theriogenology, 61</w:t>
      </w:r>
      <w:r>
        <w:t>(4), 637–649. https://doi.org/10.1016/S0093-691X(03)00233-4</w:t>
      </w:r>
    </w:p>
    <w:p w14:paraId="606751B8" w14:textId="77777777" w:rsidR="008E046C" w:rsidRDefault="00000000" w:rsidP="009D41F1">
      <w:pPr>
        <w:spacing w:before="100" w:beforeAutospacing="1" w:after="100" w:afterAutospacing="1"/>
        <w:ind w:left="720" w:hanging="720"/>
      </w:pPr>
      <w:r>
        <w:t xml:space="preserve">Silvestre, F. T., Bartolome, J. A., Kamimura, S., Arteche, A. C., Pancarci, S. M., Trigg, T., &amp; Thatcher, W. W. (2009). Postpartum suppression of ovarian activity with a Deslorelin implant enhanced uterine involution in lactating dairy cows. </w:t>
      </w:r>
      <w:r>
        <w:rPr>
          <w:i/>
          <w:iCs/>
        </w:rPr>
        <w:t>Animal Reproduction Science, 110</w:t>
      </w:r>
      <w:r>
        <w:t>(1–2), 79–95. https://doi.org/10.1016/j.anireprosci.2007.12.015</w:t>
      </w:r>
    </w:p>
    <w:p w14:paraId="76B6F1A8" w14:textId="77777777" w:rsidR="008E046C" w:rsidRDefault="00000000" w:rsidP="009D41F1">
      <w:pPr>
        <w:spacing w:before="100" w:beforeAutospacing="1" w:after="100" w:afterAutospacing="1"/>
        <w:ind w:left="720" w:hanging="720"/>
      </w:pPr>
      <w:r>
        <w:t xml:space="preserve">Sitko, E. M., Laplacette, A., Duhatschek, D., Rial, C., Perez, M. M., Tompkins, S., Kerwin, A. L., &amp; Giordano, J. O. (2024). Reproductive physiological outcomes of dairy cows with different genomic merit for fertility: Biomarkers, uterine health, endocrine status, estrus features, and response to ovarian synchronization. </w:t>
      </w:r>
      <w:r>
        <w:rPr>
          <w:i/>
          <w:iCs/>
        </w:rPr>
        <w:t>Journal of Dairy Science, 107</w:t>
      </w:r>
      <w:r>
        <w:t>(10), 8670–8687. https://doi.org/10.3168/jds.2023-24376</w:t>
      </w:r>
    </w:p>
    <w:p w14:paraId="6361B6DC" w14:textId="77777777" w:rsidR="008E046C" w:rsidRDefault="00000000" w:rsidP="009D41F1">
      <w:pPr>
        <w:spacing w:before="100" w:beforeAutospacing="1" w:after="100" w:afterAutospacing="1"/>
        <w:ind w:left="720" w:hanging="720"/>
      </w:pPr>
      <w:r>
        <w:t xml:space="preserve">Souza, A. H., Ayres, H., Ferreira, R. M., &amp; Wiltbank, M. C. (2008). A new presynchronization system (Double-Ovsynch) increases fertility at first postpartum timed AI in lactating dairy cows. </w:t>
      </w:r>
      <w:r>
        <w:rPr>
          <w:i/>
          <w:iCs/>
        </w:rPr>
        <w:t>Theriogenology, 70</w:t>
      </w:r>
      <w:r>
        <w:t>(2), 208–215. https://doi.org/10.1016/j.theriogenology.2008.03.014</w:t>
      </w:r>
    </w:p>
    <w:p w14:paraId="36B10770" w14:textId="77777777" w:rsidR="008E046C" w:rsidRDefault="00000000" w:rsidP="009D41F1">
      <w:pPr>
        <w:spacing w:before="100" w:beforeAutospacing="1" w:after="100" w:afterAutospacing="1"/>
        <w:ind w:left="720" w:hanging="720"/>
      </w:pPr>
      <w:r>
        <w:t xml:space="preserve">Stangaferro, M. L., Wijma, R., Masello, M., Thomas, M. J., &amp; Giordano, J. O. (2018). Extending the duration of the voluntary waiting period from 60 to 88 days in cows that received timed </w:t>
      </w:r>
      <w:r>
        <w:lastRenderedPageBreak/>
        <w:t xml:space="preserve">artificial insemination after the Double-Ovsynch protocol affected the reproductive performance, herd exit dynamics, and lactation performance of dairy cows. </w:t>
      </w:r>
      <w:r>
        <w:rPr>
          <w:i/>
          <w:iCs/>
        </w:rPr>
        <w:t>Journal of Dairy Science, 101</w:t>
      </w:r>
      <w:r>
        <w:t>(1), 717–735. https://doi.org/10.3168/jds.2017-13046</w:t>
      </w:r>
    </w:p>
    <w:p w14:paraId="407734A5" w14:textId="77777777" w:rsidR="008E046C" w:rsidRDefault="00000000" w:rsidP="009D41F1">
      <w:pPr>
        <w:spacing w:before="100" w:beforeAutospacing="1" w:after="100" w:afterAutospacing="1"/>
        <w:ind w:left="720" w:hanging="720"/>
      </w:pPr>
      <w:r>
        <w:t xml:space="preserve">Stassi, A. F., Díaz, P. U., Gasser, F. B., Velázquez, M. M. L., Gareis, N. C., Salvetti, N. R., Ortega, H. H., &amp; Baravalle, M. E. (2022). A review on inflammation and angiogenesis as key mechanisms involved in the pathogenesis of bovine cystic ovarian disease. </w:t>
      </w:r>
      <w:r>
        <w:rPr>
          <w:i/>
          <w:iCs/>
        </w:rPr>
        <w:t>Theriogenology, 186</w:t>
      </w:r>
      <w:r>
        <w:t>, 70–85. https://doi.org/10.1016/j.theriogenology.2022.04.002</w:t>
      </w:r>
    </w:p>
    <w:p w14:paraId="382B796E" w14:textId="77777777" w:rsidR="008E046C" w:rsidRDefault="00000000" w:rsidP="009D41F1">
      <w:pPr>
        <w:spacing w:before="100" w:beforeAutospacing="1" w:after="100" w:afterAutospacing="1"/>
        <w:ind w:left="720" w:hanging="720"/>
      </w:pPr>
      <w:r>
        <w:t xml:space="preserve">Stephen, C. P., Johnson, W. H., LeBlanc, S. J., Foster, R. A., &amp; Chenier, T. S. (2019). The impact of ecbolic therapy in the early postpartum period on uterine involution and reproductive health in dairy cows. </w:t>
      </w:r>
      <w:r>
        <w:rPr>
          <w:i/>
          <w:iCs/>
        </w:rPr>
        <w:t>Journal of Veterinary Medical Science, 81</w:t>
      </w:r>
      <w:r>
        <w:t>(3), 491–498. https://doi.org/10.1292/jvms.18-0617</w:t>
      </w:r>
    </w:p>
    <w:p w14:paraId="76DE427B" w14:textId="77777777" w:rsidR="008E046C" w:rsidRDefault="00000000" w:rsidP="009D41F1">
      <w:pPr>
        <w:spacing w:before="100" w:beforeAutospacing="1" w:after="100" w:afterAutospacing="1"/>
        <w:ind w:left="720" w:hanging="720"/>
      </w:pPr>
      <w:r>
        <w:t xml:space="preserve">Sukhera, J. (2022). Narrative reviews: Flexible, rigorous, and practical. </w:t>
      </w:r>
      <w:r>
        <w:rPr>
          <w:i/>
          <w:iCs/>
        </w:rPr>
        <w:t>Journal of Graduate Medical Education, 14</w:t>
      </w:r>
      <w:r>
        <w:t>(4), 414–417. https://doi.org/10.4300/JGME-D-22-00480.1</w:t>
      </w:r>
    </w:p>
    <w:p w14:paraId="47A95A80" w14:textId="77777777" w:rsidR="008E046C" w:rsidRDefault="00000000" w:rsidP="009D41F1">
      <w:pPr>
        <w:spacing w:before="100" w:beforeAutospacing="1" w:after="100" w:afterAutospacing="1"/>
        <w:ind w:left="720" w:hanging="720"/>
      </w:pPr>
      <w:r>
        <w:t xml:space="preserve">Swangchan-Uthai, T., Chen, Q., Kirton, S. E., Fenwick, M. A., Cheng, Z., Patton, J., Fouladi-Nashta, A. A., &amp; Wathes, D. C. (2013). Influence of energy balance on the antimicrobial peptides S100A8 and S100A9 in the endometrium of the post-partum dairy cow. </w:t>
      </w:r>
      <w:r>
        <w:rPr>
          <w:i/>
          <w:iCs/>
        </w:rPr>
        <w:t>Reproduction, 145</w:t>
      </w:r>
      <w:r>
        <w:t>(5), 527–539. https://doi.org/10.1530/REP-12-0513</w:t>
      </w:r>
    </w:p>
    <w:p w14:paraId="4701B70B" w14:textId="77777777" w:rsidR="008E046C" w:rsidRDefault="00000000" w:rsidP="009D41F1">
      <w:pPr>
        <w:spacing w:before="100" w:beforeAutospacing="1" w:after="100" w:afterAutospacing="1"/>
        <w:ind w:left="720" w:hanging="720"/>
      </w:pPr>
      <w:r>
        <w:t xml:space="preserve">Tarekegn, G. M., Gullstrand, P., Strandberg, E., Båge, R., Rius-Vilarrasa, E., Christensen, J. M., &amp; Berglund, B. (2019). Genetic parameters of endocrine fertility traits based on in-line milk progesterone profiles in Swedish Red and Holstein dairy cows. </w:t>
      </w:r>
      <w:r>
        <w:rPr>
          <w:i/>
          <w:iCs/>
        </w:rPr>
        <w:t>Journal of Dairy Science, 102</w:t>
      </w:r>
      <w:r>
        <w:t>(12), 11207–11216. https://doi.org/10.3168/jds.2019-16691</w:t>
      </w:r>
    </w:p>
    <w:p w14:paraId="27D7F2F8" w14:textId="77777777" w:rsidR="008E046C" w:rsidRDefault="00000000" w:rsidP="009D41F1">
      <w:pPr>
        <w:spacing w:before="100" w:beforeAutospacing="1" w:after="100" w:afterAutospacing="1"/>
        <w:ind w:left="720" w:hanging="720"/>
      </w:pPr>
      <w:r>
        <w:t xml:space="preserve">Tobolski, D., Bogado Pascottini, O., Opsomer, G., Tobolska, A., &amp; Barański, W. (2025). Blood total calcium concentrations in the fourth week postpartum of dairy cows continue to play a key role in uterine involution. </w:t>
      </w:r>
      <w:r>
        <w:rPr>
          <w:i/>
          <w:iCs/>
        </w:rPr>
        <w:t>Theriogenology, 245</w:t>
      </w:r>
      <w:r>
        <w:t>, Article 117486. https://doi.org/10.1016/j.theriogenology.2025.117486</w:t>
      </w:r>
    </w:p>
    <w:p w14:paraId="2290E2FF" w14:textId="77777777" w:rsidR="008E046C" w:rsidRDefault="00000000" w:rsidP="009D41F1">
      <w:pPr>
        <w:spacing w:before="100" w:beforeAutospacing="1" w:after="100" w:afterAutospacing="1"/>
        <w:ind w:left="720" w:hanging="720"/>
      </w:pPr>
      <w:r>
        <w:t xml:space="preserve">Tobolski, D., Krupa, M., Polak, Z., Pascottini, O. B., Opsomer, G., &amp; Barański, W. (2025). Exploring the influence of endometritis diagnostic criteria on uterine involution, milk yield and fertility in dairy cows. </w:t>
      </w:r>
      <w:r>
        <w:rPr>
          <w:i/>
          <w:iCs/>
        </w:rPr>
        <w:t>BMC Veterinary Research, 21</w:t>
      </w:r>
      <w:r>
        <w:t>, Article 276. https://doi.org/10.1186/s12917-025-04727-7</w:t>
      </w:r>
    </w:p>
    <w:p w14:paraId="2B610E61" w14:textId="77777777" w:rsidR="008E046C" w:rsidRDefault="00000000" w:rsidP="009D41F1">
      <w:pPr>
        <w:spacing w:before="100" w:beforeAutospacing="1" w:after="100" w:afterAutospacing="1"/>
        <w:ind w:left="720" w:hanging="720"/>
      </w:pPr>
      <w:r>
        <w:t xml:space="preserve">Vallejo-Timaran, D. A., Reyes, J., Gilbert, R. O., Lefebvre, R. C., Palacio-Baena, L. G., &amp; Maldonado-Estrada, J. G. (2021). Incidence, clinical patterns, and risk factors of postpartum uterine diseases in dairy cows from high-altitude tropical herds. </w:t>
      </w:r>
      <w:r>
        <w:rPr>
          <w:i/>
          <w:iCs/>
        </w:rPr>
        <w:t>Journal of Dairy Science, 104</w:t>
      </w:r>
      <w:r>
        <w:t>(8), 9016–9026. https://doi.org/10.3168/jds.2020-18692</w:t>
      </w:r>
    </w:p>
    <w:p w14:paraId="45716C7D" w14:textId="77777777" w:rsidR="008E046C" w:rsidRDefault="00000000" w:rsidP="009D41F1">
      <w:pPr>
        <w:spacing w:before="100" w:beforeAutospacing="1" w:after="100" w:afterAutospacing="1"/>
        <w:ind w:left="720" w:hanging="720"/>
      </w:pPr>
      <w:r>
        <w:t xml:space="preserve">Vanholder, T., Opsomer, G., &amp; de Kruif, A. (2006). Aetiology and pathogenesis of cystic ovarian follicles in dairy cattle: A review. </w:t>
      </w:r>
      <w:r>
        <w:rPr>
          <w:i/>
          <w:iCs/>
        </w:rPr>
        <w:t>Reproduction Nutrition Development, 46</w:t>
      </w:r>
      <w:r>
        <w:t>(2), 105–119. https://doi.org/10.1051/rnd:2006003</w:t>
      </w:r>
    </w:p>
    <w:p w14:paraId="2B5BDBAA" w14:textId="77777777" w:rsidR="008E046C" w:rsidRDefault="00000000" w:rsidP="009D41F1">
      <w:pPr>
        <w:spacing w:before="100" w:beforeAutospacing="1" w:after="100" w:afterAutospacing="1"/>
        <w:ind w:left="720" w:hanging="720"/>
      </w:pPr>
      <w:r>
        <w:t xml:space="preserve">Vidal, G., Sharpnack, J., Pinedo, P., Tsai, I. C., Lee, A. R., &amp; Martínez-López, B. (2023). Impact of sensor data pre-processing strategies and selection of machine learning algorithm on the prediction of metritis events in dairy cattle. </w:t>
      </w:r>
      <w:r>
        <w:rPr>
          <w:i/>
          <w:iCs/>
        </w:rPr>
        <w:t>Preventive Veterinary Medicine, 215</w:t>
      </w:r>
      <w:r>
        <w:t>, Article 105903. https://doi.org/10.1016/j.prevetmed.2023.105903</w:t>
      </w:r>
    </w:p>
    <w:p w14:paraId="7E06E3F1" w14:textId="77777777" w:rsidR="008E046C" w:rsidRDefault="00000000" w:rsidP="009D41F1">
      <w:pPr>
        <w:spacing w:before="100" w:beforeAutospacing="1" w:after="100" w:afterAutospacing="1"/>
        <w:ind w:left="720" w:hanging="720"/>
      </w:pPr>
      <w:r>
        <w:lastRenderedPageBreak/>
        <w:t xml:space="preserve">Vieira-Neto, A., Lean, I. J., &amp; Santos, J. E. P. (2024). Periparturient mineral metabolism: Implications to health and productivity. </w:t>
      </w:r>
      <w:r>
        <w:rPr>
          <w:i/>
          <w:iCs/>
        </w:rPr>
        <w:t>Animals, 14</w:t>
      </w:r>
      <w:r>
        <w:t>(8), Article 1232. https://doi.org/10.3390/ani14081232</w:t>
      </w:r>
    </w:p>
    <w:p w14:paraId="696396EC" w14:textId="77777777" w:rsidR="008E046C" w:rsidRDefault="00000000" w:rsidP="009D41F1">
      <w:pPr>
        <w:spacing w:before="100" w:beforeAutospacing="1" w:after="100" w:afterAutospacing="1"/>
        <w:ind w:left="720" w:hanging="720"/>
      </w:pPr>
      <w:r>
        <w:t xml:space="preserve">Wagener, K., Gabler, C., &amp; Drillich, M. (2017). A review of the ongoing discussion about definition, diagnosis and pathomechanism of subclinical endometritis in dairy cows. </w:t>
      </w:r>
      <w:r>
        <w:rPr>
          <w:i/>
          <w:iCs/>
        </w:rPr>
        <w:t>Theriogenology, 94</w:t>
      </w:r>
      <w:r>
        <w:t>, 21–30. https://doi.org/10.1016/j.theriogenology.2017.02.005</w:t>
      </w:r>
    </w:p>
    <w:p w14:paraId="2CA1DE09" w14:textId="77777777" w:rsidR="008E046C" w:rsidRDefault="00000000" w:rsidP="009D41F1">
      <w:pPr>
        <w:spacing w:before="100" w:beforeAutospacing="1" w:after="100" w:afterAutospacing="1"/>
        <w:ind w:left="720" w:hanging="720"/>
      </w:pPr>
      <w:r>
        <w:t xml:space="preserve">Walsh, R. B., Kelton, D. F., Duffield, T. F., Leslie, K. E., Walton, J. S., &amp; LeBlanc, S. J. (2007). Prevalence and risk factors for postpartum anovulatory condition in dairy cows. </w:t>
      </w:r>
      <w:r>
        <w:rPr>
          <w:i/>
          <w:iCs/>
        </w:rPr>
        <w:t>Journal of Dairy Science, 90</w:t>
      </w:r>
      <w:r>
        <w:t>(1), 315–324. https://doi.org/10.3168/jds.S0022-0302(07)72632-2</w:t>
      </w:r>
    </w:p>
    <w:p w14:paraId="58CFD43D" w14:textId="77777777" w:rsidR="008E046C" w:rsidRDefault="00000000" w:rsidP="009D41F1">
      <w:pPr>
        <w:spacing w:before="100" w:beforeAutospacing="1" w:after="100" w:afterAutospacing="1"/>
        <w:ind w:left="720" w:hanging="720"/>
      </w:pPr>
      <w:r>
        <w:t xml:space="preserve">Xie, L., Rashid, M. H., Dong, Q., Ricci, A., Opsomer, G., &amp; Bogado Pascottini, O. (2026). Transcriptomic landscapes of the endometrium of dairy cows with clinical or subclinical endometritis. </w:t>
      </w:r>
      <w:r>
        <w:rPr>
          <w:i/>
          <w:iCs/>
        </w:rPr>
        <w:t>Journal of Dairy Science, 109</w:t>
      </w:r>
      <w:r>
        <w:t>(4), 4383–4396. https://doi.org/10.3168/jds.2025-27374</w:t>
      </w:r>
    </w:p>
    <w:p w14:paraId="380E0140" w14:textId="77777777" w:rsidR="008E046C" w:rsidRDefault="00000000" w:rsidP="009D41F1">
      <w:pPr>
        <w:spacing w:before="100" w:beforeAutospacing="1" w:after="100" w:afterAutospacing="1"/>
        <w:ind w:left="720" w:hanging="720"/>
      </w:pPr>
      <w:r>
        <w:t xml:space="preserve">Yamamoto, N., Takeuchi, H., Yamaoka, M., Nakanishi, T., Tonai, S., Nishimura, R., Morita, T., Nagano, M., Kameda, S., Genda, K., Kawase, J., &amp; Yamashita, Y. (2023). Lipopolysaccharide (LPS) suppresses follicle development marker expression and enhances cytokine expressions, which results in fail to granulosa cell proliferation in developing follicle in cows. </w:t>
      </w:r>
      <w:r>
        <w:rPr>
          <w:i/>
          <w:iCs/>
        </w:rPr>
        <w:t>Reproductive Biology, 23</w:t>
      </w:r>
      <w:r>
        <w:t>(1), Article 100710. https://doi.org/10.1016/j.repbio.2022.100710</w:t>
      </w:r>
    </w:p>
    <w:p w14:paraId="0C52CCF8" w14:textId="77777777" w:rsidR="008E046C" w:rsidRDefault="00000000" w:rsidP="009D41F1">
      <w:pPr>
        <w:spacing w:before="100" w:beforeAutospacing="1" w:after="100" w:afterAutospacing="1"/>
        <w:ind w:left="720" w:hanging="720"/>
      </w:pPr>
      <w:r>
        <w:t xml:space="preserve">Zhang, J., Deng, L. X., Zhang, H. L., Hua, G. H., Han, L., Zhu, Y., Meng, X. J., &amp; Yang, L. G. (2010). Effects of parity on uterine involution and resumption of ovarian activities in postpartum Chinese Holstein dairy cows. </w:t>
      </w:r>
      <w:r>
        <w:rPr>
          <w:i/>
          <w:iCs/>
        </w:rPr>
        <w:t>Journal of Dairy Science, 93</w:t>
      </w:r>
      <w:r>
        <w:t>(5), 1979–1986. https://doi.org/10.3168/jds.2009-2626</w:t>
      </w:r>
    </w:p>
    <w:sectPr w:rsidR="008E046C">
      <w:headerReference w:type="even" r:id="rId7"/>
      <w:headerReference w:type="default" r:id="rId8"/>
      <w:footerReference w:type="even" r:id="rId9"/>
      <w:footerReference w:type="default" r:id="rId10"/>
      <w:headerReference w:type="first" r:id="rId11"/>
      <w:footerReference w:type="first" r:id="rId12"/>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90DC" w14:textId="77777777" w:rsidR="00E24915" w:rsidRDefault="00E24915" w:rsidP="00401D47">
      <w:r>
        <w:separator/>
      </w:r>
    </w:p>
  </w:endnote>
  <w:endnote w:type="continuationSeparator" w:id="0">
    <w:p w14:paraId="14F6D0A0" w14:textId="77777777" w:rsidR="00E24915" w:rsidRDefault="00E24915" w:rsidP="0040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443B" w14:textId="77777777" w:rsidR="00401D47" w:rsidRDefault="00401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4FC5" w14:textId="77777777" w:rsidR="00401D47" w:rsidRDefault="00401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2072" w14:textId="77777777" w:rsidR="00401D47" w:rsidRDefault="00401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DA5E" w14:textId="77777777" w:rsidR="00E24915" w:rsidRDefault="00E24915" w:rsidP="00401D47">
      <w:r>
        <w:separator/>
      </w:r>
    </w:p>
  </w:footnote>
  <w:footnote w:type="continuationSeparator" w:id="0">
    <w:p w14:paraId="7327B683" w14:textId="77777777" w:rsidR="00E24915" w:rsidRDefault="00E24915" w:rsidP="00401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BC2F" w14:textId="3EE1A0F7" w:rsidR="00401D47" w:rsidRDefault="00401D47">
    <w:pPr>
      <w:pStyle w:val="Header"/>
    </w:pPr>
    <w:r>
      <w:rPr>
        <w:noProof/>
      </w:rPr>
      <w:pict w14:anchorId="11D1F6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91376" o:spid="_x0000_s1026" type="#_x0000_t136" style="position:absolute;margin-left:0;margin-top:0;width:615.7pt;height:68.4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D017" w14:textId="522813FB" w:rsidR="00401D47" w:rsidRDefault="00401D47">
    <w:pPr>
      <w:pStyle w:val="Header"/>
    </w:pPr>
    <w:r>
      <w:rPr>
        <w:noProof/>
      </w:rPr>
      <w:pict w14:anchorId="10456B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91377" o:spid="_x0000_s1027" type="#_x0000_t136" style="position:absolute;margin-left:0;margin-top:0;width:615.7pt;height:68.4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E910" w14:textId="1043AF28" w:rsidR="00401D47" w:rsidRDefault="00401D47">
    <w:pPr>
      <w:pStyle w:val="Header"/>
    </w:pPr>
    <w:r>
      <w:rPr>
        <w:noProof/>
      </w:rPr>
      <w:pict w14:anchorId="0F4CCC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91375" o:spid="_x0000_s1025" type="#_x0000_t136" style="position:absolute;margin-left:0;margin-top:0;width:615.7pt;height:68.4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708C2"/>
    <w:multiLevelType w:val="hybridMultilevel"/>
    <w:tmpl w:val="14A416B4"/>
    <w:lvl w:ilvl="0" w:tplc="7194CB82">
      <w:start w:val="1"/>
      <w:numFmt w:val="bullet"/>
      <w:lvlText w:val="●"/>
      <w:lvlJc w:val="left"/>
      <w:pPr>
        <w:ind w:left="720" w:hanging="360"/>
      </w:pPr>
    </w:lvl>
    <w:lvl w:ilvl="1" w:tplc="D21AEEEA">
      <w:start w:val="1"/>
      <w:numFmt w:val="bullet"/>
      <w:lvlText w:val="○"/>
      <w:lvlJc w:val="left"/>
      <w:pPr>
        <w:ind w:left="1440" w:hanging="360"/>
      </w:pPr>
    </w:lvl>
    <w:lvl w:ilvl="2" w:tplc="18804372">
      <w:start w:val="1"/>
      <w:numFmt w:val="bullet"/>
      <w:lvlText w:val="■"/>
      <w:lvlJc w:val="left"/>
      <w:pPr>
        <w:ind w:left="2160" w:hanging="360"/>
      </w:pPr>
    </w:lvl>
    <w:lvl w:ilvl="3" w:tplc="B93A7878">
      <w:start w:val="1"/>
      <w:numFmt w:val="bullet"/>
      <w:lvlText w:val="●"/>
      <w:lvlJc w:val="left"/>
      <w:pPr>
        <w:ind w:left="2880" w:hanging="360"/>
      </w:pPr>
    </w:lvl>
    <w:lvl w:ilvl="4" w:tplc="38685AA2">
      <w:start w:val="1"/>
      <w:numFmt w:val="bullet"/>
      <w:lvlText w:val="○"/>
      <w:lvlJc w:val="left"/>
      <w:pPr>
        <w:ind w:left="3600" w:hanging="360"/>
      </w:pPr>
    </w:lvl>
    <w:lvl w:ilvl="5" w:tplc="4FAE1746">
      <w:start w:val="1"/>
      <w:numFmt w:val="bullet"/>
      <w:lvlText w:val="■"/>
      <w:lvlJc w:val="left"/>
      <w:pPr>
        <w:ind w:left="4320" w:hanging="360"/>
      </w:pPr>
    </w:lvl>
    <w:lvl w:ilvl="6" w:tplc="433A8C3C">
      <w:start w:val="1"/>
      <w:numFmt w:val="bullet"/>
      <w:lvlText w:val="●"/>
      <w:lvlJc w:val="left"/>
      <w:pPr>
        <w:ind w:left="5040" w:hanging="360"/>
      </w:pPr>
    </w:lvl>
    <w:lvl w:ilvl="7" w:tplc="4140BF4E">
      <w:start w:val="1"/>
      <w:numFmt w:val="bullet"/>
      <w:lvlText w:val="●"/>
      <w:lvlJc w:val="left"/>
      <w:pPr>
        <w:ind w:left="5760" w:hanging="360"/>
      </w:pPr>
    </w:lvl>
    <w:lvl w:ilvl="8" w:tplc="936ACA72">
      <w:start w:val="1"/>
      <w:numFmt w:val="bullet"/>
      <w:lvlText w:val="●"/>
      <w:lvlJc w:val="left"/>
      <w:pPr>
        <w:ind w:left="6480" w:hanging="360"/>
      </w:pPr>
    </w:lvl>
  </w:abstractNum>
  <w:num w:numId="1" w16cid:durableId="3047730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46C"/>
    <w:rsid w:val="0038246B"/>
    <w:rsid w:val="00401D47"/>
    <w:rsid w:val="007B37CB"/>
    <w:rsid w:val="008E046C"/>
    <w:rsid w:val="009D41F1"/>
    <w:rsid w:val="00A42440"/>
    <w:rsid w:val="00DF71D6"/>
    <w:rsid w:val="00E24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D31F1"/>
  <w15:docId w15:val="{62B08F3C-72CE-40D8-8FE1-514112A6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01D47"/>
    <w:pPr>
      <w:tabs>
        <w:tab w:val="center" w:pos="4680"/>
        <w:tab w:val="right" w:pos="9360"/>
      </w:tabs>
    </w:pPr>
  </w:style>
  <w:style w:type="character" w:customStyle="1" w:styleId="HeaderChar">
    <w:name w:val="Header Char"/>
    <w:basedOn w:val="DefaultParagraphFont"/>
    <w:link w:val="Header"/>
    <w:uiPriority w:val="99"/>
    <w:rsid w:val="00401D47"/>
  </w:style>
  <w:style w:type="paragraph" w:styleId="Footer">
    <w:name w:val="footer"/>
    <w:basedOn w:val="Normal"/>
    <w:link w:val="FooterChar"/>
    <w:uiPriority w:val="99"/>
    <w:unhideWhenUsed/>
    <w:rsid w:val="00401D47"/>
    <w:pPr>
      <w:tabs>
        <w:tab w:val="center" w:pos="4680"/>
        <w:tab w:val="right" w:pos="9360"/>
      </w:tabs>
    </w:pPr>
  </w:style>
  <w:style w:type="character" w:customStyle="1" w:styleId="FooterChar">
    <w:name w:val="Footer Char"/>
    <w:basedOn w:val="DefaultParagraphFont"/>
    <w:link w:val="Footer"/>
    <w:uiPriority w:val="99"/>
    <w:rsid w:val="00401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18547</Words>
  <Characters>105723</Characters>
  <Application>Microsoft Office Word</Application>
  <DocSecurity>0</DocSecurity>
  <Lines>881</Lines>
  <Paragraphs>248</Paragraphs>
  <ScaleCrop>false</ScaleCrop>
  <Company>HP</Company>
  <LinksUpToDate>false</LinksUpToDate>
  <CharactersWithSpaces>124022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5</cp:revision>
  <dcterms:created xsi:type="dcterms:W3CDTF">2026-08-03T14:37:00Z</dcterms:created>
  <dcterms:modified xsi:type="dcterms:W3CDTF">2026-08-04T13:18:00Z</dcterms:modified>
</cp:coreProperties>
</file>