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7391" w14:textId="77777777" w:rsidR="0087015C" w:rsidRPr="0087015C" w:rsidRDefault="0087015C" w:rsidP="0087015C">
      <w:pPr>
        <w:pStyle w:val="Heading1"/>
        <w:jc w:val="both"/>
        <w:rPr>
          <w:i/>
          <w:iCs/>
          <w:u w:val="single"/>
        </w:rPr>
      </w:pPr>
      <w:bookmarkStart w:id="0" w:name="X096cd197d8b398c916084b0adb2e176ee979b6c"/>
      <w:r w:rsidRPr="0087015C">
        <w:rPr>
          <w:i/>
          <w:iCs/>
          <w:u w:val="single"/>
        </w:rPr>
        <w:t>Review Article</w:t>
      </w:r>
    </w:p>
    <w:p w14:paraId="360BD6BD" w14:textId="77777777" w:rsidR="002413BA" w:rsidRDefault="00000000" w:rsidP="008D794F">
      <w:pPr>
        <w:pStyle w:val="Heading1"/>
        <w:jc w:val="both"/>
      </w:pPr>
      <w:r>
        <w:t>Sensor Fusion and Machine Learning for Real-World Emissions Monitoring and Climate-Related Environmental Assessment in the United States: A Critical Review</w:t>
      </w:r>
    </w:p>
    <w:p w14:paraId="5DBE906D" w14:textId="77777777" w:rsidR="008D794F" w:rsidRPr="008D794F" w:rsidRDefault="008D794F" w:rsidP="008D794F">
      <w:pPr>
        <w:pStyle w:val="BodyText"/>
        <w:jc w:val="both"/>
      </w:pPr>
    </w:p>
    <w:p w14:paraId="7F39F150" w14:textId="77777777" w:rsidR="002413BA" w:rsidRDefault="00000000" w:rsidP="008D794F">
      <w:pPr>
        <w:pStyle w:val="Heading2"/>
        <w:jc w:val="both"/>
      </w:pPr>
      <w:bookmarkStart w:id="1" w:name="abstract"/>
      <w:r>
        <w:t>Abstract</w:t>
      </w:r>
    </w:p>
    <w:p w14:paraId="6CEB9667" w14:textId="77777777" w:rsidR="002413BA" w:rsidRDefault="00000000" w:rsidP="008D794F">
      <w:pPr>
        <w:pStyle w:val="FirstParagraph"/>
        <w:jc w:val="both"/>
      </w:pPr>
      <w:r>
        <w:t xml:space="preserve">Emissions monitoring in the United States is being reconstructed around dense, heterogeneous sensing and algorithmic inference. Low-cost electrochemical and optical sensors, mobile platforms, aircraft-mounted imaging spectrometers, point-in-space continuous monitors, and polar-orbiting and geostationary satellites now generate observations at scales and frequencies that regulatory reference networks were never designed to provide, and machine learning increasingly mediates the step from raw signal to reported emission or exposure. This review critically appraises what that reconstruction has demonstrated, what remains uncertain, and where confidence is currently misplaced. Evidence was assembled through registry-based bibliographic searching and verified source-by-source, with emphasis on studies conducted in United States settings and published from 1995 onwards. Four findings recur across otherwise separate literatures. First, reported model performance is dominated by co-location conditions rather than deployment conditions, and cross-site, cross-season and cross-instrument transfer degrades in ways that headline coefficients of determination conceal. Second, blind controlled-release testing has become the strongest evidentiary design available for methane sensing and has no established equivalent in ambient sensor calibration, producing a marked asymmetry in the quality of validation evidence between adjacent fields. Third, heavy-tailed and intermittent emission distributions break the sampling assumptions embedded in both survey design and supervised learning, so that platform-specific estimates diverge for structural rather than analytical reasons. Fourth, fusion across platforms with different detection thresholds is frequently treated as additive when it is in fact a partial-detection problem requiring explicit statistical treatment. Errors in fused products are spatially structured and correlate with monitor density, so that inferential accuracy is lowest where policy attention is greatest. Priorities identified include </w:t>
      </w:r>
      <w:proofErr w:type="spellStart"/>
      <w:r>
        <w:t>standardised</w:t>
      </w:r>
      <w:proofErr w:type="spellEnd"/>
      <w:r>
        <w:t xml:space="preserve"> blind evaluation for ambient sensing, detection-probability-aware fusion, distribution-shift-resilient calibration, and reporting practices that expose spatial error structure rather than aggregate it away.</w:t>
      </w:r>
    </w:p>
    <w:p w14:paraId="24F5CF80" w14:textId="77777777" w:rsidR="002413BA" w:rsidRDefault="00000000" w:rsidP="008D794F">
      <w:pPr>
        <w:pStyle w:val="BodyText"/>
        <w:jc w:val="both"/>
      </w:pPr>
      <w:r>
        <w:rPr>
          <w:b/>
          <w:bCs/>
        </w:rPr>
        <w:t>Keywords:</w:t>
      </w:r>
      <w:r>
        <w:t xml:space="preserve"> sensor fusion; machine learning; methane emissions; low-cost air quality sensors; imaging spectrometry; emissions inventory verification; environmental monitoring policy</w:t>
      </w:r>
    </w:p>
    <w:p w14:paraId="05263280" w14:textId="77777777" w:rsidR="002413BA" w:rsidRDefault="00000000" w:rsidP="008D794F">
      <w:pPr>
        <w:pStyle w:val="Heading2"/>
        <w:jc w:val="both"/>
      </w:pPr>
      <w:bookmarkStart w:id="2" w:name="introduction"/>
      <w:bookmarkEnd w:id="1"/>
      <w:r>
        <w:lastRenderedPageBreak/>
        <w:t>1. Introduction</w:t>
      </w:r>
    </w:p>
    <w:p w14:paraId="256C198A" w14:textId="77777777" w:rsidR="002413BA" w:rsidRDefault="00000000" w:rsidP="008D794F">
      <w:pPr>
        <w:pStyle w:val="FirstParagraph"/>
        <w:jc w:val="both"/>
      </w:pPr>
      <w:r>
        <w:t xml:space="preserve">The measurement of emissions in the United States has historically rested on a small number of highly </w:t>
      </w:r>
      <w:proofErr w:type="spellStart"/>
      <w:r>
        <w:t>characterised</w:t>
      </w:r>
      <w:proofErr w:type="spellEnd"/>
      <w:r>
        <w:t xml:space="preserve"> instruments operated under prescribed conditions. Federal reference and equivalent methods, stack-based continuous emission monitors, certification dynamometer tests and periodic engineering surveys shared a common logic: accuracy was secured by controlling the measurement environment, and representativeness was secured by assuming that controlled measurements could be extrapolated through activity data. That logic is now under sustained empirical pressure. Facility-scale and basin-scale measurements of methane (CH</w:t>
      </w:r>
      <w:r>
        <w:rPr>
          <w:vertAlign w:val="subscript"/>
        </w:rPr>
        <w:t>4</w:t>
      </w:r>
      <w:r>
        <w:t xml:space="preserve">) from oil and natural gas infrastructure indicate national supply-chain emissions of approximately 13 </w:t>
      </w:r>
      <w:proofErr w:type="spellStart"/>
      <w:r>
        <w:t>Tg</w:t>
      </w:r>
      <w:proofErr w:type="spellEnd"/>
      <w:r>
        <w:t xml:space="preserve"> per year, around 60% above the corresponding national inventory estimate, with the discrepancy attributed largely to emissions occurring during abnormal operating conditions that engineering estimates do not represent (Alvarez et al., 2018). On-road measurements of vehicles in use revealed, decades earlier, that a minority of poorly maintained vehicles dominated fleet emissions in a way that certification testing could not anticipate (Beaton et al., 1995; Bishop &amp; Stedman, 2008), and subsequent analysis of diesel oxides of nitrogen showed that real-world emissions departed substantially from regulatory limits across major markets (Anenberg et al., 2017). The recurring lesson is that emissions </w:t>
      </w:r>
      <w:proofErr w:type="spellStart"/>
      <w:r>
        <w:t>behaviour</w:t>
      </w:r>
      <w:proofErr w:type="spellEnd"/>
      <w:r>
        <w:t xml:space="preserve"> in the field is not a smooth extrapolation of emissions </w:t>
      </w:r>
      <w:proofErr w:type="spellStart"/>
      <w:r>
        <w:t>behaviour</w:t>
      </w:r>
      <w:proofErr w:type="spellEnd"/>
      <w:r>
        <w:t xml:space="preserve"> under test.</w:t>
      </w:r>
    </w:p>
    <w:p w14:paraId="3F1C9016" w14:textId="77777777" w:rsidR="002413BA" w:rsidRDefault="00000000" w:rsidP="008D794F">
      <w:pPr>
        <w:pStyle w:val="BodyText"/>
        <w:jc w:val="both"/>
      </w:pPr>
      <w:r>
        <w:t xml:space="preserve">Two technological developments have changed what can be done about this. The first is the proliferation of sensing platforms. Optical particle counters and electrochemical gas sensors costing orders of magnitude less than reference </w:t>
      </w:r>
      <w:proofErr w:type="spellStart"/>
      <w:r>
        <w:t>analysers</w:t>
      </w:r>
      <w:proofErr w:type="spellEnd"/>
      <w:r>
        <w:t xml:space="preserve"> have been deployed in networks of thousands of units, on vehicles, and by community </w:t>
      </w:r>
      <w:proofErr w:type="spellStart"/>
      <w:r>
        <w:t>organisations</w:t>
      </w:r>
      <w:proofErr w:type="spellEnd"/>
      <w:r>
        <w:t xml:space="preserve"> (Apte et al., 2017; </w:t>
      </w:r>
      <w:proofErr w:type="spellStart"/>
      <w:r>
        <w:t>deSouza</w:t>
      </w:r>
      <w:proofErr w:type="spellEnd"/>
      <w:r>
        <w:t xml:space="preserve"> et al., 2020; Wallace &amp; Zhao, 2023). Aircraft-mounted imaging spectrometers now survey entire producing basins at facility resolution (Y. Chen et al., 2022; Cusworth et al., 2021; Sherwin et al., 2024b). Polar-orbiting instruments provide basin-scale column measurements and, in some configurations, resolve individual plumes, while geostationary observation of North America has introduced hourly measurement of photochemically active species (</w:t>
      </w:r>
      <w:proofErr w:type="spellStart"/>
      <w:r>
        <w:t>Zoogman</w:t>
      </w:r>
      <w:proofErr w:type="spellEnd"/>
      <w:r>
        <w:t xml:space="preserve"> et al., 2017; Jacob et al., 2022; Li et al., 2025). Point-in-space continuous monitors have been installed on production sites to provide uninterrupted site-level records (Daniels et al., 2024a; Daniels et al., 2025).</w:t>
      </w:r>
    </w:p>
    <w:p w14:paraId="45D0645F" w14:textId="77777777" w:rsidR="002413BA" w:rsidRDefault="00000000" w:rsidP="008D794F">
      <w:pPr>
        <w:pStyle w:val="BodyText"/>
        <w:jc w:val="both"/>
      </w:pPr>
      <w:r>
        <w:t xml:space="preserve">The second development is the routine use of statistical learning to convert these signals into quantities that can be reported, regulated or used in health and climate assessment. Machine learning enters the inferential chain at several distinct points, and conflating them has caused considerable confusion. It is used to correct individual sensors against reference instruments; to interpolate and predict concentration fields; to detect and quantify plumes in spectral imagery; to attribute site-level concentration enhancements to specific equipment; to emulate or bias-correct chemical transport models; and to construct exposure surfaces for epidemiological and equity analysis (Zimmerman et al., 2018; Di et al., 2019; </w:t>
      </w:r>
      <w:proofErr w:type="spellStart"/>
      <w:r>
        <w:t>Jongaramrungruang</w:t>
      </w:r>
      <w:proofErr w:type="spellEnd"/>
      <w:r>
        <w:t xml:space="preserve"> et al., 2022; </w:t>
      </w:r>
      <w:proofErr w:type="spellStart"/>
      <w:r>
        <w:t>Rouet</w:t>
      </w:r>
      <w:proofErr w:type="spellEnd"/>
      <w:r>
        <w:t>-Leduc &amp; Hulbert, 2024; Kelp et al., 2020; Skipper et al., 2024). These applications share algorithms but differ fundamentally in what constitutes a valid test, in the consequences of error, and in the availability of ground truth.</w:t>
      </w:r>
    </w:p>
    <w:p w14:paraId="66A77C2E" w14:textId="77777777" w:rsidR="002413BA" w:rsidRDefault="00000000" w:rsidP="008D794F">
      <w:pPr>
        <w:pStyle w:val="BodyText"/>
        <w:jc w:val="both"/>
      </w:pPr>
      <w:r>
        <w:lastRenderedPageBreak/>
        <w:t xml:space="preserve">The term sensor fusion is used across this literature with limited precision. In engineering usage it denotes the combination of measurements from multiple sensors to produce an estimate superior to that obtainable from any single sensor. In environmental practice it is applied to arrangements as different as regression of a low-cost sensor against a co-located reference instrument, spatial merging of satellite column retrievals with surface monitors, hierarchical combination of aerial snapshot surveys with continuous site monitoring, and assimilation of observations into chemical transport models. These arrangements differ in their statistical structure, and evidence supporting one form does not transfer to another. The absence of a shared vocabulary has allowed </w:t>
      </w:r>
      <w:proofErr w:type="spellStart"/>
      <w:r>
        <w:t>favourable</w:t>
      </w:r>
      <w:proofErr w:type="spellEnd"/>
      <w:r>
        <w:t xml:space="preserve"> results obtained in the least demanding configuration to be cited as general support for the approach.</w:t>
      </w:r>
    </w:p>
    <w:p w14:paraId="4253F196" w14:textId="77777777" w:rsidR="002413BA" w:rsidRDefault="00000000" w:rsidP="008D794F">
      <w:pPr>
        <w:pStyle w:val="BodyText"/>
        <w:jc w:val="both"/>
      </w:pPr>
      <w:r>
        <w:t xml:space="preserve">Reviews of adjacent components exist. Synthesis of machine learning for low-cost sensor calibration reports substantial error reduction and post-calibration agreement with reference monitors that is high by conventional standards (Yan, 2026). Satellite methane observation has been reviewed comprehensively from the perspective of atmospheric inversion and point-source retrieval (Jacob et al., 2022). Broad surveys of machine learning applications relevant to climate mitigation identify emissions monitoring as a priority area (Rolnick et al., 2023). What these treatments share is a domain boundary. Calibration reviews rarely engage with the methane measurement literature, in which blind controlled-release protocols have become standard; methane reviews rarely engage with the ambient sensor literature, in which drift and transferability have been studied intensively. Neither addresses the question that determines whether the technological transition delivers policy value: whether fused, algorithmically processed observations are sufficiently reliable, and sufficiently </w:t>
      </w:r>
      <w:proofErr w:type="spellStart"/>
      <w:r>
        <w:t>characterised</w:t>
      </w:r>
      <w:proofErr w:type="spellEnd"/>
      <w:r>
        <w:t>, to be used as the evidentiary basis for emissions accounting, regulatory action and climate-related environmental assessment in the United States.</w:t>
      </w:r>
    </w:p>
    <w:p w14:paraId="2967F184" w14:textId="77777777" w:rsidR="002413BA" w:rsidRDefault="00000000" w:rsidP="008D794F">
      <w:pPr>
        <w:pStyle w:val="Heading3"/>
        <w:jc w:val="both"/>
      </w:pPr>
      <w:bookmarkStart w:id="3" w:name="scope-research-gap-and-objectives"/>
      <w:r>
        <w:t>1.1 Scope, Research Gap and Objectives</w:t>
      </w:r>
    </w:p>
    <w:p w14:paraId="13A92F9F" w14:textId="77777777" w:rsidR="002413BA" w:rsidRDefault="00000000" w:rsidP="008D794F">
      <w:pPr>
        <w:pStyle w:val="FirstParagraph"/>
        <w:jc w:val="both"/>
      </w:pPr>
      <w:r>
        <w:t>This review examines the integration of multi-platform sensing with statistical learning for the measurement of real-world emissions and associated environmental assessment in the United States. Its boundaries are defined by three criteria. The measurement must concern emissions as they occur in operational settings rather than under controlled certification conditions. The inferential chain must involve either the combination of observations from more than one sensing modality or the application of statistical learning to convert sensor output into a reported quantity. The application must bear on emissions accounting, regulatory verification, or environmental and climate-related assessment.</w:t>
      </w:r>
    </w:p>
    <w:p w14:paraId="5C9491FE" w14:textId="77777777" w:rsidR="002413BA" w:rsidRDefault="00000000" w:rsidP="008D794F">
      <w:pPr>
        <w:pStyle w:val="BodyText"/>
        <w:jc w:val="both"/>
      </w:pPr>
      <w:r>
        <w:t xml:space="preserve">The gap addressed is the absence of a cross-domain critical appraisal </w:t>
      </w:r>
      <w:proofErr w:type="spellStart"/>
      <w:r>
        <w:t>organised</w:t>
      </w:r>
      <w:proofErr w:type="spellEnd"/>
      <w:r>
        <w:t xml:space="preserve"> around the inferential chain rather than around instrument type. Existing reviews evaluate calibration methods, retrieval algorithms or inversion frameworks in isolation, with the consequence that recurrent structural problems appear as domain-specific difficulties rather than as shared inferential weaknesses. The specific unresolved questions are whether reported performance metrics support the uses to which fused products are put; whether validation practice is adequate and consistent across domains; whether divergences between platform-based estimates reflect measurement error or the sampling properties of the </w:t>
      </w:r>
      <w:r>
        <w:lastRenderedPageBreak/>
        <w:t>emission process; and whether the spatial structure of inferential error is compatible with the equity and enforcement purposes for which these products are increasingly employed.</w:t>
      </w:r>
    </w:p>
    <w:p w14:paraId="4AB1B60F" w14:textId="77777777" w:rsidR="002413BA" w:rsidRDefault="00000000" w:rsidP="008D794F">
      <w:pPr>
        <w:pStyle w:val="BodyText"/>
        <w:jc w:val="both"/>
      </w:pPr>
      <w:r>
        <w:t xml:space="preserve">Four objectives follow. The first is to </w:t>
      </w:r>
      <w:proofErr w:type="spellStart"/>
      <w:r>
        <w:t>characterise</w:t>
      </w:r>
      <w:proofErr w:type="spellEnd"/>
      <w:r>
        <w:t xml:space="preserve"> the current state of evidence across sensing platforms and algorithmic approaches used in United States settings. The second is to identify convergent and conflicting findings and to distinguish disagreement arising from methodological differences from disagreement arising from the properties of emissions themselves. The third is to evaluate validation practice, with attention to the evidentiary standing of different test designs. The fourth is to specify research priorities that would materially improve the reliability of fused emissions estimates.</w:t>
      </w:r>
    </w:p>
    <w:p w14:paraId="1EA22FCC" w14:textId="77777777" w:rsidR="002413BA" w:rsidRDefault="00000000" w:rsidP="008D794F">
      <w:pPr>
        <w:pStyle w:val="BodyText"/>
        <w:jc w:val="both"/>
      </w:pPr>
      <w:r>
        <w:t>The review does not attempt quantitative pooling of effect estimates, does not assess indoor air quality or occupational exposure, does not evaluate emissions from international jurisdictions except where required for comparison, and does not address life-cycle or consumption-based accounting. Health effect estimation is considered only insofar as exposure surface construction depends on the methods under review.</w:t>
      </w:r>
    </w:p>
    <w:p w14:paraId="4F10707D" w14:textId="77777777" w:rsidR="002413BA" w:rsidRDefault="00000000" w:rsidP="008D794F">
      <w:pPr>
        <w:pStyle w:val="Heading2"/>
        <w:jc w:val="both"/>
      </w:pPr>
      <w:bookmarkStart w:id="4" w:name="methods-for-literature-selection"/>
      <w:bookmarkEnd w:id="2"/>
      <w:bookmarkEnd w:id="3"/>
      <w:r>
        <w:t>2. Methods for Literature Selection</w:t>
      </w:r>
    </w:p>
    <w:p w14:paraId="44B83AE9" w14:textId="77777777" w:rsidR="002413BA" w:rsidRDefault="00000000" w:rsidP="008D794F">
      <w:pPr>
        <w:pStyle w:val="Heading3"/>
        <w:jc w:val="both"/>
      </w:pPr>
      <w:bookmarkStart w:id="5" w:name="review-design-and-rationale"/>
      <w:r>
        <w:t>2.1 Review Design and Rationale</w:t>
      </w:r>
    </w:p>
    <w:p w14:paraId="6AB8CBC4" w14:textId="77777777" w:rsidR="002413BA" w:rsidRDefault="00000000" w:rsidP="008D794F">
      <w:pPr>
        <w:pStyle w:val="FirstParagraph"/>
        <w:jc w:val="both"/>
      </w:pPr>
      <w:r>
        <w:t xml:space="preserve">A critical narrative design was selected because the review question concerns the coherence and evidentiary standing of methods across heterogeneous fields rather than the magnitude of a defined effect. The constituent literatures use incommensurable outcome measures. Calibration studies report agreement statistics against reference </w:t>
      </w:r>
      <w:proofErr w:type="spellStart"/>
      <w:r>
        <w:t>analysers</w:t>
      </w:r>
      <w:proofErr w:type="spellEnd"/>
      <w:r>
        <w:t>; aerial survey studies report emission rate distributions; continuous monitoring studies report detection probabilities and quantification errors; inversion studies report posterior emission fluxes with structural uncertainty. No meaningful pooled estimate could be constructed across these, and a systematic review protocol with a single prespecified outcome would exclude precisely the comparative material that the question requires. Scoping review methods would map the field adequately but are not designed to adjudicate methodological quality, which is central here.</w:t>
      </w:r>
    </w:p>
    <w:p w14:paraId="4E6E1736" w14:textId="77777777" w:rsidR="002413BA" w:rsidRDefault="00000000" w:rsidP="008D794F">
      <w:pPr>
        <w:pStyle w:val="BodyText"/>
        <w:jc w:val="both"/>
      </w:pPr>
      <w:r>
        <w:t>The choice reflects an argument advanced in the methodological literature that the hierarchy placing systematic above narrative synthesis is not universally applicable and that narrative approaches remain appropriate where the task is interpretive integration across bodies of work that do not share a common metric (Greenhalgh et al., 2018; Sukhera, 2022). Adopting a narrative design does not license reduced transparency. The reporting standards articulated in the SANRA instrument, which require explicit justification of importance, statement of aims, description of the literature search, appropriate referencing of evidence and evidence-calibrated presentation of data, were used as internal quality criteria during preparation (</w:t>
      </w:r>
      <w:proofErr w:type="spellStart"/>
      <w:r>
        <w:t>Baethge</w:t>
      </w:r>
      <w:proofErr w:type="spellEnd"/>
      <w:r>
        <w:t xml:space="preserve"> et al., 2019).</w:t>
      </w:r>
    </w:p>
    <w:p w14:paraId="707D59DE" w14:textId="77777777" w:rsidR="002413BA" w:rsidRDefault="00000000" w:rsidP="008D794F">
      <w:pPr>
        <w:pStyle w:val="Heading3"/>
        <w:jc w:val="both"/>
      </w:pPr>
      <w:bookmarkStart w:id="6" w:name="information-sources"/>
      <w:bookmarkEnd w:id="5"/>
      <w:r>
        <w:t>2.2 Information Sources</w:t>
      </w:r>
    </w:p>
    <w:p w14:paraId="13ED7F08" w14:textId="77777777" w:rsidR="002413BA" w:rsidRDefault="00000000" w:rsidP="008D794F">
      <w:pPr>
        <w:pStyle w:val="FirstParagraph"/>
        <w:jc w:val="both"/>
      </w:pPr>
      <w:r>
        <w:t xml:space="preserve">Bibliographic identification and verification were conducted using </w:t>
      </w:r>
      <w:proofErr w:type="spellStart"/>
      <w:r>
        <w:t>Crossref</w:t>
      </w:r>
      <w:proofErr w:type="spellEnd"/>
      <w:r>
        <w:t xml:space="preserve"> Metadata Search, accessed through its public application programming interface, together with general-purpose web search engines used to locate scholarly records, journal landing pages </w:t>
      </w:r>
      <w:r>
        <w:lastRenderedPageBreak/>
        <w:t xml:space="preserve">and institutional documents. Every included journal reference was subsequently verified against the </w:t>
      </w:r>
      <w:proofErr w:type="spellStart"/>
      <w:r>
        <w:t>Crossref</w:t>
      </w:r>
      <w:proofErr w:type="spellEnd"/>
      <w:r>
        <w:t xml:space="preserve"> registry, and metadata were corrected to the registered record where secondary sources disagreed. Institutional material was retrieved directly from the websites of the originating </w:t>
      </w:r>
      <w:proofErr w:type="spellStart"/>
      <w:r>
        <w:t>organisations</w:t>
      </w:r>
      <w:proofErr w:type="spellEnd"/>
      <w:r>
        <w:t>.</w:t>
      </w:r>
    </w:p>
    <w:p w14:paraId="192F003E" w14:textId="77777777" w:rsidR="002413BA" w:rsidRDefault="00000000" w:rsidP="008D794F">
      <w:pPr>
        <w:pStyle w:val="BodyText"/>
        <w:jc w:val="both"/>
      </w:pPr>
      <w:r>
        <w:t>Subscription-based indexes, including Web of Science, Scopus and Embase, were not accessible during preparation, and no claim is made that those indexes were searched. This constraint is stated explicitly because it bears on coverage: records indexed only in subscription databases, and grey literature not registered with a persistent identifier, may be under-represented.</w:t>
      </w:r>
    </w:p>
    <w:p w14:paraId="3B29160D" w14:textId="77777777" w:rsidR="002413BA" w:rsidRDefault="00000000" w:rsidP="008D794F">
      <w:pPr>
        <w:pStyle w:val="BodyText"/>
        <w:jc w:val="both"/>
      </w:pPr>
      <w:r>
        <w:t>Database searching was supplemented by backward citation chaining from recent reviews and empirical papers whose reference lists were accessible, by targeted searching for individual works identified in that process, and by searching for corrections, author corrections and expressions of concern associated with candidate references. That last step identified a published author correction to one of the principal aerial survey datasets considered here (Sherwin et al., 2026), which is noted where the underlying study is discussed.</w:t>
      </w:r>
    </w:p>
    <w:p w14:paraId="323FCE29" w14:textId="77777777" w:rsidR="002413BA" w:rsidRDefault="00000000" w:rsidP="008D794F">
      <w:pPr>
        <w:pStyle w:val="Heading3"/>
        <w:jc w:val="both"/>
      </w:pPr>
      <w:bookmarkStart w:id="7" w:name="search-strategy-and-search-period"/>
      <w:bookmarkEnd w:id="6"/>
      <w:r>
        <w:t>2.3 Search Strategy and Search Period</w:t>
      </w:r>
    </w:p>
    <w:p w14:paraId="54D4C1C7" w14:textId="77777777" w:rsidR="002413BA" w:rsidRDefault="00000000" w:rsidP="008D794F">
      <w:pPr>
        <w:pStyle w:val="FirstParagraph"/>
        <w:jc w:val="both"/>
      </w:pPr>
      <w:r>
        <w:t>Search concepts were derived from the review question and combined using Boolean operators. Five concept groups were used: sensing platforms and instruments; algorithmic and statistical inference; emission species and sources; geographical and regulatory setting; and validation, uncertainty and equity. Representative strings are given in Table 1. Free-text terms were used throughout, since controlled vocabulary was not available in the accessible search interfaces.</w:t>
      </w:r>
    </w:p>
    <w:p w14:paraId="011AC2B1" w14:textId="77777777" w:rsidR="002413BA" w:rsidRDefault="00000000" w:rsidP="008D794F">
      <w:pPr>
        <w:pStyle w:val="BodyText"/>
        <w:jc w:val="both"/>
      </w:pPr>
      <w:r>
        <w:t>The search period extended from 1 January 1995 to the final search date. The starting year corresponds to the appearance in the peer-reviewed literature of large-scale on-road remote sensing of vehicle emissions in the United States, which established the empirical tradition of measuring emissions as they occur rather than as they are certified. Works published before that date were considered only where required to explain the historical development of a method. The final search was conducted on 12 June 2026.</w:t>
      </w:r>
    </w:p>
    <w:p w14:paraId="7AABBA24" w14:textId="77777777" w:rsidR="002413BA" w:rsidRDefault="00000000" w:rsidP="008D794F">
      <w:pPr>
        <w:pStyle w:val="BodyText"/>
        <w:jc w:val="both"/>
      </w:pPr>
      <w:r>
        <w:t>Table 1 sets out the concept structure and representative search strings. Its purpose is reproducibility rather than exhaustiveness: strings were adapted iteratively as terminology differences between the methane measurement, ambient sensing and remote sensing communities became apparent, and the table records the stable core of that process rather than every variant executed. The concept groups are deliberately asymmetric, since the sensing and inference groups required substantially more synonym expansion than the geographical group.</w:t>
      </w:r>
    </w:p>
    <w:p w14:paraId="2910FFFA" w14:textId="77777777" w:rsidR="002413BA" w:rsidRDefault="00000000" w:rsidP="008D794F">
      <w:pPr>
        <w:pStyle w:val="BodyText"/>
        <w:jc w:val="both"/>
      </w:pPr>
      <w:r>
        <w:rPr>
          <w:b/>
          <w:bCs/>
        </w:rPr>
        <w:t>Table 1.</w:t>
      </w:r>
      <w:r>
        <w:t xml:space="preserve"> Search concept structure and representative Boolean search strings.</w:t>
      </w:r>
    </w:p>
    <w:tbl>
      <w:tblPr>
        <w:tblStyle w:val="TableGrid"/>
        <w:tblW w:w="5000" w:type="pct"/>
        <w:tblLook w:val="0020" w:firstRow="1" w:lastRow="0" w:firstColumn="0" w:lastColumn="0" w:noHBand="0" w:noVBand="0"/>
      </w:tblPr>
      <w:tblGrid>
        <w:gridCol w:w="1285"/>
        <w:gridCol w:w="3364"/>
        <w:gridCol w:w="2929"/>
        <w:gridCol w:w="1998"/>
      </w:tblGrid>
      <w:tr w:rsidR="002413BA" w14:paraId="045559E1" w14:textId="77777777" w:rsidTr="008D794F">
        <w:tc>
          <w:tcPr>
            <w:tcW w:w="0" w:type="auto"/>
          </w:tcPr>
          <w:p w14:paraId="0C38D372" w14:textId="77777777" w:rsidR="002413BA" w:rsidRDefault="00000000" w:rsidP="008D794F">
            <w:pPr>
              <w:pStyle w:val="Compact"/>
              <w:jc w:val="both"/>
            </w:pPr>
            <w:r>
              <w:t>Concept group</w:t>
            </w:r>
          </w:p>
        </w:tc>
        <w:tc>
          <w:tcPr>
            <w:tcW w:w="0" w:type="auto"/>
          </w:tcPr>
          <w:p w14:paraId="7B1463AC" w14:textId="77777777" w:rsidR="002413BA" w:rsidRDefault="00000000" w:rsidP="008D794F">
            <w:pPr>
              <w:pStyle w:val="Compact"/>
              <w:jc w:val="both"/>
            </w:pPr>
            <w:r>
              <w:t>Representative terms</w:t>
            </w:r>
          </w:p>
        </w:tc>
        <w:tc>
          <w:tcPr>
            <w:tcW w:w="0" w:type="auto"/>
          </w:tcPr>
          <w:p w14:paraId="5840C494" w14:textId="77777777" w:rsidR="002413BA" w:rsidRDefault="00000000" w:rsidP="008D794F">
            <w:pPr>
              <w:pStyle w:val="Compact"/>
              <w:jc w:val="both"/>
            </w:pPr>
            <w:r>
              <w:t>Representative string</w:t>
            </w:r>
          </w:p>
        </w:tc>
        <w:tc>
          <w:tcPr>
            <w:tcW w:w="0" w:type="auto"/>
          </w:tcPr>
          <w:p w14:paraId="47C24EC9" w14:textId="77777777" w:rsidR="002413BA" w:rsidRDefault="00000000" w:rsidP="008D794F">
            <w:pPr>
              <w:pStyle w:val="Compact"/>
              <w:jc w:val="both"/>
            </w:pPr>
            <w:r>
              <w:t>Supporting references</w:t>
            </w:r>
          </w:p>
        </w:tc>
      </w:tr>
      <w:tr w:rsidR="002413BA" w14:paraId="0E7FF1ED" w14:textId="77777777" w:rsidTr="008D794F">
        <w:tc>
          <w:tcPr>
            <w:tcW w:w="0" w:type="auto"/>
          </w:tcPr>
          <w:p w14:paraId="5965AC95" w14:textId="77777777" w:rsidR="002413BA" w:rsidRDefault="00000000" w:rsidP="008D794F">
            <w:pPr>
              <w:pStyle w:val="Compact"/>
              <w:jc w:val="both"/>
            </w:pPr>
            <w:r>
              <w:t>Sensing platform</w:t>
            </w:r>
          </w:p>
        </w:tc>
        <w:tc>
          <w:tcPr>
            <w:tcW w:w="0" w:type="auto"/>
          </w:tcPr>
          <w:p w14:paraId="2C9AB18A" w14:textId="77777777" w:rsidR="002413BA" w:rsidRDefault="00000000" w:rsidP="008D794F">
            <w:pPr>
              <w:pStyle w:val="Compact"/>
              <w:jc w:val="both"/>
            </w:pPr>
            <w:r>
              <w:t xml:space="preserve">low-cost sensor, sensor network, imaging spectrometer, continuous </w:t>
            </w:r>
            <w:r>
              <w:lastRenderedPageBreak/>
              <w:t>monitoring system, remote sensing, mobile monitoring, geostationary</w:t>
            </w:r>
          </w:p>
        </w:tc>
        <w:tc>
          <w:tcPr>
            <w:tcW w:w="0" w:type="auto"/>
          </w:tcPr>
          <w:p w14:paraId="4599B3B4" w14:textId="77777777" w:rsidR="002413BA" w:rsidRDefault="00000000" w:rsidP="008D794F">
            <w:pPr>
              <w:pStyle w:val="Compact"/>
              <w:jc w:val="both"/>
            </w:pPr>
            <w:r>
              <w:lastRenderedPageBreak/>
              <w:t xml:space="preserve">(“low-cost sensor” OR “imaging spectrometer” OR “continuous </w:t>
            </w:r>
            <w:r>
              <w:lastRenderedPageBreak/>
              <w:t>monitoring system” OR “mobile monitoring”)</w:t>
            </w:r>
          </w:p>
        </w:tc>
        <w:tc>
          <w:tcPr>
            <w:tcW w:w="0" w:type="auto"/>
          </w:tcPr>
          <w:p w14:paraId="348FDF8D" w14:textId="77777777" w:rsidR="002413BA" w:rsidRDefault="00000000" w:rsidP="008D794F">
            <w:pPr>
              <w:pStyle w:val="Compact"/>
              <w:jc w:val="both"/>
            </w:pPr>
            <w:r>
              <w:lastRenderedPageBreak/>
              <w:t xml:space="preserve">Apte et al. (2017); Cusworth et al. (2021); </w:t>
            </w:r>
            <w:r>
              <w:lastRenderedPageBreak/>
              <w:t>Daniels et al. (2024a)</w:t>
            </w:r>
          </w:p>
        </w:tc>
      </w:tr>
      <w:tr w:rsidR="002413BA" w14:paraId="369792FA" w14:textId="77777777" w:rsidTr="008D794F">
        <w:tc>
          <w:tcPr>
            <w:tcW w:w="0" w:type="auto"/>
          </w:tcPr>
          <w:p w14:paraId="5D70D26F" w14:textId="77777777" w:rsidR="002413BA" w:rsidRDefault="00000000" w:rsidP="008D794F">
            <w:pPr>
              <w:pStyle w:val="Compact"/>
              <w:jc w:val="both"/>
            </w:pPr>
            <w:r>
              <w:lastRenderedPageBreak/>
              <w:t>Algorithmic inference</w:t>
            </w:r>
          </w:p>
        </w:tc>
        <w:tc>
          <w:tcPr>
            <w:tcW w:w="0" w:type="auto"/>
          </w:tcPr>
          <w:p w14:paraId="4C45D526" w14:textId="77777777" w:rsidR="002413BA" w:rsidRDefault="00000000" w:rsidP="008D794F">
            <w:pPr>
              <w:pStyle w:val="Compact"/>
              <w:jc w:val="both"/>
            </w:pPr>
            <w:r>
              <w:t>machine learning, random forest, neural network, deep learning, calibration model, data fusion, atmospheric inversion, bias correction</w:t>
            </w:r>
          </w:p>
        </w:tc>
        <w:tc>
          <w:tcPr>
            <w:tcW w:w="0" w:type="auto"/>
          </w:tcPr>
          <w:p w14:paraId="2E0EF111" w14:textId="77777777" w:rsidR="002413BA" w:rsidRDefault="00000000" w:rsidP="008D794F">
            <w:pPr>
              <w:pStyle w:val="Compact"/>
              <w:jc w:val="both"/>
            </w:pPr>
            <w:r>
              <w:t>(“machine learning” OR “random forest” OR “neural network” OR “data fusion” OR inversion)</w:t>
            </w:r>
          </w:p>
        </w:tc>
        <w:tc>
          <w:tcPr>
            <w:tcW w:w="0" w:type="auto"/>
          </w:tcPr>
          <w:p w14:paraId="0E42DFFD" w14:textId="77777777" w:rsidR="002413BA" w:rsidRDefault="00000000" w:rsidP="008D794F">
            <w:pPr>
              <w:pStyle w:val="Compact"/>
              <w:jc w:val="both"/>
            </w:pPr>
            <w:r>
              <w:t>Zimmerman et al. (2018); Di et al. (2019); Nesser et al. (2024)</w:t>
            </w:r>
          </w:p>
        </w:tc>
      </w:tr>
      <w:tr w:rsidR="002413BA" w14:paraId="24DA3030" w14:textId="77777777" w:rsidTr="008D794F">
        <w:tc>
          <w:tcPr>
            <w:tcW w:w="0" w:type="auto"/>
          </w:tcPr>
          <w:p w14:paraId="6FEE3EC9" w14:textId="77777777" w:rsidR="002413BA" w:rsidRDefault="00000000" w:rsidP="008D794F">
            <w:pPr>
              <w:pStyle w:val="Compact"/>
              <w:jc w:val="both"/>
            </w:pPr>
            <w:r>
              <w:t>Species and source</w:t>
            </w:r>
          </w:p>
        </w:tc>
        <w:tc>
          <w:tcPr>
            <w:tcW w:w="0" w:type="auto"/>
          </w:tcPr>
          <w:p w14:paraId="21EB872E" w14:textId="77777777" w:rsidR="002413BA" w:rsidRDefault="00000000" w:rsidP="008D794F">
            <w:pPr>
              <w:pStyle w:val="Compact"/>
              <w:jc w:val="both"/>
            </w:pPr>
            <w:r>
              <w:t>methane, carbon dioxide, nitrogen dioxide, particulate matter, oil and gas, landfill, on-road vehicle, wildfire smoke</w:t>
            </w:r>
          </w:p>
        </w:tc>
        <w:tc>
          <w:tcPr>
            <w:tcW w:w="0" w:type="auto"/>
          </w:tcPr>
          <w:p w14:paraId="63ADA163" w14:textId="77777777" w:rsidR="002413BA" w:rsidRDefault="00000000" w:rsidP="008D794F">
            <w:pPr>
              <w:pStyle w:val="Compact"/>
              <w:jc w:val="both"/>
            </w:pPr>
            <w:r>
              <w:t>(methane OR “carbon dioxide” OR “particulate matter”) AND (“oil and gas” OR landfill OR vehicle OR wildfire)</w:t>
            </w:r>
          </w:p>
        </w:tc>
        <w:tc>
          <w:tcPr>
            <w:tcW w:w="0" w:type="auto"/>
          </w:tcPr>
          <w:p w14:paraId="17153D37" w14:textId="77777777" w:rsidR="002413BA" w:rsidRDefault="00000000" w:rsidP="008D794F">
            <w:pPr>
              <w:pStyle w:val="Compact"/>
              <w:jc w:val="both"/>
            </w:pPr>
            <w:r>
              <w:t>Alvarez et al. (2018); Cusworth et al. (2024); Childs et al. (2022)</w:t>
            </w:r>
          </w:p>
        </w:tc>
      </w:tr>
      <w:tr w:rsidR="002413BA" w14:paraId="5B122A43" w14:textId="77777777" w:rsidTr="008D794F">
        <w:tc>
          <w:tcPr>
            <w:tcW w:w="0" w:type="auto"/>
          </w:tcPr>
          <w:p w14:paraId="617766AB" w14:textId="77777777" w:rsidR="002413BA" w:rsidRDefault="00000000" w:rsidP="008D794F">
            <w:pPr>
              <w:pStyle w:val="Compact"/>
              <w:jc w:val="both"/>
            </w:pPr>
            <w:r>
              <w:t>Setting</w:t>
            </w:r>
          </w:p>
        </w:tc>
        <w:tc>
          <w:tcPr>
            <w:tcW w:w="0" w:type="auto"/>
          </w:tcPr>
          <w:p w14:paraId="3CAAA808" w14:textId="77777777" w:rsidR="002413BA" w:rsidRDefault="00000000" w:rsidP="008D794F">
            <w:pPr>
              <w:pStyle w:val="Compact"/>
              <w:jc w:val="both"/>
            </w:pPr>
            <w:r>
              <w:t>United States, Permian, contiguous US, national inventory, regulatory monitoring</w:t>
            </w:r>
          </w:p>
        </w:tc>
        <w:tc>
          <w:tcPr>
            <w:tcW w:w="0" w:type="auto"/>
          </w:tcPr>
          <w:p w14:paraId="79FD02AF" w14:textId="77777777" w:rsidR="002413BA" w:rsidRDefault="00000000" w:rsidP="008D794F">
            <w:pPr>
              <w:pStyle w:val="Compact"/>
              <w:jc w:val="both"/>
            </w:pPr>
            <w:r>
              <w:t>(“United States” OR “contiguous US” OR Permian) AND (inventory OR regulatory)</w:t>
            </w:r>
          </w:p>
        </w:tc>
        <w:tc>
          <w:tcPr>
            <w:tcW w:w="0" w:type="auto"/>
          </w:tcPr>
          <w:p w14:paraId="7A5CF439" w14:textId="77777777" w:rsidR="002413BA" w:rsidRDefault="00000000" w:rsidP="008D794F">
            <w:pPr>
              <w:pStyle w:val="Compact"/>
              <w:jc w:val="both"/>
            </w:pPr>
            <w:r>
              <w:t>Zhang et al. (2020); Gurney et al. (2021)</w:t>
            </w:r>
          </w:p>
        </w:tc>
      </w:tr>
      <w:tr w:rsidR="002413BA" w14:paraId="10DF21E2" w14:textId="77777777" w:rsidTr="008D794F">
        <w:tc>
          <w:tcPr>
            <w:tcW w:w="0" w:type="auto"/>
          </w:tcPr>
          <w:p w14:paraId="62EC3A68" w14:textId="77777777" w:rsidR="002413BA" w:rsidRDefault="00000000" w:rsidP="008D794F">
            <w:pPr>
              <w:pStyle w:val="Compact"/>
              <w:jc w:val="both"/>
            </w:pPr>
            <w:r>
              <w:t>Validation and equity</w:t>
            </w:r>
          </w:p>
        </w:tc>
        <w:tc>
          <w:tcPr>
            <w:tcW w:w="0" w:type="auto"/>
          </w:tcPr>
          <w:p w14:paraId="1B89A178" w14:textId="77777777" w:rsidR="002413BA" w:rsidRDefault="00000000" w:rsidP="008D794F">
            <w:pPr>
              <w:pStyle w:val="Compact"/>
              <w:jc w:val="both"/>
            </w:pPr>
            <w:r>
              <w:t>controlled release, single-blind, detection limit, uncertainty quantification, transferability, environmental justice</w:t>
            </w:r>
          </w:p>
        </w:tc>
        <w:tc>
          <w:tcPr>
            <w:tcW w:w="0" w:type="auto"/>
          </w:tcPr>
          <w:p w14:paraId="0A042B79" w14:textId="77777777" w:rsidR="002413BA" w:rsidRDefault="00000000" w:rsidP="008D794F">
            <w:pPr>
              <w:pStyle w:val="Compact"/>
              <w:jc w:val="both"/>
            </w:pPr>
            <w:r>
              <w:t>(“controlled release” OR “single-blind” OR “detection limit” OR transferability OR “environmental justice”)</w:t>
            </w:r>
          </w:p>
        </w:tc>
        <w:tc>
          <w:tcPr>
            <w:tcW w:w="0" w:type="auto"/>
          </w:tcPr>
          <w:p w14:paraId="5D04813E" w14:textId="77777777" w:rsidR="002413BA" w:rsidRDefault="00000000" w:rsidP="008D794F">
            <w:pPr>
              <w:pStyle w:val="Compact"/>
              <w:jc w:val="both"/>
            </w:pPr>
            <w:r>
              <w:t>Bell et al. (2022); Sherwin et al. (2024a); Tessum et al. (2021)</w:t>
            </w:r>
          </w:p>
        </w:tc>
      </w:tr>
    </w:tbl>
    <w:p w14:paraId="5B23A654" w14:textId="77777777" w:rsidR="002413BA" w:rsidRDefault="00000000" w:rsidP="008D794F">
      <w:pPr>
        <w:pStyle w:val="Heading3"/>
        <w:jc w:val="both"/>
      </w:pPr>
      <w:bookmarkStart w:id="8" w:name="eligibility-criteria"/>
      <w:bookmarkEnd w:id="7"/>
      <w:r>
        <w:t>2.4 Eligibility Criteria</w:t>
      </w:r>
    </w:p>
    <w:p w14:paraId="01B0CC72" w14:textId="77777777" w:rsidR="002413BA" w:rsidRDefault="00000000" w:rsidP="008D794F">
      <w:pPr>
        <w:pStyle w:val="FirstParagraph"/>
        <w:jc w:val="both"/>
      </w:pPr>
      <w:r>
        <w:t xml:space="preserve">Eligible records were peer-reviewed journal articles reporting original research, methodological development or critical synthesis, together with authoritative documents issued by governmental, intergovernmental or </w:t>
      </w:r>
      <w:proofErr w:type="spellStart"/>
      <w:r>
        <w:t>recognised</w:t>
      </w:r>
      <w:proofErr w:type="spellEnd"/>
      <w:r>
        <w:t xml:space="preserve"> scientific institutions. Records were required to address measurement, inference or assessment of emissions or emission-derived environmental quantities, and to involve either multi-modal observation or the application of statistical learning to sensor data, or to provide comparative evidence necessary for critical evaluation of such approaches.</w:t>
      </w:r>
    </w:p>
    <w:p w14:paraId="769FE26A" w14:textId="77777777" w:rsidR="002413BA" w:rsidRDefault="00000000" w:rsidP="008D794F">
      <w:pPr>
        <w:pStyle w:val="BodyText"/>
        <w:jc w:val="both"/>
      </w:pPr>
      <w:r>
        <w:t xml:space="preserve">Studies conducted in United States settings were </w:t>
      </w:r>
      <w:proofErr w:type="spellStart"/>
      <w:r>
        <w:t>prioritised</w:t>
      </w:r>
      <w:proofErr w:type="spellEnd"/>
      <w:r>
        <w:t xml:space="preserve">. Studies conducted elsewhere were included where they established a methodological principle, provided the only available evidence on a specific question, or offered contrast necessary to evaluate the </w:t>
      </w:r>
      <w:proofErr w:type="spellStart"/>
      <w:r>
        <w:t>generalisability</w:t>
      </w:r>
      <w:proofErr w:type="spellEnd"/>
      <w:r>
        <w:t xml:space="preserve"> of United States findings. Publications in languages other than English were not assessed, and this restriction is acknowledged as a limitation.</w:t>
      </w:r>
    </w:p>
    <w:p w14:paraId="6EBDF4C4" w14:textId="77777777" w:rsidR="002413BA" w:rsidRDefault="00000000" w:rsidP="008D794F">
      <w:pPr>
        <w:pStyle w:val="BodyText"/>
        <w:jc w:val="both"/>
      </w:pPr>
      <w:r>
        <w:t>Excluded were commercial promotional material, trade publications, non-peer-reviewed opinion pieces, records whose bibliographic identity could not be confirmed, preprints where peer-reviewed evidence on the same question was available, and patents offered as evidence of measurement performance. Conference abstracts were excluded, including those returned by registry searching, on the ground that they provide insufficient methodological detail for appraisal.</w:t>
      </w:r>
    </w:p>
    <w:p w14:paraId="08640881" w14:textId="77777777" w:rsidR="002413BA" w:rsidRDefault="00000000" w:rsidP="008D794F">
      <w:pPr>
        <w:pStyle w:val="Heading3"/>
        <w:jc w:val="both"/>
      </w:pPr>
      <w:bookmarkStart w:id="9" w:name="X7d2e9d0ecae87711c8cd031b02724f1a8226a19"/>
      <w:bookmarkEnd w:id="8"/>
      <w:r>
        <w:t>2.5 Screening, Duplicate Handling and Study Selection</w:t>
      </w:r>
    </w:p>
    <w:p w14:paraId="00A6F5BD" w14:textId="77777777" w:rsidR="002413BA" w:rsidRDefault="00000000" w:rsidP="008D794F">
      <w:pPr>
        <w:pStyle w:val="FirstParagraph"/>
        <w:jc w:val="both"/>
      </w:pPr>
      <w:r>
        <w:t>Records returned by searching were screened first on title and, where available, abstract, against the eligibility criteria. Records passing that screen were assessed on the fullest text accessible, which for some publisher-hosted articles was limited to the abstract and any openly available sections. Where a claim could not be verified from accessible text, the source was either excluded or cited only for the claim that accessible text supported.</w:t>
      </w:r>
    </w:p>
    <w:p w14:paraId="202E01F8" w14:textId="77777777" w:rsidR="002413BA" w:rsidRDefault="00000000" w:rsidP="008D794F">
      <w:pPr>
        <w:pStyle w:val="BodyText"/>
        <w:jc w:val="both"/>
      </w:pPr>
      <w:r>
        <w:t xml:space="preserve">Duplicates arising from multiple search routes were identified by Digital Object Identifier and removed programmatically, with title matching used as a secondary check for records </w:t>
      </w:r>
      <w:r>
        <w:lastRenderedPageBreak/>
        <w:t xml:space="preserve">whose identifiers differed between versions. Where an article and a subsequent correction were both retrieved, both were retained and cited together. Preprint and journal versions of the same work were resolved in </w:t>
      </w:r>
      <w:proofErr w:type="spellStart"/>
      <w:r>
        <w:t>favour</w:t>
      </w:r>
      <w:proofErr w:type="spellEnd"/>
      <w:r>
        <w:t xml:space="preserve"> of the journal version.</w:t>
      </w:r>
    </w:p>
    <w:p w14:paraId="200E4450" w14:textId="77777777" w:rsidR="002413BA" w:rsidRDefault="00000000" w:rsidP="008D794F">
      <w:pPr>
        <w:pStyle w:val="BodyText"/>
        <w:jc w:val="both"/>
      </w:pPr>
      <w:r>
        <w:t xml:space="preserve">No formal record counts are reported. Selection was iterative and concept-driven rather than exhaustive within a frozen set of retrieved records, and reporting screening counts would misrepresent the process as systematic. Sources that could not be verified against the </w:t>
      </w:r>
      <w:proofErr w:type="spellStart"/>
      <w:r>
        <w:t>Crossref</w:t>
      </w:r>
      <w:proofErr w:type="spellEnd"/>
      <w:r>
        <w:t xml:space="preserve"> registry, or whose registered metadata proved inconsistent with the citing context, were not retained.</w:t>
      </w:r>
    </w:p>
    <w:p w14:paraId="5E5F7F66" w14:textId="77777777" w:rsidR="002413BA" w:rsidRDefault="00000000" w:rsidP="008D794F">
      <w:pPr>
        <w:pStyle w:val="Heading3"/>
        <w:jc w:val="both"/>
      </w:pPr>
      <w:bookmarkStart w:id="10" w:name="Xc28834b6ce4066e280aa110dcd5d5fe36acafe5"/>
      <w:bookmarkEnd w:id="9"/>
      <w:r>
        <w:t>2.6 Critical Appraisal and Evidence Synthesis</w:t>
      </w:r>
    </w:p>
    <w:p w14:paraId="10A75572" w14:textId="77777777" w:rsidR="002413BA" w:rsidRDefault="00000000" w:rsidP="008D794F">
      <w:pPr>
        <w:pStyle w:val="FirstParagraph"/>
        <w:jc w:val="both"/>
      </w:pPr>
      <w:r>
        <w:t xml:space="preserve">Appraisal criteria were selected for each evidence stream according to the inferential claim being evaluated. For sensor calibration studies, the criteria were the independence of the evaluation data from the training data, the duration and diversity of deployment, whether transfer across units, sites or seasons was tested, and whether performance was reported for the concentration ranges of policy interest. For plume detection and quantification studies, the criteria were the provenance of training data, particularly the balance between simulated and observed plumes, the treatment of false positives, and whether detection probability was </w:t>
      </w:r>
      <w:proofErr w:type="spellStart"/>
      <w:r>
        <w:t>characterised</w:t>
      </w:r>
      <w:proofErr w:type="spellEnd"/>
      <w:r>
        <w:t xml:space="preserve"> as a function of emission rate. For survey and inversion studies, the criteria were spatial and temporal coverage, treatment of source intermittency, the specification of prior information, and whether uncertainty reflected structural as well as sampling components. For exposure surface studies, the criteria were the design of cross-validation, the treatment of spatial dependence, and whether error was reported as a function of monitor density.</w:t>
      </w:r>
    </w:p>
    <w:p w14:paraId="7E85A910" w14:textId="77777777" w:rsidR="002413BA" w:rsidRDefault="00000000" w:rsidP="008D794F">
      <w:pPr>
        <w:pStyle w:val="BodyText"/>
        <w:jc w:val="both"/>
      </w:pPr>
      <w:r>
        <w:t xml:space="preserve">Formal risk-of-bias instruments were not applied, since no </w:t>
      </w:r>
      <w:proofErr w:type="spellStart"/>
      <w:r>
        <w:t>recognised</w:t>
      </w:r>
      <w:proofErr w:type="spellEnd"/>
      <w:r>
        <w:t xml:space="preserve"> tool exists for the majority of these designs and the information required to score existing tools was frequently unavailable. Themes were developed inductively from the appraised material and then tested against the full set of included sources; where a theme held in one domain but not another, the discrepancy was retained and examined rather than resolved by selective emphasis. Disagreement between studies was interpreted by first establishing whether the studies addressed the same spatial domain, temporal window and detection range, and only then attributing residual difference to methodological factors.</w:t>
      </w:r>
    </w:p>
    <w:p w14:paraId="68B3C2EC" w14:textId="77777777" w:rsidR="002413BA" w:rsidRDefault="00000000" w:rsidP="008D794F">
      <w:pPr>
        <w:pStyle w:val="Heading2"/>
        <w:jc w:val="both"/>
      </w:pPr>
      <w:bookmarkStart w:id="11" w:name="X69d8edcb709d62204385685d112a1fadbc99e97"/>
      <w:bookmarkEnd w:id="4"/>
      <w:bookmarkEnd w:id="10"/>
      <w:r>
        <w:t>3. The Measurement Landscape and the Meaning of Fusion</w:t>
      </w:r>
    </w:p>
    <w:p w14:paraId="5349B82B" w14:textId="77777777" w:rsidR="002413BA" w:rsidRDefault="00000000" w:rsidP="008D794F">
      <w:pPr>
        <w:pStyle w:val="Heading3"/>
        <w:jc w:val="both"/>
      </w:pPr>
      <w:bookmarkStart w:id="12" w:name="X43de616de140ea1380c8caf8ca607fde804d31a"/>
      <w:r>
        <w:t>3.1 From Single Instruments to Multi-Platform Inference</w:t>
      </w:r>
    </w:p>
    <w:p w14:paraId="4E2B1AB1" w14:textId="77777777" w:rsidR="002413BA" w:rsidRDefault="00000000" w:rsidP="008D794F">
      <w:pPr>
        <w:pStyle w:val="FirstParagraph"/>
        <w:jc w:val="both"/>
      </w:pPr>
      <w:r>
        <w:t xml:space="preserve">The platforms now used for real-world emissions measurement in the United States differ along three axes that determine what fusion can and cannot achieve: the smallest emission they can detect, the fraction of time they observe a given source, and the spatial support of the resulting estimate. Reference-grade ambient monitors provide accurate concentrations at fixed points with near-continuous temporal coverage but sample a minute fraction of the domain. Low-cost sensors invert this trade-off, offering dense spatial coverage at substantially degraded and environment-dependent accuracy (Zimmerman et al., 2018; Malings et al., 2019). Mobile platforms achieve fine spatial resolution along traversed routes with sparse and irregular temporal sampling at any given location (Apte et al., </w:t>
      </w:r>
      <w:r>
        <w:lastRenderedPageBreak/>
        <w:t>2017). Aircraft-mounted imaging spectrometers detect and quantify point sources above a threshold determined by instrument sensitivity, surface reflectance and wind speed, with each overpass constituting an instantaneous snapshot (Duren et al., 2019; Cusworth et al., 2022). Satellite instruments extend coverage to entire basins and, for the highest-sensitivity systems, to individual large plumes, subject to cloud, albedo and revisit constraints (Varon et al., 2018; Jacob et al., 2022). Point-in-space continuous monitors observe a single site without interruption but require wind-dependent inference to convert concentration enhancement into emission rate and to attribute that rate to specific equipment (Daniels et al., 2024a).</w:t>
      </w:r>
    </w:p>
    <w:p w14:paraId="66ABE6AB" w14:textId="77777777" w:rsidR="002413BA" w:rsidRDefault="00000000" w:rsidP="008D794F">
      <w:pPr>
        <w:pStyle w:val="BodyText"/>
        <w:jc w:val="both"/>
      </w:pPr>
      <w:r>
        <w:t>Combining these is often described as though the platforms provided independent, unbiased observations of the same quantity differing only in precision, in which case an inverse-variance weighting would be appropriate. That description is inaccurate in most practical configurations. Platforms observe different quantities: a spectrometer overpass measures an instantaneous point-source flux above its detection limit, a continuous monitor measures a time-integrated site total, and a regional inversion measures a spatially aggregated flux including sources of every magnitude and every sector. Reconciling them requires assumptions about the emission size distribution, about source persistence, and about the sectoral composition of unattributed emissions. Each assumption is a modelling choice with consequences, and the sensitivity of fused estimates to those choices is rarely reported.</w:t>
      </w:r>
    </w:p>
    <w:p w14:paraId="6BBD1D50" w14:textId="77777777" w:rsidR="002413BA" w:rsidRDefault="00000000" w:rsidP="008D794F">
      <w:pPr>
        <w:pStyle w:val="BodyText"/>
        <w:jc w:val="both"/>
      </w:pPr>
      <w:r>
        <w:t>The most consequential structural feature is partial detection. Every platform has an emission rate below which it observes nothing, and that threshold varies by orders of magnitude across the platform set. Aggregating detections without correcting for the undetected fraction produces an estimate of detected emissions, not total emissions. Studies that have addressed this explicitly, either by extrapolating the fitted emission rate distribution below the detection limit or by combining survey results with independent estimates of the small-source population, arrive at markedly different totals from those obtained by simple summation (Sherwin et al., 2024b; Omara et al., 2022). Treating fusion as a partial-detection problem rather than an averaging problem is the single change in framing with the largest consequences for reported totals.</w:t>
      </w:r>
    </w:p>
    <w:p w14:paraId="511A752E" w14:textId="77777777" w:rsidR="002413BA" w:rsidRDefault="00000000" w:rsidP="008D794F">
      <w:pPr>
        <w:pStyle w:val="Heading3"/>
        <w:jc w:val="both"/>
      </w:pPr>
      <w:bookmarkStart w:id="13" w:name="X372df9a23f766a6b6d11e491d465d6fcb7f4fbf"/>
      <w:bookmarkEnd w:id="12"/>
      <w:r>
        <w:t>3.2 The Scale-Dependence of Apparent Disagreement</w:t>
      </w:r>
    </w:p>
    <w:p w14:paraId="7F0E4DEF" w14:textId="77777777" w:rsidR="002413BA" w:rsidRDefault="00000000" w:rsidP="008D794F">
      <w:pPr>
        <w:pStyle w:val="FirstParagraph"/>
        <w:jc w:val="both"/>
      </w:pPr>
      <w:r>
        <w:t xml:space="preserve">Divergent estimates for nominally the same region are frequently reported as evidence of methodological failure when they reflect differences in domain, period and detection range. The Permian Basin provides the clearest illustration. Inversion of column measurements from a polar-orbiting spectrometer over the full Texas and New Mexico basin for May 2018 to March 2019 yielded a loss rate of approximately 3.7% of gross gas production (Zhang et al., 2020). A comprehensive aerial survey confined to the New Mexico portion of the basin, covering roughly 36,000 km² and approximately 98,000 well site visits between October 2018 and January 2020, estimated emissions equivalent to 9.4% of gross gas production in that sub-region, with half of observed emissions arising from sources whose persistence-averaged rates exceeded 308 kg per hour (Y. Chen et al., 2022). These figures are not directly comparable. They describe different spatial domains with different infrastructure composition and different production characteristics, and they were obtained over </w:t>
      </w:r>
      <w:r>
        <w:lastRenderedPageBreak/>
        <w:t>overlapping but not identical periods. The comparison nonetheless carries a substantive message: the sub-regional estimate is not bracketed by the basin-wide estimate, which indicates either strong spatial heterogeneity within the basin or unresolved bias in at least one approach, and the available evidence does not decisively separate these explanations.</w:t>
      </w:r>
    </w:p>
    <w:p w14:paraId="62D0BD10" w14:textId="77777777" w:rsidR="002413BA" w:rsidRDefault="00000000" w:rsidP="008D794F">
      <w:pPr>
        <w:pStyle w:val="BodyText"/>
        <w:jc w:val="both"/>
      </w:pPr>
      <w:r>
        <w:t xml:space="preserve">Similar scale-dependence affects ambient concentration estimates. Mobile monitoring in Oakland, California resolved persistent intra-urban gradients at scales of tens of </w:t>
      </w:r>
      <w:proofErr w:type="spellStart"/>
      <w:r>
        <w:t>metres</w:t>
      </w:r>
      <w:proofErr w:type="spellEnd"/>
      <w:r>
        <w:t xml:space="preserve"> that are invisible to regulatory networks and to model-based surfaces with </w:t>
      </w:r>
      <w:proofErr w:type="spellStart"/>
      <w:r>
        <w:t>kilometre</w:t>
      </w:r>
      <w:proofErr w:type="spellEnd"/>
      <w:r>
        <w:t>-scale resolution (Apte et al., 2017), and extended mobile campaigns have shown that racial and ethnic disparities in exposure appear at both local and regional scales but with different magnitudes and different apparent drivers depending on the scale examined (Chambliss et al., 2021). An assessment that operates at a single scale will therefore report a single answer to a question that has scale-dependent answers, and the choice of scale is usually made by data availability rather than by the structure of the policy question.</w:t>
      </w:r>
    </w:p>
    <w:p w14:paraId="7CF1F6BC" w14:textId="77777777" w:rsidR="002413BA" w:rsidRDefault="00000000" w:rsidP="008D794F">
      <w:pPr>
        <w:pStyle w:val="BodyText"/>
        <w:jc w:val="both"/>
      </w:pPr>
      <w:r>
        <w:t>Table 2 compares the principal platforms across the properties that govern their combination. Its analytical purpose is to make explicit that the platforms are complementary in coverage but not interchangeable in what they estimate, and that the role played by statistical learning differs correspondingly. The final column records the limitations most likely to propagate into fused products. The comparison shows that no platform is simultaneously sensitive, comprehensive and continuous, which is the structural reason fusion is attempted, and also the reason it cannot be treated as a simple averaging operation.</w:t>
      </w:r>
    </w:p>
    <w:p w14:paraId="69938806" w14:textId="77777777" w:rsidR="002413BA" w:rsidRDefault="00000000" w:rsidP="008D794F">
      <w:pPr>
        <w:pStyle w:val="BodyText"/>
        <w:jc w:val="both"/>
      </w:pPr>
      <w:r>
        <w:rPr>
          <w:b/>
          <w:bCs/>
        </w:rPr>
        <w:t>Table 2.</w:t>
      </w:r>
      <w:r>
        <w:t xml:space="preserve"> Principal sensing platforms used for real-world emissions measurement in the United States, their inferential characteristics and the role of statistical learning.</w:t>
      </w:r>
    </w:p>
    <w:tbl>
      <w:tblPr>
        <w:tblStyle w:val="TableGrid"/>
        <w:tblW w:w="5000" w:type="pct"/>
        <w:tblLook w:val="0020" w:firstRow="1" w:lastRow="0" w:firstColumn="0" w:lastColumn="0" w:noHBand="0" w:noVBand="0"/>
      </w:tblPr>
      <w:tblGrid>
        <w:gridCol w:w="1421"/>
        <w:gridCol w:w="1487"/>
        <w:gridCol w:w="1181"/>
        <w:gridCol w:w="1500"/>
        <w:gridCol w:w="1948"/>
        <w:gridCol w:w="2039"/>
      </w:tblGrid>
      <w:tr w:rsidR="002413BA" w14:paraId="13EC3FC1" w14:textId="77777777" w:rsidTr="008D794F">
        <w:tc>
          <w:tcPr>
            <w:tcW w:w="0" w:type="auto"/>
          </w:tcPr>
          <w:p w14:paraId="5BD64697" w14:textId="77777777" w:rsidR="002413BA" w:rsidRDefault="00000000" w:rsidP="008D794F">
            <w:pPr>
              <w:pStyle w:val="Compact"/>
              <w:jc w:val="both"/>
            </w:pPr>
            <w:r>
              <w:t>Platform</w:t>
            </w:r>
          </w:p>
        </w:tc>
        <w:tc>
          <w:tcPr>
            <w:tcW w:w="0" w:type="auto"/>
          </w:tcPr>
          <w:p w14:paraId="465EE4B9" w14:textId="77777777" w:rsidR="002413BA" w:rsidRDefault="00000000" w:rsidP="008D794F">
            <w:pPr>
              <w:pStyle w:val="Compact"/>
              <w:jc w:val="both"/>
            </w:pPr>
            <w:r>
              <w:t>Typical spatial support</w:t>
            </w:r>
          </w:p>
        </w:tc>
        <w:tc>
          <w:tcPr>
            <w:tcW w:w="0" w:type="auto"/>
          </w:tcPr>
          <w:p w14:paraId="41796D31" w14:textId="77777777" w:rsidR="002413BA" w:rsidRDefault="00000000" w:rsidP="008D794F">
            <w:pPr>
              <w:pStyle w:val="Compact"/>
              <w:jc w:val="both"/>
            </w:pPr>
            <w:r>
              <w:t>Temporal sampling</w:t>
            </w:r>
          </w:p>
        </w:tc>
        <w:tc>
          <w:tcPr>
            <w:tcW w:w="0" w:type="auto"/>
          </w:tcPr>
          <w:p w14:paraId="6A5EBE6D" w14:textId="77777777" w:rsidR="002413BA" w:rsidRDefault="00000000" w:rsidP="008D794F">
            <w:pPr>
              <w:pStyle w:val="Compact"/>
              <w:jc w:val="both"/>
            </w:pPr>
            <w:r>
              <w:t>Principal role of statistical learning</w:t>
            </w:r>
          </w:p>
        </w:tc>
        <w:tc>
          <w:tcPr>
            <w:tcW w:w="0" w:type="auto"/>
          </w:tcPr>
          <w:p w14:paraId="4FBC3C54" w14:textId="77777777" w:rsidR="002413BA" w:rsidRDefault="00000000" w:rsidP="008D794F">
            <w:pPr>
              <w:pStyle w:val="Compact"/>
              <w:jc w:val="both"/>
            </w:pPr>
            <w:r>
              <w:t>Limitations propagating into fused products</w:t>
            </w:r>
          </w:p>
        </w:tc>
        <w:tc>
          <w:tcPr>
            <w:tcW w:w="0" w:type="auto"/>
          </w:tcPr>
          <w:p w14:paraId="03634F77" w14:textId="77777777" w:rsidR="002413BA" w:rsidRDefault="00000000" w:rsidP="008D794F">
            <w:pPr>
              <w:pStyle w:val="Compact"/>
              <w:jc w:val="both"/>
            </w:pPr>
            <w:r>
              <w:t>Supporting references</w:t>
            </w:r>
          </w:p>
        </w:tc>
      </w:tr>
      <w:tr w:rsidR="002413BA" w14:paraId="0F8C681B" w14:textId="77777777" w:rsidTr="008D794F">
        <w:tc>
          <w:tcPr>
            <w:tcW w:w="0" w:type="auto"/>
          </w:tcPr>
          <w:p w14:paraId="69569971" w14:textId="77777777" w:rsidR="002413BA" w:rsidRDefault="00000000" w:rsidP="008D794F">
            <w:pPr>
              <w:pStyle w:val="Compact"/>
              <w:jc w:val="both"/>
            </w:pPr>
            <w:r>
              <w:t>Reference ambient monitors</w:t>
            </w:r>
          </w:p>
        </w:tc>
        <w:tc>
          <w:tcPr>
            <w:tcW w:w="0" w:type="auto"/>
          </w:tcPr>
          <w:p w14:paraId="3A496515" w14:textId="77777777" w:rsidR="002413BA" w:rsidRDefault="00000000" w:rsidP="008D794F">
            <w:pPr>
              <w:pStyle w:val="Compact"/>
              <w:jc w:val="both"/>
            </w:pPr>
            <w:r>
              <w:t xml:space="preserve">Point; </w:t>
            </w:r>
            <w:proofErr w:type="spellStart"/>
            <w:r>
              <w:t>neighbourhood</w:t>
            </w:r>
            <w:proofErr w:type="spellEnd"/>
            <w:r>
              <w:t xml:space="preserve"> to regional</w:t>
            </w:r>
          </w:p>
        </w:tc>
        <w:tc>
          <w:tcPr>
            <w:tcW w:w="0" w:type="auto"/>
          </w:tcPr>
          <w:p w14:paraId="2CB7B916" w14:textId="77777777" w:rsidR="002413BA" w:rsidRDefault="00000000" w:rsidP="008D794F">
            <w:pPr>
              <w:pStyle w:val="Compact"/>
              <w:jc w:val="both"/>
            </w:pPr>
            <w:r>
              <w:t>Continuous</w:t>
            </w:r>
          </w:p>
        </w:tc>
        <w:tc>
          <w:tcPr>
            <w:tcW w:w="0" w:type="auto"/>
          </w:tcPr>
          <w:p w14:paraId="1F444E65" w14:textId="77777777" w:rsidR="002413BA" w:rsidRDefault="00000000" w:rsidP="008D794F">
            <w:pPr>
              <w:pStyle w:val="Compact"/>
              <w:jc w:val="both"/>
            </w:pPr>
            <w:r>
              <w:t>Reference for supervised correction of other platforms</w:t>
            </w:r>
          </w:p>
        </w:tc>
        <w:tc>
          <w:tcPr>
            <w:tcW w:w="0" w:type="auto"/>
          </w:tcPr>
          <w:p w14:paraId="1A804485" w14:textId="77777777" w:rsidR="002413BA" w:rsidRDefault="00000000" w:rsidP="008D794F">
            <w:pPr>
              <w:pStyle w:val="Compact"/>
              <w:jc w:val="both"/>
            </w:pPr>
            <w:r>
              <w:t>Sparse and non-random siting; limited near-source representativeness</w:t>
            </w:r>
          </w:p>
        </w:tc>
        <w:tc>
          <w:tcPr>
            <w:tcW w:w="0" w:type="auto"/>
          </w:tcPr>
          <w:p w14:paraId="45D17543" w14:textId="77777777" w:rsidR="002413BA" w:rsidRDefault="00000000" w:rsidP="008D794F">
            <w:pPr>
              <w:pStyle w:val="Compact"/>
              <w:jc w:val="both"/>
            </w:pPr>
            <w:proofErr w:type="spellStart"/>
            <w:r>
              <w:t>deSouza</w:t>
            </w:r>
            <w:proofErr w:type="spellEnd"/>
            <w:r>
              <w:t xml:space="preserve"> and Kinney (2021); Chakraborty (2025)</w:t>
            </w:r>
          </w:p>
        </w:tc>
      </w:tr>
      <w:tr w:rsidR="002413BA" w14:paraId="5811042E" w14:textId="77777777" w:rsidTr="008D794F">
        <w:tc>
          <w:tcPr>
            <w:tcW w:w="0" w:type="auto"/>
          </w:tcPr>
          <w:p w14:paraId="18828258" w14:textId="77777777" w:rsidR="002413BA" w:rsidRDefault="00000000" w:rsidP="008D794F">
            <w:pPr>
              <w:pStyle w:val="Compact"/>
              <w:jc w:val="both"/>
            </w:pPr>
            <w:r>
              <w:t>Low-cost sensor networks</w:t>
            </w:r>
          </w:p>
        </w:tc>
        <w:tc>
          <w:tcPr>
            <w:tcW w:w="0" w:type="auto"/>
          </w:tcPr>
          <w:p w14:paraId="61CF15BA" w14:textId="77777777" w:rsidR="002413BA" w:rsidRDefault="00000000" w:rsidP="008D794F">
            <w:pPr>
              <w:pStyle w:val="Compact"/>
              <w:jc w:val="both"/>
            </w:pPr>
            <w:r>
              <w:t>Point, dense</w:t>
            </w:r>
          </w:p>
        </w:tc>
        <w:tc>
          <w:tcPr>
            <w:tcW w:w="0" w:type="auto"/>
          </w:tcPr>
          <w:p w14:paraId="60815D68" w14:textId="77777777" w:rsidR="002413BA" w:rsidRDefault="00000000" w:rsidP="008D794F">
            <w:pPr>
              <w:pStyle w:val="Compact"/>
              <w:jc w:val="both"/>
            </w:pPr>
            <w:r>
              <w:t>Continuous</w:t>
            </w:r>
          </w:p>
        </w:tc>
        <w:tc>
          <w:tcPr>
            <w:tcW w:w="0" w:type="auto"/>
          </w:tcPr>
          <w:p w14:paraId="5DE93AA4" w14:textId="77777777" w:rsidR="002413BA" w:rsidRDefault="00000000" w:rsidP="008D794F">
            <w:pPr>
              <w:pStyle w:val="Compact"/>
              <w:jc w:val="both"/>
            </w:pPr>
            <w:r>
              <w:t>Calibration, drift correction, network-level quality control</w:t>
            </w:r>
          </w:p>
        </w:tc>
        <w:tc>
          <w:tcPr>
            <w:tcW w:w="0" w:type="auto"/>
          </w:tcPr>
          <w:p w14:paraId="577B99F1" w14:textId="77777777" w:rsidR="002413BA" w:rsidRDefault="00000000" w:rsidP="008D794F">
            <w:pPr>
              <w:pStyle w:val="Compact"/>
              <w:jc w:val="both"/>
            </w:pPr>
            <w:r>
              <w:t>Environment-dependent bias; unit-to-unit variation; drift</w:t>
            </w:r>
          </w:p>
        </w:tc>
        <w:tc>
          <w:tcPr>
            <w:tcW w:w="0" w:type="auto"/>
          </w:tcPr>
          <w:p w14:paraId="3BCD8FC3" w14:textId="77777777" w:rsidR="002413BA" w:rsidRDefault="00000000" w:rsidP="008D794F">
            <w:pPr>
              <w:pStyle w:val="Compact"/>
              <w:jc w:val="both"/>
            </w:pPr>
            <w:r>
              <w:t xml:space="preserve">Zimmerman et al. (2018); Malings et al. (2020); </w:t>
            </w:r>
            <w:proofErr w:type="spellStart"/>
            <w:r>
              <w:t>Barkjohn</w:t>
            </w:r>
            <w:proofErr w:type="spellEnd"/>
            <w:r>
              <w:t xml:space="preserve"> et al. (2021)</w:t>
            </w:r>
          </w:p>
        </w:tc>
      </w:tr>
      <w:tr w:rsidR="002413BA" w14:paraId="1A233E1C" w14:textId="77777777" w:rsidTr="008D794F">
        <w:tc>
          <w:tcPr>
            <w:tcW w:w="0" w:type="auto"/>
          </w:tcPr>
          <w:p w14:paraId="1FDA3879" w14:textId="77777777" w:rsidR="002413BA" w:rsidRDefault="00000000" w:rsidP="008D794F">
            <w:pPr>
              <w:pStyle w:val="Compact"/>
              <w:jc w:val="both"/>
            </w:pPr>
            <w:r>
              <w:t>Mobile platforms</w:t>
            </w:r>
          </w:p>
        </w:tc>
        <w:tc>
          <w:tcPr>
            <w:tcW w:w="0" w:type="auto"/>
          </w:tcPr>
          <w:p w14:paraId="11B532AE" w14:textId="77777777" w:rsidR="002413BA" w:rsidRDefault="00000000" w:rsidP="008D794F">
            <w:pPr>
              <w:pStyle w:val="Compact"/>
              <w:jc w:val="both"/>
            </w:pPr>
            <w:r>
              <w:t xml:space="preserve">Road segment, tens of </w:t>
            </w:r>
            <w:proofErr w:type="spellStart"/>
            <w:r>
              <w:t>metres</w:t>
            </w:r>
            <w:proofErr w:type="spellEnd"/>
          </w:p>
        </w:tc>
        <w:tc>
          <w:tcPr>
            <w:tcW w:w="0" w:type="auto"/>
          </w:tcPr>
          <w:p w14:paraId="6F6603F1" w14:textId="77777777" w:rsidR="002413BA" w:rsidRDefault="00000000" w:rsidP="008D794F">
            <w:pPr>
              <w:pStyle w:val="Compact"/>
              <w:jc w:val="both"/>
            </w:pPr>
            <w:r>
              <w:t>Repeated transects, irregular</w:t>
            </w:r>
          </w:p>
        </w:tc>
        <w:tc>
          <w:tcPr>
            <w:tcW w:w="0" w:type="auto"/>
          </w:tcPr>
          <w:p w14:paraId="37B22060" w14:textId="77777777" w:rsidR="002413BA" w:rsidRDefault="00000000" w:rsidP="008D794F">
            <w:pPr>
              <w:pStyle w:val="Compact"/>
              <w:jc w:val="both"/>
            </w:pPr>
            <w:r>
              <w:t>Aggregation of sparse repeats into stable spatial estimates</w:t>
            </w:r>
          </w:p>
        </w:tc>
        <w:tc>
          <w:tcPr>
            <w:tcW w:w="0" w:type="auto"/>
          </w:tcPr>
          <w:p w14:paraId="4790C509" w14:textId="77777777" w:rsidR="002413BA" w:rsidRDefault="00000000" w:rsidP="008D794F">
            <w:pPr>
              <w:pStyle w:val="Compact"/>
              <w:jc w:val="both"/>
            </w:pPr>
            <w:r>
              <w:t>Route bias; daytime sampling; limited off-road coverage</w:t>
            </w:r>
          </w:p>
        </w:tc>
        <w:tc>
          <w:tcPr>
            <w:tcW w:w="0" w:type="auto"/>
          </w:tcPr>
          <w:p w14:paraId="17E3D306" w14:textId="77777777" w:rsidR="002413BA" w:rsidRDefault="00000000" w:rsidP="008D794F">
            <w:pPr>
              <w:pStyle w:val="Compact"/>
              <w:jc w:val="both"/>
            </w:pPr>
            <w:r>
              <w:t>Apte et al. (2017); Chambliss et al. (2021)</w:t>
            </w:r>
          </w:p>
        </w:tc>
      </w:tr>
      <w:tr w:rsidR="002413BA" w14:paraId="23B35BE1" w14:textId="77777777" w:rsidTr="008D794F">
        <w:tc>
          <w:tcPr>
            <w:tcW w:w="0" w:type="auto"/>
          </w:tcPr>
          <w:p w14:paraId="55128319" w14:textId="77777777" w:rsidR="002413BA" w:rsidRDefault="00000000" w:rsidP="008D794F">
            <w:pPr>
              <w:pStyle w:val="Compact"/>
              <w:jc w:val="both"/>
            </w:pPr>
            <w:r>
              <w:t>Aircraft imaging spectrometry</w:t>
            </w:r>
          </w:p>
        </w:tc>
        <w:tc>
          <w:tcPr>
            <w:tcW w:w="0" w:type="auto"/>
          </w:tcPr>
          <w:p w14:paraId="423C487F" w14:textId="77777777" w:rsidR="002413BA" w:rsidRDefault="00000000" w:rsidP="008D794F">
            <w:pPr>
              <w:pStyle w:val="Compact"/>
              <w:jc w:val="both"/>
            </w:pPr>
            <w:r>
              <w:t xml:space="preserve">Individual emission point, </w:t>
            </w:r>
            <w:proofErr w:type="spellStart"/>
            <w:r>
              <w:t>metres</w:t>
            </w:r>
            <w:proofErr w:type="spellEnd"/>
          </w:p>
        </w:tc>
        <w:tc>
          <w:tcPr>
            <w:tcW w:w="0" w:type="auto"/>
          </w:tcPr>
          <w:p w14:paraId="1DB617FD" w14:textId="77777777" w:rsidR="002413BA" w:rsidRDefault="00000000" w:rsidP="008D794F">
            <w:pPr>
              <w:pStyle w:val="Compact"/>
              <w:jc w:val="both"/>
            </w:pPr>
            <w:r>
              <w:t>Snapshot per overpass</w:t>
            </w:r>
          </w:p>
        </w:tc>
        <w:tc>
          <w:tcPr>
            <w:tcW w:w="0" w:type="auto"/>
          </w:tcPr>
          <w:p w14:paraId="6DC3154E" w14:textId="77777777" w:rsidR="002413BA" w:rsidRDefault="00000000" w:rsidP="008D794F">
            <w:pPr>
              <w:pStyle w:val="Compact"/>
              <w:jc w:val="both"/>
            </w:pPr>
            <w:r>
              <w:t>Plume detection, masking, flux retrieval</w:t>
            </w:r>
          </w:p>
        </w:tc>
        <w:tc>
          <w:tcPr>
            <w:tcW w:w="0" w:type="auto"/>
          </w:tcPr>
          <w:p w14:paraId="70154DB7" w14:textId="77777777" w:rsidR="002413BA" w:rsidRDefault="00000000" w:rsidP="008D794F">
            <w:pPr>
              <w:pStyle w:val="Compact"/>
              <w:jc w:val="both"/>
            </w:pPr>
            <w:r>
              <w:t>Detection threshold; instantaneous rates require persistence assumptions</w:t>
            </w:r>
          </w:p>
        </w:tc>
        <w:tc>
          <w:tcPr>
            <w:tcW w:w="0" w:type="auto"/>
          </w:tcPr>
          <w:p w14:paraId="7C535366" w14:textId="77777777" w:rsidR="002413BA" w:rsidRDefault="00000000" w:rsidP="008D794F">
            <w:pPr>
              <w:pStyle w:val="Compact"/>
              <w:jc w:val="both"/>
            </w:pPr>
            <w:r>
              <w:t xml:space="preserve">Duren et al. (2019); Cusworth et al. (2022); </w:t>
            </w:r>
            <w:proofErr w:type="spellStart"/>
            <w:r>
              <w:t>Jongaramrungruang</w:t>
            </w:r>
            <w:proofErr w:type="spellEnd"/>
            <w:r>
              <w:t xml:space="preserve"> et al. (2022)</w:t>
            </w:r>
          </w:p>
        </w:tc>
      </w:tr>
      <w:tr w:rsidR="002413BA" w14:paraId="14B9C5E5" w14:textId="77777777" w:rsidTr="008D794F">
        <w:tc>
          <w:tcPr>
            <w:tcW w:w="0" w:type="auto"/>
          </w:tcPr>
          <w:p w14:paraId="32D888E7" w14:textId="77777777" w:rsidR="002413BA" w:rsidRDefault="00000000" w:rsidP="008D794F">
            <w:pPr>
              <w:pStyle w:val="Compact"/>
              <w:jc w:val="both"/>
            </w:pPr>
            <w:r>
              <w:t>Satellite point-source instruments</w:t>
            </w:r>
          </w:p>
        </w:tc>
        <w:tc>
          <w:tcPr>
            <w:tcW w:w="0" w:type="auto"/>
          </w:tcPr>
          <w:p w14:paraId="3808C84E" w14:textId="77777777" w:rsidR="002413BA" w:rsidRDefault="00000000" w:rsidP="008D794F">
            <w:pPr>
              <w:pStyle w:val="Compact"/>
              <w:jc w:val="both"/>
            </w:pPr>
            <w:r>
              <w:t>Individual large emitter</w:t>
            </w:r>
          </w:p>
        </w:tc>
        <w:tc>
          <w:tcPr>
            <w:tcW w:w="0" w:type="auto"/>
          </w:tcPr>
          <w:p w14:paraId="43F92FA1" w14:textId="77777777" w:rsidR="002413BA" w:rsidRDefault="00000000" w:rsidP="008D794F">
            <w:pPr>
              <w:pStyle w:val="Compact"/>
              <w:jc w:val="both"/>
            </w:pPr>
            <w:r>
              <w:t>Revisit-limited</w:t>
            </w:r>
          </w:p>
        </w:tc>
        <w:tc>
          <w:tcPr>
            <w:tcW w:w="0" w:type="auto"/>
          </w:tcPr>
          <w:p w14:paraId="49A4FE6B" w14:textId="77777777" w:rsidR="002413BA" w:rsidRDefault="00000000" w:rsidP="008D794F">
            <w:pPr>
              <w:pStyle w:val="Compact"/>
              <w:jc w:val="both"/>
            </w:pPr>
            <w:r>
              <w:t>Automated plume screening, false-positive suppression</w:t>
            </w:r>
          </w:p>
        </w:tc>
        <w:tc>
          <w:tcPr>
            <w:tcW w:w="0" w:type="auto"/>
          </w:tcPr>
          <w:p w14:paraId="59C11AEC" w14:textId="77777777" w:rsidR="002413BA" w:rsidRDefault="00000000" w:rsidP="008D794F">
            <w:pPr>
              <w:pStyle w:val="Compact"/>
              <w:jc w:val="both"/>
            </w:pPr>
            <w:r>
              <w:t>High detection thresholds; surface and cloud interference</w:t>
            </w:r>
          </w:p>
        </w:tc>
        <w:tc>
          <w:tcPr>
            <w:tcW w:w="0" w:type="auto"/>
          </w:tcPr>
          <w:p w14:paraId="6032B795" w14:textId="77777777" w:rsidR="002413BA" w:rsidRDefault="00000000" w:rsidP="008D794F">
            <w:pPr>
              <w:pStyle w:val="Compact"/>
              <w:jc w:val="both"/>
            </w:pPr>
            <w:r>
              <w:t>Varon et al. (2018); Schuit et al. (2023); Sherwin et al. (2024a)</w:t>
            </w:r>
          </w:p>
        </w:tc>
      </w:tr>
      <w:tr w:rsidR="002413BA" w14:paraId="39F24E11" w14:textId="77777777" w:rsidTr="008D794F">
        <w:tc>
          <w:tcPr>
            <w:tcW w:w="0" w:type="auto"/>
          </w:tcPr>
          <w:p w14:paraId="35E991D9" w14:textId="77777777" w:rsidR="002413BA" w:rsidRDefault="00000000" w:rsidP="008D794F">
            <w:pPr>
              <w:pStyle w:val="Compact"/>
              <w:jc w:val="both"/>
            </w:pPr>
            <w:r>
              <w:lastRenderedPageBreak/>
              <w:t>Satellite column mapping with inversion</w:t>
            </w:r>
          </w:p>
        </w:tc>
        <w:tc>
          <w:tcPr>
            <w:tcW w:w="0" w:type="auto"/>
          </w:tcPr>
          <w:p w14:paraId="5C8CF963" w14:textId="77777777" w:rsidR="002413BA" w:rsidRDefault="00000000" w:rsidP="008D794F">
            <w:pPr>
              <w:pStyle w:val="Compact"/>
              <w:jc w:val="both"/>
            </w:pPr>
            <w:r>
              <w:t>Basin to national</w:t>
            </w:r>
          </w:p>
        </w:tc>
        <w:tc>
          <w:tcPr>
            <w:tcW w:w="0" w:type="auto"/>
          </w:tcPr>
          <w:p w14:paraId="274836B7" w14:textId="77777777" w:rsidR="002413BA" w:rsidRDefault="00000000" w:rsidP="008D794F">
            <w:pPr>
              <w:pStyle w:val="Compact"/>
              <w:jc w:val="both"/>
            </w:pPr>
            <w:r>
              <w:t>Near-daily to weekly</w:t>
            </w:r>
          </w:p>
        </w:tc>
        <w:tc>
          <w:tcPr>
            <w:tcW w:w="0" w:type="auto"/>
          </w:tcPr>
          <w:p w14:paraId="1867C59A" w14:textId="77777777" w:rsidR="002413BA" w:rsidRDefault="00000000" w:rsidP="008D794F">
            <w:pPr>
              <w:pStyle w:val="Compact"/>
              <w:jc w:val="both"/>
            </w:pPr>
            <w:r>
              <w:t>Emulation, bias correction, prior construction</w:t>
            </w:r>
          </w:p>
        </w:tc>
        <w:tc>
          <w:tcPr>
            <w:tcW w:w="0" w:type="auto"/>
          </w:tcPr>
          <w:p w14:paraId="6014647C" w14:textId="77777777" w:rsidR="002413BA" w:rsidRDefault="00000000" w:rsidP="008D794F">
            <w:pPr>
              <w:pStyle w:val="Compact"/>
              <w:jc w:val="both"/>
            </w:pPr>
            <w:r>
              <w:t>Prior dependence; coarse attribution; structural error</w:t>
            </w:r>
          </w:p>
        </w:tc>
        <w:tc>
          <w:tcPr>
            <w:tcW w:w="0" w:type="auto"/>
          </w:tcPr>
          <w:p w14:paraId="095FC417" w14:textId="77777777" w:rsidR="002413BA" w:rsidRDefault="00000000" w:rsidP="008D794F">
            <w:pPr>
              <w:pStyle w:val="Compact"/>
              <w:jc w:val="both"/>
            </w:pPr>
            <w:r>
              <w:t>Zhang et al. (2020); Nesser et al. (2024); Estrada et al. (2025)</w:t>
            </w:r>
          </w:p>
        </w:tc>
      </w:tr>
      <w:tr w:rsidR="002413BA" w14:paraId="637019D2" w14:textId="77777777" w:rsidTr="008D794F">
        <w:tc>
          <w:tcPr>
            <w:tcW w:w="0" w:type="auto"/>
          </w:tcPr>
          <w:p w14:paraId="1FA9C65B" w14:textId="77777777" w:rsidR="002413BA" w:rsidRDefault="00000000" w:rsidP="008D794F">
            <w:pPr>
              <w:pStyle w:val="Compact"/>
              <w:jc w:val="both"/>
            </w:pPr>
            <w:r>
              <w:t>Point-in-space continuous monitors</w:t>
            </w:r>
          </w:p>
        </w:tc>
        <w:tc>
          <w:tcPr>
            <w:tcW w:w="0" w:type="auto"/>
          </w:tcPr>
          <w:p w14:paraId="4F2B6547" w14:textId="77777777" w:rsidR="002413BA" w:rsidRDefault="00000000" w:rsidP="008D794F">
            <w:pPr>
              <w:pStyle w:val="Compact"/>
              <w:jc w:val="both"/>
            </w:pPr>
            <w:r>
              <w:t>Single facility</w:t>
            </w:r>
          </w:p>
        </w:tc>
        <w:tc>
          <w:tcPr>
            <w:tcW w:w="0" w:type="auto"/>
          </w:tcPr>
          <w:p w14:paraId="4ED934ED" w14:textId="77777777" w:rsidR="002413BA" w:rsidRDefault="00000000" w:rsidP="008D794F">
            <w:pPr>
              <w:pStyle w:val="Compact"/>
              <w:jc w:val="both"/>
            </w:pPr>
            <w:r>
              <w:t>Continuous</w:t>
            </w:r>
          </w:p>
        </w:tc>
        <w:tc>
          <w:tcPr>
            <w:tcW w:w="0" w:type="auto"/>
          </w:tcPr>
          <w:p w14:paraId="7DD043A8" w14:textId="77777777" w:rsidR="002413BA" w:rsidRDefault="00000000" w:rsidP="008D794F">
            <w:pPr>
              <w:pStyle w:val="Compact"/>
              <w:jc w:val="both"/>
            </w:pPr>
            <w:r>
              <w:t xml:space="preserve">Event detection, </w:t>
            </w:r>
            <w:proofErr w:type="spellStart"/>
            <w:r>
              <w:t>localisation</w:t>
            </w:r>
            <w:proofErr w:type="spellEnd"/>
            <w:r>
              <w:t>, rate and duration estimation</w:t>
            </w:r>
          </w:p>
        </w:tc>
        <w:tc>
          <w:tcPr>
            <w:tcW w:w="0" w:type="auto"/>
          </w:tcPr>
          <w:p w14:paraId="39C082E3" w14:textId="77777777" w:rsidR="002413BA" w:rsidRDefault="00000000" w:rsidP="008D794F">
            <w:pPr>
              <w:pStyle w:val="Compact"/>
              <w:jc w:val="both"/>
            </w:pPr>
            <w:r>
              <w:t>Wind dependence; attribution ambiguity between co-located equipment</w:t>
            </w:r>
          </w:p>
        </w:tc>
        <w:tc>
          <w:tcPr>
            <w:tcW w:w="0" w:type="auto"/>
          </w:tcPr>
          <w:p w14:paraId="296A05E0" w14:textId="77777777" w:rsidR="002413BA" w:rsidRDefault="00000000" w:rsidP="008D794F">
            <w:pPr>
              <w:pStyle w:val="Compact"/>
              <w:jc w:val="both"/>
            </w:pPr>
            <w:r>
              <w:t>Daniels et al. (2024a); Daniels et al. (2024b); Daniels et al. (2025)</w:t>
            </w:r>
          </w:p>
        </w:tc>
      </w:tr>
      <w:tr w:rsidR="002413BA" w14:paraId="7A1F0B5C" w14:textId="77777777" w:rsidTr="008D794F">
        <w:tc>
          <w:tcPr>
            <w:tcW w:w="0" w:type="auto"/>
          </w:tcPr>
          <w:p w14:paraId="5E9B7703" w14:textId="77777777" w:rsidR="002413BA" w:rsidRDefault="00000000" w:rsidP="008D794F">
            <w:pPr>
              <w:pStyle w:val="Compact"/>
              <w:jc w:val="both"/>
            </w:pPr>
            <w:r>
              <w:t>Geostationary spectrometry</w:t>
            </w:r>
          </w:p>
        </w:tc>
        <w:tc>
          <w:tcPr>
            <w:tcW w:w="0" w:type="auto"/>
          </w:tcPr>
          <w:p w14:paraId="0D31933F" w14:textId="77777777" w:rsidR="002413BA" w:rsidRDefault="00000000" w:rsidP="008D794F">
            <w:pPr>
              <w:pStyle w:val="Compact"/>
              <w:jc w:val="both"/>
            </w:pPr>
            <w:r>
              <w:t>Regional, hourly</w:t>
            </w:r>
          </w:p>
        </w:tc>
        <w:tc>
          <w:tcPr>
            <w:tcW w:w="0" w:type="auto"/>
          </w:tcPr>
          <w:p w14:paraId="41EA939B" w14:textId="77777777" w:rsidR="002413BA" w:rsidRDefault="00000000" w:rsidP="008D794F">
            <w:pPr>
              <w:pStyle w:val="Compact"/>
              <w:jc w:val="both"/>
            </w:pPr>
            <w:r>
              <w:t>Diurnal, daylight</w:t>
            </w:r>
          </w:p>
        </w:tc>
        <w:tc>
          <w:tcPr>
            <w:tcW w:w="0" w:type="auto"/>
          </w:tcPr>
          <w:p w14:paraId="5F2D723B" w14:textId="77777777" w:rsidR="002413BA" w:rsidRDefault="00000000" w:rsidP="008D794F">
            <w:pPr>
              <w:pStyle w:val="Compact"/>
              <w:jc w:val="both"/>
            </w:pPr>
            <w:r>
              <w:t>Surface concentration estimation from column retrievals</w:t>
            </w:r>
          </w:p>
        </w:tc>
        <w:tc>
          <w:tcPr>
            <w:tcW w:w="0" w:type="auto"/>
          </w:tcPr>
          <w:p w14:paraId="6D8421DD" w14:textId="77777777" w:rsidR="002413BA" w:rsidRDefault="00000000" w:rsidP="008D794F">
            <w:pPr>
              <w:pStyle w:val="Compact"/>
              <w:jc w:val="both"/>
            </w:pPr>
            <w:r>
              <w:t>Column-to-surface conversion; daylight-only sampling</w:t>
            </w:r>
          </w:p>
        </w:tc>
        <w:tc>
          <w:tcPr>
            <w:tcW w:w="0" w:type="auto"/>
          </w:tcPr>
          <w:p w14:paraId="011412BA" w14:textId="77777777" w:rsidR="002413BA" w:rsidRDefault="00000000" w:rsidP="008D794F">
            <w:pPr>
              <w:pStyle w:val="Compact"/>
              <w:jc w:val="both"/>
            </w:pPr>
            <w:proofErr w:type="spellStart"/>
            <w:r>
              <w:t>Zoogman</w:t>
            </w:r>
            <w:proofErr w:type="spellEnd"/>
            <w:r>
              <w:t xml:space="preserve"> et al. (2017); Millet et al. (2024); Li et al. (2025)</w:t>
            </w:r>
          </w:p>
        </w:tc>
      </w:tr>
    </w:tbl>
    <w:p w14:paraId="1403C58E" w14:textId="77777777" w:rsidR="002413BA" w:rsidRDefault="00000000" w:rsidP="008D794F">
      <w:pPr>
        <w:pStyle w:val="Heading2"/>
        <w:jc w:val="both"/>
      </w:pPr>
      <w:bookmarkStart w:id="14" w:name="X21ea2efb87895d2aa8898fa5620e12a70cac717"/>
      <w:bookmarkEnd w:id="11"/>
      <w:bookmarkEnd w:id="13"/>
      <w:r>
        <w:t>4. Machine Learning for Sensor Correction and Network-Scale Inference</w:t>
      </w:r>
    </w:p>
    <w:p w14:paraId="6FBEA4A3" w14:textId="77777777" w:rsidR="002413BA" w:rsidRDefault="00000000" w:rsidP="008D794F">
      <w:pPr>
        <w:pStyle w:val="Heading3"/>
        <w:jc w:val="both"/>
      </w:pPr>
      <w:bookmarkStart w:id="15" w:name="X8d026ae780d36ee11afa2f71c531368b29f5ee9"/>
      <w:r>
        <w:t>4.1 Calibration of Low-Cost Gas and Particle Sensors</w:t>
      </w:r>
    </w:p>
    <w:p w14:paraId="7FBEE910" w14:textId="77777777" w:rsidR="002413BA" w:rsidRDefault="00000000" w:rsidP="008D794F">
      <w:pPr>
        <w:pStyle w:val="FirstParagraph"/>
        <w:jc w:val="both"/>
      </w:pPr>
      <w:r>
        <w:t>The application of supervised learning to sensor calibration is the most mature use of machine learning in this field and the one whose evidence base is most frequently overstated. Early demonstrations established that ensemble tree methods substantially outperformed linear correction for electrochemical gas sensors, with random forest models applied to a multi-sensor package achieving agreement with reference monitors sufficient for supplemental monitoring applications across carbon monoxide, ozone and carbon dioxide, and weaker but usable performance for nitrogen dioxide (Zimmerman et al., 2018). Subsequent work extended this to general calibration models trained across multiple units and evaluated over longer deployments, finding that performance was maintained for periods of months but that model quality depended strongly on the representativeness of training conditions (Malings et al., 2019). For particle sensors, correction using co-located reference instruments together with meteorological covariates improved agreement substantially, while revealing systematic dependence of optical response on relative humidity and on aerosol composition (Malings et al., 2020; Sayahi et al., 2019).</w:t>
      </w:r>
    </w:p>
    <w:p w14:paraId="5A0001B9" w14:textId="77777777" w:rsidR="002413BA" w:rsidRDefault="00000000" w:rsidP="008D794F">
      <w:pPr>
        <w:pStyle w:val="BodyText"/>
        <w:jc w:val="both"/>
      </w:pPr>
      <w:r>
        <w:t>The most widely used correction in the United States is a nationally applicable adjustment for a large consumer sensor network, developed from co-locations distributed across the country and shown to reduce bias across a wide range of conditions (</w:t>
      </w:r>
      <w:proofErr w:type="spellStart"/>
      <w:r>
        <w:t>Barkjohn</w:t>
      </w:r>
      <w:proofErr w:type="spellEnd"/>
      <w:r>
        <w:t xml:space="preserve"> et al., 2021). Its adoption illustrates both the value and the risk of this approach. A single national correction makes a heterogeneous network tractable for public communication and for research use, and it has been applied at continental scale. It also imposes a common functional form on units whose response depends on local aerosol properties, and its residual error is not uniform across regions or aerosol regimes. Independent evaluation of the same sensor family has documented substantial variability in deployment characteristics and in the uncertainty attached to individual units, which a uniform correction cannot address (Chung &amp; Rohr, 2026).</w:t>
      </w:r>
    </w:p>
    <w:p w14:paraId="4D4EFA3C" w14:textId="77777777" w:rsidR="002413BA" w:rsidRDefault="00000000" w:rsidP="008D794F">
      <w:pPr>
        <w:pStyle w:val="BodyText"/>
        <w:jc w:val="both"/>
      </w:pPr>
      <w:r>
        <w:t xml:space="preserve">The summary statistics that dominate this literature require careful reading. Synthesis across a large body of calibration studies reports that machine learning correction commonly reduces error metrics by more than half and raises agreement with reference monitors to coefficients of determination exceeding 0.8, with optical particle sensors </w:t>
      </w:r>
      <w:r>
        <w:lastRenderedPageBreak/>
        <w:t>typically achieving higher values than electrochemical gas sensors and with greater site-to-site variability for the latter (Yan, 2026). These figures describe performance under co-location, which is the condition under which training data are available and under which the sensor and the reference instrument sample the same air mass. They do not describe the condition in which the calibrated sensor is subsequently deployed. The distinction is not a technicality: the entire purpose of a low-cost network is to measure where no reference instrument exists, which is precisely where the calibration cannot be verified.</w:t>
      </w:r>
    </w:p>
    <w:p w14:paraId="69E2BC71" w14:textId="77777777" w:rsidR="002413BA" w:rsidRDefault="00000000" w:rsidP="008D794F">
      <w:pPr>
        <w:pStyle w:val="Heading3"/>
        <w:jc w:val="both"/>
      </w:pPr>
      <w:bookmarkStart w:id="16" w:name="Xb1cf0bc57434e77cca4cabf5bf2d3b6aaea8150"/>
      <w:bookmarkEnd w:id="15"/>
      <w:r>
        <w:t xml:space="preserve">4.2 Drift, Transferability and the </w:t>
      </w:r>
      <w:proofErr w:type="spellStart"/>
      <w:r>
        <w:t>Generalisation</w:t>
      </w:r>
      <w:proofErr w:type="spellEnd"/>
      <w:r>
        <w:t xml:space="preserve"> Problem</w:t>
      </w:r>
    </w:p>
    <w:p w14:paraId="3A64236D" w14:textId="77777777" w:rsidR="002413BA" w:rsidRDefault="00000000" w:rsidP="008D794F">
      <w:pPr>
        <w:pStyle w:val="FirstParagraph"/>
        <w:jc w:val="both"/>
      </w:pPr>
      <w:r>
        <w:t>Evidence on transfer is consistent in direction and inconsistent in magnitude. Calibration models trained at one site degrade when applied at another, models trained in one season degrade in another, and models trained on one unit degrade on another unit of the same type. Studies designed to test this explicitly report degradation that is often modest in central tendency but substantial at the extremes of the concentration distribution, which is where regulatory and health relevance is concentrated (Malings et al., 2019; Datta et al., 2020). Approaches developed in response include hierarchical and spatially explicit statistical calibration that borrows strength across a network rather than treating each unit independently (Datta et al., 2020), online ensemble methods that update calibration functions as concept drift occurs (</w:t>
      </w:r>
      <w:proofErr w:type="spellStart"/>
      <w:r>
        <w:t>Bagkis</w:t>
      </w:r>
      <w:proofErr w:type="spellEnd"/>
      <w:r>
        <w:t xml:space="preserve"> et al., 2022), variational Bayesian formulations that propagate calibration uncertainty rather than reporting a point estimate (</w:t>
      </w:r>
      <w:proofErr w:type="spellStart"/>
      <w:r>
        <w:t>Tancev</w:t>
      </w:r>
      <w:proofErr w:type="spellEnd"/>
      <w:r>
        <w:t xml:space="preserve"> &amp; Grasso Toro, 2022), and distance-based uncertainty quantification in hybrid networks that flags predictions made outside the region of covariate space represented in training (Zhivkov &amp; </w:t>
      </w:r>
      <w:proofErr w:type="spellStart"/>
      <w:r>
        <w:t>Fidanova</w:t>
      </w:r>
      <w:proofErr w:type="spellEnd"/>
      <w:r>
        <w:t>, 2026).</w:t>
      </w:r>
    </w:p>
    <w:p w14:paraId="2EAFE76A" w14:textId="77777777" w:rsidR="002413BA" w:rsidRDefault="00000000" w:rsidP="008D794F">
      <w:pPr>
        <w:pStyle w:val="BodyText"/>
        <w:jc w:val="both"/>
      </w:pPr>
      <w:r>
        <w:t xml:space="preserve">These developments identify the right problem but have not been evaluated to a common standard. The evaluation designs differ in whether test data are temporally or spatially disjoint from training data, in the length of deployment, and in whether the reference instrument used for testing is the same one used for training. Where evaluation uses randomly partitioned data from a single co-location, reported performance is close to the training performance and carries little information about deployment </w:t>
      </w:r>
      <w:proofErr w:type="spellStart"/>
      <w:r>
        <w:t>behaviour</w:t>
      </w:r>
      <w:proofErr w:type="spellEnd"/>
      <w:r>
        <w:t>. Where evaluation uses temporally forward-held or spatially held-out data, performance is lower and the ranking of methods changes. The literature contains both designs, frequently without explicit statement of which was used, and comparisons across studies are therefore unreliable.</w:t>
      </w:r>
    </w:p>
    <w:p w14:paraId="2D4D86AE" w14:textId="77777777" w:rsidR="002413BA" w:rsidRDefault="00000000" w:rsidP="008D794F">
      <w:pPr>
        <w:pStyle w:val="BodyText"/>
        <w:jc w:val="both"/>
      </w:pPr>
      <w:r>
        <w:t xml:space="preserve">Wildfire smoke provides a natural test of transfer that has been examined directly. Field evaluation of low-cost particle sensors under smoke-affected conditions found that sensor response to smoke aerosol differed from response to typical urban aerosol, so that corrections derived under non-smoke conditions were not appropriate during smoke episodes (Holder et al., 2020). This is a clear instance of distribution shift with immediate public health consequences, since smoke episodes are exactly when dense sensor networks are most heavily used for public communication. The finding also </w:t>
      </w:r>
      <w:proofErr w:type="spellStart"/>
      <w:r>
        <w:t>generalises</w:t>
      </w:r>
      <w:proofErr w:type="spellEnd"/>
      <w:r>
        <w:t>: any correction learned on a historical aerosol regime is vulnerable when the emission source composition changes, and source composition in the western United States has changed materially over the past decade (Burke et al., 2023).</w:t>
      </w:r>
    </w:p>
    <w:p w14:paraId="12348B65" w14:textId="77777777" w:rsidR="002413BA" w:rsidRDefault="00000000" w:rsidP="008D794F">
      <w:pPr>
        <w:pStyle w:val="Heading3"/>
        <w:jc w:val="both"/>
      </w:pPr>
      <w:bookmarkStart w:id="17" w:name="Xc3ea2fac0e48926ce930b8e6a909940cedb0931"/>
      <w:bookmarkEnd w:id="16"/>
      <w:r>
        <w:lastRenderedPageBreak/>
        <w:t>4.3 Fusing Sensors, Reference Networks, Satellites and Chemical Transport Models</w:t>
      </w:r>
    </w:p>
    <w:p w14:paraId="04D44E6D" w14:textId="77777777" w:rsidR="002413BA" w:rsidRDefault="00000000" w:rsidP="008D794F">
      <w:pPr>
        <w:pStyle w:val="FirstParagraph"/>
        <w:jc w:val="both"/>
      </w:pPr>
      <w:r>
        <w:t>Beyond individual sensor correction, statistical learning is used to construct continuous concentration fields by combining monitor data with satellite retrievals, meteorological reanalysis, land use, emissions inventories and chemical transport model output. Ensemble approaches that combine neural networks, gradient boosting and random forests have produced daily fine particulate matter (PM</w:t>
      </w:r>
      <w:r>
        <w:rPr>
          <w:vertAlign w:val="subscript"/>
        </w:rPr>
        <w:t>2.5</w:t>
      </w:r>
      <w:r>
        <w:t xml:space="preserve">) and ozone surfaces for the contiguous United States at </w:t>
      </w:r>
      <w:proofErr w:type="spellStart"/>
      <w:r>
        <w:t>kilometre</w:t>
      </w:r>
      <w:proofErr w:type="spellEnd"/>
      <w:r>
        <w:t>-scale resolution with high cross-validated agreement against withheld monitors (Di et al., 2019; Ren et al., 2020). Comparable ensembles have been used to attribute long-term mortality burden to black carbon and PM</w:t>
      </w:r>
      <w:r>
        <w:rPr>
          <w:vertAlign w:val="subscript"/>
        </w:rPr>
        <w:t>2.5</w:t>
      </w:r>
      <w:r>
        <w:t xml:space="preserve"> from wildfire emissions across the continental United States (Wei et al., 2023). Incorporation of low-cost sensor measurements into such models has been shown to improve estimates in areas where regulatory monitors are sparse, which is the stated motivation for the fusion (Bi et al., 2020).</w:t>
      </w:r>
    </w:p>
    <w:p w14:paraId="5FD16FEE" w14:textId="77777777" w:rsidR="002413BA" w:rsidRDefault="00000000" w:rsidP="008D794F">
      <w:pPr>
        <w:pStyle w:val="BodyText"/>
        <w:jc w:val="both"/>
      </w:pPr>
      <w:r>
        <w:t>The critical weakness in this literature is the interpretation of cross-validation. Monitor locations are not a random sample of the domain. They are concentrated in populated areas, and their spatial distribution is correlated with demographic composition (</w:t>
      </w:r>
      <w:proofErr w:type="spellStart"/>
      <w:r>
        <w:t>deSouza</w:t>
      </w:r>
      <w:proofErr w:type="spellEnd"/>
      <w:r>
        <w:t xml:space="preserve"> &amp; Kinney, 2021; Chakraborty, 2025). Cross-validation that withholds monitors at random therefore evaluates prediction at locations that resemble the training locations, and reports an accuracy that does not apply to the areas where no monitor exists. The problem is structural rather than a matter of implementation quality: no cross-validation scheme using only monitor locations can </w:t>
      </w:r>
      <w:proofErr w:type="spellStart"/>
      <w:r>
        <w:t>characterise</w:t>
      </w:r>
      <w:proofErr w:type="spellEnd"/>
      <w:r>
        <w:t xml:space="preserve"> error at locations unlike any monitor. Studies that have examined spatially blocked validation, or that report error stratified by distance to the nearest monitor, are a minority, and the difference between random and spatially structured validation is material.</w:t>
      </w:r>
    </w:p>
    <w:p w14:paraId="00BFF07B" w14:textId="77777777" w:rsidR="002413BA" w:rsidRDefault="00000000" w:rsidP="008D794F">
      <w:pPr>
        <w:pStyle w:val="BodyText"/>
        <w:jc w:val="both"/>
      </w:pPr>
      <w:r>
        <w:t xml:space="preserve">A second concern is the treatment of chemical transport model output within these ensembles. Where model output enters as a predictor, the fused product inherits the model’s structural error in a form that is difficult to trace, because the learning algorithm may compensate for that error in the training domain in ways that do not extend outside it. Work on source-specific bias correction of modelled ozone has shown that correction terms differ systematically between background and anthropogenic contributions, so that a single aggregate correction misrepresents both (Skipper et al., 2024). This matters for emissions applications specifically: if a fused concentration surface is used to infer emissions or to evaluate an emissions control policy, bias absorbed into the statistical correction is bias removed from the quantity of interest. Hybrid approaches that constrain learning with process representation, including machine-learned emulators of atmospheric chemistry trained to remain stable under integration, offer a route to retaining mechanistic interpretability, but stability and </w:t>
      </w:r>
      <w:proofErr w:type="spellStart"/>
      <w:r>
        <w:t>generalisation</w:t>
      </w:r>
      <w:proofErr w:type="spellEnd"/>
      <w:r>
        <w:t xml:space="preserve"> of such emulators remain the limiting difficulties rather than accuracy on training distributions (Kelp et al., 2020; Reichstein et al., 2019).</w:t>
      </w:r>
    </w:p>
    <w:p w14:paraId="5E794B31" w14:textId="77777777" w:rsidR="002413BA" w:rsidRDefault="00000000" w:rsidP="008D794F">
      <w:pPr>
        <w:pStyle w:val="BodyText"/>
        <w:jc w:val="both"/>
      </w:pPr>
      <w:r>
        <w:t xml:space="preserve">Table 3 </w:t>
      </w:r>
      <w:proofErr w:type="spellStart"/>
      <w:r>
        <w:t>organises</w:t>
      </w:r>
      <w:proofErr w:type="spellEnd"/>
      <w:r>
        <w:t xml:space="preserve"> the principal convergent and conflicting findings on machine-learned sensor correction and fusion, together with the most plausible explanations for disagreement. The purpose of the table is diagnostic: in most cases the disagreements are attributable to differences in evaluation design rather than to genuine differences in </w:t>
      </w:r>
      <w:r>
        <w:lastRenderedPageBreak/>
        <w:t>method performance, and identifying which is which determines whether a reported result should influence practice. Confidence assessments in the final column reflect the consistency of the evidence and the adequacy of the designs supporting it rather than the number of studies reporting a given result.</w:t>
      </w:r>
    </w:p>
    <w:p w14:paraId="6E466C98" w14:textId="77777777" w:rsidR="002413BA" w:rsidRDefault="00000000" w:rsidP="008D794F">
      <w:pPr>
        <w:pStyle w:val="BodyText"/>
        <w:jc w:val="both"/>
      </w:pPr>
      <w:r>
        <w:rPr>
          <w:b/>
          <w:bCs/>
        </w:rPr>
        <w:t>Table 3.</w:t>
      </w:r>
      <w:r>
        <w:t xml:space="preserve"> Convergent and conflicting findings on machine-learned sensor correction and multi-source fusion.</w:t>
      </w:r>
    </w:p>
    <w:tbl>
      <w:tblPr>
        <w:tblStyle w:val="TableGrid"/>
        <w:tblW w:w="5000" w:type="pct"/>
        <w:tblLook w:val="0020" w:firstRow="1" w:lastRow="0" w:firstColumn="0" w:lastColumn="0" w:noHBand="0" w:noVBand="0"/>
      </w:tblPr>
      <w:tblGrid>
        <w:gridCol w:w="1850"/>
        <w:gridCol w:w="1449"/>
        <w:gridCol w:w="1765"/>
        <w:gridCol w:w="1784"/>
        <w:gridCol w:w="1118"/>
        <w:gridCol w:w="1610"/>
      </w:tblGrid>
      <w:tr w:rsidR="002413BA" w14:paraId="3AF8A78D" w14:textId="77777777" w:rsidTr="008D794F">
        <w:tc>
          <w:tcPr>
            <w:tcW w:w="0" w:type="auto"/>
          </w:tcPr>
          <w:p w14:paraId="1EC0E7B3" w14:textId="77777777" w:rsidR="002413BA" w:rsidRDefault="00000000" w:rsidP="008D794F">
            <w:pPr>
              <w:pStyle w:val="Compact"/>
              <w:jc w:val="both"/>
            </w:pPr>
            <w:r>
              <w:t>Question</w:t>
            </w:r>
          </w:p>
        </w:tc>
        <w:tc>
          <w:tcPr>
            <w:tcW w:w="0" w:type="auto"/>
          </w:tcPr>
          <w:p w14:paraId="698587D4" w14:textId="77777777" w:rsidR="002413BA" w:rsidRDefault="00000000" w:rsidP="008D794F">
            <w:pPr>
              <w:pStyle w:val="Compact"/>
              <w:jc w:val="both"/>
            </w:pPr>
            <w:r>
              <w:t>Convergent finding</w:t>
            </w:r>
          </w:p>
        </w:tc>
        <w:tc>
          <w:tcPr>
            <w:tcW w:w="0" w:type="auto"/>
          </w:tcPr>
          <w:p w14:paraId="42B8CCFF" w14:textId="77777777" w:rsidR="002413BA" w:rsidRDefault="00000000" w:rsidP="008D794F">
            <w:pPr>
              <w:pStyle w:val="Compact"/>
              <w:jc w:val="both"/>
            </w:pPr>
            <w:r>
              <w:t>Conflicting or qualifying evidence</w:t>
            </w:r>
          </w:p>
        </w:tc>
        <w:tc>
          <w:tcPr>
            <w:tcW w:w="0" w:type="auto"/>
          </w:tcPr>
          <w:p w14:paraId="469D2B94" w14:textId="77777777" w:rsidR="002413BA" w:rsidRDefault="00000000" w:rsidP="008D794F">
            <w:pPr>
              <w:pStyle w:val="Compact"/>
              <w:jc w:val="both"/>
            </w:pPr>
            <w:r>
              <w:t>Most plausible explanation for disagreement</w:t>
            </w:r>
          </w:p>
        </w:tc>
        <w:tc>
          <w:tcPr>
            <w:tcW w:w="0" w:type="auto"/>
          </w:tcPr>
          <w:p w14:paraId="169D978C" w14:textId="77777777" w:rsidR="002413BA" w:rsidRDefault="00000000" w:rsidP="008D794F">
            <w:pPr>
              <w:pStyle w:val="Compact"/>
              <w:jc w:val="both"/>
            </w:pPr>
            <w:r>
              <w:t>Confidence</w:t>
            </w:r>
          </w:p>
        </w:tc>
        <w:tc>
          <w:tcPr>
            <w:tcW w:w="0" w:type="auto"/>
          </w:tcPr>
          <w:p w14:paraId="36CB93FA" w14:textId="77777777" w:rsidR="002413BA" w:rsidRDefault="00000000" w:rsidP="008D794F">
            <w:pPr>
              <w:pStyle w:val="Compact"/>
              <w:jc w:val="both"/>
            </w:pPr>
            <w:r>
              <w:t>Supporting references</w:t>
            </w:r>
          </w:p>
        </w:tc>
      </w:tr>
      <w:tr w:rsidR="002413BA" w14:paraId="5CE829BE" w14:textId="77777777" w:rsidTr="008D794F">
        <w:tc>
          <w:tcPr>
            <w:tcW w:w="0" w:type="auto"/>
          </w:tcPr>
          <w:p w14:paraId="70409BDE" w14:textId="77777777" w:rsidR="002413BA" w:rsidRDefault="00000000" w:rsidP="008D794F">
            <w:pPr>
              <w:pStyle w:val="Compact"/>
              <w:jc w:val="both"/>
            </w:pPr>
            <w:r>
              <w:t>Does supervised learning improve on linear calibration under co-location?</w:t>
            </w:r>
          </w:p>
        </w:tc>
        <w:tc>
          <w:tcPr>
            <w:tcW w:w="0" w:type="auto"/>
          </w:tcPr>
          <w:p w14:paraId="79A89712" w14:textId="77777777" w:rsidR="002413BA" w:rsidRDefault="00000000" w:rsidP="008D794F">
            <w:pPr>
              <w:pStyle w:val="Compact"/>
              <w:jc w:val="both"/>
            </w:pPr>
            <w:r>
              <w:t>Yes, consistently and substantially</w:t>
            </w:r>
          </w:p>
        </w:tc>
        <w:tc>
          <w:tcPr>
            <w:tcW w:w="0" w:type="auto"/>
          </w:tcPr>
          <w:p w14:paraId="53B87E75" w14:textId="77777777" w:rsidR="002413BA" w:rsidRDefault="00000000" w:rsidP="008D794F">
            <w:pPr>
              <w:pStyle w:val="Compact"/>
              <w:jc w:val="both"/>
            </w:pPr>
            <w:r>
              <w:t>Magnitude varies by sensor chemistry and pollutant</w:t>
            </w:r>
          </w:p>
        </w:tc>
        <w:tc>
          <w:tcPr>
            <w:tcW w:w="0" w:type="auto"/>
          </w:tcPr>
          <w:p w14:paraId="67D81E27" w14:textId="77777777" w:rsidR="002413BA" w:rsidRDefault="00000000" w:rsidP="008D794F">
            <w:pPr>
              <w:pStyle w:val="Compact"/>
              <w:jc w:val="both"/>
            </w:pPr>
            <w:r>
              <w:t>Differences in sensor type, concentration range and covariate availability</w:t>
            </w:r>
          </w:p>
        </w:tc>
        <w:tc>
          <w:tcPr>
            <w:tcW w:w="0" w:type="auto"/>
          </w:tcPr>
          <w:p w14:paraId="69099B3A" w14:textId="77777777" w:rsidR="002413BA" w:rsidRDefault="00000000" w:rsidP="008D794F">
            <w:pPr>
              <w:pStyle w:val="Compact"/>
              <w:jc w:val="both"/>
            </w:pPr>
            <w:r>
              <w:t>High</w:t>
            </w:r>
          </w:p>
        </w:tc>
        <w:tc>
          <w:tcPr>
            <w:tcW w:w="0" w:type="auto"/>
          </w:tcPr>
          <w:p w14:paraId="3094F0D7" w14:textId="77777777" w:rsidR="002413BA" w:rsidRDefault="00000000" w:rsidP="008D794F">
            <w:pPr>
              <w:pStyle w:val="Compact"/>
              <w:jc w:val="both"/>
            </w:pPr>
            <w:r>
              <w:t>Zimmerman et al. (2018); Malings et al. (2019); Yan (2026)</w:t>
            </w:r>
          </w:p>
        </w:tc>
      </w:tr>
      <w:tr w:rsidR="002413BA" w14:paraId="2B92F5F8" w14:textId="77777777" w:rsidTr="008D794F">
        <w:tc>
          <w:tcPr>
            <w:tcW w:w="0" w:type="auto"/>
          </w:tcPr>
          <w:p w14:paraId="51963C5B" w14:textId="77777777" w:rsidR="002413BA" w:rsidRDefault="00000000" w:rsidP="008D794F">
            <w:pPr>
              <w:pStyle w:val="Compact"/>
              <w:jc w:val="both"/>
            </w:pPr>
            <w:r>
              <w:t>Does co-located performance predict deployed performance?</w:t>
            </w:r>
          </w:p>
        </w:tc>
        <w:tc>
          <w:tcPr>
            <w:tcW w:w="0" w:type="auto"/>
          </w:tcPr>
          <w:p w14:paraId="0B966333" w14:textId="77777777" w:rsidR="002413BA" w:rsidRDefault="00000000" w:rsidP="008D794F">
            <w:pPr>
              <w:pStyle w:val="Compact"/>
              <w:jc w:val="both"/>
            </w:pPr>
            <w:r>
              <w:t>No</w:t>
            </w:r>
          </w:p>
        </w:tc>
        <w:tc>
          <w:tcPr>
            <w:tcW w:w="0" w:type="auto"/>
          </w:tcPr>
          <w:p w14:paraId="236863D6" w14:textId="77777777" w:rsidR="002413BA" w:rsidRDefault="00000000" w:rsidP="008D794F">
            <w:pPr>
              <w:pStyle w:val="Compact"/>
              <w:jc w:val="both"/>
            </w:pPr>
            <w:r>
              <w:t>Some studies report modest degradation; others report substantial loss</w:t>
            </w:r>
          </w:p>
        </w:tc>
        <w:tc>
          <w:tcPr>
            <w:tcW w:w="0" w:type="auto"/>
          </w:tcPr>
          <w:p w14:paraId="76CAC714" w14:textId="77777777" w:rsidR="002413BA" w:rsidRDefault="00000000" w:rsidP="008D794F">
            <w:pPr>
              <w:pStyle w:val="Compact"/>
              <w:jc w:val="both"/>
            </w:pPr>
            <w:r>
              <w:t>Whether test data are temporally or spatially disjoint from training data</w:t>
            </w:r>
          </w:p>
        </w:tc>
        <w:tc>
          <w:tcPr>
            <w:tcW w:w="0" w:type="auto"/>
          </w:tcPr>
          <w:p w14:paraId="5C444F43" w14:textId="77777777" w:rsidR="002413BA" w:rsidRDefault="00000000" w:rsidP="008D794F">
            <w:pPr>
              <w:pStyle w:val="Compact"/>
              <w:jc w:val="both"/>
            </w:pPr>
            <w:r>
              <w:t>Moderate to high</w:t>
            </w:r>
          </w:p>
        </w:tc>
        <w:tc>
          <w:tcPr>
            <w:tcW w:w="0" w:type="auto"/>
          </w:tcPr>
          <w:p w14:paraId="43A1A710" w14:textId="77777777" w:rsidR="002413BA" w:rsidRDefault="00000000" w:rsidP="008D794F">
            <w:pPr>
              <w:pStyle w:val="Compact"/>
              <w:jc w:val="both"/>
            </w:pPr>
            <w:r>
              <w:t xml:space="preserve">Malings et al. (2019); Datta et al. (2020); </w:t>
            </w:r>
            <w:proofErr w:type="spellStart"/>
            <w:r>
              <w:t>Bagkis</w:t>
            </w:r>
            <w:proofErr w:type="spellEnd"/>
            <w:r>
              <w:t xml:space="preserve"> et al. (2022)</w:t>
            </w:r>
          </w:p>
        </w:tc>
      </w:tr>
      <w:tr w:rsidR="002413BA" w14:paraId="1C25F57F" w14:textId="77777777" w:rsidTr="008D794F">
        <w:tc>
          <w:tcPr>
            <w:tcW w:w="0" w:type="auto"/>
          </w:tcPr>
          <w:p w14:paraId="3FF2E6D0" w14:textId="77777777" w:rsidR="002413BA" w:rsidRDefault="00000000" w:rsidP="008D794F">
            <w:pPr>
              <w:pStyle w:val="Compact"/>
              <w:jc w:val="both"/>
            </w:pPr>
            <w:r>
              <w:t>Are national uniform corrections adequate for consumer sensor networks?</w:t>
            </w:r>
          </w:p>
        </w:tc>
        <w:tc>
          <w:tcPr>
            <w:tcW w:w="0" w:type="auto"/>
          </w:tcPr>
          <w:p w14:paraId="648D8A7C" w14:textId="77777777" w:rsidR="002413BA" w:rsidRDefault="00000000" w:rsidP="008D794F">
            <w:pPr>
              <w:pStyle w:val="Compact"/>
              <w:jc w:val="both"/>
            </w:pPr>
            <w:r>
              <w:t>They reduce mean bias at continental scale</w:t>
            </w:r>
          </w:p>
        </w:tc>
        <w:tc>
          <w:tcPr>
            <w:tcW w:w="0" w:type="auto"/>
          </w:tcPr>
          <w:p w14:paraId="2506977B" w14:textId="77777777" w:rsidR="002413BA" w:rsidRDefault="00000000" w:rsidP="008D794F">
            <w:pPr>
              <w:pStyle w:val="Compact"/>
              <w:jc w:val="both"/>
            </w:pPr>
            <w:r>
              <w:t>Residual error varies by region, aerosol regime and unit</w:t>
            </w:r>
          </w:p>
        </w:tc>
        <w:tc>
          <w:tcPr>
            <w:tcW w:w="0" w:type="auto"/>
          </w:tcPr>
          <w:p w14:paraId="08EE1AC2" w14:textId="77777777" w:rsidR="002413BA" w:rsidRDefault="00000000" w:rsidP="008D794F">
            <w:pPr>
              <w:pStyle w:val="Compact"/>
              <w:jc w:val="both"/>
            </w:pPr>
            <w:r>
              <w:t>Aerosol composition dependence not represented in a single functional form</w:t>
            </w:r>
          </w:p>
        </w:tc>
        <w:tc>
          <w:tcPr>
            <w:tcW w:w="0" w:type="auto"/>
          </w:tcPr>
          <w:p w14:paraId="31854C7C" w14:textId="77777777" w:rsidR="002413BA" w:rsidRDefault="00000000" w:rsidP="008D794F">
            <w:pPr>
              <w:pStyle w:val="Compact"/>
              <w:jc w:val="both"/>
            </w:pPr>
            <w:r>
              <w:t>Moderate</w:t>
            </w:r>
          </w:p>
        </w:tc>
        <w:tc>
          <w:tcPr>
            <w:tcW w:w="0" w:type="auto"/>
          </w:tcPr>
          <w:p w14:paraId="61D3F9E0" w14:textId="77777777" w:rsidR="002413BA" w:rsidRDefault="00000000" w:rsidP="008D794F">
            <w:pPr>
              <w:pStyle w:val="Compact"/>
              <w:jc w:val="both"/>
            </w:pPr>
            <w:proofErr w:type="spellStart"/>
            <w:r>
              <w:t>Barkjohn</w:t>
            </w:r>
            <w:proofErr w:type="spellEnd"/>
            <w:r>
              <w:t xml:space="preserve"> et al. (2021); Chung and Rohr (2026); Wallace and Zhao (2023)</w:t>
            </w:r>
          </w:p>
        </w:tc>
      </w:tr>
      <w:tr w:rsidR="002413BA" w14:paraId="0FC41852" w14:textId="77777777" w:rsidTr="008D794F">
        <w:tc>
          <w:tcPr>
            <w:tcW w:w="0" w:type="auto"/>
          </w:tcPr>
          <w:p w14:paraId="7747CAEC" w14:textId="77777777" w:rsidR="002413BA" w:rsidRDefault="00000000" w:rsidP="008D794F">
            <w:pPr>
              <w:pStyle w:val="Compact"/>
              <w:jc w:val="both"/>
            </w:pPr>
            <w:r>
              <w:t>Do corrections hold during wildfire smoke episodes?</w:t>
            </w:r>
          </w:p>
        </w:tc>
        <w:tc>
          <w:tcPr>
            <w:tcW w:w="0" w:type="auto"/>
          </w:tcPr>
          <w:p w14:paraId="1840AC02" w14:textId="77777777" w:rsidR="002413BA" w:rsidRDefault="00000000" w:rsidP="008D794F">
            <w:pPr>
              <w:pStyle w:val="Compact"/>
              <w:jc w:val="both"/>
            </w:pPr>
            <w:r>
              <w:t>No</w:t>
            </w:r>
          </w:p>
        </w:tc>
        <w:tc>
          <w:tcPr>
            <w:tcW w:w="0" w:type="auto"/>
          </w:tcPr>
          <w:p w14:paraId="04138E57" w14:textId="77777777" w:rsidR="002413BA" w:rsidRDefault="00000000" w:rsidP="008D794F">
            <w:pPr>
              <w:pStyle w:val="Compact"/>
              <w:jc w:val="both"/>
            </w:pPr>
            <w:r>
              <w:t>Corrections derived in non-smoke conditions misestimate smoke aerosol</w:t>
            </w:r>
          </w:p>
        </w:tc>
        <w:tc>
          <w:tcPr>
            <w:tcW w:w="0" w:type="auto"/>
          </w:tcPr>
          <w:p w14:paraId="7D484943" w14:textId="77777777" w:rsidR="002413BA" w:rsidRDefault="00000000" w:rsidP="008D794F">
            <w:pPr>
              <w:pStyle w:val="Compact"/>
              <w:jc w:val="both"/>
            </w:pPr>
            <w:r>
              <w:t>Optical response depends on particle composition and size distribution</w:t>
            </w:r>
          </w:p>
        </w:tc>
        <w:tc>
          <w:tcPr>
            <w:tcW w:w="0" w:type="auto"/>
          </w:tcPr>
          <w:p w14:paraId="592F8F3E" w14:textId="77777777" w:rsidR="002413BA" w:rsidRDefault="00000000" w:rsidP="008D794F">
            <w:pPr>
              <w:pStyle w:val="Compact"/>
              <w:jc w:val="both"/>
            </w:pPr>
            <w:r>
              <w:t>Moderate to high</w:t>
            </w:r>
          </w:p>
        </w:tc>
        <w:tc>
          <w:tcPr>
            <w:tcW w:w="0" w:type="auto"/>
          </w:tcPr>
          <w:p w14:paraId="109719C3" w14:textId="77777777" w:rsidR="002413BA" w:rsidRDefault="00000000" w:rsidP="008D794F">
            <w:pPr>
              <w:pStyle w:val="Compact"/>
              <w:jc w:val="both"/>
            </w:pPr>
            <w:r>
              <w:t>Holder et al. (2020); Burke et al. (2023)</w:t>
            </w:r>
          </w:p>
        </w:tc>
      </w:tr>
      <w:tr w:rsidR="002413BA" w14:paraId="46B8A771" w14:textId="77777777" w:rsidTr="008D794F">
        <w:tc>
          <w:tcPr>
            <w:tcW w:w="0" w:type="auto"/>
          </w:tcPr>
          <w:p w14:paraId="70E5CA64" w14:textId="77777777" w:rsidR="002413BA" w:rsidRDefault="00000000" w:rsidP="008D794F">
            <w:pPr>
              <w:pStyle w:val="Compact"/>
              <w:jc w:val="both"/>
            </w:pPr>
            <w:r>
              <w:t>Do fused concentration surfaces achieve the accuracy their cross-validation reports?</w:t>
            </w:r>
          </w:p>
        </w:tc>
        <w:tc>
          <w:tcPr>
            <w:tcW w:w="0" w:type="auto"/>
          </w:tcPr>
          <w:p w14:paraId="3A925EE8" w14:textId="77777777" w:rsidR="002413BA" w:rsidRDefault="00000000" w:rsidP="008D794F">
            <w:pPr>
              <w:pStyle w:val="Compact"/>
              <w:jc w:val="both"/>
            </w:pPr>
            <w:r>
              <w:t>Not in unmonitored areas</w:t>
            </w:r>
          </w:p>
        </w:tc>
        <w:tc>
          <w:tcPr>
            <w:tcW w:w="0" w:type="auto"/>
          </w:tcPr>
          <w:p w14:paraId="1C4FB86F" w14:textId="77777777" w:rsidR="002413BA" w:rsidRDefault="00000000" w:rsidP="008D794F">
            <w:pPr>
              <w:pStyle w:val="Compact"/>
              <w:jc w:val="both"/>
            </w:pPr>
            <w:r>
              <w:t>Random cross-validation and spatially blocked validation give different results</w:t>
            </w:r>
          </w:p>
        </w:tc>
        <w:tc>
          <w:tcPr>
            <w:tcW w:w="0" w:type="auto"/>
          </w:tcPr>
          <w:p w14:paraId="39633F1C" w14:textId="77777777" w:rsidR="002413BA" w:rsidRDefault="00000000" w:rsidP="008D794F">
            <w:pPr>
              <w:pStyle w:val="Compact"/>
              <w:jc w:val="both"/>
            </w:pPr>
            <w:r>
              <w:t>Non-random monitor siting; spatial dependence between training and test points</w:t>
            </w:r>
          </w:p>
        </w:tc>
        <w:tc>
          <w:tcPr>
            <w:tcW w:w="0" w:type="auto"/>
          </w:tcPr>
          <w:p w14:paraId="2F78E546" w14:textId="77777777" w:rsidR="002413BA" w:rsidRDefault="00000000" w:rsidP="008D794F">
            <w:pPr>
              <w:pStyle w:val="Compact"/>
              <w:jc w:val="both"/>
            </w:pPr>
            <w:r>
              <w:t>Moderate</w:t>
            </w:r>
          </w:p>
        </w:tc>
        <w:tc>
          <w:tcPr>
            <w:tcW w:w="0" w:type="auto"/>
          </w:tcPr>
          <w:p w14:paraId="4C006893" w14:textId="77777777" w:rsidR="002413BA" w:rsidRDefault="00000000" w:rsidP="008D794F">
            <w:pPr>
              <w:pStyle w:val="Compact"/>
              <w:jc w:val="both"/>
            </w:pPr>
            <w:r>
              <w:t xml:space="preserve">Di et al. (2019); Bi et al. (2020); </w:t>
            </w:r>
            <w:proofErr w:type="spellStart"/>
            <w:r>
              <w:t>deSouza</w:t>
            </w:r>
            <w:proofErr w:type="spellEnd"/>
            <w:r>
              <w:t xml:space="preserve"> and Kinney (2021)</w:t>
            </w:r>
          </w:p>
        </w:tc>
      </w:tr>
      <w:tr w:rsidR="002413BA" w14:paraId="26D7FB6A" w14:textId="77777777" w:rsidTr="008D794F">
        <w:tc>
          <w:tcPr>
            <w:tcW w:w="0" w:type="auto"/>
          </w:tcPr>
          <w:p w14:paraId="34FC844D" w14:textId="77777777" w:rsidR="002413BA" w:rsidRDefault="00000000" w:rsidP="008D794F">
            <w:pPr>
              <w:pStyle w:val="Compact"/>
              <w:jc w:val="both"/>
            </w:pPr>
            <w:r>
              <w:t>Does including model output in learned ensembles improve emissions-relevant inference?</w:t>
            </w:r>
          </w:p>
        </w:tc>
        <w:tc>
          <w:tcPr>
            <w:tcW w:w="0" w:type="auto"/>
          </w:tcPr>
          <w:p w14:paraId="566C472D" w14:textId="77777777" w:rsidR="002413BA" w:rsidRDefault="00000000" w:rsidP="008D794F">
            <w:pPr>
              <w:pStyle w:val="Compact"/>
              <w:jc w:val="both"/>
            </w:pPr>
            <w:r>
              <w:t>Unresolved</w:t>
            </w:r>
          </w:p>
        </w:tc>
        <w:tc>
          <w:tcPr>
            <w:tcW w:w="0" w:type="auto"/>
          </w:tcPr>
          <w:p w14:paraId="12F374F3" w14:textId="77777777" w:rsidR="002413BA" w:rsidRDefault="00000000" w:rsidP="008D794F">
            <w:pPr>
              <w:pStyle w:val="Compact"/>
              <w:jc w:val="both"/>
            </w:pPr>
            <w:r>
              <w:t>Improves concentration prediction; may obscure structural bias</w:t>
            </w:r>
          </w:p>
        </w:tc>
        <w:tc>
          <w:tcPr>
            <w:tcW w:w="0" w:type="auto"/>
          </w:tcPr>
          <w:p w14:paraId="20DA3B76" w14:textId="77777777" w:rsidR="002413BA" w:rsidRDefault="00000000" w:rsidP="008D794F">
            <w:pPr>
              <w:pStyle w:val="Compact"/>
              <w:jc w:val="both"/>
            </w:pPr>
            <w:r>
              <w:t>Learned corrections absorb model error in a source-dependent manner</w:t>
            </w:r>
          </w:p>
        </w:tc>
        <w:tc>
          <w:tcPr>
            <w:tcW w:w="0" w:type="auto"/>
          </w:tcPr>
          <w:p w14:paraId="6F27E5A5" w14:textId="77777777" w:rsidR="002413BA" w:rsidRDefault="00000000" w:rsidP="008D794F">
            <w:pPr>
              <w:pStyle w:val="Compact"/>
              <w:jc w:val="both"/>
            </w:pPr>
            <w:r>
              <w:t>Low to moderate</w:t>
            </w:r>
          </w:p>
        </w:tc>
        <w:tc>
          <w:tcPr>
            <w:tcW w:w="0" w:type="auto"/>
          </w:tcPr>
          <w:p w14:paraId="68A1EB97" w14:textId="77777777" w:rsidR="002413BA" w:rsidRDefault="00000000" w:rsidP="008D794F">
            <w:pPr>
              <w:pStyle w:val="Compact"/>
              <w:jc w:val="both"/>
            </w:pPr>
            <w:r>
              <w:t>Skipper et al. (2024); Kelp et al. (2020)</w:t>
            </w:r>
          </w:p>
        </w:tc>
      </w:tr>
    </w:tbl>
    <w:p w14:paraId="46D4D924" w14:textId="77777777" w:rsidR="002413BA" w:rsidRDefault="00000000" w:rsidP="008D794F">
      <w:pPr>
        <w:pStyle w:val="Heading2"/>
        <w:jc w:val="both"/>
      </w:pPr>
      <w:bookmarkStart w:id="18" w:name="Xe9603f025d7abb329e0fb4f5678c0d625170555"/>
      <w:bookmarkEnd w:id="14"/>
      <w:bookmarkEnd w:id="17"/>
      <w:r>
        <w:t>5. Methane and the Reconciliation of Bottom-Up and Top-Down Estimates</w:t>
      </w:r>
    </w:p>
    <w:p w14:paraId="6E9B066D" w14:textId="77777777" w:rsidR="002413BA" w:rsidRDefault="00000000" w:rsidP="008D794F">
      <w:pPr>
        <w:pStyle w:val="Heading3"/>
        <w:jc w:val="both"/>
      </w:pPr>
      <w:bookmarkStart w:id="19" w:name="X140f07779578117d49d16ff40d8a229c0901e54"/>
      <w:r>
        <w:t>5.1 The Persistent Inventory Gap and Its Diagnosis</w:t>
      </w:r>
    </w:p>
    <w:p w14:paraId="4C528752" w14:textId="77777777" w:rsidR="002413BA" w:rsidRDefault="00000000" w:rsidP="008D794F">
      <w:pPr>
        <w:pStyle w:val="FirstParagraph"/>
        <w:jc w:val="both"/>
      </w:pPr>
      <w:r>
        <w:t xml:space="preserve">Methane from oil and natural gas infrastructure is the domain in which multi-platform measurement has most directly altered official understanding. The reconciliation of facility-level measurements with regional atmospheric constraints was first demonstrated for a single production region, where a measurement-informed reconstruction of the source population accounted for a discrepancy that had previously been read as evidence of irreconcilable methodological difference between the two approaches (Zavala-Araiza et al., 2015). The synthesis of facility-scale measurements validated against aircraft observations </w:t>
      </w:r>
      <w:r>
        <w:lastRenderedPageBreak/>
        <w:t xml:space="preserve">across regions accounting for roughly 30% of national gas production produced a national supply-chain estimate of 13 ± 2 </w:t>
      </w:r>
      <w:proofErr w:type="spellStart"/>
      <w:r>
        <w:t>Tg</w:t>
      </w:r>
      <w:proofErr w:type="spellEnd"/>
      <w:r>
        <w:t xml:space="preserve"> per year for 2015, equivalent to 2.3% of gross gas production and approximately 60% above the national inventory figure, with the discrepancy attributed to emissions during abnormal operating conditions absent from engineering estimates (Alvarez et al., 2018). Independent reconstruction of the bottom-up inventory, incorporating measured distributions of abnormal process conditions rather than design-basis emission factors, subsequently reproduced measurement-based totals from engineering principles, demonstrating that the gap arose from inventory structure rather than from irreconcilable measurement error (Rutherford et al., 2021). That result is important for the epistemology of the field: it converted an apparent conflict between measurement paradigms into a specifiable defect in one of them.</w:t>
      </w:r>
    </w:p>
    <w:p w14:paraId="151E3B38" w14:textId="77777777" w:rsidR="002413BA" w:rsidRDefault="00000000" w:rsidP="008D794F">
      <w:pPr>
        <w:pStyle w:val="BodyText"/>
        <w:jc w:val="both"/>
      </w:pPr>
      <w:r>
        <w:t>Complementary evidence identified the source populations responsible. Low-production well sites, individually small and numerous, were found to contribute disproportionately to national production-segment emissions relative to their share of output (Omara et al., 2022). Regional inversion of column measurements attributed national emissions across states, urban areas and landfills, with results that differ from the inventory in both magnitude and spatial allocation (Nesser et al., 2024). Aerial survey of landfills found observable point-source emissions at a majority of surveyed sites and totals exceeding reported values, indicating that the gap is not confined to the oil and gas sector (Cusworth et al., 2024). The convergence of these lines is reasonably strong. What remains contested is the magnitude of the correction and its distribution across sectors and regions, and here the evidence is less settled than summary statements suggest.</w:t>
      </w:r>
    </w:p>
    <w:p w14:paraId="43D2926F" w14:textId="77777777" w:rsidR="002413BA" w:rsidRDefault="00000000" w:rsidP="008D794F">
      <w:pPr>
        <w:pStyle w:val="Heading3"/>
        <w:jc w:val="both"/>
      </w:pPr>
      <w:bookmarkStart w:id="20" w:name="X8341494400d7afb2766635736bb5e6571b26cdd"/>
      <w:bookmarkEnd w:id="19"/>
      <w:r>
        <w:t>5.2 Heavy Tails, Intermittency and the Sampling Problem</w:t>
      </w:r>
    </w:p>
    <w:p w14:paraId="004883EB" w14:textId="77777777" w:rsidR="002413BA" w:rsidRDefault="00000000" w:rsidP="008D794F">
      <w:pPr>
        <w:pStyle w:val="FirstParagraph"/>
        <w:jc w:val="both"/>
      </w:pPr>
      <w:r>
        <w:t>The emission rate distribution for methane sources is strongly right-skewed, and this property is the origin of most methodological difficulty in the field. Airborne survey of the Permian Basin identified approximately 1,100 unique sources sampled at least three times, with an average of eight revisits, and found average persistence of 26%: a source detected on one overpass was, on average, emitting on roughly one visit in four (Cusworth et al., 2021). Sources that were routinely persistent constituted about 11% of high-emitting infrastructure but accounted for 29% of quantified emissions from that population. Aerial measurement in California similarly found that a minority of individually detectable sources dominated detected point-source emissions across sectors (Duren et al., 2019), and analysis across multiple basins found that strong point sources contribute a disproportionate fraction of total emissions (Cusworth et al., 2022).</w:t>
      </w:r>
    </w:p>
    <w:p w14:paraId="78F98ECE" w14:textId="77777777" w:rsidR="002413BA" w:rsidRDefault="00000000" w:rsidP="008D794F">
      <w:pPr>
        <w:pStyle w:val="BodyText"/>
        <w:jc w:val="both"/>
      </w:pPr>
      <w:r>
        <w:t xml:space="preserve">Two inferential consequences follow, and neither is adequately handled in most published estimates. The first concerns temporal extrapolation. A snapshot survey measures instantaneous emission rates. Converting these to annual emissions requires knowledge of how long each source emits, and intermittency at the level documented above means that naive multiplication of a detected rate by an annual duration overestimates substantially, while assuming that undetected sources were not emitting underestimates. Studies that quantify persistence through repeated overpasses can address this, but the number of revisits required to estimate persistence with useful precision is large, and most surveys do not achieve it. The second concerns sample size. Because a small number of sources </w:t>
      </w:r>
      <w:r>
        <w:lastRenderedPageBreak/>
        <w:t xml:space="preserve">contribute a large share of the total, the variance of an estimate based on a limited sample is dominated by whether the largest sources happened to be observed. The very large aerial dataset assembled from nearly one million site measurements was motivated explicitly by this consideration, and its scale represents the most credible current basis for </w:t>
      </w:r>
      <w:proofErr w:type="spellStart"/>
      <w:r>
        <w:t>characterising</w:t>
      </w:r>
      <w:proofErr w:type="spellEnd"/>
      <w:r>
        <w:t xml:space="preserve"> the tail (Sherwin et al., 2024b). That study has since been the subject of a published author correction, which does not overturn its principal conclusions but illustrates that datasets of this complexity require post-publication verification and that citing them as settled is premature (Sherwin et al., 2026).</w:t>
      </w:r>
    </w:p>
    <w:p w14:paraId="18E87D22" w14:textId="77777777" w:rsidR="002413BA" w:rsidRDefault="00000000" w:rsidP="008D794F">
      <w:pPr>
        <w:pStyle w:val="BodyText"/>
        <w:jc w:val="both"/>
      </w:pPr>
      <w:r>
        <w:t>Intermittency also complicates the use of continuous monitoring. Work using point-in-space monitors has shown that emission duration can be estimated from continuous concentration records and that duration estimates materially change inferred totals relative to assumptions based on detection frequency alone (Daniels et al., 2024b). This is a genuine advance, because it addresses the temporal dimension that snapshot surveys cannot observe. Its limitation is coverage: continuous monitors are installed at a small and non-random subset of sites, so the duration distributions they reveal may not represent the population.</w:t>
      </w:r>
    </w:p>
    <w:p w14:paraId="2A1552CD" w14:textId="77777777" w:rsidR="002413BA" w:rsidRDefault="00000000" w:rsidP="008D794F">
      <w:pPr>
        <w:pStyle w:val="Heading3"/>
        <w:jc w:val="both"/>
      </w:pPr>
      <w:bookmarkStart w:id="21" w:name="X787f391e3c9c010316513f5160de8f1cf76ea9c"/>
      <w:bookmarkEnd w:id="20"/>
      <w:r>
        <w:t>5.3 Algorithmic Detection and Quantification in Spectral Imagery</w:t>
      </w:r>
    </w:p>
    <w:p w14:paraId="0F1646F6" w14:textId="77777777" w:rsidR="002413BA" w:rsidRDefault="00000000" w:rsidP="008D794F">
      <w:pPr>
        <w:pStyle w:val="FirstParagraph"/>
        <w:jc w:val="both"/>
      </w:pPr>
      <w:r>
        <w:t>Machine learning has been applied to methane plume imagery for three distinct tasks: separating plumes from background artefacts, estimating emission rate from plume morphology, and screening large satellite archives for candidate detections. A convolutional approach trained on large-eddy simulation output estimated point-source emission rates directly from two-dimensional plume imagery, avoiding explicit dependence on local wind measurement, which is the dominant error term in conventional mass-balance retrieval (</w:t>
      </w:r>
      <w:proofErr w:type="spellStart"/>
      <w:r>
        <w:t>Jongaramrungruang</w:t>
      </w:r>
      <w:proofErr w:type="spellEnd"/>
      <w:r>
        <w:t xml:space="preserve"> et al., 2022). Transformer-based detection applied to multispectral satellite imagery achieved automated identification of plumes at scale (</w:t>
      </w:r>
      <w:proofErr w:type="spellStart"/>
      <w:r>
        <w:t>Rouet</w:t>
      </w:r>
      <w:proofErr w:type="spellEnd"/>
      <w:r>
        <w:t>-Leduc &amp; Hulbert, 2024), and automated screening pipelines applied to column data have enabled systematic global detection of large emitters (Schuit et al., 2023). More recent work has combined vision transformers with segmentation models for super-emitter delineation (Marjani et al., 2025). Airborne spectrometry developed for a dedicated methane mission demonstrated plume detection and quantification at intermediate scales between point-source instruments and regional mappers (</w:t>
      </w:r>
      <w:proofErr w:type="spellStart"/>
      <w:r>
        <w:t>Guanter</w:t>
      </w:r>
      <w:proofErr w:type="spellEnd"/>
      <w:r>
        <w:t xml:space="preserve"> et al., 2025).</w:t>
      </w:r>
    </w:p>
    <w:p w14:paraId="64ACFF97" w14:textId="77777777" w:rsidR="002413BA" w:rsidRDefault="00000000" w:rsidP="008D794F">
      <w:pPr>
        <w:pStyle w:val="BodyText"/>
        <w:jc w:val="both"/>
      </w:pPr>
      <w:r>
        <w:t xml:space="preserve">The methodological concern common to this group is training data provenance. Models are trained predominantly on simulated plumes inserted into real or synthetic backgrounds, because the number of observed plumes with independently known emission rates is small. Simulation permits control of the label but embeds the assumptions of the dispersion model in the learned mapping, and performance on simulated test data does not establish performance on observed scenes containing surface features that mimic absorption. Reported false-positive </w:t>
      </w:r>
      <w:proofErr w:type="spellStart"/>
      <w:r>
        <w:t>behaviour</w:t>
      </w:r>
      <w:proofErr w:type="spellEnd"/>
      <w:r>
        <w:t xml:space="preserve"> over heterogeneous surfaces is the practical manifestation of this, and it is reported inconsistently across studies. Where detection probability is </w:t>
      </w:r>
      <w:proofErr w:type="spellStart"/>
      <w:r>
        <w:t>characterised</w:t>
      </w:r>
      <w:proofErr w:type="spellEnd"/>
      <w:r>
        <w:t xml:space="preserve"> as a function of emission rate, wind speed and surface type, the resulting curves are directly usable for partial-detection correction; where only aggregate accuracy is reported, they are not. The field would benefit from treating the detection probability curve, rather than classification accuracy, as the primary reported output.</w:t>
      </w:r>
    </w:p>
    <w:p w14:paraId="5BD634D9" w14:textId="77777777" w:rsidR="002413BA" w:rsidRDefault="00000000" w:rsidP="008D794F">
      <w:pPr>
        <w:pStyle w:val="Heading3"/>
        <w:jc w:val="both"/>
      </w:pPr>
      <w:bookmarkStart w:id="22" w:name="X8b3e93972f63bad8175ad0070bcc89f96fce0cc"/>
      <w:bookmarkEnd w:id="21"/>
      <w:r>
        <w:lastRenderedPageBreak/>
        <w:t>5.4 Continuous Monitoring, Event Attribution and the Standard of Blind Testing</w:t>
      </w:r>
    </w:p>
    <w:p w14:paraId="43B63F60" w14:textId="77777777" w:rsidR="002413BA" w:rsidRDefault="00000000" w:rsidP="008D794F">
      <w:pPr>
        <w:pStyle w:val="FirstParagraph"/>
        <w:jc w:val="both"/>
      </w:pPr>
      <w:r>
        <w:t xml:space="preserve">The most consequential methodological development in this domain is not algorithmic. It is the adoption of single-blind controlled release testing, in which technology providers quantify emissions from releases whose rates are known to the test </w:t>
      </w:r>
      <w:proofErr w:type="spellStart"/>
      <w:r>
        <w:t>organisers</w:t>
      </w:r>
      <w:proofErr w:type="spellEnd"/>
      <w:r>
        <w:t xml:space="preserve"> and unknown to the participants. Blind testing of aircraft-based lidar established detection limits and quantification accuracy under field conditions rather than under vendor-specified conditions (Bell et al., 2022). Blind evaluation of quantitative optical gas imaging </w:t>
      </w:r>
      <w:proofErr w:type="spellStart"/>
      <w:r>
        <w:t>characterised</w:t>
      </w:r>
      <w:proofErr w:type="spellEnd"/>
      <w:r>
        <w:t xml:space="preserve"> quantification error across operating conditions (</w:t>
      </w:r>
      <w:proofErr w:type="spellStart"/>
      <w:r>
        <w:t>Ilonze</w:t>
      </w:r>
      <w:proofErr w:type="spellEnd"/>
      <w:r>
        <w:t xml:space="preserve"> et al., 2024). Blind testing of path-integrated column measurement systems assessed detection, </w:t>
      </w:r>
      <w:proofErr w:type="spellStart"/>
      <w:r>
        <w:t>localisation</w:t>
      </w:r>
      <w:proofErr w:type="spellEnd"/>
      <w:r>
        <w:t xml:space="preserve"> and quantification jointly (Blume et al., 2024). Blind testing of nine satellite systems from three continents provided the first systematic cross-platform comparison of space-based detection thresholds and quantification error (Sherwin et al., 2024a). Intercomparison of three continuous monitoring systems on operating production sites extended the approach from controlled releases to operational conditions (Daniels et al., 2025).</w:t>
      </w:r>
    </w:p>
    <w:p w14:paraId="41AA17D9" w14:textId="77777777" w:rsidR="002413BA" w:rsidRDefault="00000000" w:rsidP="008D794F">
      <w:pPr>
        <w:pStyle w:val="BodyText"/>
        <w:jc w:val="both"/>
      </w:pPr>
      <w:r>
        <w:t xml:space="preserve">This body of work has altered the evidentiary standard in the field. Claims about detection limits are now expected to be supported by blind evaluation, and the gap between vendor-reported and blind-tested performance has been documented repeatedly. Methodological work on the inference layer has developed alongside: algorithms for detection, </w:t>
      </w:r>
      <w:proofErr w:type="spellStart"/>
      <w:r>
        <w:t>localisation</w:t>
      </w:r>
      <w:proofErr w:type="spellEnd"/>
      <w:r>
        <w:t xml:space="preserve"> and quantification from point-in-space monitors have been </w:t>
      </w:r>
      <w:proofErr w:type="spellStart"/>
      <w:r>
        <w:t>formalised</w:t>
      </w:r>
      <w:proofErr w:type="spellEnd"/>
      <w:r>
        <w:t xml:space="preserve"> and tested (Daniels et al., 2024a), sensor placement has been treated as an explicit </w:t>
      </w:r>
      <w:proofErr w:type="spellStart"/>
      <w:r>
        <w:t>optimisation</w:t>
      </w:r>
      <w:proofErr w:type="spellEnd"/>
      <w:r>
        <w:t xml:space="preserve"> problem rather than a matter of convenience (Jia et al., 2025), and simulation studies have </w:t>
      </w:r>
      <w:proofErr w:type="spellStart"/>
      <w:r>
        <w:t>characterised</w:t>
      </w:r>
      <w:proofErr w:type="spellEnd"/>
      <w:r>
        <w:t xml:space="preserve"> the detection capability of monitoring networks at regional scale (Q. Chen et al., 2022). Concern about the completeness of bottom-up reporting persists even within well-studied basins (Riddick et al., 2024).</w:t>
      </w:r>
    </w:p>
    <w:p w14:paraId="3561AEBC" w14:textId="77777777" w:rsidR="002413BA" w:rsidRDefault="00000000" w:rsidP="008D794F">
      <w:pPr>
        <w:pStyle w:val="BodyText"/>
        <w:jc w:val="both"/>
      </w:pPr>
      <w:r>
        <w:t>The asymmetry with the ambient sensing literature is stark and, in the view taken here, is the most significant unexploited opportunity in the field. Ambient sensor evaluation relies overwhelmingly on co-location against reference instruments under ambient conditions that the investigators do not control and cannot replicate. No widely adopted equivalent of blind controlled release exists for particle or gas sensors in the ambient domain, despite the availability of controlled exposure facilities and the demonstrated feasibility of blind protocols in the adjacent field. The consequence is that the ambient literature can report agreement but cannot report detection probability or quantification accuracy against known truth across a controlled range of conditions.</w:t>
      </w:r>
    </w:p>
    <w:p w14:paraId="7F792009" w14:textId="77777777" w:rsidR="002413BA" w:rsidRDefault="00000000" w:rsidP="008D794F">
      <w:pPr>
        <w:pStyle w:val="BodyText"/>
        <w:jc w:val="both"/>
      </w:pPr>
      <w:r>
        <w:t xml:space="preserve">Table 4 </w:t>
      </w:r>
      <w:proofErr w:type="spellStart"/>
      <w:r>
        <w:t>summarises</w:t>
      </w:r>
      <w:proofErr w:type="spellEnd"/>
      <w:r>
        <w:t xml:space="preserve"> methodological limitations across the principal methane evidence streams and indicates the direction in which each limitation is likely to bias reported emissions. Direction of bias is stated where the evidence supports an inference and left unspecified where it does not, since asserting a direction without support would misrepresent the state of knowledge. The table is intended to make explicit that the limitations are not independent: partial detection, intermittency and non-random deployment interact, and correcting one without the others can worsen rather than improve a total.</w:t>
      </w:r>
    </w:p>
    <w:p w14:paraId="64CEECE2" w14:textId="77777777" w:rsidR="002413BA" w:rsidRDefault="00000000" w:rsidP="008D794F">
      <w:pPr>
        <w:pStyle w:val="BodyText"/>
        <w:jc w:val="both"/>
      </w:pPr>
      <w:r>
        <w:rPr>
          <w:b/>
          <w:bCs/>
        </w:rPr>
        <w:lastRenderedPageBreak/>
        <w:t>Table 4.</w:t>
      </w:r>
      <w:r>
        <w:t xml:space="preserve"> Methodological limitations across methane measurement streams and their likely consequences for reported emissions.</w:t>
      </w:r>
    </w:p>
    <w:tbl>
      <w:tblPr>
        <w:tblStyle w:val="TableGrid"/>
        <w:tblW w:w="5000" w:type="pct"/>
        <w:tblLook w:val="0020" w:firstRow="1" w:lastRow="0" w:firstColumn="0" w:lastColumn="0" w:noHBand="0" w:noVBand="0"/>
      </w:tblPr>
      <w:tblGrid>
        <w:gridCol w:w="1345"/>
        <w:gridCol w:w="1721"/>
        <w:gridCol w:w="2255"/>
        <w:gridCol w:w="2057"/>
        <w:gridCol w:w="2198"/>
      </w:tblGrid>
      <w:tr w:rsidR="002413BA" w14:paraId="3FF97E6D" w14:textId="77777777" w:rsidTr="008D794F">
        <w:tc>
          <w:tcPr>
            <w:tcW w:w="0" w:type="auto"/>
          </w:tcPr>
          <w:p w14:paraId="71627E6E" w14:textId="77777777" w:rsidR="002413BA" w:rsidRDefault="00000000" w:rsidP="008D794F">
            <w:pPr>
              <w:pStyle w:val="Compact"/>
              <w:jc w:val="both"/>
            </w:pPr>
            <w:r>
              <w:t>Evidence stream</w:t>
            </w:r>
          </w:p>
        </w:tc>
        <w:tc>
          <w:tcPr>
            <w:tcW w:w="0" w:type="auto"/>
          </w:tcPr>
          <w:p w14:paraId="6A99241D" w14:textId="77777777" w:rsidR="002413BA" w:rsidRDefault="00000000" w:rsidP="008D794F">
            <w:pPr>
              <w:pStyle w:val="Compact"/>
              <w:jc w:val="both"/>
            </w:pPr>
            <w:r>
              <w:t>Principal limitation</w:t>
            </w:r>
          </w:p>
        </w:tc>
        <w:tc>
          <w:tcPr>
            <w:tcW w:w="0" w:type="auto"/>
          </w:tcPr>
          <w:p w14:paraId="100B6AF1" w14:textId="77777777" w:rsidR="002413BA" w:rsidRDefault="00000000" w:rsidP="008D794F">
            <w:pPr>
              <w:pStyle w:val="Compact"/>
              <w:jc w:val="both"/>
            </w:pPr>
            <w:r>
              <w:t>Likely direction of bias in reported totals</w:t>
            </w:r>
          </w:p>
        </w:tc>
        <w:tc>
          <w:tcPr>
            <w:tcW w:w="0" w:type="auto"/>
          </w:tcPr>
          <w:p w14:paraId="21126370" w14:textId="77777777" w:rsidR="002413BA" w:rsidRDefault="00000000" w:rsidP="008D794F">
            <w:pPr>
              <w:pStyle w:val="Compact"/>
              <w:jc w:val="both"/>
            </w:pPr>
            <w:r>
              <w:t>Available mitigation</w:t>
            </w:r>
          </w:p>
        </w:tc>
        <w:tc>
          <w:tcPr>
            <w:tcW w:w="0" w:type="auto"/>
          </w:tcPr>
          <w:p w14:paraId="597D88E4" w14:textId="77777777" w:rsidR="002413BA" w:rsidRDefault="00000000" w:rsidP="008D794F">
            <w:pPr>
              <w:pStyle w:val="Compact"/>
              <w:jc w:val="both"/>
            </w:pPr>
            <w:r>
              <w:t>Supporting references</w:t>
            </w:r>
          </w:p>
        </w:tc>
      </w:tr>
      <w:tr w:rsidR="002413BA" w14:paraId="3E86798D" w14:textId="77777777" w:rsidTr="008D794F">
        <w:tc>
          <w:tcPr>
            <w:tcW w:w="0" w:type="auto"/>
          </w:tcPr>
          <w:p w14:paraId="6173EF24" w14:textId="77777777" w:rsidR="002413BA" w:rsidRDefault="00000000" w:rsidP="008D794F">
            <w:pPr>
              <w:pStyle w:val="Compact"/>
              <w:jc w:val="both"/>
            </w:pPr>
            <w:r>
              <w:t>Aerial point-source survey</w:t>
            </w:r>
          </w:p>
        </w:tc>
        <w:tc>
          <w:tcPr>
            <w:tcW w:w="0" w:type="auto"/>
          </w:tcPr>
          <w:p w14:paraId="37AA2639" w14:textId="77777777" w:rsidR="002413BA" w:rsidRDefault="00000000" w:rsidP="008D794F">
            <w:pPr>
              <w:pStyle w:val="Compact"/>
              <w:jc w:val="both"/>
            </w:pPr>
            <w:r>
              <w:t>Detection threshold excludes small sources</w:t>
            </w:r>
          </w:p>
        </w:tc>
        <w:tc>
          <w:tcPr>
            <w:tcW w:w="0" w:type="auto"/>
          </w:tcPr>
          <w:p w14:paraId="15893300" w14:textId="77777777" w:rsidR="002413BA" w:rsidRDefault="00000000" w:rsidP="008D794F">
            <w:pPr>
              <w:pStyle w:val="Compact"/>
              <w:jc w:val="both"/>
            </w:pPr>
            <w:r>
              <w:t>Underestimation of total if uncorrected</w:t>
            </w:r>
          </w:p>
        </w:tc>
        <w:tc>
          <w:tcPr>
            <w:tcW w:w="0" w:type="auto"/>
          </w:tcPr>
          <w:p w14:paraId="4B7635C1" w14:textId="77777777" w:rsidR="002413BA" w:rsidRDefault="00000000" w:rsidP="008D794F">
            <w:pPr>
              <w:pStyle w:val="Compact"/>
              <w:jc w:val="both"/>
            </w:pPr>
            <w:r>
              <w:t>Distribution fitting below threshold; pairing with site-level measurement</w:t>
            </w:r>
          </w:p>
        </w:tc>
        <w:tc>
          <w:tcPr>
            <w:tcW w:w="0" w:type="auto"/>
          </w:tcPr>
          <w:p w14:paraId="10F91425" w14:textId="77777777" w:rsidR="002413BA" w:rsidRDefault="00000000" w:rsidP="008D794F">
            <w:pPr>
              <w:pStyle w:val="Compact"/>
              <w:jc w:val="both"/>
            </w:pPr>
            <w:r>
              <w:t>Duren et al. (2019); Sherwin et al. (2024b); Omara et al. (2022)</w:t>
            </w:r>
          </w:p>
        </w:tc>
      </w:tr>
      <w:tr w:rsidR="002413BA" w14:paraId="404FADA1" w14:textId="77777777" w:rsidTr="008D794F">
        <w:tc>
          <w:tcPr>
            <w:tcW w:w="0" w:type="auto"/>
          </w:tcPr>
          <w:p w14:paraId="47F1F335" w14:textId="77777777" w:rsidR="002413BA" w:rsidRDefault="00000000" w:rsidP="008D794F">
            <w:pPr>
              <w:pStyle w:val="Compact"/>
              <w:jc w:val="both"/>
            </w:pPr>
            <w:r>
              <w:t>Aerial point-source survey</w:t>
            </w:r>
          </w:p>
        </w:tc>
        <w:tc>
          <w:tcPr>
            <w:tcW w:w="0" w:type="auto"/>
          </w:tcPr>
          <w:p w14:paraId="280C220E" w14:textId="77777777" w:rsidR="002413BA" w:rsidRDefault="00000000" w:rsidP="008D794F">
            <w:pPr>
              <w:pStyle w:val="Compact"/>
              <w:jc w:val="both"/>
            </w:pPr>
            <w:r>
              <w:t>Instantaneous rates extrapolated over time</w:t>
            </w:r>
          </w:p>
        </w:tc>
        <w:tc>
          <w:tcPr>
            <w:tcW w:w="0" w:type="auto"/>
          </w:tcPr>
          <w:p w14:paraId="748338D7" w14:textId="77777777" w:rsidR="002413BA" w:rsidRDefault="00000000" w:rsidP="008D794F">
            <w:pPr>
              <w:pStyle w:val="Compact"/>
              <w:jc w:val="both"/>
            </w:pPr>
            <w:r>
              <w:t>Overestimation if persistence assumed high; underestimation if detections treated as isolated</w:t>
            </w:r>
          </w:p>
        </w:tc>
        <w:tc>
          <w:tcPr>
            <w:tcW w:w="0" w:type="auto"/>
          </w:tcPr>
          <w:p w14:paraId="6928946D" w14:textId="77777777" w:rsidR="002413BA" w:rsidRDefault="00000000" w:rsidP="008D794F">
            <w:pPr>
              <w:pStyle w:val="Compact"/>
              <w:jc w:val="both"/>
            </w:pPr>
            <w:r>
              <w:t>Repeated overpass persistence estimation</w:t>
            </w:r>
          </w:p>
        </w:tc>
        <w:tc>
          <w:tcPr>
            <w:tcW w:w="0" w:type="auto"/>
          </w:tcPr>
          <w:p w14:paraId="54D31168" w14:textId="77777777" w:rsidR="002413BA" w:rsidRDefault="00000000" w:rsidP="008D794F">
            <w:pPr>
              <w:pStyle w:val="Compact"/>
              <w:jc w:val="both"/>
            </w:pPr>
            <w:r>
              <w:t>Cusworth et al. (2021); Cusworth et al. (2022)</w:t>
            </w:r>
          </w:p>
        </w:tc>
      </w:tr>
      <w:tr w:rsidR="002413BA" w14:paraId="58DBE6D5" w14:textId="77777777" w:rsidTr="008D794F">
        <w:tc>
          <w:tcPr>
            <w:tcW w:w="0" w:type="auto"/>
          </w:tcPr>
          <w:p w14:paraId="4BC4D414" w14:textId="77777777" w:rsidR="002413BA" w:rsidRDefault="00000000" w:rsidP="008D794F">
            <w:pPr>
              <w:pStyle w:val="Compact"/>
              <w:jc w:val="both"/>
            </w:pPr>
            <w:r>
              <w:t>Satellite column inversion</w:t>
            </w:r>
          </w:p>
        </w:tc>
        <w:tc>
          <w:tcPr>
            <w:tcW w:w="0" w:type="auto"/>
          </w:tcPr>
          <w:p w14:paraId="5908CDE5" w14:textId="77777777" w:rsidR="002413BA" w:rsidRDefault="00000000" w:rsidP="008D794F">
            <w:pPr>
              <w:pStyle w:val="Compact"/>
              <w:jc w:val="both"/>
            </w:pPr>
            <w:r>
              <w:t>Dependence on prior emission fields</w:t>
            </w:r>
          </w:p>
        </w:tc>
        <w:tc>
          <w:tcPr>
            <w:tcW w:w="0" w:type="auto"/>
          </w:tcPr>
          <w:p w14:paraId="41CFA0BC" w14:textId="77777777" w:rsidR="002413BA" w:rsidRDefault="00000000" w:rsidP="008D794F">
            <w:pPr>
              <w:pStyle w:val="Compact"/>
              <w:jc w:val="both"/>
            </w:pPr>
            <w:r>
              <w:t>Direction depends on prior; not generally specifiable</w:t>
            </w:r>
          </w:p>
        </w:tc>
        <w:tc>
          <w:tcPr>
            <w:tcW w:w="0" w:type="auto"/>
          </w:tcPr>
          <w:p w14:paraId="55561E44" w14:textId="77777777" w:rsidR="002413BA" w:rsidRDefault="00000000" w:rsidP="008D794F">
            <w:pPr>
              <w:pStyle w:val="Compact"/>
              <w:jc w:val="both"/>
            </w:pPr>
            <w:r>
              <w:t>Sensitivity analysis across priors; ensemble inversion</w:t>
            </w:r>
          </w:p>
        </w:tc>
        <w:tc>
          <w:tcPr>
            <w:tcW w:w="0" w:type="auto"/>
          </w:tcPr>
          <w:p w14:paraId="63D40BF7" w14:textId="77777777" w:rsidR="002413BA" w:rsidRDefault="00000000" w:rsidP="008D794F">
            <w:pPr>
              <w:pStyle w:val="Compact"/>
              <w:jc w:val="both"/>
            </w:pPr>
            <w:r>
              <w:t>Zhang et al. (2020); Nesser et al. (2024); Estrada et al. (2025)</w:t>
            </w:r>
          </w:p>
        </w:tc>
      </w:tr>
      <w:tr w:rsidR="002413BA" w14:paraId="4A7707AA" w14:textId="77777777" w:rsidTr="008D794F">
        <w:tc>
          <w:tcPr>
            <w:tcW w:w="0" w:type="auto"/>
          </w:tcPr>
          <w:p w14:paraId="07336CFF" w14:textId="77777777" w:rsidR="002413BA" w:rsidRDefault="00000000" w:rsidP="008D794F">
            <w:pPr>
              <w:pStyle w:val="Compact"/>
              <w:jc w:val="both"/>
            </w:pPr>
            <w:r>
              <w:t>Satellite point-source detection</w:t>
            </w:r>
          </w:p>
        </w:tc>
        <w:tc>
          <w:tcPr>
            <w:tcW w:w="0" w:type="auto"/>
          </w:tcPr>
          <w:p w14:paraId="5AE93087" w14:textId="77777777" w:rsidR="002413BA" w:rsidRDefault="00000000" w:rsidP="008D794F">
            <w:pPr>
              <w:pStyle w:val="Compact"/>
              <w:jc w:val="both"/>
            </w:pPr>
            <w:r>
              <w:t>High detection threshold; surface interference</w:t>
            </w:r>
          </w:p>
        </w:tc>
        <w:tc>
          <w:tcPr>
            <w:tcW w:w="0" w:type="auto"/>
          </w:tcPr>
          <w:p w14:paraId="3EF7863B" w14:textId="77777777" w:rsidR="002413BA" w:rsidRDefault="00000000" w:rsidP="008D794F">
            <w:pPr>
              <w:pStyle w:val="Compact"/>
              <w:jc w:val="both"/>
            </w:pPr>
            <w:r>
              <w:t>Underestimation of total; risk of false positives over bright surfaces</w:t>
            </w:r>
          </w:p>
        </w:tc>
        <w:tc>
          <w:tcPr>
            <w:tcW w:w="0" w:type="auto"/>
          </w:tcPr>
          <w:p w14:paraId="38E56172" w14:textId="77777777" w:rsidR="002413BA" w:rsidRDefault="00000000" w:rsidP="008D794F">
            <w:pPr>
              <w:pStyle w:val="Compact"/>
              <w:jc w:val="both"/>
            </w:pPr>
            <w:r>
              <w:t>Blind cross-platform testing; explicit detection probability curves</w:t>
            </w:r>
          </w:p>
        </w:tc>
        <w:tc>
          <w:tcPr>
            <w:tcW w:w="0" w:type="auto"/>
          </w:tcPr>
          <w:p w14:paraId="52D82E5A" w14:textId="77777777" w:rsidR="002413BA" w:rsidRDefault="00000000" w:rsidP="008D794F">
            <w:pPr>
              <w:pStyle w:val="Compact"/>
              <w:jc w:val="both"/>
            </w:pPr>
            <w:r>
              <w:t>Varon et al. (2018); Sherwin et al. (2024a); Schuit et al. (2023)</w:t>
            </w:r>
          </w:p>
        </w:tc>
      </w:tr>
      <w:tr w:rsidR="002413BA" w14:paraId="1A8AC796" w14:textId="77777777" w:rsidTr="008D794F">
        <w:tc>
          <w:tcPr>
            <w:tcW w:w="0" w:type="auto"/>
          </w:tcPr>
          <w:p w14:paraId="536DDDD9" w14:textId="77777777" w:rsidR="002413BA" w:rsidRDefault="00000000" w:rsidP="008D794F">
            <w:pPr>
              <w:pStyle w:val="Compact"/>
              <w:jc w:val="both"/>
            </w:pPr>
            <w:r>
              <w:t>Learned plume retrieval</w:t>
            </w:r>
          </w:p>
        </w:tc>
        <w:tc>
          <w:tcPr>
            <w:tcW w:w="0" w:type="auto"/>
          </w:tcPr>
          <w:p w14:paraId="38E4A68C" w14:textId="77777777" w:rsidR="002413BA" w:rsidRDefault="00000000" w:rsidP="008D794F">
            <w:pPr>
              <w:pStyle w:val="Compact"/>
              <w:jc w:val="both"/>
            </w:pPr>
            <w:r>
              <w:t>Training on simulated plumes</w:t>
            </w:r>
          </w:p>
        </w:tc>
        <w:tc>
          <w:tcPr>
            <w:tcW w:w="0" w:type="auto"/>
          </w:tcPr>
          <w:p w14:paraId="36D62519" w14:textId="77777777" w:rsidR="002413BA" w:rsidRDefault="00000000" w:rsidP="008D794F">
            <w:pPr>
              <w:pStyle w:val="Compact"/>
              <w:jc w:val="both"/>
            </w:pPr>
            <w:r>
              <w:t>Not generally specifiable; error concentrated in atypical scenes</w:t>
            </w:r>
          </w:p>
        </w:tc>
        <w:tc>
          <w:tcPr>
            <w:tcW w:w="0" w:type="auto"/>
          </w:tcPr>
          <w:p w14:paraId="5059FA8F" w14:textId="77777777" w:rsidR="002413BA" w:rsidRDefault="00000000" w:rsidP="008D794F">
            <w:pPr>
              <w:pStyle w:val="Compact"/>
              <w:jc w:val="both"/>
            </w:pPr>
            <w:r>
              <w:t>Observed-plume validation; reporting of detection probability curves</w:t>
            </w:r>
          </w:p>
        </w:tc>
        <w:tc>
          <w:tcPr>
            <w:tcW w:w="0" w:type="auto"/>
          </w:tcPr>
          <w:p w14:paraId="26EE2EEB" w14:textId="77777777" w:rsidR="002413BA" w:rsidRDefault="00000000" w:rsidP="008D794F">
            <w:pPr>
              <w:pStyle w:val="Compact"/>
              <w:jc w:val="both"/>
            </w:pPr>
            <w:proofErr w:type="spellStart"/>
            <w:r>
              <w:t>Jongaramrungruang</w:t>
            </w:r>
            <w:proofErr w:type="spellEnd"/>
            <w:r>
              <w:t xml:space="preserve"> et al. (2022); </w:t>
            </w:r>
            <w:proofErr w:type="spellStart"/>
            <w:r>
              <w:t>Rouet</w:t>
            </w:r>
            <w:proofErr w:type="spellEnd"/>
            <w:r>
              <w:t>-Leduc and Hulbert (2024)</w:t>
            </w:r>
          </w:p>
        </w:tc>
      </w:tr>
      <w:tr w:rsidR="002413BA" w14:paraId="61F8872E" w14:textId="77777777" w:rsidTr="008D794F">
        <w:tc>
          <w:tcPr>
            <w:tcW w:w="0" w:type="auto"/>
          </w:tcPr>
          <w:p w14:paraId="591793A4" w14:textId="77777777" w:rsidR="002413BA" w:rsidRDefault="00000000" w:rsidP="008D794F">
            <w:pPr>
              <w:pStyle w:val="Compact"/>
              <w:jc w:val="both"/>
            </w:pPr>
            <w:r>
              <w:t>Continuous site monitoring</w:t>
            </w:r>
          </w:p>
        </w:tc>
        <w:tc>
          <w:tcPr>
            <w:tcW w:w="0" w:type="auto"/>
          </w:tcPr>
          <w:p w14:paraId="7887E5B9" w14:textId="77777777" w:rsidR="002413BA" w:rsidRDefault="00000000" w:rsidP="008D794F">
            <w:pPr>
              <w:pStyle w:val="Compact"/>
              <w:jc w:val="both"/>
            </w:pPr>
            <w:r>
              <w:t>Non-random site selection; wind-dependent inference</w:t>
            </w:r>
          </w:p>
        </w:tc>
        <w:tc>
          <w:tcPr>
            <w:tcW w:w="0" w:type="auto"/>
          </w:tcPr>
          <w:p w14:paraId="1084E0AC" w14:textId="77777777" w:rsidR="002413BA" w:rsidRDefault="00000000" w:rsidP="008D794F">
            <w:pPr>
              <w:pStyle w:val="Compact"/>
              <w:jc w:val="both"/>
            </w:pPr>
            <w:r>
              <w:t>Unrepresentative site sample; attribution ambiguity within site</w:t>
            </w:r>
          </w:p>
        </w:tc>
        <w:tc>
          <w:tcPr>
            <w:tcW w:w="0" w:type="auto"/>
          </w:tcPr>
          <w:p w14:paraId="54ABE0B4" w14:textId="77777777" w:rsidR="002413BA" w:rsidRDefault="00000000" w:rsidP="008D794F">
            <w:pPr>
              <w:pStyle w:val="Compact"/>
              <w:jc w:val="both"/>
            </w:pPr>
            <w:r>
              <w:t xml:space="preserve">Blind operational intercomparison; placement </w:t>
            </w:r>
            <w:proofErr w:type="spellStart"/>
            <w:r>
              <w:t>optimisation</w:t>
            </w:r>
            <w:proofErr w:type="spellEnd"/>
          </w:p>
        </w:tc>
        <w:tc>
          <w:tcPr>
            <w:tcW w:w="0" w:type="auto"/>
          </w:tcPr>
          <w:p w14:paraId="60D83866" w14:textId="77777777" w:rsidR="002413BA" w:rsidRDefault="00000000" w:rsidP="008D794F">
            <w:pPr>
              <w:pStyle w:val="Compact"/>
              <w:jc w:val="both"/>
            </w:pPr>
            <w:r>
              <w:t>Daniels et al. (2024a); Daniels et al. (2025); Jia et al. (2025)</w:t>
            </w:r>
          </w:p>
        </w:tc>
      </w:tr>
      <w:tr w:rsidR="002413BA" w14:paraId="4F3531F0" w14:textId="77777777" w:rsidTr="008D794F">
        <w:tc>
          <w:tcPr>
            <w:tcW w:w="0" w:type="auto"/>
          </w:tcPr>
          <w:p w14:paraId="1666DFA8" w14:textId="77777777" w:rsidR="002413BA" w:rsidRDefault="00000000" w:rsidP="008D794F">
            <w:pPr>
              <w:pStyle w:val="Compact"/>
              <w:jc w:val="both"/>
            </w:pPr>
            <w:r>
              <w:t>Engineering bottom-up inventory</w:t>
            </w:r>
          </w:p>
        </w:tc>
        <w:tc>
          <w:tcPr>
            <w:tcW w:w="0" w:type="auto"/>
          </w:tcPr>
          <w:p w14:paraId="039EF1BF" w14:textId="77777777" w:rsidR="002413BA" w:rsidRDefault="00000000" w:rsidP="008D794F">
            <w:pPr>
              <w:pStyle w:val="Compact"/>
              <w:jc w:val="both"/>
            </w:pPr>
            <w:r>
              <w:t>Design-basis emission factors exclude abnormal conditions</w:t>
            </w:r>
          </w:p>
        </w:tc>
        <w:tc>
          <w:tcPr>
            <w:tcW w:w="0" w:type="auto"/>
          </w:tcPr>
          <w:p w14:paraId="03ACEB55" w14:textId="77777777" w:rsidR="002413BA" w:rsidRDefault="00000000" w:rsidP="008D794F">
            <w:pPr>
              <w:pStyle w:val="Compact"/>
              <w:jc w:val="both"/>
            </w:pPr>
            <w:r>
              <w:t>Underestimation</w:t>
            </w:r>
          </w:p>
        </w:tc>
        <w:tc>
          <w:tcPr>
            <w:tcW w:w="0" w:type="auto"/>
          </w:tcPr>
          <w:p w14:paraId="1BCCBF2C" w14:textId="77777777" w:rsidR="002413BA" w:rsidRDefault="00000000" w:rsidP="008D794F">
            <w:pPr>
              <w:pStyle w:val="Compact"/>
              <w:jc w:val="both"/>
            </w:pPr>
            <w:r>
              <w:t>Incorporation of measured abnormal-condition distributions</w:t>
            </w:r>
          </w:p>
        </w:tc>
        <w:tc>
          <w:tcPr>
            <w:tcW w:w="0" w:type="auto"/>
          </w:tcPr>
          <w:p w14:paraId="18CEC3AB" w14:textId="77777777" w:rsidR="002413BA" w:rsidRDefault="00000000" w:rsidP="008D794F">
            <w:pPr>
              <w:pStyle w:val="Compact"/>
              <w:jc w:val="both"/>
            </w:pPr>
            <w:r>
              <w:t>Alvarez et al. (2018); Rutherford et al. (2021); Riddick et al. (2024)</w:t>
            </w:r>
          </w:p>
        </w:tc>
      </w:tr>
    </w:tbl>
    <w:p w14:paraId="46C9B494" w14:textId="77777777" w:rsidR="002413BA" w:rsidRDefault="00000000" w:rsidP="008D794F">
      <w:pPr>
        <w:pStyle w:val="Heading2"/>
        <w:jc w:val="both"/>
      </w:pPr>
      <w:bookmarkStart w:id="23" w:name="Xa07b6628f323e5c2e048e4f4e8beacb376b84a1"/>
      <w:bookmarkEnd w:id="18"/>
      <w:bookmarkEnd w:id="22"/>
      <w:r>
        <w:t>6. Mobile, On-Road and Urban Carbon Applications</w:t>
      </w:r>
    </w:p>
    <w:p w14:paraId="43217D4A" w14:textId="77777777" w:rsidR="002413BA" w:rsidRDefault="00000000" w:rsidP="008D794F">
      <w:pPr>
        <w:pStyle w:val="Heading3"/>
        <w:jc w:val="both"/>
      </w:pPr>
      <w:bookmarkStart w:id="24" w:name="on-road-vehicle-emissions"/>
      <w:r>
        <w:t>6.1 On-Road Vehicle Emissions</w:t>
      </w:r>
    </w:p>
    <w:p w14:paraId="76D04C75" w14:textId="77777777" w:rsidR="002413BA" w:rsidRDefault="00000000" w:rsidP="008D794F">
      <w:pPr>
        <w:pStyle w:val="FirstParagraph"/>
        <w:jc w:val="both"/>
      </w:pPr>
      <w:r>
        <w:t xml:space="preserve">Measurement of vehicles as operated has the longest history of any real-world emissions </w:t>
      </w:r>
      <w:proofErr w:type="spellStart"/>
      <w:r>
        <w:t>programme</w:t>
      </w:r>
      <w:proofErr w:type="spellEnd"/>
      <w:r>
        <w:t xml:space="preserve"> in the United States, and it provides a cautionary comparison. Roadside remote sensing established in the 1990s that fleet emissions were dominated by a small fraction of high-emitting vehicles and that this pattern was invisible to certification testing (Beaton et al., 1995). Sustained measurement over subsequent decades documented substantial reductions in fleet-average emissions attributable to technology turnover, together with the persistence of a high-emitting tail (Bishop &amp; Stedman, 2008). Portable emissions measurement systems extended this to in-use </w:t>
      </w:r>
      <w:proofErr w:type="spellStart"/>
      <w:r>
        <w:t>characterisation</w:t>
      </w:r>
      <w:proofErr w:type="spellEnd"/>
      <w:r>
        <w:t xml:space="preserve"> of individual vehicles under real driving conditions, and activity-based windowing methods have been developed to evaluate compliance of modern heavy-duty diesel vehicles under the low-load, low-temperature conditions in which aftertreatment performance degrades (Pondicherry et al., 2021). Analysis of the consequences of divergence between certified and real-world diesel emissions of nitrogen oxides across major vehicle markets quantified substantial associated health burdens (Anenberg et al., 2017).</w:t>
      </w:r>
    </w:p>
    <w:p w14:paraId="301216C5" w14:textId="77777777" w:rsidR="002413BA" w:rsidRDefault="00000000" w:rsidP="008D794F">
      <w:pPr>
        <w:pStyle w:val="BodyText"/>
        <w:jc w:val="both"/>
      </w:pPr>
      <w:r>
        <w:lastRenderedPageBreak/>
        <w:t xml:space="preserve">What is notable is how little of this domain has been reconstructed around sensor fusion and statistical learning relative to the methane and ambient particulate domains. The measurement modalities remain largely separate: remote sensing, portable measurement, onboard diagnostics, fuel-based inventories and traffic activity data are typically </w:t>
      </w:r>
      <w:proofErr w:type="spellStart"/>
      <w:r>
        <w:t>analysed</w:t>
      </w:r>
      <w:proofErr w:type="spellEnd"/>
      <w:r>
        <w:t xml:space="preserve"> in parallel rather than jointly. The heavy-tailed structure that motivates advanced sampling design in the methane literature is present here and has been documented for longer, yet the statistical machinery developed for partial detection and intermittency has not been transferred. The reasons appear institutional rather than technical, since the emissions data are distributed across regulatory, academic and commercial holders with limited integration, and this constitutes an identifiable and tractable gap.</w:t>
      </w:r>
    </w:p>
    <w:p w14:paraId="41005D8E" w14:textId="77777777" w:rsidR="002413BA" w:rsidRDefault="00000000" w:rsidP="008D794F">
      <w:pPr>
        <w:pStyle w:val="Heading3"/>
        <w:jc w:val="both"/>
      </w:pPr>
      <w:bookmarkStart w:id="25" w:name="X4d110ea628ad2115cbbb57045f183e91b64b782"/>
      <w:bookmarkEnd w:id="24"/>
      <w:r>
        <w:t>6.2 Mobile Monitoring and Intra-Urban Gradients</w:t>
      </w:r>
    </w:p>
    <w:p w14:paraId="4611F032" w14:textId="77777777" w:rsidR="002413BA" w:rsidRDefault="00000000" w:rsidP="008D794F">
      <w:pPr>
        <w:pStyle w:val="FirstParagraph"/>
        <w:jc w:val="both"/>
      </w:pPr>
      <w:r>
        <w:t xml:space="preserve">Mobile platforms occupy an intermediate position between fixed monitoring and modelling. Repeated sampling with instrumented vehicles across an urban road network produced stable maps of intra-urban pollutant variation at scales of tens of </w:t>
      </w:r>
      <w:proofErr w:type="spellStart"/>
      <w:r>
        <w:t>metres</w:t>
      </w:r>
      <w:proofErr w:type="spellEnd"/>
      <w:r>
        <w:t xml:space="preserve">, demonstrating that persistent gradients exist well below the resolution of regulatory networks and of most modelled surfaces (Apte et al., 2017). Linkage of such maps to cohort health data has been used to examine associations with cardiovascular outcomes at </w:t>
      </w:r>
      <w:proofErr w:type="spellStart"/>
      <w:r>
        <w:t>neighbourhood</w:t>
      </w:r>
      <w:proofErr w:type="spellEnd"/>
      <w:r>
        <w:t xml:space="preserve"> scale (</w:t>
      </w:r>
      <w:proofErr w:type="spellStart"/>
      <w:r>
        <w:t>Alexeeff</w:t>
      </w:r>
      <w:proofErr w:type="spellEnd"/>
      <w:r>
        <w:t xml:space="preserve"> et al., 2018), and extended campaigns across multiple regions have </w:t>
      </w:r>
      <w:proofErr w:type="spellStart"/>
      <w:r>
        <w:t>characterised</w:t>
      </w:r>
      <w:proofErr w:type="spellEnd"/>
      <w:r>
        <w:t xml:space="preserve"> racial and ethnic disparities in exposure at both local and regional scales (Chambliss et al., 2021). Deployment of low-cost sensors on municipal vehicle fleets has been explored as a lower-cost route to similar coverage, with the accompanying difficulties of platform-induced artefacts and irregular sampling (</w:t>
      </w:r>
      <w:proofErr w:type="spellStart"/>
      <w:r>
        <w:t>deSouza</w:t>
      </w:r>
      <w:proofErr w:type="spellEnd"/>
      <w:r>
        <w:t xml:space="preserve"> et al., 2020).</w:t>
      </w:r>
    </w:p>
    <w:p w14:paraId="39387F50" w14:textId="77777777" w:rsidR="002413BA" w:rsidRDefault="00000000" w:rsidP="008D794F">
      <w:pPr>
        <w:pStyle w:val="BodyText"/>
        <w:jc w:val="both"/>
      </w:pPr>
      <w:r>
        <w:t>Mobile data present a specific inferential problem that fusion has not resolved. Sampling is conditional on route and time of day, and both are correlated with the emission sources of interest. Aggregating repeated transects into a stable spatial estimate requires assumptions about the temporal representativeness of the sampled hours, and the number of repeats required for stability differs between pollutants with different source structures. Where mobile data are fused with fixed-site or modelled data, the resulting product inherits this conditional sampling structure in a form that is rarely made explicit.</w:t>
      </w:r>
    </w:p>
    <w:p w14:paraId="4778EF09" w14:textId="77777777" w:rsidR="002413BA" w:rsidRDefault="00000000" w:rsidP="008D794F">
      <w:pPr>
        <w:pStyle w:val="Heading3"/>
        <w:jc w:val="both"/>
      </w:pPr>
      <w:bookmarkStart w:id="26" w:name="urban-greenhouse-gas-inference"/>
      <w:bookmarkEnd w:id="25"/>
      <w:r>
        <w:t>6.3 Urban Greenhouse Gas Inference</w:t>
      </w:r>
    </w:p>
    <w:p w14:paraId="05771759" w14:textId="77777777" w:rsidR="002413BA" w:rsidRDefault="00000000" w:rsidP="008D794F">
      <w:pPr>
        <w:pStyle w:val="FirstParagraph"/>
        <w:jc w:val="both"/>
      </w:pPr>
      <w:r>
        <w:t>Urban carbon dioxide (CO</w:t>
      </w:r>
      <w:r>
        <w:rPr>
          <w:vertAlign w:val="subscript"/>
        </w:rPr>
        <w:t>2</w:t>
      </w:r>
      <w:r>
        <w:t>) measurement has developed a distinctive multi-platform architecture combining tower networks, atmospheric transport inversion and high-resolution bottom-up emission products. The Indianapolis Flux Experiment established a dense urban tower network with associated inversion capability and demonstrated that urban-scale flux quantification is achievable, while documenting the sensitivity of results to transport model configuration and to background definition (</w:t>
      </w:r>
      <w:proofErr w:type="spellStart"/>
      <w:r>
        <w:t>Lauvaux</w:t>
      </w:r>
      <w:proofErr w:type="spellEnd"/>
      <w:r>
        <w:t xml:space="preserve"> et al., 2016; Whetstone, 2018). Bottom-up products at building and road-segment resolution provide the spatial prior for such inversions and have been updated across successive versions with expanded temporal coverage (Gurney et al., 2020; Gurney et al., 2025). Comparison of these products with self-reported municipal inventories found systematic under-reporting by cities, with the discrepancy varying by sector and by city (Gurney et al., 2021). </w:t>
      </w:r>
      <w:r>
        <w:lastRenderedPageBreak/>
        <w:t>Observational networks also proved capable of detecting abrupt emission changes, as demonstrated by the response of urban CO</w:t>
      </w:r>
      <w:r>
        <w:rPr>
          <w:vertAlign w:val="subscript"/>
        </w:rPr>
        <w:t>2</w:t>
      </w:r>
      <w:r>
        <w:t xml:space="preserve"> measurements to mobility reductions during the coronavirus disease 2019 restrictions (Turner et al., 2020).</w:t>
      </w:r>
    </w:p>
    <w:p w14:paraId="44C75419" w14:textId="77777777" w:rsidR="002413BA" w:rsidRDefault="00000000" w:rsidP="008D794F">
      <w:pPr>
        <w:pStyle w:val="BodyText"/>
        <w:jc w:val="both"/>
      </w:pPr>
      <w:r>
        <w:t>The parallel with methane is instructive and the difference is equally so. In both cases, independent measurement revealed that self-reported or engineering-based inventories were incomplete. In the methane case, the measurement community converged on a diagnosis and demonstrated inventory repair (Rutherford et al., 2021). In the urban carbon case, no comparable repair has been demonstrated, in part because urban CO</w:t>
      </w:r>
      <w:r>
        <w:rPr>
          <w:vertAlign w:val="subscript"/>
        </w:rPr>
        <w:t>2</w:t>
      </w:r>
      <w:r>
        <w:t xml:space="preserve"> emissions are diffuse rather than concentrated in a detectable tail, so the point-source detection strategy that succeeded for methane has no direct analogue. This asymmetry is a useful corrective to the assumption that improved observation automatically improves accounting: it does so when the emission distribution has a detectable structure that observation can exploit.</w:t>
      </w:r>
    </w:p>
    <w:p w14:paraId="2DF227B6" w14:textId="77777777" w:rsidR="002413BA" w:rsidRDefault="00000000" w:rsidP="008D794F">
      <w:pPr>
        <w:pStyle w:val="Heading2"/>
        <w:jc w:val="both"/>
      </w:pPr>
      <w:bookmarkStart w:id="27" w:name="Xbfe08d2d9a6d625e645ddb3e508bf4523915e42"/>
      <w:bookmarkEnd w:id="23"/>
      <w:bookmarkEnd w:id="26"/>
      <w:r>
        <w:t>7. Climate-Related Environmental Assessment: Episodic Sources, Exposure Surfaces and Distributional Structure</w:t>
      </w:r>
    </w:p>
    <w:p w14:paraId="3DEA48C9" w14:textId="77777777" w:rsidR="002413BA" w:rsidRDefault="00000000" w:rsidP="008D794F">
      <w:pPr>
        <w:pStyle w:val="Heading3"/>
        <w:jc w:val="both"/>
      </w:pPr>
      <w:bookmarkStart w:id="28" w:name="Xf4cb21a4caf2c7541d231877906474e5f982332"/>
      <w:r>
        <w:t>7.1 Wildfire Smoke as a Test of Fusion Under Changing Conditions</w:t>
      </w:r>
    </w:p>
    <w:p w14:paraId="5FF70E6D" w14:textId="77777777" w:rsidR="002413BA" w:rsidRDefault="00000000" w:rsidP="008D794F">
      <w:pPr>
        <w:pStyle w:val="FirstParagraph"/>
        <w:jc w:val="both"/>
      </w:pPr>
      <w:r>
        <w:t>Wildfire smoke provides the clearest case in which climate-driven change in the emission regime interacts directly with the assumptions embedded in monitoring and inference systems. The contribution of wildfire smoke to fine particulate concentrations in the United States has increased sufficiently to offset or reverse decades of improvement attributable to emission control in substantial parts of the country (Burke et al., 2023), against a background of increasing area burned and population exposure (Burke et al., 2021). Estimation of smoke-attributable concentrations has relied on fusion by necessity: regulatory monitors are sparse in the areas most affected, satellite retrievals of smoke plumes provide spatial extent but not surface concentration, and models of smoke transport require emission inputs that are themselves uncertain.</w:t>
      </w:r>
    </w:p>
    <w:p w14:paraId="23F14969" w14:textId="77777777" w:rsidR="002413BA" w:rsidRDefault="00000000" w:rsidP="008D794F">
      <w:pPr>
        <w:pStyle w:val="BodyText"/>
        <w:jc w:val="both"/>
      </w:pPr>
      <w:r>
        <w:t>Statistical learning has been central to the resulting products. Early work demonstrated that ensemble learning combining satellite aerosol retrievals, model output and monitor data outperformed individual predictors for smoke-affected concentrations during a major fire episode (Reid et al., 2015). Daily local-level estimates of smoke-attributable PM</w:t>
      </w:r>
      <w:r>
        <w:rPr>
          <w:vertAlign w:val="subscript"/>
        </w:rPr>
        <w:t>2.5</w:t>
      </w:r>
      <w:r>
        <w:t xml:space="preserve"> have since been produced for the contiguous United States by separating smoke and non-smoke components using plume boundaries and learned models (Childs et al., 2022), and deep learning approaches have been used to estimate long-term black carbon and PM</w:t>
      </w:r>
      <w:r>
        <w:rPr>
          <w:vertAlign w:val="subscript"/>
        </w:rPr>
        <w:t>2.5</w:t>
      </w:r>
      <w:r>
        <w:t xml:space="preserve"> from wildfire emissions for mortality burden assessment (Wei et al., 2023).</w:t>
      </w:r>
    </w:p>
    <w:p w14:paraId="7A9A0480" w14:textId="77777777" w:rsidR="002413BA" w:rsidRDefault="00000000" w:rsidP="008D794F">
      <w:pPr>
        <w:pStyle w:val="BodyText"/>
        <w:jc w:val="both"/>
      </w:pPr>
      <w:r>
        <w:t xml:space="preserve">Three critical observations follow. The training data for these models are drawn from historical fire regimes, and the fire regime is non-stationary, so the covariate relationships learned may not persist. The separation of smoke from non-smoke components depends on plume boundary products whose error is not independent of the concentration estimate. And the sensor networks increasingly relied upon for local information during smoke episodes are subject to composition-dependent response error precisely under those conditions (Holder et al., 2020). Each of these is a distribution shift problem, and the field </w:t>
      </w:r>
      <w:r>
        <w:lastRenderedPageBreak/>
        <w:t>has not developed the diagnostics that would allow a user to know when a smoke-period estimate should be distrusted.</w:t>
      </w:r>
    </w:p>
    <w:p w14:paraId="01ABAE05" w14:textId="77777777" w:rsidR="002413BA" w:rsidRDefault="00000000" w:rsidP="008D794F">
      <w:pPr>
        <w:pStyle w:val="Heading3"/>
        <w:jc w:val="both"/>
      </w:pPr>
      <w:bookmarkStart w:id="29" w:name="Xbb56093472ac9b159fca1a5a8fa83a08f97dc01"/>
      <w:bookmarkEnd w:id="28"/>
      <w:r>
        <w:t>7.2 Exposure Surfaces, Downstream Use and Error Propagation</w:t>
      </w:r>
    </w:p>
    <w:p w14:paraId="323FB1AF" w14:textId="77777777" w:rsidR="002413BA" w:rsidRDefault="00000000" w:rsidP="008D794F">
      <w:pPr>
        <w:pStyle w:val="FirstParagraph"/>
        <w:jc w:val="both"/>
      </w:pPr>
      <w:r>
        <w:t>Fused concentration surfaces are used well beyond air quality management. They serve as exposure inputs to epidemiological cohort studies, as the basis for burden estimates attributed to specific emission sources, and as evidence in regulatory impact analysis. The error properties that matter for these uses differ from those normally reported. Epidemiological estimation is sensitive to the spatial structure of exposure error and to whether that error is classical or Berkson in character, not primarily to aggregate accuracy. Source attribution studies are sensitive to whether error is correlated with source proximity. Burden estimates are sensitive to error at the tails of the exposure distribution.</w:t>
      </w:r>
    </w:p>
    <w:p w14:paraId="5090656F" w14:textId="77777777" w:rsidR="002413BA" w:rsidRDefault="00000000" w:rsidP="008D794F">
      <w:pPr>
        <w:pStyle w:val="BodyText"/>
        <w:jc w:val="both"/>
      </w:pPr>
      <w:r>
        <w:t xml:space="preserve">Reported validation statistics address none of these directly. Cross-validated agreement against withheld monitors describes average performance at monitor-like locations. Studies that report error as a function of monitor density, of land use, or of exposure level are uncommon, and where such stratification has been performed the variation is substantial. The consequence is that downstream analyses generally propagate a single scalar uncertainty, or none at all, when the relevant uncertainty is spatially structured. This is a solvable problem: methods for propagating spatially structured prediction error into second-stage estimation are established, and the obstacle is the absence of the necessary error </w:t>
      </w:r>
      <w:proofErr w:type="spellStart"/>
      <w:r>
        <w:t>characterisation</w:t>
      </w:r>
      <w:proofErr w:type="spellEnd"/>
      <w:r>
        <w:t xml:space="preserve"> in the published surfaces rather than the absence of statistical machinery.</w:t>
      </w:r>
    </w:p>
    <w:p w14:paraId="4E904284" w14:textId="77777777" w:rsidR="002413BA" w:rsidRDefault="00000000" w:rsidP="008D794F">
      <w:pPr>
        <w:pStyle w:val="Heading3"/>
        <w:jc w:val="both"/>
      </w:pPr>
      <w:bookmarkStart w:id="30" w:name="distributional-structure-and-equity"/>
      <w:bookmarkEnd w:id="29"/>
      <w:r>
        <w:t>7.3 Distributional Structure and Equity</w:t>
      </w:r>
    </w:p>
    <w:p w14:paraId="0F54B113" w14:textId="77777777" w:rsidR="002413BA" w:rsidRDefault="00000000" w:rsidP="008D794F">
      <w:pPr>
        <w:pStyle w:val="FirstParagraph"/>
        <w:jc w:val="both"/>
      </w:pPr>
      <w:r>
        <w:t>The distributional consequences of monitoring design are not incidental. Regulatory monitor siting reflects historical decisions about population coverage and non-attainment designation, and analysis of the spatial association between ambient pollution and demographic composition indicates systematic patterns in the United States (Chakraborty, 2025). Source-attributed modelling has shown that exposure to PM</w:t>
      </w:r>
      <w:r>
        <w:rPr>
          <w:vertAlign w:val="subscript"/>
        </w:rPr>
        <w:t>2.5</w:t>
      </w:r>
      <w:r>
        <w:t xml:space="preserve"> from most emission source categories is higher for people of </w:t>
      </w:r>
      <w:proofErr w:type="spellStart"/>
      <w:r>
        <w:t>colour</w:t>
      </w:r>
      <w:proofErr w:type="spellEnd"/>
      <w:r>
        <w:t xml:space="preserve"> than for the population average, with the pattern holding across states and source types (Tessum et al., 2021). Long-term mobile monitoring has demonstrated that disparities are detectable at both local and regional scale and that the local component is invisible to coarser methods (Chambliss et al., 2021).</w:t>
      </w:r>
    </w:p>
    <w:p w14:paraId="3F19E7B1" w14:textId="77777777" w:rsidR="002413BA" w:rsidRDefault="00000000" w:rsidP="008D794F">
      <w:pPr>
        <w:pStyle w:val="BodyText"/>
        <w:jc w:val="both"/>
      </w:pPr>
      <w:r>
        <w:t>Low-cost sensor deployment has been proposed as a corrective to monitoring gaps, and it does extend coverage substantially. Its distribution is nonetheless non-random: consumer sensor placement is associated with demographic and air quality characteristics, so that the added coverage does not necessarily fall where the regulatory network is weakest (</w:t>
      </w:r>
      <w:proofErr w:type="spellStart"/>
      <w:r>
        <w:t>deSouza</w:t>
      </w:r>
      <w:proofErr w:type="spellEnd"/>
      <w:r>
        <w:t xml:space="preserve"> &amp; Kinney, 2021). Because fused surfaces are trained on the combined monitor and sensor set, the spatial structure of training data influences the spatial structure of predictive error, and both are correlated with the demographic variables that equity analyses examine. The methodological point is precise and often missed: an equity analysis conducted on a fused surface may partly reflect the geography of measurement rather than </w:t>
      </w:r>
      <w:r>
        <w:lastRenderedPageBreak/>
        <w:t>the geography of exposure, and no published study reviewed here has fully separated these.</w:t>
      </w:r>
    </w:p>
    <w:p w14:paraId="5FDA3735" w14:textId="77777777" w:rsidR="002413BA" w:rsidRDefault="00000000" w:rsidP="008D794F">
      <w:pPr>
        <w:pStyle w:val="Heading2"/>
        <w:jc w:val="both"/>
      </w:pPr>
      <w:bookmarkStart w:id="31" w:name="X2b7f0a86fd9c30e73e6bc00ec4e9ef5f1dff077"/>
      <w:bookmarkEnd w:id="27"/>
      <w:bookmarkEnd w:id="30"/>
      <w:r>
        <w:t>8. Evidence Quality, Validation Practice and Regulatory Translation</w:t>
      </w:r>
    </w:p>
    <w:p w14:paraId="5184D826" w14:textId="77777777" w:rsidR="002413BA" w:rsidRDefault="00000000" w:rsidP="008D794F">
      <w:pPr>
        <w:pStyle w:val="Heading3"/>
        <w:jc w:val="both"/>
      </w:pPr>
      <w:bookmarkStart w:id="32" w:name="the-uneven-standard-of-validation"/>
      <w:r>
        <w:t>8.1 The Uneven Standard of Validation</w:t>
      </w:r>
    </w:p>
    <w:p w14:paraId="70651938" w14:textId="77777777" w:rsidR="002413BA" w:rsidRDefault="00000000" w:rsidP="008D794F">
      <w:pPr>
        <w:pStyle w:val="FirstParagraph"/>
        <w:jc w:val="both"/>
      </w:pPr>
      <w:r>
        <w:t xml:space="preserve">The preceding sections identify a consistent pattern. Where independent, blinded evaluation against known truth is feasible and has been adopted, the field has produced defensible statements about detection limits and quantification accuracy, and the gap between claimed and demonstrated performance has narrowed (Bell et al., 2022; Sherwin et al., 2024a; </w:t>
      </w:r>
      <w:proofErr w:type="spellStart"/>
      <w:r>
        <w:t>Ilonze</w:t>
      </w:r>
      <w:proofErr w:type="spellEnd"/>
      <w:r>
        <w:t xml:space="preserve"> et al., 2024; Daniels et al., 2025). Where such evaluation has not been adopted, performance claims rest on agreement with co-located instruments under uncontrolled conditions, and the relationship between reported agreement and deployed accuracy remains unestablished (Zimmerman et al., 2018; Malings et al., 2019; Yan, 2026). The distinction cuts across instrument cost, algorithmic sophistication and scientific prestige. It is a matter of evaluation design, and it is the most reliable predictor of whether a reported performance figure will survive independent scrutiny.</w:t>
      </w:r>
    </w:p>
    <w:p w14:paraId="71857D5D" w14:textId="77777777" w:rsidR="002413BA" w:rsidRDefault="00000000" w:rsidP="008D794F">
      <w:pPr>
        <w:pStyle w:val="BodyText"/>
        <w:jc w:val="both"/>
      </w:pPr>
      <w:r>
        <w:t>A second and related asymmetry concerns the reporting of detection probability. In the methane literature, detection probability as a function of emission rate has become a standard reported quantity, and its availability makes partial-detection correction possible. In the ambient and mobile literature, the analogous quantity, which would express the probability of correctly resolving a concentration feature of given magnitude and spatial extent, is essentially never reported. Without it, statements about what a dense network can and cannot resolve are qualitative.</w:t>
      </w:r>
    </w:p>
    <w:p w14:paraId="29275B16" w14:textId="77777777" w:rsidR="002413BA" w:rsidRDefault="00000000" w:rsidP="008D794F">
      <w:pPr>
        <w:pStyle w:val="Heading3"/>
        <w:jc w:val="both"/>
      </w:pPr>
      <w:bookmarkStart w:id="33" w:name="Xef7b6012fe9ba0b84fecd663042609ac5f710e2"/>
      <w:bookmarkEnd w:id="32"/>
      <w:r>
        <w:t>8.2 Interpretability, Transferability and the Limits of Prediction</w:t>
      </w:r>
    </w:p>
    <w:p w14:paraId="65DE3009" w14:textId="77777777" w:rsidR="002413BA" w:rsidRDefault="00000000" w:rsidP="008D794F">
      <w:pPr>
        <w:pStyle w:val="FirstParagraph"/>
        <w:jc w:val="both"/>
      </w:pPr>
      <w:r>
        <w:t>Predictive accuracy and mechanistic usefulness are distinct objectives, and the literature frequently conflates them. Learned models can predict concentrations well while providing no reliable information about emissions, because the mapping from emissions to concentrations is many-to-one and the learned inverse is not identified. The appropriate response is not to abandon statistical learning but to constrain it with process representation, and progress in this direction includes machine-learned chemical mechanism emulators evaluated for stability under integration rather than only for instantaneous accuracy (Kelp et al., 2020) and source-resolved rather than aggregate bias correction of transport model output (Skipper et al., 2024). The broader argument that data-driven methods in Earth system science require integration with process understanding rather than substitution for it applies with particular force where the target quantity is an emission rather than a concentration (Reichstein et al., 2019).</w:t>
      </w:r>
    </w:p>
    <w:p w14:paraId="17E5A955" w14:textId="77777777" w:rsidR="002413BA" w:rsidRDefault="00000000" w:rsidP="008D794F">
      <w:pPr>
        <w:pStyle w:val="Heading3"/>
        <w:jc w:val="both"/>
      </w:pPr>
      <w:bookmarkStart w:id="34" w:name="X41170c1fdaec87890f3372513dfc8cef82d97d0"/>
      <w:bookmarkEnd w:id="33"/>
      <w:r>
        <w:t>8.3 Regulatory and Infrastructural Translation</w:t>
      </w:r>
    </w:p>
    <w:p w14:paraId="609DD01C" w14:textId="77777777" w:rsidR="002413BA" w:rsidRDefault="00000000" w:rsidP="008D794F">
      <w:pPr>
        <w:pStyle w:val="FirstParagraph"/>
        <w:jc w:val="both"/>
      </w:pPr>
      <w:r>
        <w:t xml:space="preserve">The translation of these capabilities into regulatory practice in the United States is neither automatic nor stable. Federal standards for the oil and natural gas sector adopted in 2024 established performance requirements and a </w:t>
      </w:r>
      <w:proofErr w:type="spellStart"/>
      <w:r>
        <w:t>programme</w:t>
      </w:r>
      <w:proofErr w:type="spellEnd"/>
      <w:r>
        <w:t xml:space="preserve"> for responding to notifications of very large emission events, and the framework has since undergone reconsideration, with </w:t>
      </w:r>
      <w:r>
        <w:lastRenderedPageBreak/>
        <w:t xml:space="preserve">technical revisions </w:t>
      </w:r>
      <w:proofErr w:type="spellStart"/>
      <w:r>
        <w:t>finalised</w:t>
      </w:r>
      <w:proofErr w:type="spellEnd"/>
      <w:r>
        <w:t xml:space="preserve"> in April 2026 and further amendments under development (U.S. Environmental Protection Agency, 2026). The practical implication for the measurement community is that the specification of acceptable detection technologies, and the evidentiary basis on which alternatives are approved, are moving targets. Blind performance evaluation is the form of evidence most robust to such shifts, because it produces technology-agnostic statements about detection probability that remain interpretable under changed rules.</w:t>
      </w:r>
    </w:p>
    <w:p w14:paraId="21459EC9" w14:textId="77777777" w:rsidR="002413BA" w:rsidRDefault="00000000" w:rsidP="008D794F">
      <w:pPr>
        <w:pStyle w:val="BodyText"/>
        <w:jc w:val="both"/>
      </w:pPr>
      <w:r>
        <w:t>Infrastructural fragility is a further consideration that the literature has treated only in passing. The loss of a dedicated methane observing satellite after fifteen months of operation, attributed following formal investigation to a failure originating in the flight avionics or electrical power subsystem, removed a planned observational capability on which subsequent monitoring designs had been predicated (</w:t>
      </w:r>
      <w:proofErr w:type="spellStart"/>
      <w:r>
        <w:t>MethaneSAT</w:t>
      </w:r>
      <w:proofErr w:type="spellEnd"/>
      <w:r>
        <w:t>, 2025). Monitoring architectures that assume the continued availability of specific space assets are correspondingly vulnerable, and the case for redundancy across platforms is strengthened by this experience. Coordinated geostationary and multispectral observation has been argued to be necessary for progress on both air quality and climate objectives, and the argument gains force where individual missions carry non-negligible failure risk (Millet et al., 2024; Li et al., 2025).</w:t>
      </w:r>
    </w:p>
    <w:p w14:paraId="06E94BFB" w14:textId="77777777" w:rsidR="002413BA" w:rsidRDefault="00000000" w:rsidP="008D794F">
      <w:pPr>
        <w:pStyle w:val="BodyText"/>
        <w:jc w:val="both"/>
      </w:pPr>
      <w:r>
        <w:t xml:space="preserve">Table 5 sets out the principal research gaps identified in this review together with proposed designs and the criterion by which progress would be </w:t>
      </w:r>
      <w:proofErr w:type="spellStart"/>
      <w:r>
        <w:t>recognised</w:t>
      </w:r>
      <w:proofErr w:type="spellEnd"/>
      <w:r>
        <w:t>. Priorities are ordered by the extent to which resolving them would change conclusions currently drawn from existing data rather than by tractability, and several of the immediate priorities require coordination rather than new instrumentation. The final column identifies the evidence establishing each gap.</w:t>
      </w:r>
    </w:p>
    <w:p w14:paraId="3F14902F" w14:textId="77777777" w:rsidR="002413BA" w:rsidRDefault="00000000" w:rsidP="008D794F">
      <w:pPr>
        <w:pStyle w:val="BodyText"/>
        <w:jc w:val="both"/>
      </w:pPr>
      <w:r>
        <w:rPr>
          <w:b/>
          <w:bCs/>
        </w:rPr>
        <w:t>Table 5.</w:t>
      </w:r>
      <w:r>
        <w:t xml:space="preserve"> Priority research gaps, proposed designs and criteria for progress.</w:t>
      </w:r>
    </w:p>
    <w:tbl>
      <w:tblPr>
        <w:tblStyle w:val="TableGrid"/>
        <w:tblW w:w="5000" w:type="pct"/>
        <w:tblLook w:val="0020" w:firstRow="1" w:lastRow="0" w:firstColumn="0" w:lastColumn="0" w:noHBand="0" w:noVBand="0"/>
      </w:tblPr>
      <w:tblGrid>
        <w:gridCol w:w="1672"/>
        <w:gridCol w:w="1723"/>
        <w:gridCol w:w="2078"/>
        <w:gridCol w:w="1802"/>
        <w:gridCol w:w="2301"/>
      </w:tblGrid>
      <w:tr w:rsidR="002413BA" w14:paraId="35ECA0D5" w14:textId="77777777" w:rsidTr="008D794F">
        <w:tc>
          <w:tcPr>
            <w:tcW w:w="0" w:type="auto"/>
          </w:tcPr>
          <w:p w14:paraId="12EC372A" w14:textId="77777777" w:rsidR="002413BA" w:rsidRDefault="00000000" w:rsidP="008D794F">
            <w:pPr>
              <w:pStyle w:val="Compact"/>
              <w:jc w:val="both"/>
            </w:pPr>
            <w:r>
              <w:t>Gap</w:t>
            </w:r>
          </w:p>
        </w:tc>
        <w:tc>
          <w:tcPr>
            <w:tcW w:w="0" w:type="auto"/>
          </w:tcPr>
          <w:p w14:paraId="0B0D02CE" w14:textId="77777777" w:rsidR="002413BA" w:rsidRDefault="00000000" w:rsidP="008D794F">
            <w:pPr>
              <w:pStyle w:val="Compact"/>
              <w:jc w:val="both"/>
            </w:pPr>
            <w:r>
              <w:t>Why current evidence is inadequate</w:t>
            </w:r>
          </w:p>
        </w:tc>
        <w:tc>
          <w:tcPr>
            <w:tcW w:w="0" w:type="auto"/>
          </w:tcPr>
          <w:p w14:paraId="0D314353" w14:textId="77777777" w:rsidR="002413BA" w:rsidRDefault="00000000" w:rsidP="008D794F">
            <w:pPr>
              <w:pStyle w:val="Compact"/>
              <w:jc w:val="both"/>
            </w:pPr>
            <w:r>
              <w:t>Proposed design</w:t>
            </w:r>
          </w:p>
        </w:tc>
        <w:tc>
          <w:tcPr>
            <w:tcW w:w="0" w:type="auto"/>
          </w:tcPr>
          <w:p w14:paraId="35F07A41" w14:textId="77777777" w:rsidR="002413BA" w:rsidRDefault="00000000" w:rsidP="008D794F">
            <w:pPr>
              <w:pStyle w:val="Compact"/>
              <w:jc w:val="both"/>
            </w:pPr>
            <w:r>
              <w:t>Criterion for progress</w:t>
            </w:r>
          </w:p>
        </w:tc>
        <w:tc>
          <w:tcPr>
            <w:tcW w:w="0" w:type="auto"/>
          </w:tcPr>
          <w:p w14:paraId="658EE4CE" w14:textId="77777777" w:rsidR="002413BA" w:rsidRDefault="00000000" w:rsidP="008D794F">
            <w:pPr>
              <w:pStyle w:val="Compact"/>
              <w:jc w:val="both"/>
            </w:pPr>
            <w:r>
              <w:t>Supporting references</w:t>
            </w:r>
          </w:p>
        </w:tc>
      </w:tr>
      <w:tr w:rsidR="002413BA" w14:paraId="68E83EC3" w14:textId="77777777" w:rsidTr="008D794F">
        <w:tc>
          <w:tcPr>
            <w:tcW w:w="0" w:type="auto"/>
          </w:tcPr>
          <w:p w14:paraId="51E2D7BB" w14:textId="77777777" w:rsidR="002413BA" w:rsidRDefault="00000000" w:rsidP="008D794F">
            <w:pPr>
              <w:pStyle w:val="Compact"/>
              <w:jc w:val="both"/>
            </w:pPr>
            <w:r>
              <w:t>Absence of blind evaluation for ambient sensors</w:t>
            </w:r>
          </w:p>
        </w:tc>
        <w:tc>
          <w:tcPr>
            <w:tcW w:w="0" w:type="auto"/>
          </w:tcPr>
          <w:p w14:paraId="067AFE4C" w14:textId="77777777" w:rsidR="002413BA" w:rsidRDefault="00000000" w:rsidP="008D794F">
            <w:pPr>
              <w:pStyle w:val="Compact"/>
              <w:jc w:val="both"/>
            </w:pPr>
            <w:r>
              <w:t>Co-location agreement does not establish deployed accuracy</w:t>
            </w:r>
          </w:p>
        </w:tc>
        <w:tc>
          <w:tcPr>
            <w:tcW w:w="0" w:type="auto"/>
          </w:tcPr>
          <w:p w14:paraId="377A6986" w14:textId="77777777" w:rsidR="002413BA" w:rsidRDefault="00000000" w:rsidP="008D794F">
            <w:pPr>
              <w:pStyle w:val="Compact"/>
              <w:jc w:val="both"/>
            </w:pPr>
            <w:r>
              <w:t>Multi-site blind exposure trials with concealed reference concentrations across aerosol regimes</w:t>
            </w:r>
          </w:p>
        </w:tc>
        <w:tc>
          <w:tcPr>
            <w:tcW w:w="0" w:type="auto"/>
          </w:tcPr>
          <w:p w14:paraId="6E2F1132" w14:textId="77777777" w:rsidR="002413BA" w:rsidRDefault="00000000" w:rsidP="008D794F">
            <w:pPr>
              <w:pStyle w:val="Compact"/>
              <w:jc w:val="both"/>
            </w:pPr>
            <w:r>
              <w:t>Published detection probability and quantification error against known truth</w:t>
            </w:r>
          </w:p>
        </w:tc>
        <w:tc>
          <w:tcPr>
            <w:tcW w:w="0" w:type="auto"/>
          </w:tcPr>
          <w:p w14:paraId="1EB38B00" w14:textId="77777777" w:rsidR="002413BA" w:rsidRDefault="00000000" w:rsidP="008D794F">
            <w:pPr>
              <w:pStyle w:val="Compact"/>
              <w:jc w:val="both"/>
            </w:pPr>
            <w:r>
              <w:t>Zimmerman et al. (2018); Bell et al. (2022); Yan (2026)</w:t>
            </w:r>
          </w:p>
        </w:tc>
      </w:tr>
      <w:tr w:rsidR="002413BA" w14:paraId="5E302FA4" w14:textId="77777777" w:rsidTr="008D794F">
        <w:tc>
          <w:tcPr>
            <w:tcW w:w="0" w:type="auto"/>
          </w:tcPr>
          <w:p w14:paraId="30BCAEC9" w14:textId="77777777" w:rsidR="002413BA" w:rsidRDefault="00000000" w:rsidP="008D794F">
            <w:pPr>
              <w:pStyle w:val="Compact"/>
              <w:jc w:val="both"/>
            </w:pPr>
            <w:r>
              <w:t>Fusion treated as averaging rather than partial detection</w:t>
            </w:r>
          </w:p>
        </w:tc>
        <w:tc>
          <w:tcPr>
            <w:tcW w:w="0" w:type="auto"/>
          </w:tcPr>
          <w:p w14:paraId="518A16BB" w14:textId="77777777" w:rsidR="002413BA" w:rsidRDefault="00000000" w:rsidP="008D794F">
            <w:pPr>
              <w:pStyle w:val="Compact"/>
              <w:jc w:val="both"/>
            </w:pPr>
            <w:r>
              <w:t>Platform detection thresholds differ by orders of magnitude</w:t>
            </w:r>
          </w:p>
        </w:tc>
        <w:tc>
          <w:tcPr>
            <w:tcW w:w="0" w:type="auto"/>
          </w:tcPr>
          <w:p w14:paraId="3996E93D" w14:textId="77777777" w:rsidR="002413BA" w:rsidRDefault="00000000" w:rsidP="008D794F">
            <w:pPr>
              <w:pStyle w:val="Compact"/>
              <w:jc w:val="both"/>
            </w:pPr>
            <w:r>
              <w:t>Joint estimation frameworks incorporating platform-specific detection probability curves</w:t>
            </w:r>
          </w:p>
        </w:tc>
        <w:tc>
          <w:tcPr>
            <w:tcW w:w="0" w:type="auto"/>
          </w:tcPr>
          <w:p w14:paraId="6D7E92D0" w14:textId="77777777" w:rsidR="002413BA" w:rsidRDefault="00000000" w:rsidP="008D794F">
            <w:pPr>
              <w:pStyle w:val="Compact"/>
              <w:jc w:val="both"/>
            </w:pPr>
            <w:r>
              <w:t>Fused totals reproducible from published detection curves</w:t>
            </w:r>
          </w:p>
        </w:tc>
        <w:tc>
          <w:tcPr>
            <w:tcW w:w="0" w:type="auto"/>
          </w:tcPr>
          <w:p w14:paraId="2BD3249C" w14:textId="77777777" w:rsidR="002413BA" w:rsidRDefault="00000000" w:rsidP="008D794F">
            <w:pPr>
              <w:pStyle w:val="Compact"/>
              <w:jc w:val="both"/>
            </w:pPr>
            <w:r>
              <w:t>Jacob et al. (2022); Sherwin et al. (2024a); Omara et al. (2022)</w:t>
            </w:r>
          </w:p>
        </w:tc>
      </w:tr>
      <w:tr w:rsidR="002413BA" w14:paraId="3A4B339B" w14:textId="77777777" w:rsidTr="008D794F">
        <w:tc>
          <w:tcPr>
            <w:tcW w:w="0" w:type="auto"/>
          </w:tcPr>
          <w:p w14:paraId="79A07E8A" w14:textId="77777777" w:rsidR="002413BA" w:rsidRDefault="00000000" w:rsidP="008D794F">
            <w:pPr>
              <w:pStyle w:val="Compact"/>
              <w:jc w:val="both"/>
            </w:pPr>
            <w:r>
              <w:t>Persistence and duration poorly constrained</w:t>
            </w:r>
          </w:p>
        </w:tc>
        <w:tc>
          <w:tcPr>
            <w:tcW w:w="0" w:type="auto"/>
          </w:tcPr>
          <w:p w14:paraId="1D237DC7" w14:textId="77777777" w:rsidR="002413BA" w:rsidRDefault="00000000" w:rsidP="008D794F">
            <w:pPr>
              <w:pStyle w:val="Compact"/>
              <w:jc w:val="both"/>
            </w:pPr>
            <w:r>
              <w:t>Snapshot surveys cannot observe emission duration</w:t>
            </w:r>
          </w:p>
        </w:tc>
        <w:tc>
          <w:tcPr>
            <w:tcW w:w="0" w:type="auto"/>
          </w:tcPr>
          <w:p w14:paraId="759D08B1" w14:textId="77777777" w:rsidR="002413BA" w:rsidRDefault="00000000" w:rsidP="008D794F">
            <w:pPr>
              <w:pStyle w:val="Compact"/>
              <w:jc w:val="both"/>
            </w:pPr>
            <w:r>
              <w:t>Paired deployment of aerial survey and continuous monitoring at common sites</w:t>
            </w:r>
          </w:p>
        </w:tc>
        <w:tc>
          <w:tcPr>
            <w:tcW w:w="0" w:type="auto"/>
          </w:tcPr>
          <w:p w14:paraId="2463607E" w14:textId="77777777" w:rsidR="002413BA" w:rsidRDefault="00000000" w:rsidP="008D794F">
            <w:pPr>
              <w:pStyle w:val="Compact"/>
              <w:jc w:val="both"/>
            </w:pPr>
            <w:r>
              <w:t>Duration distributions estimated with quantified uncertainty</w:t>
            </w:r>
          </w:p>
        </w:tc>
        <w:tc>
          <w:tcPr>
            <w:tcW w:w="0" w:type="auto"/>
          </w:tcPr>
          <w:p w14:paraId="137994B9" w14:textId="77777777" w:rsidR="002413BA" w:rsidRDefault="00000000" w:rsidP="008D794F">
            <w:pPr>
              <w:pStyle w:val="Compact"/>
              <w:jc w:val="both"/>
            </w:pPr>
            <w:r>
              <w:t>Cusworth et al. (2021); Daniels et al. (2024b)</w:t>
            </w:r>
          </w:p>
        </w:tc>
      </w:tr>
      <w:tr w:rsidR="002413BA" w14:paraId="73CD3F5B" w14:textId="77777777" w:rsidTr="008D794F">
        <w:tc>
          <w:tcPr>
            <w:tcW w:w="0" w:type="auto"/>
          </w:tcPr>
          <w:p w14:paraId="72079633" w14:textId="77777777" w:rsidR="002413BA" w:rsidRDefault="00000000" w:rsidP="008D794F">
            <w:pPr>
              <w:pStyle w:val="Compact"/>
              <w:jc w:val="both"/>
            </w:pPr>
            <w:r>
              <w:t>Cross-validation misrepresents error in unmonitored areas</w:t>
            </w:r>
          </w:p>
        </w:tc>
        <w:tc>
          <w:tcPr>
            <w:tcW w:w="0" w:type="auto"/>
          </w:tcPr>
          <w:p w14:paraId="281A1B04" w14:textId="77777777" w:rsidR="002413BA" w:rsidRDefault="00000000" w:rsidP="008D794F">
            <w:pPr>
              <w:pStyle w:val="Compact"/>
              <w:jc w:val="both"/>
            </w:pPr>
            <w:r>
              <w:t>Monitor siting is non-random and spatially clustered</w:t>
            </w:r>
          </w:p>
        </w:tc>
        <w:tc>
          <w:tcPr>
            <w:tcW w:w="0" w:type="auto"/>
          </w:tcPr>
          <w:p w14:paraId="0C8B1EEE" w14:textId="77777777" w:rsidR="002413BA" w:rsidRDefault="00000000" w:rsidP="008D794F">
            <w:pPr>
              <w:pStyle w:val="Compact"/>
              <w:jc w:val="both"/>
            </w:pPr>
            <w:r>
              <w:t>Spatially blocked validation and reporting of error stratified by monitor distance</w:t>
            </w:r>
          </w:p>
        </w:tc>
        <w:tc>
          <w:tcPr>
            <w:tcW w:w="0" w:type="auto"/>
          </w:tcPr>
          <w:p w14:paraId="502E45F6" w14:textId="77777777" w:rsidR="002413BA" w:rsidRDefault="00000000" w:rsidP="008D794F">
            <w:pPr>
              <w:pStyle w:val="Compact"/>
              <w:jc w:val="both"/>
            </w:pPr>
            <w:r>
              <w:t>Published error surfaces rather than scalar accuracy</w:t>
            </w:r>
          </w:p>
        </w:tc>
        <w:tc>
          <w:tcPr>
            <w:tcW w:w="0" w:type="auto"/>
          </w:tcPr>
          <w:p w14:paraId="1A3EBC5F" w14:textId="77777777" w:rsidR="002413BA" w:rsidRDefault="00000000" w:rsidP="008D794F">
            <w:pPr>
              <w:pStyle w:val="Compact"/>
              <w:jc w:val="both"/>
            </w:pPr>
            <w:r>
              <w:t xml:space="preserve">Di et al. (2019); </w:t>
            </w:r>
            <w:proofErr w:type="spellStart"/>
            <w:r>
              <w:t>deSouza</w:t>
            </w:r>
            <w:proofErr w:type="spellEnd"/>
            <w:r>
              <w:t xml:space="preserve"> and Kinney (2021); Chakraborty (2025)</w:t>
            </w:r>
          </w:p>
        </w:tc>
      </w:tr>
      <w:tr w:rsidR="002413BA" w14:paraId="2B531246" w14:textId="77777777" w:rsidTr="008D794F">
        <w:tc>
          <w:tcPr>
            <w:tcW w:w="0" w:type="auto"/>
          </w:tcPr>
          <w:p w14:paraId="240484C4" w14:textId="77777777" w:rsidR="002413BA" w:rsidRDefault="00000000" w:rsidP="008D794F">
            <w:pPr>
              <w:pStyle w:val="Compact"/>
              <w:jc w:val="both"/>
            </w:pPr>
            <w:r>
              <w:lastRenderedPageBreak/>
              <w:t>Distribution shift during episodic events</w:t>
            </w:r>
          </w:p>
        </w:tc>
        <w:tc>
          <w:tcPr>
            <w:tcW w:w="0" w:type="auto"/>
          </w:tcPr>
          <w:p w14:paraId="5C660CAC" w14:textId="77777777" w:rsidR="002413BA" w:rsidRDefault="00000000" w:rsidP="008D794F">
            <w:pPr>
              <w:pStyle w:val="Compact"/>
              <w:jc w:val="both"/>
            </w:pPr>
            <w:r>
              <w:t>Corrections learned on historical regimes fail under changed aerosol composition</w:t>
            </w:r>
          </w:p>
        </w:tc>
        <w:tc>
          <w:tcPr>
            <w:tcW w:w="0" w:type="auto"/>
          </w:tcPr>
          <w:p w14:paraId="52010889" w14:textId="77777777" w:rsidR="002413BA" w:rsidRDefault="00000000" w:rsidP="008D794F">
            <w:pPr>
              <w:pStyle w:val="Compact"/>
              <w:jc w:val="both"/>
            </w:pPr>
            <w:r>
              <w:t>Prospective evaluation across smoke and non-smoke periods with regime-specific models</w:t>
            </w:r>
          </w:p>
        </w:tc>
        <w:tc>
          <w:tcPr>
            <w:tcW w:w="0" w:type="auto"/>
          </w:tcPr>
          <w:p w14:paraId="0CB158BF" w14:textId="77777777" w:rsidR="002413BA" w:rsidRDefault="00000000" w:rsidP="008D794F">
            <w:pPr>
              <w:pStyle w:val="Compact"/>
              <w:jc w:val="both"/>
            </w:pPr>
            <w:r>
              <w:t>Demonstrated stability of correction across regimes</w:t>
            </w:r>
          </w:p>
        </w:tc>
        <w:tc>
          <w:tcPr>
            <w:tcW w:w="0" w:type="auto"/>
          </w:tcPr>
          <w:p w14:paraId="0AA65D39" w14:textId="77777777" w:rsidR="002413BA" w:rsidRDefault="00000000" w:rsidP="008D794F">
            <w:pPr>
              <w:pStyle w:val="Compact"/>
              <w:jc w:val="both"/>
            </w:pPr>
            <w:r>
              <w:t>Holder et al. (2020); Burke et al. (2023); Childs et al. (2022)</w:t>
            </w:r>
          </w:p>
        </w:tc>
      </w:tr>
      <w:tr w:rsidR="002413BA" w14:paraId="342F02B2" w14:textId="77777777" w:rsidTr="008D794F">
        <w:tc>
          <w:tcPr>
            <w:tcW w:w="0" w:type="auto"/>
          </w:tcPr>
          <w:p w14:paraId="2CF0D49B" w14:textId="77777777" w:rsidR="002413BA" w:rsidRDefault="00000000" w:rsidP="008D794F">
            <w:pPr>
              <w:pStyle w:val="Compact"/>
              <w:jc w:val="both"/>
            </w:pPr>
            <w:r>
              <w:t>Learned retrievals trained on simulation</w:t>
            </w:r>
          </w:p>
        </w:tc>
        <w:tc>
          <w:tcPr>
            <w:tcW w:w="0" w:type="auto"/>
          </w:tcPr>
          <w:p w14:paraId="2E191B99" w14:textId="77777777" w:rsidR="002413BA" w:rsidRDefault="00000000" w:rsidP="008D794F">
            <w:pPr>
              <w:pStyle w:val="Compact"/>
              <w:jc w:val="both"/>
            </w:pPr>
            <w:r>
              <w:t>Simulated plumes embed dispersion assumptions in the learned mapping</w:t>
            </w:r>
          </w:p>
        </w:tc>
        <w:tc>
          <w:tcPr>
            <w:tcW w:w="0" w:type="auto"/>
          </w:tcPr>
          <w:p w14:paraId="14447588" w14:textId="77777777" w:rsidR="002413BA" w:rsidRDefault="00000000" w:rsidP="008D794F">
            <w:pPr>
              <w:pStyle w:val="Compact"/>
              <w:jc w:val="both"/>
            </w:pPr>
            <w:r>
              <w:t>Controlled release imaging campaigns generating labelled observed plumes</w:t>
            </w:r>
          </w:p>
        </w:tc>
        <w:tc>
          <w:tcPr>
            <w:tcW w:w="0" w:type="auto"/>
          </w:tcPr>
          <w:p w14:paraId="215D97AF" w14:textId="77777777" w:rsidR="002413BA" w:rsidRDefault="00000000" w:rsidP="008D794F">
            <w:pPr>
              <w:pStyle w:val="Compact"/>
              <w:jc w:val="both"/>
            </w:pPr>
            <w:r>
              <w:t>Model performance reported separately on observed and simulated test sets</w:t>
            </w:r>
          </w:p>
        </w:tc>
        <w:tc>
          <w:tcPr>
            <w:tcW w:w="0" w:type="auto"/>
          </w:tcPr>
          <w:p w14:paraId="1E90CDAC" w14:textId="77777777" w:rsidR="002413BA" w:rsidRDefault="00000000" w:rsidP="008D794F">
            <w:pPr>
              <w:pStyle w:val="Compact"/>
              <w:jc w:val="both"/>
            </w:pPr>
            <w:proofErr w:type="spellStart"/>
            <w:r>
              <w:t>Jongaramrungruang</w:t>
            </w:r>
            <w:proofErr w:type="spellEnd"/>
            <w:r>
              <w:t xml:space="preserve"> et al. (2022); </w:t>
            </w:r>
            <w:proofErr w:type="spellStart"/>
            <w:r>
              <w:t>Rouet</w:t>
            </w:r>
            <w:proofErr w:type="spellEnd"/>
            <w:r>
              <w:t xml:space="preserve">-Leduc and Hulbert (2024); </w:t>
            </w:r>
            <w:proofErr w:type="spellStart"/>
            <w:r>
              <w:t>Guanter</w:t>
            </w:r>
            <w:proofErr w:type="spellEnd"/>
            <w:r>
              <w:t xml:space="preserve"> et al. (2025)</w:t>
            </w:r>
          </w:p>
        </w:tc>
      </w:tr>
      <w:tr w:rsidR="002413BA" w14:paraId="245D50E3" w14:textId="77777777" w:rsidTr="008D794F">
        <w:tc>
          <w:tcPr>
            <w:tcW w:w="0" w:type="auto"/>
          </w:tcPr>
          <w:p w14:paraId="0A873DE2" w14:textId="77777777" w:rsidR="002413BA" w:rsidRDefault="00000000" w:rsidP="008D794F">
            <w:pPr>
              <w:pStyle w:val="Compact"/>
              <w:jc w:val="both"/>
            </w:pPr>
            <w:r>
              <w:t>Vehicle domain not integrated with modern fusion methods</w:t>
            </w:r>
          </w:p>
        </w:tc>
        <w:tc>
          <w:tcPr>
            <w:tcW w:w="0" w:type="auto"/>
          </w:tcPr>
          <w:p w14:paraId="015DCB11" w14:textId="77777777" w:rsidR="002413BA" w:rsidRDefault="00000000" w:rsidP="008D794F">
            <w:pPr>
              <w:pStyle w:val="Compact"/>
              <w:jc w:val="both"/>
            </w:pPr>
            <w:r>
              <w:t xml:space="preserve">Modalities </w:t>
            </w:r>
            <w:proofErr w:type="spellStart"/>
            <w:r>
              <w:t>analysed</w:t>
            </w:r>
            <w:proofErr w:type="spellEnd"/>
            <w:r>
              <w:t xml:space="preserve"> separately despite shared tail structure</w:t>
            </w:r>
          </w:p>
        </w:tc>
        <w:tc>
          <w:tcPr>
            <w:tcW w:w="0" w:type="auto"/>
          </w:tcPr>
          <w:p w14:paraId="0643F4FD" w14:textId="77777777" w:rsidR="002413BA" w:rsidRDefault="00000000" w:rsidP="008D794F">
            <w:pPr>
              <w:pStyle w:val="Compact"/>
              <w:jc w:val="both"/>
            </w:pPr>
            <w:r>
              <w:t>Joint analysis of remote sensing, portable measurement and activity data under a common statistical model</w:t>
            </w:r>
          </w:p>
        </w:tc>
        <w:tc>
          <w:tcPr>
            <w:tcW w:w="0" w:type="auto"/>
          </w:tcPr>
          <w:p w14:paraId="781A4F05" w14:textId="77777777" w:rsidR="002413BA" w:rsidRDefault="00000000" w:rsidP="008D794F">
            <w:pPr>
              <w:pStyle w:val="Compact"/>
              <w:jc w:val="both"/>
            </w:pPr>
            <w:r>
              <w:t>Fleet emission distributions estimated with partial-detection correction</w:t>
            </w:r>
          </w:p>
        </w:tc>
        <w:tc>
          <w:tcPr>
            <w:tcW w:w="0" w:type="auto"/>
          </w:tcPr>
          <w:p w14:paraId="24567899" w14:textId="77777777" w:rsidR="002413BA" w:rsidRDefault="00000000" w:rsidP="008D794F">
            <w:pPr>
              <w:pStyle w:val="Compact"/>
              <w:jc w:val="both"/>
            </w:pPr>
            <w:r>
              <w:t>Bishop and Stedman (2008); Anenberg et al. (2017); Pondicherry et al. (2021)</w:t>
            </w:r>
          </w:p>
        </w:tc>
      </w:tr>
    </w:tbl>
    <w:p w14:paraId="2AF4DCFF" w14:textId="77777777" w:rsidR="002413BA" w:rsidRDefault="00000000" w:rsidP="008D794F">
      <w:pPr>
        <w:pStyle w:val="Heading2"/>
        <w:jc w:val="both"/>
      </w:pPr>
      <w:bookmarkStart w:id="35" w:name="future-directions"/>
      <w:bookmarkEnd w:id="31"/>
      <w:bookmarkEnd w:id="34"/>
      <w:r>
        <w:t>9. Future Directions</w:t>
      </w:r>
    </w:p>
    <w:p w14:paraId="0ECEF5E3" w14:textId="77777777" w:rsidR="002413BA" w:rsidRDefault="00000000" w:rsidP="008D794F">
      <w:pPr>
        <w:pStyle w:val="FirstParagraph"/>
        <w:jc w:val="both"/>
      </w:pPr>
      <w:r>
        <w:t xml:space="preserve">The first immediate priority is the establishment of blind evaluation for ambient sensing. The unresolved problem is that no published figure describes the accuracy of a deployed low-cost sensor against known truth under conditions the investigators controlled. Current evidence is inadequate because co-location studies necessarily evaluate the sensor in the one location where a reference instrument already exists, and because the reference instrument used in testing is frequently the one used in training. The appropriate design is a multi-site trial in which sensors are exposed to concentrations that are known to the </w:t>
      </w:r>
      <w:proofErr w:type="spellStart"/>
      <w:r>
        <w:t>organisers</w:t>
      </w:r>
      <w:proofErr w:type="spellEnd"/>
      <w:r>
        <w:t xml:space="preserve"> and concealed from the analysts, spanning the aerosol regimes encountered in practice, including smoke-affected conditions. Outcome measures should include detection probability for defined concentration increments and quantification error stratified by regime, in preference to aggregate agreement statistics. The methane field has demonstrated that such trials are logistically feasible and that they change what the community believes (Bell et al., 2022; </w:t>
      </w:r>
      <w:proofErr w:type="spellStart"/>
      <w:r>
        <w:t>Ilonze</w:t>
      </w:r>
      <w:proofErr w:type="spellEnd"/>
      <w:r>
        <w:t xml:space="preserve"> et al., 2024). Implementation would most plausibly proceed through the existing sensor evaluation </w:t>
      </w:r>
      <w:proofErr w:type="spellStart"/>
      <w:r>
        <w:t>programmes</w:t>
      </w:r>
      <w:proofErr w:type="spellEnd"/>
      <w:r>
        <w:t xml:space="preserve"> operated by federal and state agencies, and the principal implication for policy is that sensor data could then be assigned defensible tiers of regulatory usability.</w:t>
      </w:r>
    </w:p>
    <w:p w14:paraId="34BBB160" w14:textId="77777777" w:rsidR="002413BA" w:rsidRDefault="00000000" w:rsidP="008D794F">
      <w:pPr>
        <w:pStyle w:val="BodyText"/>
        <w:jc w:val="both"/>
      </w:pPr>
      <w:r>
        <w:t xml:space="preserve">The second immediate priority is the reformulation of fusion as inference under partial detection. The unresolved problem is that estimates combining platforms with different detection thresholds are frequently constructed by summation or by weighted averaging that does not represent the undetected fraction. Existing evidence is inadequate because published fused totals cannot generally be reproduced from the reported inputs, since the treatment of the undetected population is not specified. The appropriate methodological improvement is a joint statistical framework in which each platform contributes a likelihood conditioned on its own detection probability curve, with the emission size distribution estimated rather than assumed. The scale required is regional rather than national in the first instance, since detection curves are condition-dependent and regional application permits verification against intensively measured basins. Progress would be </w:t>
      </w:r>
      <w:proofErr w:type="spellStart"/>
      <w:r>
        <w:t>recognised</w:t>
      </w:r>
      <w:proofErr w:type="spellEnd"/>
      <w:r>
        <w:t xml:space="preserve"> when a published fused total can be recomputed by an independent analyst from the reported detection curves and observations.</w:t>
      </w:r>
    </w:p>
    <w:p w14:paraId="1F907449" w14:textId="77777777" w:rsidR="002413BA" w:rsidRDefault="00000000" w:rsidP="008D794F">
      <w:pPr>
        <w:pStyle w:val="BodyText"/>
        <w:jc w:val="both"/>
      </w:pPr>
      <w:r>
        <w:lastRenderedPageBreak/>
        <w:t xml:space="preserve">A third priority, on a longer horizon, concerns the temporal dimension. Persistence and duration remain the least constrained quantities in methane accounting, and they enter every conversion from measured rate to annual emission. The appropriate design is paired deployment, in which aerial or satellite survey and continuous site monitoring are conducted at a common set of sites over a common period, so that the duration distribution can be estimated for sources </w:t>
      </w:r>
      <w:proofErr w:type="spellStart"/>
      <w:r>
        <w:t>characterised</w:t>
      </w:r>
      <w:proofErr w:type="spellEnd"/>
      <w:r>
        <w:t xml:space="preserve"> by both methods. The site sample must be selected to represent infrastructure type and operator practice rather than convenience, since the existing continuous monitoring population is not representative (Daniels et al., 2024a; Daniels et al., 2025). The relevant timescale is at least one full annual cycle, because seasonal variation in operating practice and in atmospheric conditions affects both emission and detection. The implication for policy is direct, since duration determines the emission reduction achievable by a given inspection frequency.</w:t>
      </w:r>
    </w:p>
    <w:p w14:paraId="03C9E825" w14:textId="77777777" w:rsidR="002413BA" w:rsidRDefault="00000000" w:rsidP="008D794F">
      <w:pPr>
        <w:pStyle w:val="BodyText"/>
        <w:jc w:val="both"/>
      </w:pPr>
      <w:r>
        <w:t xml:space="preserve">A fourth priority concerns the </w:t>
      </w:r>
      <w:proofErr w:type="spellStart"/>
      <w:r>
        <w:t>characterisation</w:t>
      </w:r>
      <w:proofErr w:type="spellEnd"/>
      <w:r>
        <w:t xml:space="preserve"> and publication of spatial error structure in fused concentration surfaces. The unresolved problem is that downstream users receive a surface without the information required to propagate its error correctly. Current evidence is inadequate because validation is reported as a scalar summary derived from randomly withheld monitors. The appropriate improvement is routine spatially blocked validation together with publication of an error surface, or at minimum of error stratified by distance to the nearest monitor and by land use category. The populations requiring particular attention are those in areas of low monitor density, including rural, tribal and industrial-adjacent communities, because these are simultaneously the areas of greatest predictive uncertainty and of greatest policy interest (</w:t>
      </w:r>
      <w:proofErr w:type="spellStart"/>
      <w:r>
        <w:t>deSouza</w:t>
      </w:r>
      <w:proofErr w:type="spellEnd"/>
      <w:r>
        <w:t xml:space="preserve"> &amp; Kinney, 2021; Tessum et al., 2021). Progress would be </w:t>
      </w:r>
      <w:proofErr w:type="spellStart"/>
      <w:r>
        <w:t>recognised</w:t>
      </w:r>
      <w:proofErr w:type="spellEnd"/>
      <w:r>
        <w:t xml:space="preserve"> when equity analyses conducted on fused surfaces report sensitivity to measurement geography.</w:t>
      </w:r>
    </w:p>
    <w:p w14:paraId="73DB7BD3" w14:textId="77777777" w:rsidR="002413BA" w:rsidRDefault="00000000" w:rsidP="008D794F">
      <w:pPr>
        <w:pStyle w:val="BodyText"/>
        <w:jc w:val="both"/>
      </w:pPr>
      <w:r>
        <w:t xml:space="preserve">A fifth priority is the development of validation practice for learned retrievals that separates simulated from observed test performance. The unresolved problem is that models trained on simulated plumes may perform well on simulated tests and poorly on observed scenes, and current reporting does not permit this to be assessed. The appropriate design combines controlled release campaigns with concurrent imaging to generate labelled observed plumes, and reporting should present performance separately on the two test populations. The relevant outcome measures are detection probability as a function of emission rate, wind speed and surface type, and quantification error conditional on detection. Because such campaigns are expensive, coordination with existing blind testing </w:t>
      </w:r>
      <w:proofErr w:type="spellStart"/>
      <w:r>
        <w:t>programmes</w:t>
      </w:r>
      <w:proofErr w:type="spellEnd"/>
      <w:r>
        <w:t xml:space="preserve"> would substantially reduce marginal cost (Sherwin et al., 2024a; </w:t>
      </w:r>
      <w:proofErr w:type="spellStart"/>
      <w:r>
        <w:t>Guanter</w:t>
      </w:r>
      <w:proofErr w:type="spellEnd"/>
      <w:r>
        <w:t xml:space="preserve"> et al., 2025).</w:t>
      </w:r>
    </w:p>
    <w:p w14:paraId="462A4A2F" w14:textId="77777777" w:rsidR="002413BA" w:rsidRDefault="00000000" w:rsidP="008D794F">
      <w:pPr>
        <w:pStyle w:val="BodyText"/>
        <w:jc w:val="both"/>
      </w:pPr>
      <w:r>
        <w:t xml:space="preserve">A sixth priority, and the one most clearly neglected, is the extension of modern statistical treatment to the on-road vehicle domain. The unresolved problem is that fleet emission distributions in the United States are </w:t>
      </w:r>
      <w:proofErr w:type="spellStart"/>
      <w:r>
        <w:t>characterised</w:t>
      </w:r>
      <w:proofErr w:type="spellEnd"/>
      <w:r>
        <w:t xml:space="preserve"> through modalities that are not jointly </w:t>
      </w:r>
      <w:proofErr w:type="spellStart"/>
      <w:r>
        <w:t>analysed</w:t>
      </w:r>
      <w:proofErr w:type="spellEnd"/>
      <w:r>
        <w:t xml:space="preserve">, despite a tail structure formally analogous to the methane case. Current evidence is inadequate because remote sensing, portable measurement and activity data are each subject to selection effects that the others could correct. The appropriate design is a joint hierarchical model treating each modality as a partial observation of a common fleet emission distribution, with explicit detection and selection models. The population requiring attention is the modern heavy-duty fleet under low-load operation, where </w:t>
      </w:r>
      <w:r>
        <w:lastRenderedPageBreak/>
        <w:t>aftertreatment performance is least reliable and where measurement is sparsest (Pondicherry et al., 2021). Progress would materially improve inventory estimates for a sector whose emissions are heavily concentrated in near-road environments.</w:t>
      </w:r>
    </w:p>
    <w:p w14:paraId="5F6CC2B7" w14:textId="77777777" w:rsidR="002413BA" w:rsidRDefault="00000000" w:rsidP="008D794F">
      <w:pPr>
        <w:pStyle w:val="BodyText"/>
        <w:jc w:val="both"/>
      </w:pPr>
      <w:r>
        <w:t xml:space="preserve">A final, longer-term direction concerns architectural resilience. The observing system for climate-relevant emissions in the United States now depends on a small number of </w:t>
      </w:r>
      <w:proofErr w:type="spellStart"/>
      <w:r>
        <w:t>specialised</w:t>
      </w:r>
      <w:proofErr w:type="spellEnd"/>
      <w:r>
        <w:t xml:space="preserve"> assets, some operated by non-governmental entities, and the loss of one such asset within its design life demonstrates that this dependence carries real risk (</w:t>
      </w:r>
      <w:proofErr w:type="spellStart"/>
      <w:r>
        <w:t>MethaneSAT</w:t>
      </w:r>
      <w:proofErr w:type="spellEnd"/>
      <w:r>
        <w:t>, 2025). Research is required on the design of monitoring architectures that degrade gracefully, including quantification of the information loss associated with the failure of individual platforms and the identification of minimum redundant configurations that preserve the capacity to detect large emitters and to constrain regional totals.</w:t>
      </w:r>
    </w:p>
    <w:p w14:paraId="6A76D7EB" w14:textId="77777777" w:rsidR="002413BA" w:rsidRDefault="00000000" w:rsidP="008D794F">
      <w:pPr>
        <w:pStyle w:val="Heading2"/>
        <w:jc w:val="both"/>
      </w:pPr>
      <w:bookmarkStart w:id="36" w:name="conclusions"/>
      <w:bookmarkEnd w:id="35"/>
      <w:r>
        <w:t>10. Conclusions</w:t>
      </w:r>
    </w:p>
    <w:p w14:paraId="6C4652B9" w14:textId="77777777" w:rsidR="002413BA" w:rsidRDefault="00000000" w:rsidP="008D794F">
      <w:pPr>
        <w:pStyle w:val="FirstParagraph"/>
        <w:jc w:val="both"/>
      </w:pPr>
      <w:r>
        <w:t>The transition from controlled reference measurement to multi-platform, algorithmically mediated observation has produced genuine and consequential gains in the United States. The most secure of these concerns methane from oil and natural gas infrastructure, where independent measurement at facility and basin scale established that national inventory estimates were substantially incomplete, and where subsequent reconstruction of the bottom-up inventory identified the omission of abnormal operating conditions as the principal cause. That sequence, in which measurement identified a discrepancy and inventory science then explained and repaired it, represents the strongest available demonstration that fused observation can improve emissions accounting rather than merely complicate it. Comparable evidence supports the conclusion that emission distributions are strongly right-skewed and intermittent across several source categories, and that this structure is not adequately represented in conventional inventory methods.</w:t>
      </w:r>
    </w:p>
    <w:p w14:paraId="60E062D0" w14:textId="77777777" w:rsidR="002413BA" w:rsidRDefault="00000000" w:rsidP="008D794F">
      <w:pPr>
        <w:pStyle w:val="BodyText"/>
        <w:jc w:val="both"/>
      </w:pPr>
      <w:r>
        <w:t xml:space="preserve">Confidence is considerably weaker for the claims most often made on behalf of statistical learning in this field. The demonstration that supervised learning improves sensor agreement under co-location is robust, and the extrapolation from that demonstration to deployed network accuracy is not supported by the available evidence. Reported coefficients of determination describe conditions that deployment does not reproduce, and the degradation associated with transfer across sites, seasons and aerosol regimes is real, variable in magnitude and inconsistently reported. Fused concentration surfaces achieve the accuracy their validation reports at locations resembling monitors, and their accuracy elsewhere is largely </w:t>
      </w:r>
      <w:proofErr w:type="spellStart"/>
      <w:r>
        <w:t>uncharacterised</w:t>
      </w:r>
      <w:proofErr w:type="spellEnd"/>
      <w:r>
        <w:t>. Because monitor placement is spatially structured and correlated with demographic composition, the geography of predictive error is not neutral with respect to the equity questions these surfaces are used to address.</w:t>
      </w:r>
    </w:p>
    <w:p w14:paraId="1B3BBD13" w14:textId="77777777" w:rsidR="002413BA" w:rsidRDefault="00000000" w:rsidP="008D794F">
      <w:pPr>
        <w:pStyle w:val="BodyText"/>
        <w:jc w:val="both"/>
      </w:pPr>
      <w:r>
        <w:t xml:space="preserve">The most transferable finding of this review is methodological rather than substantive. Blind evaluation against known truth has transformed the evidentiary standard in methane sensing, producing statements about detection limits and quantification accuracy that survive independent scrutiny, and it has no established counterpart in ambient sensing despite being logistically feasible there. The corresponding conceptual correction concerns fusion itself: platforms with different detection thresholds observe different fractions of the emission distribution, and combining them is a partial-detection problem rather than an </w:t>
      </w:r>
      <w:r>
        <w:lastRenderedPageBreak/>
        <w:t xml:space="preserve">averaging problem. Where this has been </w:t>
      </w:r>
      <w:proofErr w:type="spellStart"/>
      <w:r>
        <w:t>recognised</w:t>
      </w:r>
      <w:proofErr w:type="spellEnd"/>
      <w:r>
        <w:t>, totals differ materially from those obtained by summation.</w:t>
      </w:r>
    </w:p>
    <w:p w14:paraId="5DD150E0" w14:textId="77777777" w:rsidR="002413BA" w:rsidRDefault="00000000" w:rsidP="008D794F">
      <w:pPr>
        <w:pStyle w:val="BodyText"/>
        <w:jc w:val="both"/>
      </w:pPr>
      <w:r>
        <w:t>The broader significance is that observational capability and accounting reliability are not the same thing, and improvement in the former does not guarantee improvement in the latter. Observation improves accounting when the emission distribution has structure that observation can exploit and when the inferential chain from signal to reported quantity is validated at each step. Both conditions hold for large point sources of methane. Neither holds fully for diffuse urban carbon dioxide, for ambient concentration surfaces in unmonitored regions, or for episodic sources under changing climatic conditions. Distinguishing these cases, rather than treating sensing and learning as uniformly beneficial, is the practical requirement for using this evidence responsibly in regulation and in climate-related environmental assessment.</w:t>
      </w:r>
    </w:p>
    <w:p w14:paraId="42188C73" w14:textId="77777777" w:rsidR="002413BA" w:rsidRDefault="00000000" w:rsidP="008D794F">
      <w:pPr>
        <w:pStyle w:val="Heading2"/>
        <w:jc w:val="both"/>
      </w:pPr>
      <w:bookmarkStart w:id="37" w:name="limitations"/>
      <w:bookmarkEnd w:id="36"/>
      <w:r>
        <w:t>11. Limitations</w:t>
      </w:r>
    </w:p>
    <w:p w14:paraId="42D0E0E8" w14:textId="77777777" w:rsidR="002413BA" w:rsidRDefault="00000000" w:rsidP="008D794F">
      <w:pPr>
        <w:pStyle w:val="FirstParagraph"/>
        <w:jc w:val="both"/>
      </w:pPr>
      <w:r>
        <w:t xml:space="preserve">This review is a narrative synthesis and is subject to the interpretive and selection biases intrinsic to that design. Although the search strategy, eligibility criteria and appraisal approach are stated explicitly and every reference was verified against a bibliographic registry, the selection of sources reflects judgements about relevance and importance that another reviewer might reasonably have made differently. Themes were developed inductively, and the emphasis placed on validation design as an </w:t>
      </w:r>
      <w:proofErr w:type="spellStart"/>
      <w:r>
        <w:t>organising</w:t>
      </w:r>
      <w:proofErr w:type="spellEnd"/>
      <w:r>
        <w:t xml:space="preserve"> principle, while defensible on the evidence assembled, is an interpretive choice that shapes the conclusions drawn.</w:t>
      </w:r>
    </w:p>
    <w:p w14:paraId="625108E8" w14:textId="77777777" w:rsidR="002413BA" w:rsidRDefault="00000000" w:rsidP="008D794F">
      <w:pPr>
        <w:pStyle w:val="BodyText"/>
        <w:jc w:val="both"/>
      </w:pPr>
      <w:r>
        <w:t>Coverage is constrained by the sources that were accessible. Subscription indexes could not be searched, and the identification of records therefore depended on a bibliographic registry, general web searching and citation chaining. Records indexed only in subscription databases, and material published without a persistent identifier, are likely to be under-represented. Assessment was restricted to publications in English, which may exclude relevant methodological work published in other languages. For some publisher-hosted articles, only abstracts and openly available sections could be examined, and claims were restricted accordingly.</w:t>
      </w:r>
    </w:p>
    <w:p w14:paraId="59CFAA4F" w14:textId="77777777" w:rsidR="002413BA" w:rsidRDefault="00000000" w:rsidP="008D794F">
      <w:pPr>
        <w:pStyle w:val="BodyText"/>
        <w:jc w:val="both"/>
      </w:pPr>
      <w:r>
        <w:t xml:space="preserve">The evidence base itself imposes further constraints. Study designs are highly heterogeneous, with outcome measures that are not commensurable across the constituent literatures, and no quantitative synthesis was possible. Geographical representation within the United States is uneven, with methane evidence concentrated in a small number of intensively studied producing basins and ambient sensing evidence concentrated in urban areas of the west and northeast. Long-term evidence is scarce for most of the methods examined, since many were developed within the past decade, and the field is developing rapidly enough that some conclusions may be superseded. Publication bias is plausible in the calibration literature, where negative results demonstrating failed transfer are less likely to be reported than successful corrections, and comparability between studies is limited by inconsistent reporting of evaluation design. Several of the strongest evidence streams rest on observational rather than experimental designs, and the controlled release </w:t>
      </w:r>
      <w:r>
        <w:lastRenderedPageBreak/>
        <w:t>studies that do provide experimental evidence are conducted under conditions that, while realistic, are not fully representative of operational variability.</w:t>
      </w:r>
    </w:p>
    <w:p w14:paraId="147E9B60" w14:textId="77777777" w:rsidR="0087015C" w:rsidRPr="000839CE" w:rsidRDefault="0087015C" w:rsidP="0087015C">
      <w:pPr>
        <w:spacing w:after="0"/>
        <w:rPr>
          <w:rFonts w:ascii="Times New Roman" w:hAnsi="Times New Roman" w:cs="Times New Roman"/>
          <w:b/>
        </w:rPr>
      </w:pPr>
      <w:r w:rsidRPr="000839CE">
        <w:rPr>
          <w:rFonts w:ascii="Times New Roman" w:hAnsi="Times New Roman" w:cs="Times New Roman"/>
          <w:b/>
        </w:rPr>
        <w:t>Declaration of AI Use</w:t>
      </w:r>
    </w:p>
    <w:p w14:paraId="581B7589" w14:textId="77777777" w:rsidR="0087015C" w:rsidRPr="000839CE" w:rsidRDefault="0087015C" w:rsidP="0087015C">
      <w:pPr>
        <w:spacing w:after="0"/>
        <w:rPr>
          <w:rFonts w:ascii="Times New Roman" w:hAnsi="Times New Roman" w:cs="Times New Roman"/>
        </w:rPr>
      </w:pPr>
    </w:p>
    <w:p w14:paraId="3078E36F" w14:textId="77777777" w:rsidR="0087015C" w:rsidRPr="000839CE" w:rsidRDefault="0087015C" w:rsidP="0087015C">
      <w:pPr>
        <w:spacing w:after="0"/>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8B9EAEC" w14:textId="77777777" w:rsidR="0087015C" w:rsidRDefault="0087015C" w:rsidP="0087015C"/>
    <w:p w14:paraId="68FC26E1" w14:textId="77777777" w:rsidR="0087015C" w:rsidRDefault="0087015C" w:rsidP="008D794F">
      <w:pPr>
        <w:pStyle w:val="BodyText"/>
        <w:jc w:val="both"/>
      </w:pPr>
    </w:p>
    <w:p w14:paraId="0EC58679" w14:textId="77777777" w:rsidR="002413BA" w:rsidRDefault="00000000" w:rsidP="008D794F">
      <w:pPr>
        <w:pStyle w:val="Heading2"/>
        <w:jc w:val="both"/>
      </w:pPr>
      <w:bookmarkStart w:id="38" w:name="references"/>
      <w:bookmarkEnd w:id="37"/>
      <w:r>
        <w:t>References</w:t>
      </w:r>
    </w:p>
    <w:p w14:paraId="4AC48767" w14:textId="77777777" w:rsidR="002413BA" w:rsidRDefault="00000000" w:rsidP="008D794F">
      <w:pPr>
        <w:pStyle w:val="FirstParagraph"/>
        <w:jc w:val="both"/>
      </w:pPr>
      <w:r>
        <w:t xml:space="preserve">Alexeeff, S. E., Roy, A., Shan, J., Liu, X., Messier, K., Apte, J. S., Portier, C., Sidney, S., &amp; Van Den Eeden, S. K. (2018). High-resolution mapping of traffic related air pollution with Google street view cars and incidence of cardiovascular events within neighborhoods in Oakland, CA. </w:t>
      </w:r>
      <w:r>
        <w:rPr>
          <w:i/>
          <w:iCs/>
        </w:rPr>
        <w:t>Environmental Health</w:t>
      </w:r>
      <w:r>
        <w:t xml:space="preserve">, </w:t>
      </w:r>
      <w:r>
        <w:rPr>
          <w:i/>
          <w:iCs/>
        </w:rPr>
        <w:t>17</w:t>
      </w:r>
      <w:r>
        <w:t>(1), Article 38. https://doi.org/10.1186/s12940-018-0382-1</w:t>
      </w:r>
    </w:p>
    <w:p w14:paraId="708B6424" w14:textId="77777777" w:rsidR="002413BA" w:rsidRDefault="00000000" w:rsidP="008D794F">
      <w:pPr>
        <w:pStyle w:val="BodyText"/>
        <w:jc w:val="both"/>
      </w:pPr>
      <w:r>
        <w:t xml:space="preserve">Alvarez, R. A., Zavala-Araiza, D., Lyon, D. R., Allen, D. T., Barkley, Z. R., Brandt, A. R., Davis, K. J., Herndon, S. C., Jacob, D. J., Karion, A., Kort, E. A., Lamb, B. K., </w:t>
      </w:r>
      <w:proofErr w:type="spellStart"/>
      <w:r>
        <w:t>Lauvaux</w:t>
      </w:r>
      <w:proofErr w:type="spellEnd"/>
      <w:r>
        <w:t xml:space="preserve">, T., </w:t>
      </w:r>
      <w:proofErr w:type="spellStart"/>
      <w:r>
        <w:t>Maasakkers</w:t>
      </w:r>
      <w:proofErr w:type="spellEnd"/>
      <w:r>
        <w:t xml:space="preserve">, J. D., Marchese, A. J., Omara, M., Pacala, S. W., Peischl, J., Robinson, A. L., … Hamburg, S. P. (2018). Assessment of methane emissions from the U.S. oil and gas supply chain. </w:t>
      </w:r>
      <w:r>
        <w:rPr>
          <w:i/>
          <w:iCs/>
        </w:rPr>
        <w:t>Science</w:t>
      </w:r>
      <w:r>
        <w:t xml:space="preserve">, </w:t>
      </w:r>
      <w:r>
        <w:rPr>
          <w:i/>
          <w:iCs/>
        </w:rPr>
        <w:t>361</w:t>
      </w:r>
      <w:r>
        <w:t>(6398), 186–188. https://doi.org/10.1126/science.aar7204</w:t>
      </w:r>
    </w:p>
    <w:p w14:paraId="2E8D9E3C" w14:textId="77777777" w:rsidR="002413BA" w:rsidRDefault="00000000" w:rsidP="008D794F">
      <w:pPr>
        <w:pStyle w:val="BodyText"/>
        <w:jc w:val="both"/>
      </w:pPr>
      <w:r>
        <w:t>Anenberg, S. C., Miller, J., Minjares, R., Du, L., Henze, D. K., Lacey, F., Malley, C. S., Emberson, L., Franco, V., Klimont, Z., &amp; Heyes, C. (2017). Impacts and mitigation of excess diesel-related NO</w:t>
      </w:r>
      <w:r>
        <w:rPr>
          <w:vertAlign w:val="subscript"/>
        </w:rPr>
        <w:t>x</w:t>
      </w:r>
      <w:r>
        <w:t xml:space="preserve"> emissions in 11 major vehicle markets. </w:t>
      </w:r>
      <w:r>
        <w:rPr>
          <w:i/>
          <w:iCs/>
        </w:rPr>
        <w:t>Nature</w:t>
      </w:r>
      <w:r>
        <w:t xml:space="preserve">, </w:t>
      </w:r>
      <w:r>
        <w:rPr>
          <w:i/>
          <w:iCs/>
        </w:rPr>
        <w:t>545</w:t>
      </w:r>
      <w:r>
        <w:t>(7655), 467–471. https://doi.org/10.1038/nature22086</w:t>
      </w:r>
    </w:p>
    <w:p w14:paraId="09FC1FAB" w14:textId="77777777" w:rsidR="002413BA" w:rsidRDefault="00000000" w:rsidP="008D794F">
      <w:pPr>
        <w:pStyle w:val="BodyText"/>
        <w:jc w:val="both"/>
      </w:pPr>
      <w:r>
        <w:t xml:space="preserve">Apte, J. S., Messier, K. P., Gani, S., Brauer, M., </w:t>
      </w:r>
      <w:proofErr w:type="spellStart"/>
      <w:r>
        <w:t>Kirchstetter</w:t>
      </w:r>
      <w:proofErr w:type="spellEnd"/>
      <w:r>
        <w:t xml:space="preserve">, T. W., Lunden, M. M., Marshall, J. D., Portier, C. J., Vermeulen, R. C. H., &amp; Hamburg, S. P. (2017). High-resolution air pollution mapping with Google street view cars: Exploiting big data. </w:t>
      </w:r>
      <w:r>
        <w:rPr>
          <w:i/>
          <w:iCs/>
        </w:rPr>
        <w:t>Environmental Science &amp; Technology</w:t>
      </w:r>
      <w:r>
        <w:t xml:space="preserve">, </w:t>
      </w:r>
      <w:r>
        <w:rPr>
          <w:i/>
          <w:iCs/>
        </w:rPr>
        <w:t>51</w:t>
      </w:r>
      <w:r>
        <w:t>(12), 6999–7008. https://doi.org/10.1021/acs.est.7b00891</w:t>
      </w:r>
    </w:p>
    <w:p w14:paraId="28579B9E" w14:textId="77777777" w:rsidR="002413BA" w:rsidRDefault="00000000" w:rsidP="008D794F">
      <w:pPr>
        <w:pStyle w:val="BodyText"/>
        <w:jc w:val="both"/>
      </w:pPr>
      <w:proofErr w:type="spellStart"/>
      <w:r>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(1), Article 5. https://doi.org/10.1186/s41073-019-0064-8</w:t>
      </w:r>
    </w:p>
    <w:p w14:paraId="43F9D497" w14:textId="77777777" w:rsidR="002413BA" w:rsidRDefault="00000000" w:rsidP="008D794F">
      <w:pPr>
        <w:pStyle w:val="BodyText"/>
        <w:jc w:val="both"/>
      </w:pPr>
      <w:r>
        <w:t xml:space="preserve">Bagkis, E., Kassandros, T., &amp; Karatzas, K. (2022). Learning calibration functions on the fly: Hybrid batch online stacking ensembles for the calibration of low-cost air quality sensor networks in the presence of concept drift. </w:t>
      </w:r>
      <w:r>
        <w:rPr>
          <w:i/>
          <w:iCs/>
        </w:rPr>
        <w:t>Atmosphere</w:t>
      </w:r>
      <w:r>
        <w:t xml:space="preserve">, </w:t>
      </w:r>
      <w:r>
        <w:rPr>
          <w:i/>
          <w:iCs/>
        </w:rPr>
        <w:t>13</w:t>
      </w:r>
      <w:r>
        <w:t>(3), Article 416. https://doi.org/10.3390/atmos13030416</w:t>
      </w:r>
    </w:p>
    <w:p w14:paraId="625D76AD" w14:textId="77777777" w:rsidR="002413BA" w:rsidRDefault="00000000" w:rsidP="008D794F">
      <w:pPr>
        <w:pStyle w:val="BodyText"/>
        <w:jc w:val="both"/>
      </w:pPr>
      <w:r>
        <w:lastRenderedPageBreak/>
        <w:t>Barkjohn, K. K., Gantt, B., &amp; Clements, A. L. (2021). Development and application of a United States-wide correction for PM</w:t>
      </w:r>
      <w:r>
        <w:rPr>
          <w:vertAlign w:val="subscript"/>
        </w:rPr>
        <w:t>2.5</w:t>
      </w:r>
      <w:r>
        <w:t xml:space="preserve"> data collected with the </w:t>
      </w:r>
      <w:proofErr w:type="spellStart"/>
      <w:r>
        <w:t>PurpleAir</w:t>
      </w:r>
      <w:proofErr w:type="spellEnd"/>
      <w:r>
        <w:t xml:space="preserve"> sensor. </w:t>
      </w:r>
      <w:r>
        <w:rPr>
          <w:i/>
          <w:iCs/>
        </w:rPr>
        <w:t>Atmospheric Measurement Techniques</w:t>
      </w:r>
      <w:r>
        <w:t xml:space="preserve">, </w:t>
      </w:r>
      <w:r>
        <w:rPr>
          <w:i/>
          <w:iCs/>
        </w:rPr>
        <w:t>14</w:t>
      </w:r>
      <w:r>
        <w:t>(6), 4617–4637. https://doi.org/10.5194/amt-14-4617-2021</w:t>
      </w:r>
    </w:p>
    <w:p w14:paraId="369EB22D" w14:textId="77777777" w:rsidR="002413BA" w:rsidRDefault="00000000" w:rsidP="008D794F">
      <w:pPr>
        <w:pStyle w:val="BodyText"/>
        <w:jc w:val="both"/>
      </w:pPr>
      <w:r>
        <w:t xml:space="preserve">Beaton, S. P., Bishop, G. A., Zhang, Y., Stedman, D. H., Ashbaugh, L. L., &amp; Lawson, D. R. (1995). On-road vehicle emissions: Regulations, costs, and benefits. </w:t>
      </w:r>
      <w:r>
        <w:rPr>
          <w:i/>
          <w:iCs/>
        </w:rPr>
        <w:t>Science</w:t>
      </w:r>
      <w:r>
        <w:t xml:space="preserve">, </w:t>
      </w:r>
      <w:r>
        <w:rPr>
          <w:i/>
          <w:iCs/>
        </w:rPr>
        <w:t>268</w:t>
      </w:r>
      <w:r>
        <w:t>(5213), 991–993. https://doi.org/10.1126/science.268.5213.991</w:t>
      </w:r>
    </w:p>
    <w:p w14:paraId="01262E56" w14:textId="77777777" w:rsidR="002413BA" w:rsidRDefault="00000000" w:rsidP="008D794F">
      <w:pPr>
        <w:pStyle w:val="BodyText"/>
        <w:jc w:val="both"/>
      </w:pPr>
      <w:r>
        <w:t xml:space="preserve">Bell, C., Rutherford, J., Brandt, A., Sherwin, E., Vaughn, T., &amp; Zimmerle, D. (2022). Single-blind determination of methane detection limits and quantification accuracy using aircraft-based LiDAR. </w:t>
      </w:r>
      <w:r>
        <w:rPr>
          <w:i/>
          <w:iCs/>
        </w:rPr>
        <w:t>Elementa: Science of the Anthropocene</w:t>
      </w:r>
      <w:r>
        <w:t xml:space="preserve">, </w:t>
      </w:r>
      <w:r>
        <w:rPr>
          <w:i/>
          <w:iCs/>
        </w:rPr>
        <w:t>10</w:t>
      </w:r>
      <w:r>
        <w:t>(1), Article 00080. https://doi.org/10.1525/elementa.2022.00080</w:t>
      </w:r>
    </w:p>
    <w:p w14:paraId="30CC3F62" w14:textId="77777777" w:rsidR="002413BA" w:rsidRDefault="00000000" w:rsidP="008D794F">
      <w:pPr>
        <w:pStyle w:val="BodyText"/>
        <w:jc w:val="both"/>
      </w:pPr>
      <w:r>
        <w:t xml:space="preserve">Bi, J., </w:t>
      </w:r>
      <w:proofErr w:type="spellStart"/>
      <w:r>
        <w:t>Wildani</w:t>
      </w:r>
      <w:proofErr w:type="spellEnd"/>
      <w:r>
        <w:t>, A., Chang, H. H., &amp; Liu, Y. (2020). Incorporating low-cost sensor measurements into high-resolution PM</w:t>
      </w:r>
      <w:r>
        <w:rPr>
          <w:vertAlign w:val="subscript"/>
        </w:rPr>
        <w:t>2.5</w:t>
      </w:r>
      <w:r>
        <w:t xml:space="preserve"> modeling at a large spatial scale. </w:t>
      </w:r>
      <w:r>
        <w:rPr>
          <w:i/>
          <w:iCs/>
        </w:rPr>
        <w:t>Environmental Science &amp; Technology</w:t>
      </w:r>
      <w:r>
        <w:t xml:space="preserve">, </w:t>
      </w:r>
      <w:r>
        <w:rPr>
          <w:i/>
          <w:iCs/>
        </w:rPr>
        <w:t>54</w:t>
      </w:r>
      <w:r>
        <w:t>(4), 2152–2162. https://doi.org/10.1021/acs.est.9b06046</w:t>
      </w:r>
    </w:p>
    <w:p w14:paraId="26A8578A" w14:textId="77777777" w:rsidR="002413BA" w:rsidRDefault="00000000" w:rsidP="008D794F">
      <w:pPr>
        <w:pStyle w:val="BodyText"/>
        <w:jc w:val="both"/>
      </w:pPr>
      <w:r>
        <w:t xml:space="preserve">Bishop, G. A., &amp; Stedman, D. H. (2008). A decade of on-road emissions measurements. </w:t>
      </w:r>
      <w:r>
        <w:rPr>
          <w:i/>
          <w:iCs/>
        </w:rPr>
        <w:t>Environmental Science &amp; Technology</w:t>
      </w:r>
      <w:r>
        <w:t xml:space="preserve">, </w:t>
      </w:r>
      <w:r>
        <w:rPr>
          <w:i/>
          <w:iCs/>
        </w:rPr>
        <w:t>42</w:t>
      </w:r>
      <w:r>
        <w:t>(5), 1651–1656. https://doi.org/10.1021/es702413b</w:t>
      </w:r>
    </w:p>
    <w:p w14:paraId="23330C4F" w14:textId="77777777" w:rsidR="002413BA" w:rsidRDefault="00000000" w:rsidP="008D794F">
      <w:pPr>
        <w:pStyle w:val="BodyText"/>
        <w:jc w:val="both"/>
      </w:pPr>
      <w:r>
        <w:t xml:space="preserve">Blume, N., </w:t>
      </w:r>
      <w:proofErr w:type="spellStart"/>
      <w:r>
        <w:t>Pernini</w:t>
      </w:r>
      <w:proofErr w:type="spellEnd"/>
      <w:r>
        <w:t xml:space="preserve">, T. G., Dobler, J. T., Zaccheo, T. S., McGregor, D., &amp; Bell, C. (2024). Single-blind detection, localization, and quantification of methane emissions using continuous path-integrated column measurements. </w:t>
      </w:r>
      <w:r>
        <w:rPr>
          <w:i/>
          <w:iCs/>
        </w:rPr>
        <w:t>Elementa: Science of the Anthropocene</w:t>
      </w:r>
      <w:r>
        <w:t xml:space="preserve">, </w:t>
      </w:r>
      <w:r>
        <w:rPr>
          <w:i/>
          <w:iCs/>
        </w:rPr>
        <w:t>12</w:t>
      </w:r>
      <w:r>
        <w:t>(1), Article 00022. https://doi.org/10.1525/elementa.2024.00022</w:t>
      </w:r>
    </w:p>
    <w:p w14:paraId="786BF33F" w14:textId="77777777" w:rsidR="002413BA" w:rsidRDefault="00000000" w:rsidP="008D794F">
      <w:pPr>
        <w:pStyle w:val="BodyText"/>
        <w:jc w:val="both"/>
      </w:pPr>
      <w:r>
        <w:t xml:space="preserve">Burke, M., Driscoll, A., Heft-Neal, S., Xue, J., Burney, J., &amp; Wara, M. (2021). The changing risk and burden of wildfire in the United States. </w:t>
      </w:r>
      <w:r>
        <w:rPr>
          <w:i/>
          <w:iCs/>
        </w:rPr>
        <w:t>Proceedings of the National Academy of Sciences</w:t>
      </w:r>
      <w:r>
        <w:t xml:space="preserve">, </w:t>
      </w:r>
      <w:r>
        <w:rPr>
          <w:i/>
          <w:iCs/>
        </w:rPr>
        <w:t>118</w:t>
      </w:r>
      <w:r>
        <w:t>(2), Article e2011048118. https://doi.org/10.1073/pnas.2011048118</w:t>
      </w:r>
    </w:p>
    <w:p w14:paraId="605FB773" w14:textId="77777777" w:rsidR="002413BA" w:rsidRDefault="00000000" w:rsidP="008D794F">
      <w:pPr>
        <w:pStyle w:val="BodyText"/>
        <w:jc w:val="both"/>
      </w:pPr>
      <w:r>
        <w:t>Burke, M., Childs, M. L., de la Cuesta, B., Qiu, M., Li, J., Gould, C. F., Heft-Neal, S., &amp; Wara, M. (2023). The contribution of wildfire to PM</w:t>
      </w:r>
      <w:r>
        <w:rPr>
          <w:vertAlign w:val="subscript"/>
        </w:rPr>
        <w:t>2.5</w:t>
      </w:r>
      <w:r>
        <w:t xml:space="preserve"> trends in the USA. </w:t>
      </w:r>
      <w:r>
        <w:rPr>
          <w:i/>
          <w:iCs/>
        </w:rPr>
        <w:t>Nature</w:t>
      </w:r>
      <w:r>
        <w:t xml:space="preserve">, </w:t>
      </w:r>
      <w:r>
        <w:rPr>
          <w:i/>
          <w:iCs/>
        </w:rPr>
        <w:t>622</w:t>
      </w:r>
      <w:r>
        <w:t>(7984), 761–766. https://doi.org/10.1038/s41586-023-06522-6</w:t>
      </w:r>
    </w:p>
    <w:p w14:paraId="530DAD3D" w14:textId="77777777" w:rsidR="002413BA" w:rsidRDefault="00000000" w:rsidP="008D794F">
      <w:pPr>
        <w:pStyle w:val="BodyText"/>
        <w:jc w:val="both"/>
      </w:pPr>
      <w:r>
        <w:t xml:space="preserve">Chakraborty, J. (2025). Using local indicators of spatial association to analyze the environmental justice implications of ambient air pollution in the United States. </w:t>
      </w:r>
      <w:r>
        <w:rPr>
          <w:i/>
          <w:iCs/>
        </w:rPr>
        <w:t>Environmental Justice</w:t>
      </w:r>
      <w:r>
        <w:t xml:space="preserve">, </w:t>
      </w:r>
      <w:r>
        <w:rPr>
          <w:i/>
          <w:iCs/>
        </w:rPr>
        <w:t>18</w:t>
      </w:r>
      <w:r>
        <w:t>(1), 57–67. https://doi.org/10.1089/env.2023.0017</w:t>
      </w:r>
    </w:p>
    <w:p w14:paraId="4EBBDDAB" w14:textId="77777777" w:rsidR="002413BA" w:rsidRDefault="00000000" w:rsidP="008D794F">
      <w:pPr>
        <w:pStyle w:val="BodyText"/>
        <w:jc w:val="both"/>
      </w:pPr>
      <w:r>
        <w:t xml:space="preserve">Chambliss, S. E., Pinon, C. P. R., Messier, K. P., LaFranchi, B., Upperman, C. R., Lunden, M. M., Robinson, A. L., Marshall, J. D., &amp; Apte, J. S. (2021). Local- and regional-scale racial and ethnic disparities in air pollution determined by long-term mobile monitoring. </w:t>
      </w:r>
      <w:r>
        <w:rPr>
          <w:i/>
          <w:iCs/>
        </w:rPr>
        <w:t>Proceedings of the National Academy of Sciences</w:t>
      </w:r>
      <w:r>
        <w:t xml:space="preserve">, </w:t>
      </w:r>
      <w:r>
        <w:rPr>
          <w:i/>
          <w:iCs/>
        </w:rPr>
        <w:t>118</w:t>
      </w:r>
      <w:r>
        <w:t>(37), Article e2109249118. https://doi.org/10.1073/pnas.2109249118</w:t>
      </w:r>
    </w:p>
    <w:p w14:paraId="1833C12A" w14:textId="77777777" w:rsidR="002413BA" w:rsidRDefault="00000000" w:rsidP="008D794F">
      <w:pPr>
        <w:pStyle w:val="BodyText"/>
        <w:jc w:val="both"/>
      </w:pPr>
      <w:r>
        <w:t xml:space="preserve">Chen, Q., Modi, M., McGaughey, G., Kimura, Y., McDonald-Buller, E., &amp; Allen, D. T. (2022). Simulated methane emission detection capabilities of continuous monitoring networks in an oil and gas production region. </w:t>
      </w:r>
      <w:r>
        <w:rPr>
          <w:i/>
          <w:iCs/>
        </w:rPr>
        <w:t>Atmosphere</w:t>
      </w:r>
      <w:r>
        <w:t xml:space="preserve">, </w:t>
      </w:r>
      <w:r>
        <w:rPr>
          <w:i/>
          <w:iCs/>
        </w:rPr>
        <w:t>13</w:t>
      </w:r>
      <w:r>
        <w:t>(4), Article 510. https://doi.org/10.3390/atmos13040510</w:t>
      </w:r>
    </w:p>
    <w:p w14:paraId="14862C25" w14:textId="77777777" w:rsidR="002413BA" w:rsidRDefault="00000000" w:rsidP="008D794F">
      <w:pPr>
        <w:pStyle w:val="BodyText"/>
        <w:jc w:val="both"/>
      </w:pPr>
      <w:r>
        <w:lastRenderedPageBreak/>
        <w:t xml:space="preserve">Chen, Y., Sherwin, E. D., Berman, E. S. F., Jones, B. B., Gordon, M. P., Wetherley, E. B., Kort, E. A., &amp; Brandt, A. R. (2022). Quantifying regional methane emissions in the New Mexico Permian Basin with a comprehensive aerial survey. </w:t>
      </w:r>
      <w:r>
        <w:rPr>
          <w:i/>
          <w:iCs/>
        </w:rPr>
        <w:t>Environmental Science &amp; Technology</w:t>
      </w:r>
      <w:r>
        <w:t xml:space="preserve">, </w:t>
      </w:r>
      <w:r>
        <w:rPr>
          <w:i/>
          <w:iCs/>
        </w:rPr>
        <w:t>56</w:t>
      </w:r>
      <w:r>
        <w:t>(7), 4317–4323. https://doi.org/10.1021/acs.est.1c06458</w:t>
      </w:r>
    </w:p>
    <w:p w14:paraId="7A5850A5" w14:textId="77777777" w:rsidR="002413BA" w:rsidRDefault="00000000" w:rsidP="008D794F">
      <w:pPr>
        <w:pStyle w:val="BodyText"/>
        <w:jc w:val="both"/>
      </w:pPr>
      <w:r>
        <w:t>Childs, M. L., Li, J., Wen, J., Heft-Neal, S., Driscoll, A., Wang, S., Gould, C. F., Qiu, M., Burney, J., &amp; Burke, M. (2022). Daily local-level estimates of ambient wildfire smoke PM</w:t>
      </w:r>
      <w:r>
        <w:rPr>
          <w:vertAlign w:val="subscript"/>
        </w:rPr>
        <w:t>2.5</w:t>
      </w:r>
      <w:r>
        <w:t xml:space="preserve"> for the contiguous US. </w:t>
      </w:r>
      <w:r>
        <w:rPr>
          <w:i/>
          <w:iCs/>
        </w:rPr>
        <w:t>Environmental Science &amp; Technology</w:t>
      </w:r>
      <w:r>
        <w:t xml:space="preserve">, </w:t>
      </w:r>
      <w:r>
        <w:rPr>
          <w:i/>
          <w:iCs/>
        </w:rPr>
        <w:t>56</w:t>
      </w:r>
      <w:r>
        <w:t>(19), 13607–13621. https://doi.org/10.1021/acs.est.2c02934</w:t>
      </w:r>
    </w:p>
    <w:p w14:paraId="291AB58A" w14:textId="77777777" w:rsidR="002413BA" w:rsidRDefault="00000000" w:rsidP="008D794F">
      <w:pPr>
        <w:pStyle w:val="BodyText"/>
        <w:jc w:val="both"/>
      </w:pPr>
      <w:r>
        <w:t xml:space="preserve">Chung, C. S., &amp; Rohr, A. C. (2026). </w:t>
      </w:r>
      <w:proofErr w:type="spellStart"/>
      <w:r>
        <w:t>PurpleAir</w:t>
      </w:r>
      <w:proofErr w:type="spellEnd"/>
      <w:r>
        <w:t xml:space="preserve"> sensor deployment trends and uncertainties. </w:t>
      </w:r>
      <w:r>
        <w:rPr>
          <w:i/>
          <w:iCs/>
        </w:rPr>
        <w:t>Sensors</w:t>
      </w:r>
      <w:r>
        <w:t xml:space="preserve">, </w:t>
      </w:r>
      <w:r>
        <w:rPr>
          <w:i/>
          <w:iCs/>
        </w:rPr>
        <w:t>26</w:t>
      </w:r>
      <w:r>
        <w:t>(6), Article 1789. https://doi.org/10.3390/s26061789</w:t>
      </w:r>
    </w:p>
    <w:p w14:paraId="00B342AF" w14:textId="77777777" w:rsidR="002413BA" w:rsidRDefault="00000000" w:rsidP="008D794F">
      <w:pPr>
        <w:pStyle w:val="BodyText"/>
        <w:jc w:val="both"/>
      </w:pPr>
      <w:r>
        <w:t xml:space="preserve">Cusworth, D. H., Duren, R. M., Thorpe, A. K., Olson-Duvall, W., Heckler, J., Chapman, J. W., Eastwood, M. L., Helmlinger, M. C., Green, R. O., Asner, G. P., Dennison, P. E., &amp; Miller, C. E. (2021). Intermittency of large methane emitters in the Permian Basin. </w:t>
      </w:r>
      <w:r>
        <w:rPr>
          <w:i/>
          <w:iCs/>
        </w:rPr>
        <w:t>Environmental Science &amp; Technology Letters</w:t>
      </w:r>
      <w:r>
        <w:t xml:space="preserve">, </w:t>
      </w:r>
      <w:r>
        <w:rPr>
          <w:i/>
          <w:iCs/>
        </w:rPr>
        <w:t>8</w:t>
      </w:r>
      <w:r>
        <w:t>(7), 567–573. https://doi.org/10.1021/acs.estlett.1c00173</w:t>
      </w:r>
    </w:p>
    <w:p w14:paraId="7811D4FD" w14:textId="77777777" w:rsidR="002413BA" w:rsidRDefault="00000000" w:rsidP="008D794F">
      <w:pPr>
        <w:pStyle w:val="BodyText"/>
        <w:jc w:val="both"/>
      </w:pPr>
      <w:r>
        <w:t xml:space="preserve">Cusworth, D. H., Thorpe, A. K., </w:t>
      </w:r>
      <w:proofErr w:type="spellStart"/>
      <w:r>
        <w:t>Ayasse</w:t>
      </w:r>
      <w:proofErr w:type="spellEnd"/>
      <w:r>
        <w:t xml:space="preserve">, A. K., Stepp, D., Heckler, J., Asner, G. P., Miller, C. E., Yadav, V., Chapman, J. W., Eastwood, M. L., Green, R. O., </w:t>
      </w:r>
      <w:proofErr w:type="spellStart"/>
      <w:r>
        <w:t>Hmiel</w:t>
      </w:r>
      <w:proofErr w:type="spellEnd"/>
      <w:r>
        <w:t xml:space="preserve">, B., Lyon, D. R., &amp; Duren, R. M. (2022). Strong methane point sources contribute a disproportionate fraction of total emissions across multiple basins in the United States. </w:t>
      </w:r>
      <w:r>
        <w:rPr>
          <w:i/>
          <w:iCs/>
        </w:rPr>
        <w:t>Proceedings of the National Academy of Sciences</w:t>
      </w:r>
      <w:r>
        <w:t xml:space="preserve">, </w:t>
      </w:r>
      <w:r>
        <w:rPr>
          <w:i/>
          <w:iCs/>
        </w:rPr>
        <w:t>119</w:t>
      </w:r>
      <w:r>
        <w:t>(38), Article e2202338119. https://doi.org/10.1073/pnas.2202338119</w:t>
      </w:r>
    </w:p>
    <w:p w14:paraId="5F24EE90" w14:textId="77777777" w:rsidR="002413BA" w:rsidRDefault="00000000" w:rsidP="008D794F">
      <w:pPr>
        <w:pStyle w:val="BodyText"/>
        <w:jc w:val="both"/>
      </w:pPr>
      <w:r>
        <w:t xml:space="preserve">Cusworth, D. H., Duren, R. M., </w:t>
      </w:r>
      <w:proofErr w:type="spellStart"/>
      <w:r>
        <w:t>Ayasse</w:t>
      </w:r>
      <w:proofErr w:type="spellEnd"/>
      <w:r>
        <w:t xml:space="preserve">, A. K., </w:t>
      </w:r>
      <w:proofErr w:type="spellStart"/>
      <w:r>
        <w:t>Jiorle</w:t>
      </w:r>
      <w:proofErr w:type="spellEnd"/>
      <w:r>
        <w:t xml:space="preserve">, R., Howell, K., Aubrey, A., Green, R. O., Eastwood, M. L., Chapman, J. W., Thorpe, A. K., Heckler, J., Asner, G. P., Smith, M. L., </w:t>
      </w:r>
      <w:proofErr w:type="spellStart"/>
      <w:r>
        <w:t>Thoma</w:t>
      </w:r>
      <w:proofErr w:type="spellEnd"/>
      <w:r>
        <w:t xml:space="preserve">, E., Krause, M. J., Heins, D., &amp; </w:t>
      </w:r>
      <w:proofErr w:type="spellStart"/>
      <w:r>
        <w:t>Thorneloe</w:t>
      </w:r>
      <w:proofErr w:type="spellEnd"/>
      <w:r>
        <w:t xml:space="preserve">, S. (2024). Quantifying methane emissions from United States landfills. </w:t>
      </w:r>
      <w:r>
        <w:rPr>
          <w:i/>
          <w:iCs/>
        </w:rPr>
        <w:t>Science</w:t>
      </w:r>
      <w:r>
        <w:t xml:space="preserve">, </w:t>
      </w:r>
      <w:r>
        <w:rPr>
          <w:i/>
          <w:iCs/>
        </w:rPr>
        <w:t>383</w:t>
      </w:r>
      <w:r>
        <w:t>(6690), 1499–1504. https://doi.org/10.1126/science.adi7735</w:t>
      </w:r>
    </w:p>
    <w:p w14:paraId="26E0EB0C" w14:textId="77777777" w:rsidR="002413BA" w:rsidRDefault="00000000" w:rsidP="008D794F">
      <w:pPr>
        <w:pStyle w:val="BodyText"/>
        <w:jc w:val="both"/>
      </w:pPr>
      <w:r>
        <w:t xml:space="preserve">Daniels, W. S., Jia, M., &amp; Hammerling, D. M. (2024a). Detection, localization, and quantification of single-source methane emissions on oil and gas production sites using point-in-space continuous monitoring systems. </w:t>
      </w:r>
      <w:r>
        <w:rPr>
          <w:i/>
          <w:iCs/>
        </w:rPr>
        <w:t>Elementa: Science of the Anthropocene</w:t>
      </w:r>
      <w:r>
        <w:t xml:space="preserve">, </w:t>
      </w:r>
      <w:r>
        <w:rPr>
          <w:i/>
          <w:iCs/>
        </w:rPr>
        <w:t>12</w:t>
      </w:r>
      <w:r>
        <w:t>(1), Article 00110. https://doi.org/10.1525/elementa.2023.00110</w:t>
      </w:r>
    </w:p>
    <w:p w14:paraId="1DA5F1F2" w14:textId="77777777" w:rsidR="002413BA" w:rsidRDefault="00000000" w:rsidP="008D794F">
      <w:pPr>
        <w:pStyle w:val="BodyText"/>
        <w:jc w:val="both"/>
      </w:pPr>
      <w:r>
        <w:t xml:space="preserve">Daniels, W. S., Jia, M., &amp; Hammerling, D. M. (2024b). Estimating methane emission durations using continuous monitoring systems. </w:t>
      </w:r>
      <w:r>
        <w:rPr>
          <w:i/>
          <w:iCs/>
        </w:rPr>
        <w:t>Environmental Science &amp; Technology Letters</w:t>
      </w:r>
      <w:r>
        <w:t xml:space="preserve">, </w:t>
      </w:r>
      <w:r>
        <w:rPr>
          <w:i/>
          <w:iCs/>
        </w:rPr>
        <w:t>11</w:t>
      </w:r>
      <w:r>
        <w:t>(11), 1187–1192. https://doi.org/10.1021/acs.estlett.4c00687</w:t>
      </w:r>
    </w:p>
    <w:p w14:paraId="023F8871" w14:textId="77777777" w:rsidR="002413BA" w:rsidRDefault="00000000" w:rsidP="008D794F">
      <w:pPr>
        <w:pStyle w:val="BodyText"/>
        <w:jc w:val="both"/>
      </w:pPr>
      <w:r>
        <w:t xml:space="preserve">Daniels, W. S., Kidd, S. G., Yang, S. L., Stokes, S., Ravikumar, A. P., &amp; Hammerling, D. M. (2025). Intercomparison of three continuous monitoring systems on operating oil and gas sites. </w:t>
      </w:r>
      <w:r>
        <w:rPr>
          <w:i/>
          <w:iCs/>
        </w:rPr>
        <w:t>ACS ES&amp;T Air</w:t>
      </w:r>
      <w:r>
        <w:t xml:space="preserve">, </w:t>
      </w:r>
      <w:r>
        <w:rPr>
          <w:i/>
          <w:iCs/>
        </w:rPr>
        <w:t>2</w:t>
      </w:r>
      <w:r>
        <w:t>(4), 564–577. https://doi.org/10.1021/acsestair.4c00298</w:t>
      </w:r>
    </w:p>
    <w:p w14:paraId="5A61FB04" w14:textId="77777777" w:rsidR="002413BA" w:rsidRDefault="00000000" w:rsidP="008D794F">
      <w:pPr>
        <w:pStyle w:val="BodyText"/>
        <w:jc w:val="both"/>
      </w:pPr>
      <w:r>
        <w:t>Datta, A., Saha, A., Zamora, M. L., Buehler, C., Hao, L., Xiong, F., Gentner, D. R., &amp; Koehler, K. (2020). Statistical field calibration of a low-cost PM</w:t>
      </w:r>
      <w:r>
        <w:rPr>
          <w:vertAlign w:val="subscript"/>
        </w:rPr>
        <w:t>2.5</w:t>
      </w:r>
      <w:r>
        <w:t xml:space="preserve"> monitoring network in Baltimore. </w:t>
      </w:r>
      <w:r>
        <w:rPr>
          <w:i/>
          <w:iCs/>
        </w:rPr>
        <w:t>Atmospheric Environment</w:t>
      </w:r>
      <w:r>
        <w:t xml:space="preserve">, </w:t>
      </w:r>
      <w:r>
        <w:rPr>
          <w:i/>
          <w:iCs/>
        </w:rPr>
        <w:t>242</w:t>
      </w:r>
      <w:r>
        <w:t>, Article 117761. https://doi.org/10.1016/j.atmosenv.2020.117761</w:t>
      </w:r>
    </w:p>
    <w:p w14:paraId="7BE7A97C" w14:textId="77777777" w:rsidR="002413BA" w:rsidRDefault="00000000" w:rsidP="008D794F">
      <w:pPr>
        <w:pStyle w:val="BodyText"/>
        <w:jc w:val="both"/>
      </w:pPr>
      <w:proofErr w:type="spellStart"/>
      <w:r>
        <w:lastRenderedPageBreak/>
        <w:t>deSouza</w:t>
      </w:r>
      <w:proofErr w:type="spellEnd"/>
      <w:r>
        <w:t>, P., &amp; Kinney, P. L. (2021). On the distribution of low-cost PM</w:t>
      </w:r>
      <w:r>
        <w:rPr>
          <w:vertAlign w:val="subscript"/>
        </w:rPr>
        <w:t>2.5</w:t>
      </w:r>
      <w:r>
        <w:t xml:space="preserve"> sensors in the US: Demographic and air quality associations. </w:t>
      </w:r>
      <w:r>
        <w:rPr>
          <w:i/>
          <w:iCs/>
        </w:rPr>
        <w:t>Journal of Exposure Science &amp; Environmental Epidemiology</w:t>
      </w:r>
      <w:r>
        <w:t xml:space="preserve">, </w:t>
      </w:r>
      <w:r>
        <w:rPr>
          <w:i/>
          <w:iCs/>
        </w:rPr>
        <w:t>31</w:t>
      </w:r>
      <w:r>
        <w:t>(3), 514–524. https://doi.org/10.1038/s41370-021-00328-2</w:t>
      </w:r>
    </w:p>
    <w:p w14:paraId="015DF383" w14:textId="77777777" w:rsidR="002413BA" w:rsidRDefault="00000000" w:rsidP="008D794F">
      <w:pPr>
        <w:pStyle w:val="BodyText"/>
        <w:jc w:val="both"/>
      </w:pPr>
      <w:proofErr w:type="spellStart"/>
      <w:r>
        <w:t>deSouza</w:t>
      </w:r>
      <w:proofErr w:type="spellEnd"/>
      <w:r>
        <w:t xml:space="preserve">, P., </w:t>
      </w:r>
      <w:proofErr w:type="spellStart"/>
      <w:r>
        <w:t>Anjomshoaa</w:t>
      </w:r>
      <w:proofErr w:type="spellEnd"/>
      <w:r>
        <w:t xml:space="preserve">, A., Duarte, F., Kahn, R., Kumar, P., &amp; Ratti, C. (2020). Air quality monitoring using mobile low-cost sensors mounted on trash-trucks: Methods development and lessons learned. </w:t>
      </w:r>
      <w:r>
        <w:rPr>
          <w:i/>
          <w:iCs/>
        </w:rPr>
        <w:t>Sustainable Cities and Society</w:t>
      </w:r>
      <w:r>
        <w:t xml:space="preserve">, </w:t>
      </w:r>
      <w:r>
        <w:rPr>
          <w:i/>
          <w:iCs/>
        </w:rPr>
        <w:t>60</w:t>
      </w:r>
      <w:r>
        <w:t>, Article 102239. https://doi.org/10.1016/j.scs.2020.102239</w:t>
      </w:r>
    </w:p>
    <w:p w14:paraId="0C5386A4" w14:textId="77777777" w:rsidR="002413BA" w:rsidRDefault="00000000" w:rsidP="008D794F">
      <w:pPr>
        <w:pStyle w:val="BodyText"/>
        <w:jc w:val="both"/>
      </w:pPr>
      <w:r>
        <w:t xml:space="preserve">Di, Q., Amini, H., Shi, L., </w:t>
      </w:r>
      <w:proofErr w:type="spellStart"/>
      <w:r>
        <w:t>Kloog</w:t>
      </w:r>
      <w:proofErr w:type="spellEnd"/>
      <w:r>
        <w:t xml:space="preserve">, I., Silvern, R., Kelly, J., Sabath, M. B., </w:t>
      </w:r>
      <w:proofErr w:type="spellStart"/>
      <w:r>
        <w:t>Choirat</w:t>
      </w:r>
      <w:proofErr w:type="spellEnd"/>
      <w:r>
        <w:t>, C., Koutrakis, P., Lyapustin, A., Wang, Y., Mickley, L. J., &amp; Schwartz, J. (2019). An ensemble-based model of PM</w:t>
      </w:r>
      <w:r>
        <w:rPr>
          <w:vertAlign w:val="subscript"/>
        </w:rPr>
        <w:t>2.5</w:t>
      </w:r>
      <w:r>
        <w:t xml:space="preserve"> concentration across the contiguous United States with high spatiotemporal resolution. </w:t>
      </w:r>
      <w:r>
        <w:rPr>
          <w:i/>
          <w:iCs/>
        </w:rPr>
        <w:t>Environment International</w:t>
      </w:r>
      <w:r>
        <w:t xml:space="preserve">, </w:t>
      </w:r>
      <w:r>
        <w:rPr>
          <w:i/>
          <w:iCs/>
        </w:rPr>
        <w:t>130</w:t>
      </w:r>
      <w:r>
        <w:t>, Article 104909. https://doi.org/10.1016/j.envint.2019.104909</w:t>
      </w:r>
    </w:p>
    <w:p w14:paraId="7B60EED5" w14:textId="77777777" w:rsidR="002413BA" w:rsidRDefault="00000000" w:rsidP="008D794F">
      <w:pPr>
        <w:pStyle w:val="BodyText"/>
        <w:jc w:val="both"/>
      </w:pPr>
      <w:r>
        <w:t xml:space="preserve">Duren, R. M., Thorpe, A. K., Foster, K. T., Rafiq, T., Hopkins, F. M., Yadav, V., Bue, B. D., Thompson, D. R., Conley, S., Colombi, N. K., Frankenberg, C., McCubbin, I. B., Eastwood, M. L., Falk, M., Herner, J. D., Croes, B. E., Green, R. O., &amp; Miller, C. E. (2019). California’s methane super-emitters. </w:t>
      </w:r>
      <w:r>
        <w:rPr>
          <w:i/>
          <w:iCs/>
        </w:rPr>
        <w:t>Nature</w:t>
      </w:r>
      <w:r>
        <w:t xml:space="preserve">, </w:t>
      </w:r>
      <w:r>
        <w:rPr>
          <w:i/>
          <w:iCs/>
        </w:rPr>
        <w:t>575</w:t>
      </w:r>
      <w:r>
        <w:t>(7781), 180–184. https://doi.org/10.1038/s41586-019-1720-3</w:t>
      </w:r>
    </w:p>
    <w:p w14:paraId="50B761FE" w14:textId="77777777" w:rsidR="002413BA" w:rsidRDefault="00000000" w:rsidP="008D794F">
      <w:pPr>
        <w:pStyle w:val="BodyText"/>
        <w:jc w:val="both"/>
      </w:pPr>
      <w:r>
        <w:t xml:space="preserve">Estrada, L. A., Varon, D. J., </w:t>
      </w:r>
      <w:proofErr w:type="spellStart"/>
      <w:r>
        <w:t>Sulprizio</w:t>
      </w:r>
      <w:proofErr w:type="spellEnd"/>
      <w:r>
        <w:t xml:space="preserve">, M., Nesser, H., Chen, Z., </w:t>
      </w:r>
      <w:proofErr w:type="spellStart"/>
      <w:r>
        <w:t>Balasus</w:t>
      </w:r>
      <w:proofErr w:type="spellEnd"/>
      <w:r>
        <w:t xml:space="preserve">, N., Hancock, S. E., He, M., East, J. D., Mooring, T. A., Oort Alonso, A., </w:t>
      </w:r>
      <w:proofErr w:type="spellStart"/>
      <w:r>
        <w:t>Maasakkers</w:t>
      </w:r>
      <w:proofErr w:type="spellEnd"/>
      <w:r>
        <w:t xml:space="preserve">, J. D., Aben, I., Baray, S., Bowman, K. W., Worden, J. R., Cardoso-Saldaña, F. J., Reidy, E., &amp; Jacob, D. J. (2025). Integrated Methane Inversion (IMI) 2.0: An improved research and stakeholder tool for monitoring total methane emissions with high resolution worldwide using TROPOMI satellite observations. </w:t>
      </w:r>
      <w:r>
        <w:rPr>
          <w:i/>
          <w:iCs/>
        </w:rPr>
        <w:t>Geoscientific Model Development</w:t>
      </w:r>
      <w:r>
        <w:t xml:space="preserve">, </w:t>
      </w:r>
      <w:r>
        <w:rPr>
          <w:i/>
          <w:iCs/>
        </w:rPr>
        <w:t>18</w:t>
      </w:r>
      <w:r>
        <w:t>(11), 3311–3330. https://doi.org/10.5194/gmd-18-3311-2025</w:t>
      </w:r>
    </w:p>
    <w:p w14:paraId="26373234" w14:textId="77777777" w:rsidR="002413BA" w:rsidRDefault="00000000" w:rsidP="008D794F">
      <w:pPr>
        <w:pStyle w:val="BodyText"/>
        <w:jc w:val="both"/>
      </w:pPr>
      <w:r>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w:t>
      </w:r>
      <w:r>
        <w:t xml:space="preserve">, </w:t>
      </w:r>
      <w:r>
        <w:rPr>
          <w:i/>
          <w:iCs/>
        </w:rPr>
        <w:t>48</w:t>
      </w:r>
      <w:r>
        <w:t>(6), Article e12931. https://doi.org/10.1111/eci.12931</w:t>
      </w:r>
    </w:p>
    <w:p w14:paraId="2E8DC211" w14:textId="77777777" w:rsidR="002413BA" w:rsidRDefault="00000000" w:rsidP="008D794F">
      <w:pPr>
        <w:pStyle w:val="BodyText"/>
        <w:jc w:val="both"/>
      </w:pPr>
      <w:proofErr w:type="spellStart"/>
      <w:r>
        <w:t>Guanter</w:t>
      </w:r>
      <w:proofErr w:type="spellEnd"/>
      <w:r>
        <w:t xml:space="preserve">, L., Warren, J., Omara, M., Chulakadabba, A., Roger, J., Sargent, M., Franklin, J. E., </w:t>
      </w:r>
      <w:proofErr w:type="spellStart"/>
      <w:r>
        <w:t>Wofsy</w:t>
      </w:r>
      <w:proofErr w:type="spellEnd"/>
      <w:r>
        <w:t xml:space="preserve">, S. C., &amp; Gautam, R. (2025). Detection and quantification of methane plumes with the </w:t>
      </w:r>
      <w:proofErr w:type="spellStart"/>
      <w:r>
        <w:t>MethaneAIR</w:t>
      </w:r>
      <w:proofErr w:type="spellEnd"/>
      <w:r>
        <w:t xml:space="preserve"> airborne spectrometer. </w:t>
      </w:r>
      <w:r>
        <w:rPr>
          <w:i/>
          <w:iCs/>
        </w:rPr>
        <w:t>Atmospheric Measurement Techniques</w:t>
      </w:r>
      <w:r>
        <w:t xml:space="preserve">, </w:t>
      </w:r>
      <w:r>
        <w:rPr>
          <w:i/>
          <w:iCs/>
        </w:rPr>
        <w:t>18</w:t>
      </w:r>
      <w:r>
        <w:t>(15), 3857–3872. https://doi.org/10.5194/amt-18-3857-2025</w:t>
      </w:r>
    </w:p>
    <w:p w14:paraId="0F5AE377" w14:textId="77777777" w:rsidR="002413BA" w:rsidRDefault="00000000" w:rsidP="008D794F">
      <w:pPr>
        <w:pStyle w:val="BodyText"/>
        <w:jc w:val="both"/>
      </w:pPr>
      <w:r>
        <w:t xml:space="preserve">Gurney, K. R., Dass, P., Kato, A., </w:t>
      </w:r>
      <w:proofErr w:type="spellStart"/>
      <w:r>
        <w:t>Gawuc</w:t>
      </w:r>
      <w:proofErr w:type="spellEnd"/>
      <w:r>
        <w:t xml:space="preserve">, L., Aslam, B., &amp; Sun, H. (2025). Vulcan version 4.0 high-resolution annual carbon dioxide emissions in the U.S. for the 2010–2022 time period. </w:t>
      </w:r>
      <w:r>
        <w:rPr>
          <w:i/>
          <w:iCs/>
        </w:rPr>
        <w:t>Scientific Data</w:t>
      </w:r>
      <w:r>
        <w:t xml:space="preserve">, </w:t>
      </w:r>
      <w:r>
        <w:rPr>
          <w:i/>
          <w:iCs/>
        </w:rPr>
        <w:t>12</w:t>
      </w:r>
      <w:r>
        <w:t>(1), Article 1946. https://doi.org/10.1038/s41597-025-06391-w</w:t>
      </w:r>
    </w:p>
    <w:p w14:paraId="2CD5052D" w14:textId="77777777" w:rsidR="002413BA" w:rsidRDefault="00000000" w:rsidP="008D794F">
      <w:pPr>
        <w:pStyle w:val="BodyText"/>
        <w:jc w:val="both"/>
      </w:pPr>
      <w:r>
        <w:t xml:space="preserve">Gurney, K. R., Liang, J., </w:t>
      </w:r>
      <w:proofErr w:type="spellStart"/>
      <w:r>
        <w:t>Patarasuk</w:t>
      </w:r>
      <w:proofErr w:type="spellEnd"/>
      <w:r>
        <w:t>, R., Song, Y., Huang, J., &amp; Roest, G. (2020). The Vulcan version 3.0 high-resolution fossil fuel CO</w:t>
      </w:r>
      <w:r>
        <w:rPr>
          <w:vertAlign w:val="subscript"/>
        </w:rPr>
        <w:t>2</w:t>
      </w:r>
      <w:r>
        <w:t xml:space="preserve"> emissions for the United States. </w:t>
      </w:r>
      <w:r>
        <w:rPr>
          <w:i/>
          <w:iCs/>
        </w:rPr>
        <w:t>Journal of Geophysical Research: Atmospheres</w:t>
      </w:r>
      <w:r>
        <w:t xml:space="preserve">, </w:t>
      </w:r>
      <w:r>
        <w:rPr>
          <w:i/>
          <w:iCs/>
        </w:rPr>
        <w:t>125</w:t>
      </w:r>
      <w:r>
        <w:t>(19), Article e2020JD032974. https://doi.org/10.1029/2020JD032974</w:t>
      </w:r>
    </w:p>
    <w:p w14:paraId="03346AFD" w14:textId="77777777" w:rsidR="002413BA" w:rsidRDefault="00000000" w:rsidP="008D794F">
      <w:pPr>
        <w:pStyle w:val="BodyText"/>
        <w:jc w:val="both"/>
      </w:pPr>
      <w:r>
        <w:lastRenderedPageBreak/>
        <w:t xml:space="preserve">Gurney, K. R., Liang, J., Roest, G., Song, Y., Mueller, K., &amp; </w:t>
      </w:r>
      <w:proofErr w:type="spellStart"/>
      <w:r>
        <w:t>Lauvaux</w:t>
      </w:r>
      <w:proofErr w:type="spellEnd"/>
      <w:r>
        <w:t xml:space="preserve">, T. (2021). Under-reporting of greenhouse gas emissions in U.S. cities. </w:t>
      </w:r>
      <w:r>
        <w:rPr>
          <w:i/>
          <w:iCs/>
        </w:rPr>
        <w:t>Nature Communications</w:t>
      </w:r>
      <w:r>
        <w:t xml:space="preserve">, </w:t>
      </w:r>
      <w:r>
        <w:rPr>
          <w:i/>
          <w:iCs/>
        </w:rPr>
        <w:t>12</w:t>
      </w:r>
      <w:r>
        <w:t>(1), Article 553. https://doi.org/10.1038/s41467-020-20871-0</w:t>
      </w:r>
    </w:p>
    <w:p w14:paraId="0CF92502" w14:textId="77777777" w:rsidR="002413BA" w:rsidRDefault="00000000" w:rsidP="008D794F">
      <w:pPr>
        <w:pStyle w:val="BodyText"/>
        <w:jc w:val="both"/>
      </w:pPr>
      <w:r>
        <w:t xml:space="preserve">Holder, A. L., Mebust, A. K., </w:t>
      </w:r>
      <w:proofErr w:type="spellStart"/>
      <w:r>
        <w:t>Maghran</w:t>
      </w:r>
      <w:proofErr w:type="spellEnd"/>
      <w:r>
        <w:t xml:space="preserve">, L. A., McGown, M. R., Stewart, K. E., </w:t>
      </w:r>
      <w:proofErr w:type="spellStart"/>
      <w:r>
        <w:t>Vallano</w:t>
      </w:r>
      <w:proofErr w:type="spellEnd"/>
      <w:r>
        <w:t xml:space="preserve">, D. M., Elleman, R. A., &amp; Baker, K. R. (2020). Field evaluation of low-cost particulate matter sensors for measuring wildfire smoke. </w:t>
      </w:r>
      <w:r>
        <w:rPr>
          <w:i/>
          <w:iCs/>
        </w:rPr>
        <w:t>Sensors</w:t>
      </w:r>
      <w:r>
        <w:t xml:space="preserve">, </w:t>
      </w:r>
      <w:r>
        <w:rPr>
          <w:i/>
          <w:iCs/>
        </w:rPr>
        <w:t>20</w:t>
      </w:r>
      <w:r>
        <w:t>(17), Article 4796. https://doi.org/10.3390/s20174796</w:t>
      </w:r>
    </w:p>
    <w:p w14:paraId="4D0D80F0" w14:textId="77777777" w:rsidR="002413BA" w:rsidRDefault="00000000" w:rsidP="008D794F">
      <w:pPr>
        <w:pStyle w:val="BodyText"/>
        <w:jc w:val="both"/>
      </w:pPr>
      <w:proofErr w:type="spellStart"/>
      <w:r>
        <w:t>Ilonze</w:t>
      </w:r>
      <w:proofErr w:type="spellEnd"/>
      <w:r>
        <w:t xml:space="preserve">, C., Wang, J., Ravikumar, A. P., &amp; Zimmerle, D. (2024). Methane quantification performance of the quantitative optical gas imaging (QOGI) system using single-blind controlled release assessment. </w:t>
      </w:r>
      <w:r>
        <w:rPr>
          <w:i/>
          <w:iCs/>
        </w:rPr>
        <w:t>Sensors</w:t>
      </w:r>
      <w:r>
        <w:t xml:space="preserve">, </w:t>
      </w:r>
      <w:r>
        <w:rPr>
          <w:i/>
          <w:iCs/>
        </w:rPr>
        <w:t>24</w:t>
      </w:r>
      <w:r>
        <w:t>(13), Article 4044. https://doi.org/10.3390/s24134044</w:t>
      </w:r>
    </w:p>
    <w:p w14:paraId="1A186566" w14:textId="77777777" w:rsidR="002413BA" w:rsidRDefault="00000000" w:rsidP="008D794F">
      <w:pPr>
        <w:pStyle w:val="BodyText"/>
        <w:jc w:val="both"/>
      </w:pPr>
      <w:r>
        <w:t xml:space="preserve">Jacob, D. J., Varon, D. J., Cusworth, D. H., Dennison, P. E., Frankenberg, C., Gautam, R., </w:t>
      </w:r>
      <w:proofErr w:type="spellStart"/>
      <w:r>
        <w:t>Guanter</w:t>
      </w:r>
      <w:proofErr w:type="spellEnd"/>
      <w:r>
        <w:t xml:space="preserve">, L., Kelley, J., McKeever, J., Ott, L. E., Poulter, B., Qu, Z., Thorpe, A. K., Worden, J. R., &amp; Duren, R. M. (2022). Quantifying methane emissions from the global scale down to point sources using satellite observations of atmospheric methane. </w:t>
      </w:r>
      <w:r>
        <w:rPr>
          <w:i/>
          <w:iCs/>
        </w:rPr>
        <w:t>Atmospheric Chemistry and Physics</w:t>
      </w:r>
      <w:r>
        <w:t xml:space="preserve">, </w:t>
      </w:r>
      <w:r>
        <w:rPr>
          <w:i/>
          <w:iCs/>
        </w:rPr>
        <w:t>22</w:t>
      </w:r>
      <w:r>
        <w:t>(14), 9617–9646. https://doi.org/10.5194/acp-22-9617-2022</w:t>
      </w:r>
    </w:p>
    <w:p w14:paraId="34F6CC07" w14:textId="77777777" w:rsidR="002413BA" w:rsidRDefault="00000000" w:rsidP="008D794F">
      <w:pPr>
        <w:pStyle w:val="BodyText"/>
        <w:jc w:val="both"/>
      </w:pPr>
      <w:r>
        <w:t xml:space="preserve">Jia, M., Sorensen, T. R., &amp; Hammerling, D. M. (2025). Optimizing point-in-space continuous monitoring system sensor placement on oil and gas sites. </w:t>
      </w:r>
      <w:r>
        <w:rPr>
          <w:i/>
          <w:iCs/>
        </w:rPr>
        <w:t>ACS Sustainable Resource Management</w:t>
      </w:r>
      <w:r>
        <w:t xml:space="preserve">, </w:t>
      </w:r>
      <w:r>
        <w:rPr>
          <w:i/>
          <w:iCs/>
        </w:rPr>
        <w:t>2</w:t>
      </w:r>
      <w:r>
        <w:t>(1), 72–81. https://doi.org/10.1021/acssusresmgt.4c00333</w:t>
      </w:r>
    </w:p>
    <w:p w14:paraId="7AFDF770" w14:textId="77777777" w:rsidR="002413BA" w:rsidRDefault="00000000" w:rsidP="008D794F">
      <w:pPr>
        <w:pStyle w:val="BodyText"/>
        <w:jc w:val="both"/>
      </w:pPr>
      <w:proofErr w:type="spellStart"/>
      <w:r>
        <w:t>Jongaramrungruang</w:t>
      </w:r>
      <w:proofErr w:type="spellEnd"/>
      <w:r>
        <w:t xml:space="preserve">, S., Thorpe, A. K., Matheou, G., &amp; Frankenberg, C. (2022). </w:t>
      </w:r>
      <w:proofErr w:type="spellStart"/>
      <w:r>
        <w:t>MethaNet</w:t>
      </w:r>
      <w:proofErr w:type="spellEnd"/>
      <w:r>
        <w:t xml:space="preserve">—An AI-driven approach to quantifying methane point-source emission from high-resolution 2-D plume imagery. </w:t>
      </w:r>
      <w:r>
        <w:rPr>
          <w:i/>
          <w:iCs/>
        </w:rPr>
        <w:t>Remote Sensing of Environment</w:t>
      </w:r>
      <w:r>
        <w:t xml:space="preserve">, </w:t>
      </w:r>
      <w:r>
        <w:rPr>
          <w:i/>
          <w:iCs/>
        </w:rPr>
        <w:t>269</w:t>
      </w:r>
      <w:r>
        <w:t>, Article 112809. https://doi.org/10.1016/j.rse.2021.112809</w:t>
      </w:r>
    </w:p>
    <w:p w14:paraId="7C0A8E27" w14:textId="77777777" w:rsidR="002413BA" w:rsidRDefault="00000000" w:rsidP="008D794F">
      <w:pPr>
        <w:pStyle w:val="BodyText"/>
        <w:jc w:val="both"/>
      </w:pPr>
      <w:r>
        <w:t xml:space="preserve">Kelp, M. M., Jacob, D. J., Kutz, J. N., Marshall, J. D., &amp; Tessum, C. W. (2020). Toward stable, general machine-learned models of the atmospheric chemical system. </w:t>
      </w:r>
      <w:r>
        <w:rPr>
          <w:i/>
          <w:iCs/>
        </w:rPr>
        <w:t>Journal of Geophysical Research: Atmospheres</w:t>
      </w:r>
      <w:r>
        <w:t xml:space="preserve">, </w:t>
      </w:r>
      <w:r>
        <w:rPr>
          <w:i/>
          <w:iCs/>
        </w:rPr>
        <w:t>125</w:t>
      </w:r>
      <w:r>
        <w:t>(23), Article e2020JD032759. https://doi.org/10.1029/2020JD032759</w:t>
      </w:r>
    </w:p>
    <w:p w14:paraId="3BFC61C8" w14:textId="77777777" w:rsidR="002413BA" w:rsidRDefault="00000000" w:rsidP="008D794F">
      <w:pPr>
        <w:pStyle w:val="BodyText"/>
        <w:jc w:val="both"/>
      </w:pPr>
      <w:proofErr w:type="spellStart"/>
      <w:r>
        <w:t>Lauvaux</w:t>
      </w:r>
      <w:proofErr w:type="spellEnd"/>
      <w:r>
        <w:t xml:space="preserve">, T., Miles, N. L., Deng, A., Richardson, S. J., Cambaliza, M. O., Davis, K. J., Gaudet, B., Gurney, K. R., Huang, J., O’Keefe, D., Song, Y., Karion, A., Oda, T., </w:t>
      </w:r>
      <w:proofErr w:type="spellStart"/>
      <w:r>
        <w:t>Patarasuk</w:t>
      </w:r>
      <w:proofErr w:type="spellEnd"/>
      <w:r>
        <w:t xml:space="preserve">, R., Razlivanov, I., Sarmiento, D., </w:t>
      </w:r>
      <w:proofErr w:type="spellStart"/>
      <w:r>
        <w:t>Shepson</w:t>
      </w:r>
      <w:proofErr w:type="spellEnd"/>
      <w:r>
        <w:t>, P., Sweeney, C., Turnbull, J., &amp; Wu, K. (2016). High-resolution atmospheric inversion of urban CO</w:t>
      </w:r>
      <w:r>
        <w:rPr>
          <w:vertAlign w:val="subscript"/>
        </w:rPr>
        <w:t>2</w:t>
      </w:r>
      <w:r>
        <w:t xml:space="preserve"> emissions during the dormant season of the Indianapolis Flux Experiment (INFLUX). </w:t>
      </w:r>
      <w:r>
        <w:rPr>
          <w:i/>
          <w:iCs/>
        </w:rPr>
        <w:t>Journal of Geophysical Research: Atmospheres</w:t>
      </w:r>
      <w:r>
        <w:t xml:space="preserve">, </w:t>
      </w:r>
      <w:r>
        <w:rPr>
          <w:i/>
          <w:iCs/>
        </w:rPr>
        <w:t>121</w:t>
      </w:r>
      <w:r>
        <w:t>(10), 5213–5236. https://doi.org/10.1002/2015JD024473</w:t>
      </w:r>
    </w:p>
    <w:p w14:paraId="5C4019FC" w14:textId="77777777" w:rsidR="002413BA" w:rsidRDefault="00000000" w:rsidP="008D794F">
      <w:pPr>
        <w:pStyle w:val="BodyText"/>
        <w:jc w:val="both"/>
      </w:pPr>
      <w:r>
        <w:t xml:space="preserve">Li, C., Krotkov, N. A., Joiner, J., Carn, S., Fioletov, V., McLinden, C., Griffin, D., Liu, X., &amp; Chong, H. (2025). Hourly sulfur dioxide observations over North America: First retrieval results from TEMPO. </w:t>
      </w:r>
      <w:r>
        <w:rPr>
          <w:i/>
          <w:iCs/>
        </w:rPr>
        <w:t>Geophysical Research Letters</w:t>
      </w:r>
      <w:r>
        <w:t xml:space="preserve">, </w:t>
      </w:r>
      <w:r>
        <w:rPr>
          <w:i/>
          <w:iCs/>
        </w:rPr>
        <w:t>52</w:t>
      </w:r>
      <w:r>
        <w:t>(14), Article e2025GL115788. https://doi.org/10.1029/2025GL115788</w:t>
      </w:r>
    </w:p>
    <w:p w14:paraId="2231BAB5" w14:textId="77777777" w:rsidR="002413BA" w:rsidRDefault="00000000" w:rsidP="008D794F">
      <w:pPr>
        <w:pStyle w:val="BodyText"/>
        <w:jc w:val="both"/>
      </w:pPr>
      <w:r>
        <w:t xml:space="preserve">Malings, C., Tanzer, R., Hauryliuk, A., Kumar, S. P. N., Zimmerman, N., Kara, L. B., Presto, A. A., &amp; Subramanian, R. (2019). Development of a general calibration model and long-term </w:t>
      </w:r>
      <w:r>
        <w:lastRenderedPageBreak/>
        <w:t xml:space="preserve">performance evaluation of low-cost sensors for air pollutant gas monitoring. </w:t>
      </w:r>
      <w:r>
        <w:rPr>
          <w:i/>
          <w:iCs/>
        </w:rPr>
        <w:t>Atmospheric Measurement Techniques</w:t>
      </w:r>
      <w:r>
        <w:t xml:space="preserve">, </w:t>
      </w:r>
      <w:r>
        <w:rPr>
          <w:i/>
          <w:iCs/>
        </w:rPr>
        <w:t>12</w:t>
      </w:r>
      <w:r>
        <w:t>(2), 903–920. https://doi.org/10.5194/amt-12-903-2019</w:t>
      </w:r>
    </w:p>
    <w:p w14:paraId="68D46348" w14:textId="77777777" w:rsidR="002413BA" w:rsidRDefault="00000000" w:rsidP="008D794F">
      <w:pPr>
        <w:pStyle w:val="BodyText"/>
        <w:jc w:val="both"/>
      </w:pPr>
      <w:r>
        <w:t xml:space="preserve">Malings, C., Tanzer, R., Hauryliuk, A., Saha, P. K., Robinson, A. L., Presto, A. A., &amp; Subramanian, R. (2020). Fine particle mass monitoring with low-cost sensors: Corrections and long-term performance evaluation. </w:t>
      </w:r>
      <w:r>
        <w:rPr>
          <w:i/>
          <w:iCs/>
        </w:rPr>
        <w:t>Aerosol Science and Technology</w:t>
      </w:r>
      <w:r>
        <w:t xml:space="preserve">, </w:t>
      </w:r>
      <w:r>
        <w:rPr>
          <w:i/>
          <w:iCs/>
        </w:rPr>
        <w:t>54</w:t>
      </w:r>
      <w:r>
        <w:t>(2), 160–174. https://doi.org/10.1080/02786826.2019.1623863</w:t>
      </w:r>
    </w:p>
    <w:p w14:paraId="36F19D78" w14:textId="77777777" w:rsidR="002413BA" w:rsidRDefault="00000000" w:rsidP="008D794F">
      <w:pPr>
        <w:pStyle w:val="BodyText"/>
        <w:jc w:val="both"/>
      </w:pPr>
      <w:r>
        <w:t xml:space="preserve">Marjani, M., </w:t>
      </w:r>
      <w:proofErr w:type="spellStart"/>
      <w:r>
        <w:t>Mahdianpari</w:t>
      </w:r>
      <w:proofErr w:type="spellEnd"/>
      <w:r>
        <w:t xml:space="preserve">, M., Varon, D. J., &amp; </w:t>
      </w:r>
      <w:proofErr w:type="spellStart"/>
      <w:r>
        <w:t>Mohammadimanesh</w:t>
      </w:r>
      <w:proofErr w:type="spellEnd"/>
      <w:r>
        <w:t xml:space="preserve">, F. (2025). The integration of vision transformers and SAM for automated methane super-emitter detection using TROPOMI data. </w:t>
      </w:r>
      <w:r>
        <w:rPr>
          <w:i/>
          <w:iCs/>
        </w:rPr>
        <w:t>Journal of Environmental Management</w:t>
      </w:r>
      <w:r>
        <w:t xml:space="preserve">, </w:t>
      </w:r>
      <w:r>
        <w:rPr>
          <w:i/>
          <w:iCs/>
        </w:rPr>
        <w:t>393</w:t>
      </w:r>
      <w:r>
        <w:t>, Article 127034. https://doi.org/10.1016/j.jenvman.2025.127034</w:t>
      </w:r>
    </w:p>
    <w:p w14:paraId="6E32D60A" w14:textId="77777777" w:rsidR="002413BA" w:rsidRDefault="00000000" w:rsidP="008D794F">
      <w:pPr>
        <w:pStyle w:val="BodyText"/>
        <w:jc w:val="both"/>
      </w:pPr>
      <w:proofErr w:type="spellStart"/>
      <w:r>
        <w:t>MethaneSAT</w:t>
      </w:r>
      <w:proofErr w:type="spellEnd"/>
      <w:r>
        <w:t xml:space="preserve">. (2025, November 6). </w:t>
      </w:r>
      <w:r>
        <w:rPr>
          <w:i/>
          <w:iCs/>
        </w:rPr>
        <w:t xml:space="preserve">Results of the anomaly investigation into the loss of communication with </w:t>
      </w:r>
      <w:proofErr w:type="spellStart"/>
      <w:r>
        <w:rPr>
          <w:i/>
          <w:iCs/>
        </w:rPr>
        <w:t>MethaneSAT</w:t>
      </w:r>
      <w:proofErr w:type="spellEnd"/>
      <w:r>
        <w:t>. https://www.methanesat.org/project-updates/results-anomaly-investigation-loss-communication-methanesat</w:t>
      </w:r>
    </w:p>
    <w:p w14:paraId="2F4A287B" w14:textId="77777777" w:rsidR="002413BA" w:rsidRDefault="00000000" w:rsidP="008D794F">
      <w:pPr>
        <w:pStyle w:val="BodyText"/>
        <w:jc w:val="both"/>
      </w:pPr>
      <w:r>
        <w:t xml:space="preserve">Millet, D. B., Palmer, P. I., Levelt, P. F., Gallardo, L., &amp; </w:t>
      </w:r>
      <w:proofErr w:type="spellStart"/>
      <w:r>
        <w:t>Shikwambana</w:t>
      </w:r>
      <w:proofErr w:type="spellEnd"/>
      <w:r>
        <w:t xml:space="preserve">, L. (2024). Coordinated geostationary, multispectral satellite observations are critical for climate and air quality progress. </w:t>
      </w:r>
      <w:r>
        <w:rPr>
          <w:i/>
          <w:iCs/>
        </w:rPr>
        <w:t>AGU Advances</w:t>
      </w:r>
      <w:r>
        <w:t xml:space="preserve">, </w:t>
      </w:r>
      <w:r>
        <w:rPr>
          <w:i/>
          <w:iCs/>
        </w:rPr>
        <w:t>5</w:t>
      </w:r>
      <w:r>
        <w:t>(5), Article e2024AV001322. https://doi.org/10.1029/2024AV001322</w:t>
      </w:r>
    </w:p>
    <w:p w14:paraId="4AFFD16C" w14:textId="77777777" w:rsidR="002413BA" w:rsidRDefault="00000000" w:rsidP="008D794F">
      <w:pPr>
        <w:pStyle w:val="BodyText"/>
        <w:jc w:val="both"/>
      </w:pPr>
      <w:r>
        <w:t xml:space="preserve">Nesser, H., Jacob, D. J., </w:t>
      </w:r>
      <w:proofErr w:type="spellStart"/>
      <w:r>
        <w:t>Maasakkers</w:t>
      </w:r>
      <w:proofErr w:type="spellEnd"/>
      <w:r>
        <w:t xml:space="preserve">, J. D., Lorente, A., Chen, Z., Lu, X., Shen, L., Qu, Z., </w:t>
      </w:r>
      <w:proofErr w:type="spellStart"/>
      <w:r>
        <w:t>Sulprizio</w:t>
      </w:r>
      <w:proofErr w:type="spellEnd"/>
      <w:r>
        <w:t xml:space="preserve">, M. P., Winter, M., Ma, S., Bloom, A. A., Worden, J. R., Stavins, R. N., &amp; Randles, C. A. (2024). High-resolution US methane emissions inferred from an inversion of 2019 TROPOMI satellite data: Contributions from individual states, urban areas, and landfills. </w:t>
      </w:r>
      <w:r>
        <w:rPr>
          <w:i/>
          <w:iCs/>
        </w:rPr>
        <w:t>Atmospheric Chemistry and Physics</w:t>
      </w:r>
      <w:r>
        <w:t xml:space="preserve">, </w:t>
      </w:r>
      <w:r>
        <w:rPr>
          <w:i/>
          <w:iCs/>
        </w:rPr>
        <w:t>24</w:t>
      </w:r>
      <w:r>
        <w:t>(8), 5069–5091. https://doi.org/10.5194/acp-24-5069-2024</w:t>
      </w:r>
    </w:p>
    <w:p w14:paraId="5311F4CC" w14:textId="77777777" w:rsidR="002413BA" w:rsidRDefault="00000000" w:rsidP="008D794F">
      <w:pPr>
        <w:pStyle w:val="BodyText"/>
        <w:jc w:val="both"/>
      </w:pPr>
      <w:r>
        <w:t xml:space="preserve">Omara, M., Zavala-Araiza, D., Lyon, D. R., </w:t>
      </w:r>
      <w:proofErr w:type="spellStart"/>
      <w:r>
        <w:t>Hmiel</w:t>
      </w:r>
      <w:proofErr w:type="spellEnd"/>
      <w:r>
        <w:t xml:space="preserve">, B., Roberts, K. A., &amp; Hamburg, S. P. (2022). Methane emissions from US low production oil and natural gas well sites. </w:t>
      </w:r>
      <w:r>
        <w:rPr>
          <w:i/>
          <w:iCs/>
        </w:rPr>
        <w:t>Nature Communications</w:t>
      </w:r>
      <w:r>
        <w:t xml:space="preserve">, </w:t>
      </w:r>
      <w:r>
        <w:rPr>
          <w:i/>
          <w:iCs/>
        </w:rPr>
        <w:t>13</w:t>
      </w:r>
      <w:r>
        <w:t>(1), Article 2085. https://doi.org/10.1038/s41467-022-29709-3</w:t>
      </w:r>
    </w:p>
    <w:p w14:paraId="72E92AC5" w14:textId="77777777" w:rsidR="002413BA" w:rsidRDefault="00000000" w:rsidP="008D794F">
      <w:pPr>
        <w:pStyle w:val="BodyText"/>
        <w:jc w:val="both"/>
      </w:pPr>
      <w:r>
        <w:t>Pondicherry, R., Besch, M. C., Thiruvengadam, A., &amp; Carder, D. (2021). A vehicle activity-based windowing approach to evaluate real-world NO</w:t>
      </w:r>
      <w:r>
        <w:rPr>
          <w:vertAlign w:val="subscript"/>
        </w:rPr>
        <w:t>x</w:t>
      </w:r>
      <w:r>
        <w:t xml:space="preserve"> emissions from modern heavy-duty diesel trucks. </w:t>
      </w:r>
      <w:r>
        <w:rPr>
          <w:i/>
          <w:iCs/>
        </w:rPr>
        <w:t>Atmospheric Environment</w:t>
      </w:r>
      <w:r>
        <w:t xml:space="preserve">, </w:t>
      </w:r>
      <w:r>
        <w:rPr>
          <w:i/>
          <w:iCs/>
        </w:rPr>
        <w:t>247</w:t>
      </w:r>
      <w:r>
        <w:t>, Article 118169. https://doi.org/10.1016/j.atmosenv.2020.118169</w:t>
      </w:r>
    </w:p>
    <w:p w14:paraId="761AC0A6" w14:textId="77777777" w:rsidR="002413BA" w:rsidRDefault="00000000" w:rsidP="008D794F">
      <w:pPr>
        <w:pStyle w:val="BodyText"/>
        <w:jc w:val="both"/>
      </w:pPr>
      <w:r>
        <w:t xml:space="preserve">Reichstein, M., Camps-Valls, G., Stevens, B., Jung, M., Denzler, J., Carvalhais, N., &amp; Prabhat. (2019). Deep learning and process understanding for data-driven Earth system science. </w:t>
      </w:r>
      <w:r>
        <w:rPr>
          <w:i/>
          <w:iCs/>
        </w:rPr>
        <w:t>Nature</w:t>
      </w:r>
      <w:r>
        <w:t xml:space="preserve">, </w:t>
      </w:r>
      <w:r>
        <w:rPr>
          <w:i/>
          <w:iCs/>
        </w:rPr>
        <w:t>566</w:t>
      </w:r>
      <w:r>
        <w:t>(7743), 195–204. https://doi.org/10.1038/s41586-019-0912-1</w:t>
      </w:r>
    </w:p>
    <w:p w14:paraId="7B5D8E85" w14:textId="77777777" w:rsidR="002413BA" w:rsidRDefault="00000000" w:rsidP="008D794F">
      <w:pPr>
        <w:pStyle w:val="BodyText"/>
        <w:jc w:val="both"/>
      </w:pPr>
      <w:r>
        <w:t xml:space="preserve">Reid, C. E., Jerrett, M., Petersen, M. L., Pfister, G. G., Morefield, P. E., Tager, I. B., </w:t>
      </w:r>
      <w:proofErr w:type="spellStart"/>
      <w:r>
        <w:t>Raffuse</w:t>
      </w:r>
      <w:proofErr w:type="spellEnd"/>
      <w:r>
        <w:t xml:space="preserve">, S. M., &amp; Balmes, J. R. (2015). Spatiotemporal prediction of fine particulate matter during the 2008 Northern California wildfires using machine learning. </w:t>
      </w:r>
      <w:r>
        <w:rPr>
          <w:i/>
          <w:iCs/>
        </w:rPr>
        <w:t>Environmental Science &amp; Technology</w:t>
      </w:r>
      <w:r>
        <w:t xml:space="preserve">, </w:t>
      </w:r>
      <w:r>
        <w:rPr>
          <w:i/>
          <w:iCs/>
        </w:rPr>
        <w:t>49</w:t>
      </w:r>
      <w:r>
        <w:t>(6), 3887–3896. https://doi.org/10.1021/es505846r</w:t>
      </w:r>
    </w:p>
    <w:p w14:paraId="4F318C03" w14:textId="77777777" w:rsidR="002413BA" w:rsidRDefault="00000000" w:rsidP="008D794F">
      <w:pPr>
        <w:pStyle w:val="BodyText"/>
        <w:jc w:val="both"/>
      </w:pPr>
      <w:r>
        <w:t xml:space="preserve">Ren, X., Mi, Z., &amp; Georgopoulos, P. G. (2020). Comparison of machine learning and land use regression for fine scale spatiotemporal estimation of ambient air pollution: Modeling </w:t>
      </w:r>
      <w:r>
        <w:lastRenderedPageBreak/>
        <w:t xml:space="preserve">ozone concentrations across the contiguous United States. </w:t>
      </w:r>
      <w:r>
        <w:rPr>
          <w:i/>
          <w:iCs/>
        </w:rPr>
        <w:t>Environment International</w:t>
      </w:r>
      <w:r>
        <w:t xml:space="preserve">, </w:t>
      </w:r>
      <w:r>
        <w:rPr>
          <w:i/>
          <w:iCs/>
        </w:rPr>
        <w:t>142</w:t>
      </w:r>
      <w:r>
        <w:t>, Article 105827. https://doi.org/10.1016/j.envint.2020.105827</w:t>
      </w:r>
    </w:p>
    <w:p w14:paraId="3AD52722" w14:textId="77777777" w:rsidR="002413BA" w:rsidRDefault="00000000" w:rsidP="008D794F">
      <w:pPr>
        <w:pStyle w:val="BodyText"/>
        <w:jc w:val="both"/>
      </w:pPr>
      <w:r>
        <w:t xml:space="preserve">Riddick, S. N., </w:t>
      </w:r>
      <w:proofErr w:type="spellStart"/>
      <w:r>
        <w:t>Mbua</w:t>
      </w:r>
      <w:proofErr w:type="spellEnd"/>
      <w:r>
        <w:t xml:space="preserve">, M., Santos, A., Hartzell, W., &amp; Zimmerle, D. J. (2024). Potential underestimate in reported bottom-up methane emissions from oil and gas operations in the Delaware Basin. </w:t>
      </w:r>
      <w:r>
        <w:rPr>
          <w:i/>
          <w:iCs/>
        </w:rPr>
        <w:t>Atmosphere</w:t>
      </w:r>
      <w:r>
        <w:t xml:space="preserve">, </w:t>
      </w:r>
      <w:r>
        <w:rPr>
          <w:i/>
          <w:iCs/>
        </w:rPr>
        <w:t>15</w:t>
      </w:r>
      <w:r>
        <w:t>(2), Article 202. https://doi.org/10.3390/atmos15020202</w:t>
      </w:r>
    </w:p>
    <w:p w14:paraId="1E4B073D" w14:textId="77777777" w:rsidR="002413BA" w:rsidRDefault="00000000" w:rsidP="008D794F">
      <w:pPr>
        <w:pStyle w:val="BodyText"/>
        <w:jc w:val="both"/>
      </w:pPr>
      <w:r>
        <w:t xml:space="preserve">Rolnick, D., Donti, P. L., </w:t>
      </w:r>
      <w:proofErr w:type="spellStart"/>
      <w:r>
        <w:t>Kaack</w:t>
      </w:r>
      <w:proofErr w:type="spellEnd"/>
      <w:r>
        <w:t xml:space="preserve">, L. H., Kochanski, K., Lacoste, A., Sankaran, K., Ross, A. S., Milojevic-Dupont, N., Jaques, N., Waldman-Brown, A., Luccioni, A. S., Maharaj, T., Sherwin, E. D., </w:t>
      </w:r>
      <w:proofErr w:type="spellStart"/>
      <w:r>
        <w:t>Mukkavilli</w:t>
      </w:r>
      <w:proofErr w:type="spellEnd"/>
      <w:r>
        <w:t xml:space="preserve">, S. K., </w:t>
      </w:r>
      <w:proofErr w:type="spellStart"/>
      <w:r>
        <w:t>Kording</w:t>
      </w:r>
      <w:proofErr w:type="spellEnd"/>
      <w:r>
        <w:t xml:space="preserve">, K. P., Gomes, C. P., Ng, A. Y., Hassabis, D., Platt, J. C., … Bengio, Y. (2023). Tackling climate change with machine learning. </w:t>
      </w:r>
      <w:r>
        <w:rPr>
          <w:i/>
          <w:iCs/>
        </w:rPr>
        <w:t>ACM Computing Surveys</w:t>
      </w:r>
      <w:r>
        <w:t xml:space="preserve">, </w:t>
      </w:r>
      <w:r>
        <w:rPr>
          <w:i/>
          <w:iCs/>
        </w:rPr>
        <w:t>55</w:t>
      </w:r>
      <w:r>
        <w:t>(2), 1–96. https://doi.org/10.1145/3485128</w:t>
      </w:r>
    </w:p>
    <w:p w14:paraId="3F61785E" w14:textId="77777777" w:rsidR="002413BA" w:rsidRDefault="00000000" w:rsidP="008D794F">
      <w:pPr>
        <w:pStyle w:val="BodyText"/>
        <w:jc w:val="both"/>
      </w:pPr>
      <w:proofErr w:type="spellStart"/>
      <w:r>
        <w:t>Rouet</w:t>
      </w:r>
      <w:proofErr w:type="spellEnd"/>
      <w:r>
        <w:t xml:space="preserve">-Leduc, B., &amp; Hulbert, C. (2024). Automatic detection of methane emissions in multispectral satellite imagery using a vision transformer. </w:t>
      </w:r>
      <w:r>
        <w:rPr>
          <w:i/>
          <w:iCs/>
        </w:rPr>
        <w:t>Nature Communications</w:t>
      </w:r>
      <w:r>
        <w:t xml:space="preserve">, </w:t>
      </w:r>
      <w:r>
        <w:rPr>
          <w:i/>
          <w:iCs/>
        </w:rPr>
        <w:t>15</w:t>
      </w:r>
      <w:r>
        <w:t>(1), Article 3801. https://doi.org/10.1038/s41467-024-47754-y</w:t>
      </w:r>
    </w:p>
    <w:p w14:paraId="19537363" w14:textId="77777777" w:rsidR="002413BA" w:rsidRDefault="00000000" w:rsidP="008D794F">
      <w:pPr>
        <w:pStyle w:val="BodyText"/>
        <w:jc w:val="both"/>
      </w:pPr>
      <w:r>
        <w:t xml:space="preserve">Rutherford, J. S., Sherwin, E. D., Ravikumar, A. P., Heath, G. A., Englander, J., Cooley, D., Lyon, D., Omara, M., Langfitt, Q., &amp; Brandt, A. R. (2021). Closing the methane gap in US oil and natural gas production emissions inventories. </w:t>
      </w:r>
      <w:r>
        <w:rPr>
          <w:i/>
          <w:iCs/>
        </w:rPr>
        <w:t>Nature Communications</w:t>
      </w:r>
      <w:r>
        <w:t xml:space="preserve">, </w:t>
      </w:r>
      <w:r>
        <w:rPr>
          <w:i/>
          <w:iCs/>
        </w:rPr>
        <w:t>12</w:t>
      </w:r>
      <w:r>
        <w:t>(1), Article 4715. https://doi.org/10.1038/s41467-021-25017-4</w:t>
      </w:r>
    </w:p>
    <w:p w14:paraId="317E4A26" w14:textId="77777777" w:rsidR="002413BA" w:rsidRDefault="00000000" w:rsidP="008D794F">
      <w:pPr>
        <w:pStyle w:val="BodyText"/>
        <w:jc w:val="both"/>
      </w:pPr>
      <w:r>
        <w:t xml:space="preserve">Sayahi, T., Butterfield, A., &amp; Kelly, K. E. (2019). Long-term field evaluation of the </w:t>
      </w:r>
      <w:proofErr w:type="spellStart"/>
      <w:r>
        <w:t>Plantower</w:t>
      </w:r>
      <w:proofErr w:type="spellEnd"/>
      <w:r>
        <w:t xml:space="preserve"> PMS low-cost particulate matter sensors. </w:t>
      </w:r>
      <w:r>
        <w:rPr>
          <w:i/>
          <w:iCs/>
        </w:rPr>
        <w:t>Environmental Pollution</w:t>
      </w:r>
      <w:r>
        <w:t xml:space="preserve">, </w:t>
      </w:r>
      <w:r>
        <w:rPr>
          <w:i/>
          <w:iCs/>
        </w:rPr>
        <w:t>245</w:t>
      </w:r>
      <w:r>
        <w:t>, 932–940. https://doi.org/10.1016/j.envpol.2018.11.065</w:t>
      </w:r>
    </w:p>
    <w:p w14:paraId="54EF5B96" w14:textId="77777777" w:rsidR="002413BA" w:rsidRDefault="00000000" w:rsidP="008D794F">
      <w:pPr>
        <w:pStyle w:val="BodyText"/>
        <w:jc w:val="both"/>
      </w:pPr>
      <w:r>
        <w:t xml:space="preserve">Schuit, B. J., </w:t>
      </w:r>
      <w:proofErr w:type="spellStart"/>
      <w:r>
        <w:t>Maasakkers</w:t>
      </w:r>
      <w:proofErr w:type="spellEnd"/>
      <w:r>
        <w:t xml:space="preserve">, J. D., Bijl, P., Mahapatra, G., van den Berg, A.-W., Pandey, S., Lorente, A., Borsdorff, T., Houweling, S., Varon, D. J., McKeever, J., Jervis, D., Girard, M., </w:t>
      </w:r>
      <w:proofErr w:type="spellStart"/>
      <w:r>
        <w:t>Irakulis-Loitxate</w:t>
      </w:r>
      <w:proofErr w:type="spellEnd"/>
      <w:r>
        <w:t xml:space="preserve">, I., </w:t>
      </w:r>
      <w:proofErr w:type="spellStart"/>
      <w:r>
        <w:t>Gorroño</w:t>
      </w:r>
      <w:proofErr w:type="spellEnd"/>
      <w:r>
        <w:t xml:space="preserve">, J., </w:t>
      </w:r>
      <w:proofErr w:type="spellStart"/>
      <w:r>
        <w:t>Guanter</w:t>
      </w:r>
      <w:proofErr w:type="spellEnd"/>
      <w:r>
        <w:t xml:space="preserve">, L., Cusworth, D. H., &amp; Aben, I. (2023). Automated detection and monitoring of methane super-emitters using satellite data. </w:t>
      </w:r>
      <w:r>
        <w:rPr>
          <w:i/>
          <w:iCs/>
        </w:rPr>
        <w:t>Atmospheric Chemistry and Physics</w:t>
      </w:r>
      <w:r>
        <w:t xml:space="preserve">, </w:t>
      </w:r>
      <w:r>
        <w:rPr>
          <w:i/>
          <w:iCs/>
        </w:rPr>
        <w:t>23</w:t>
      </w:r>
      <w:r>
        <w:t>(16), 9071–9098. https://doi.org/10.5194/acp-23-9071-2023</w:t>
      </w:r>
    </w:p>
    <w:p w14:paraId="7D9963C7" w14:textId="77777777" w:rsidR="002413BA" w:rsidRDefault="00000000" w:rsidP="008D794F">
      <w:pPr>
        <w:pStyle w:val="BodyText"/>
        <w:jc w:val="both"/>
      </w:pPr>
      <w:r>
        <w:t xml:space="preserve">Sherwin, E. D., El Abbadi, S. H., Burdeau, P. M., Zhang, Z., Chen, Z., Rutherford, J. S., Chen, Y., &amp; Brandt, A. R. (2024a). Single-blind test of nine methane-sensing satellite systems from three continents. </w:t>
      </w:r>
      <w:r>
        <w:rPr>
          <w:i/>
          <w:iCs/>
        </w:rPr>
        <w:t>Atmospheric Measurement Techniques</w:t>
      </w:r>
      <w:r>
        <w:t xml:space="preserve">, </w:t>
      </w:r>
      <w:r>
        <w:rPr>
          <w:i/>
          <w:iCs/>
        </w:rPr>
        <w:t>17</w:t>
      </w:r>
      <w:r>
        <w:t>(2), 765–782. https://doi.org/10.5194/amt-17-765-2024</w:t>
      </w:r>
    </w:p>
    <w:p w14:paraId="0095C4C7" w14:textId="77777777" w:rsidR="002413BA" w:rsidRDefault="00000000" w:rsidP="008D794F">
      <w:pPr>
        <w:pStyle w:val="BodyText"/>
        <w:jc w:val="both"/>
      </w:pPr>
      <w:r>
        <w:t xml:space="preserve">Sherwin, E. D., Rutherford, J. S., Zhang, Z., Chen, Y., Wetherley, E. B., Yakovlev, P. V., Berman, E. S. F., Jones, B. B., Cusworth, D. H., Thorpe, A. K., </w:t>
      </w:r>
      <w:proofErr w:type="spellStart"/>
      <w:r>
        <w:t>Ayasse</w:t>
      </w:r>
      <w:proofErr w:type="spellEnd"/>
      <w:r>
        <w:t xml:space="preserve">, A. K., Duren, R. M., &amp; Brandt, A. R. (2024b). US oil and gas system emissions from nearly one million aerial site measurements. </w:t>
      </w:r>
      <w:r>
        <w:rPr>
          <w:i/>
          <w:iCs/>
        </w:rPr>
        <w:t>Nature</w:t>
      </w:r>
      <w:r>
        <w:t xml:space="preserve">, </w:t>
      </w:r>
      <w:r>
        <w:rPr>
          <w:i/>
          <w:iCs/>
        </w:rPr>
        <w:t>627</w:t>
      </w:r>
      <w:r>
        <w:t>(8003), 328–334. https://doi.org/10.1038/s41586-024-07117-5</w:t>
      </w:r>
    </w:p>
    <w:p w14:paraId="0CAAC6F6" w14:textId="77777777" w:rsidR="002413BA" w:rsidRDefault="00000000" w:rsidP="008D794F">
      <w:pPr>
        <w:pStyle w:val="BodyText"/>
        <w:jc w:val="both"/>
      </w:pPr>
      <w:r>
        <w:t xml:space="preserve">Sherwin, E. D., Rutherford, J. S., Zhang, Z., Chen, Y., Wetherley, E. B., Yakovlev, P. V., Berman, E. S. F., Jones, B. B., Cusworth, D. H., Thorpe, A. K., </w:t>
      </w:r>
      <w:proofErr w:type="spellStart"/>
      <w:r>
        <w:t>Ayasse</w:t>
      </w:r>
      <w:proofErr w:type="spellEnd"/>
      <w:r>
        <w:t xml:space="preserve">, A. K., Duren, R. M., &amp; Brandt, A. R. (2026). Author correction: US oil and gas system emissions from nearly one million aerial site measurements. </w:t>
      </w:r>
      <w:r>
        <w:rPr>
          <w:i/>
          <w:iCs/>
        </w:rPr>
        <w:t>Nature</w:t>
      </w:r>
      <w:r>
        <w:t xml:space="preserve">, </w:t>
      </w:r>
      <w:r>
        <w:rPr>
          <w:i/>
          <w:iCs/>
        </w:rPr>
        <w:t>654</w:t>
      </w:r>
      <w:r>
        <w:t>(8119), E16. https://doi.org/10.1038/s41586-026-10605-5</w:t>
      </w:r>
    </w:p>
    <w:p w14:paraId="0E9F757B" w14:textId="77777777" w:rsidR="002413BA" w:rsidRDefault="00000000" w:rsidP="008D794F">
      <w:pPr>
        <w:pStyle w:val="BodyText"/>
        <w:jc w:val="both"/>
      </w:pPr>
      <w:r>
        <w:lastRenderedPageBreak/>
        <w:t xml:space="preserve">Skipper, T. N., Hogrefe, C., Henderson, B. H., Mathur, R., Foley, K. M., &amp; Russell, A. G. (2024). Source-specific bias correction of US background and anthropogenic ozone modeled in CMAQ. </w:t>
      </w:r>
      <w:r>
        <w:rPr>
          <w:i/>
          <w:iCs/>
        </w:rPr>
        <w:t>Geoscientific Model Development</w:t>
      </w:r>
      <w:r>
        <w:t xml:space="preserve">, </w:t>
      </w:r>
      <w:r>
        <w:rPr>
          <w:i/>
          <w:iCs/>
        </w:rPr>
        <w:t>17</w:t>
      </w:r>
      <w:r>
        <w:t>(22), 8373–8397. https://doi.org/10.5194/gmd-17-8373-2024</w:t>
      </w:r>
    </w:p>
    <w:p w14:paraId="166AB1D0" w14:textId="77777777" w:rsidR="002413BA" w:rsidRDefault="00000000" w:rsidP="008D794F">
      <w:pPr>
        <w:pStyle w:val="BodyText"/>
        <w:jc w:val="both"/>
      </w:pPr>
      <w:r>
        <w:t xml:space="preserve">Sukhera, J. (2022). Narrative reviews: Flexible, rigorous, and practical. </w:t>
      </w:r>
      <w:r>
        <w:rPr>
          <w:i/>
          <w:iCs/>
        </w:rPr>
        <w:t>Journal of Graduate Medical Education</w:t>
      </w:r>
      <w:r>
        <w:t xml:space="preserve">, </w:t>
      </w:r>
      <w:r>
        <w:rPr>
          <w:i/>
          <w:iCs/>
        </w:rPr>
        <w:t>14</w:t>
      </w:r>
      <w:r>
        <w:t>(4), 414–417. https://doi.org/10.4300/JGME-D-22-00480.1</w:t>
      </w:r>
    </w:p>
    <w:p w14:paraId="16342449" w14:textId="77777777" w:rsidR="002413BA" w:rsidRDefault="00000000" w:rsidP="008D794F">
      <w:pPr>
        <w:pStyle w:val="BodyText"/>
        <w:jc w:val="both"/>
      </w:pPr>
      <w:proofErr w:type="spellStart"/>
      <w:r>
        <w:t>Tancev</w:t>
      </w:r>
      <w:proofErr w:type="spellEnd"/>
      <w:r>
        <w:t xml:space="preserve">, G., &amp; Grasso Toro, F. (2022). Variational Bayesian calibration of low-cost gas sensor systems in air quality monitoring. </w:t>
      </w:r>
      <w:r>
        <w:rPr>
          <w:i/>
          <w:iCs/>
        </w:rPr>
        <w:t>Measurement: Sensors</w:t>
      </w:r>
      <w:r>
        <w:t xml:space="preserve">, </w:t>
      </w:r>
      <w:r>
        <w:rPr>
          <w:i/>
          <w:iCs/>
        </w:rPr>
        <w:t>19</w:t>
      </w:r>
      <w:r>
        <w:t>, Article 100365. https://doi.org/10.1016/j.measen.2021.100365</w:t>
      </w:r>
    </w:p>
    <w:p w14:paraId="6960CAB0" w14:textId="77777777" w:rsidR="002413BA" w:rsidRDefault="00000000" w:rsidP="008D794F">
      <w:pPr>
        <w:pStyle w:val="BodyText"/>
        <w:jc w:val="both"/>
      </w:pPr>
      <w:r>
        <w:t>Tessum, C. W., Paolella, D. A., Chambliss, S. E., Apte, J. S., Hill, J. D., &amp; Marshall, J. D. (2021). PM</w:t>
      </w:r>
      <w:r>
        <w:rPr>
          <w:vertAlign w:val="subscript"/>
        </w:rPr>
        <w:t>2.5</w:t>
      </w:r>
      <w:r>
        <w:t xml:space="preserve"> polluters disproportionately and systemically affect people of color in the United States. </w:t>
      </w:r>
      <w:r>
        <w:rPr>
          <w:i/>
          <w:iCs/>
        </w:rPr>
        <w:t>Science Advances</w:t>
      </w:r>
      <w:r>
        <w:t xml:space="preserve">, </w:t>
      </w:r>
      <w:r>
        <w:rPr>
          <w:i/>
          <w:iCs/>
        </w:rPr>
        <w:t>7</w:t>
      </w:r>
      <w:r>
        <w:t>(18), Article eabf4491. https://doi.org/10.1126/sciadv.abf4491</w:t>
      </w:r>
    </w:p>
    <w:p w14:paraId="414CB30B" w14:textId="77777777" w:rsidR="002413BA" w:rsidRDefault="00000000" w:rsidP="008D794F">
      <w:pPr>
        <w:pStyle w:val="BodyText"/>
        <w:jc w:val="both"/>
      </w:pPr>
      <w:r>
        <w:t xml:space="preserve">Turner, A. J., Kim, J., Fitzmaurice, H., Newman, C., Worthington, K., Chan, K., Wooldridge, P. J., </w:t>
      </w:r>
      <w:proofErr w:type="spellStart"/>
      <w:r>
        <w:t>Köehler</w:t>
      </w:r>
      <w:proofErr w:type="spellEnd"/>
      <w:r>
        <w:t>, P., Frankenberg, C., &amp; Cohen, R. C. (2020). Observed impacts of COVID-19 on urban CO</w:t>
      </w:r>
      <w:r>
        <w:rPr>
          <w:vertAlign w:val="subscript"/>
        </w:rPr>
        <w:t>2</w:t>
      </w:r>
      <w:r>
        <w:t xml:space="preserve"> emissions. </w:t>
      </w:r>
      <w:r>
        <w:rPr>
          <w:i/>
          <w:iCs/>
        </w:rPr>
        <w:t>Geophysical Research Letters</w:t>
      </w:r>
      <w:r>
        <w:t xml:space="preserve">, </w:t>
      </w:r>
      <w:r>
        <w:rPr>
          <w:i/>
          <w:iCs/>
        </w:rPr>
        <w:t>47</w:t>
      </w:r>
      <w:r>
        <w:t>(22), Article e2020GL090037. https://doi.org/10.1029/2020GL090037</w:t>
      </w:r>
    </w:p>
    <w:p w14:paraId="367D7AC6" w14:textId="77777777" w:rsidR="002413BA" w:rsidRDefault="00000000" w:rsidP="008D794F">
      <w:pPr>
        <w:pStyle w:val="BodyText"/>
        <w:jc w:val="both"/>
      </w:pPr>
      <w:r>
        <w:t xml:space="preserve">U.S. Environmental Protection Agency. (2026). </w:t>
      </w:r>
      <w:r>
        <w:rPr>
          <w:i/>
          <w:iCs/>
        </w:rPr>
        <w:t>2026 final rule to reduce burden on the oil and natural gas industry</w:t>
      </w:r>
      <w:r>
        <w:t>. https://www.epa.gov/controlling-air-pollution-oil-and-natural-gas-operations/2026-final-rule-reduce-burden-oil-and</w:t>
      </w:r>
    </w:p>
    <w:p w14:paraId="06DBC63D" w14:textId="77777777" w:rsidR="002413BA" w:rsidRDefault="00000000" w:rsidP="008D794F">
      <w:pPr>
        <w:pStyle w:val="BodyText"/>
        <w:jc w:val="both"/>
      </w:pPr>
      <w:r>
        <w:t xml:space="preserve">Varon, D. J., Jacob, D. J., McKeever, J., Jervis, D., Durak, B. O. A., Xia, Y., &amp; Huang, Y. (2018). Quantifying methane point sources from fine-scale satellite observations of atmospheric methane plumes. </w:t>
      </w:r>
      <w:r>
        <w:rPr>
          <w:i/>
          <w:iCs/>
        </w:rPr>
        <w:t>Atmospheric Measurement Techniques</w:t>
      </w:r>
      <w:r>
        <w:t xml:space="preserve">, </w:t>
      </w:r>
      <w:r>
        <w:rPr>
          <w:i/>
          <w:iCs/>
        </w:rPr>
        <w:t>11</w:t>
      </w:r>
      <w:r>
        <w:t>(10), 5673–5686. https://doi.org/10.5194/amt-11-5673-2018</w:t>
      </w:r>
    </w:p>
    <w:p w14:paraId="3850D080" w14:textId="77777777" w:rsidR="002413BA" w:rsidRDefault="00000000" w:rsidP="008D794F">
      <w:pPr>
        <w:pStyle w:val="BodyText"/>
        <w:jc w:val="both"/>
      </w:pPr>
      <w:r>
        <w:t>Wallace, L., &amp; Zhao, T. (2023). Spatial variation of PM</w:t>
      </w:r>
      <w:r>
        <w:rPr>
          <w:vertAlign w:val="subscript"/>
        </w:rPr>
        <w:t>2.5</w:t>
      </w:r>
      <w:r>
        <w:t xml:space="preserve"> indoors and outdoors: Results from 261 regulatory monitors compared to 14,000 low-cost monitors in three western states over 4.7 years. </w:t>
      </w:r>
      <w:r>
        <w:rPr>
          <w:i/>
          <w:iCs/>
        </w:rPr>
        <w:t>Sensors</w:t>
      </w:r>
      <w:r>
        <w:t xml:space="preserve">, </w:t>
      </w:r>
      <w:r>
        <w:rPr>
          <w:i/>
          <w:iCs/>
        </w:rPr>
        <w:t>23</w:t>
      </w:r>
      <w:r>
        <w:t>(9), Article 4387. https://doi.org/10.3390/s23094387</w:t>
      </w:r>
    </w:p>
    <w:p w14:paraId="0F5B9D23" w14:textId="77777777" w:rsidR="002413BA" w:rsidRDefault="00000000" w:rsidP="008D794F">
      <w:pPr>
        <w:pStyle w:val="BodyText"/>
        <w:jc w:val="both"/>
      </w:pPr>
      <w:r>
        <w:t xml:space="preserve">Wei, J., Wang, J., Li, Z., </w:t>
      </w:r>
      <w:proofErr w:type="spellStart"/>
      <w:r>
        <w:t>Kondragunta</w:t>
      </w:r>
      <w:proofErr w:type="spellEnd"/>
      <w:r>
        <w:t xml:space="preserve">, S., Anenberg, S., Wang, Y., Zhang, H., Diner, D., Hand, J., </w:t>
      </w:r>
      <w:proofErr w:type="spellStart"/>
      <w:r>
        <w:t>Lyapustin</w:t>
      </w:r>
      <w:proofErr w:type="spellEnd"/>
      <w:r>
        <w:t xml:space="preserve">, A., Kahn, R., </w:t>
      </w:r>
      <w:proofErr w:type="spellStart"/>
      <w:r>
        <w:t>Colarco</w:t>
      </w:r>
      <w:proofErr w:type="spellEnd"/>
      <w:r>
        <w:t xml:space="preserve">, P., da Silva, A., &amp; </w:t>
      </w:r>
      <w:proofErr w:type="spellStart"/>
      <w:r>
        <w:t>Ichoku</w:t>
      </w:r>
      <w:proofErr w:type="spellEnd"/>
      <w:r>
        <w:t>, C. (2023). Long-term mortality burden trends attributed to black carbon and PM</w:t>
      </w:r>
      <w:r>
        <w:rPr>
          <w:vertAlign w:val="subscript"/>
        </w:rPr>
        <w:t>2·5</w:t>
      </w:r>
      <w:r>
        <w:t xml:space="preserve"> from wildfire emissions across the continental USA from 2000 to 2020: A deep learning modelling study. </w:t>
      </w:r>
      <w:r>
        <w:rPr>
          <w:i/>
          <w:iCs/>
        </w:rPr>
        <w:t>The Lancet Planetary Health</w:t>
      </w:r>
      <w:r>
        <w:t xml:space="preserve">, </w:t>
      </w:r>
      <w:r>
        <w:rPr>
          <w:i/>
          <w:iCs/>
        </w:rPr>
        <w:t>7</w:t>
      </w:r>
      <w:r>
        <w:t>(12), e963–e975. https://doi.org/10.1016/S2542-5196(23)00235-8</w:t>
      </w:r>
    </w:p>
    <w:p w14:paraId="48A80B00" w14:textId="77777777" w:rsidR="002413BA" w:rsidRDefault="00000000" w:rsidP="008D794F">
      <w:pPr>
        <w:pStyle w:val="BodyText"/>
        <w:jc w:val="both"/>
      </w:pPr>
      <w:r>
        <w:t xml:space="preserve">Whetstone, J. R. (2018). Advances in urban greenhouse gas flux quantification: The Indianapolis Flux Experiment (INFLUX). </w:t>
      </w:r>
      <w:r>
        <w:rPr>
          <w:i/>
          <w:iCs/>
        </w:rPr>
        <w:t>Elementa: Science of the Anthropocene</w:t>
      </w:r>
      <w:r>
        <w:t xml:space="preserve">, </w:t>
      </w:r>
      <w:r>
        <w:rPr>
          <w:i/>
          <w:iCs/>
        </w:rPr>
        <w:t>6</w:t>
      </w:r>
      <w:r>
        <w:t>, Article 24. https://doi.org/10.1525/elementa.282</w:t>
      </w:r>
    </w:p>
    <w:p w14:paraId="71BADD2F" w14:textId="77777777" w:rsidR="002413BA" w:rsidRDefault="00000000" w:rsidP="008D794F">
      <w:pPr>
        <w:pStyle w:val="BodyText"/>
        <w:jc w:val="both"/>
      </w:pPr>
      <w:r>
        <w:t xml:space="preserve">Yan, C. (2026). A review of machine learning approaches for improving calibration and performance of low-cost air quality sensor networks. </w:t>
      </w:r>
      <w:r>
        <w:rPr>
          <w:i/>
          <w:iCs/>
        </w:rPr>
        <w:t>Sensor Review</w:t>
      </w:r>
      <w:r>
        <w:t>. Advance online publication. https://doi.org/10.1108/SR-10-2025-0761</w:t>
      </w:r>
    </w:p>
    <w:p w14:paraId="28C43A47" w14:textId="77777777" w:rsidR="002413BA" w:rsidRDefault="00000000" w:rsidP="008D794F">
      <w:pPr>
        <w:pStyle w:val="BodyText"/>
        <w:jc w:val="both"/>
      </w:pPr>
      <w:r>
        <w:t xml:space="preserve">Zavala-Araiza, D., Lyon, D. R., Alvarez, R. A., Davis, K. J., Harriss, R., Herndon, S. C., Karion, A., Kort, E. A., Lamb, B. K., Lan, X., Marchese, A. J., Pacala, S. W., Robinson, A. L., </w:t>
      </w:r>
      <w:proofErr w:type="spellStart"/>
      <w:r>
        <w:t>Shepson</w:t>
      </w:r>
      <w:proofErr w:type="spellEnd"/>
      <w:r>
        <w:t xml:space="preserve">, P. B., </w:t>
      </w:r>
      <w:r>
        <w:lastRenderedPageBreak/>
        <w:t xml:space="preserve">Sweeney, C., Talbot, R., Townsend-Small, A., </w:t>
      </w:r>
      <w:proofErr w:type="spellStart"/>
      <w:r>
        <w:t>Yacovitch</w:t>
      </w:r>
      <w:proofErr w:type="spellEnd"/>
      <w:r>
        <w:t xml:space="preserve">, T. I., Zimmerle, D. J., &amp; Hamburg, S. P. (2015). Reconciling divergent estimates of oil and gas methane emissions. </w:t>
      </w:r>
      <w:r>
        <w:rPr>
          <w:i/>
          <w:iCs/>
        </w:rPr>
        <w:t>Proceedings of the National Academy of Sciences</w:t>
      </w:r>
      <w:r>
        <w:t xml:space="preserve">, </w:t>
      </w:r>
      <w:r>
        <w:rPr>
          <w:i/>
          <w:iCs/>
        </w:rPr>
        <w:t>112</w:t>
      </w:r>
      <w:r>
        <w:t>(51), 15597–15602. https://doi.org/10.1073/pnas.1522126112</w:t>
      </w:r>
    </w:p>
    <w:p w14:paraId="0AFC8658" w14:textId="77777777" w:rsidR="002413BA" w:rsidRDefault="00000000" w:rsidP="008D794F">
      <w:pPr>
        <w:pStyle w:val="BodyText"/>
        <w:jc w:val="both"/>
      </w:pPr>
      <w:r>
        <w:t xml:space="preserve">Zhang, Y., Gautam, R., Pandey, S., Omara, M., </w:t>
      </w:r>
      <w:proofErr w:type="spellStart"/>
      <w:r>
        <w:t>Maasakkers</w:t>
      </w:r>
      <w:proofErr w:type="spellEnd"/>
      <w:r>
        <w:t xml:space="preserve">, J. D., Sadavarte, P., Lyon, D., Nesser, H., </w:t>
      </w:r>
      <w:proofErr w:type="spellStart"/>
      <w:r>
        <w:t>Sulprizio</w:t>
      </w:r>
      <w:proofErr w:type="spellEnd"/>
      <w:r>
        <w:t xml:space="preserve">, M. P., Varon, D. J., Zhang, R., Houweling, S., Zavala-Araiza, D., Alvarez, R. A., Lorente, A., Hamburg, S. P., Aben, I., &amp; Jacob, D. J. (2020). Quantifying methane emissions from the largest oil-producing basin in the United States from space. </w:t>
      </w:r>
      <w:r>
        <w:rPr>
          <w:i/>
          <w:iCs/>
        </w:rPr>
        <w:t>Science Advances</w:t>
      </w:r>
      <w:r>
        <w:t xml:space="preserve">, </w:t>
      </w:r>
      <w:r>
        <w:rPr>
          <w:i/>
          <w:iCs/>
        </w:rPr>
        <w:t>6</w:t>
      </w:r>
      <w:r>
        <w:t>(17), Article eaaz5120. https://doi.org/10.1126/sciadv.aaz5120</w:t>
      </w:r>
    </w:p>
    <w:p w14:paraId="14BA9B90" w14:textId="77777777" w:rsidR="002413BA" w:rsidRDefault="00000000" w:rsidP="008D794F">
      <w:pPr>
        <w:pStyle w:val="BodyText"/>
        <w:jc w:val="both"/>
      </w:pPr>
      <w:r>
        <w:t xml:space="preserve">Zhivkov, P., &amp; </w:t>
      </w:r>
      <w:proofErr w:type="spellStart"/>
      <w:r>
        <w:t>Fidanova</w:t>
      </w:r>
      <w:proofErr w:type="spellEnd"/>
      <w:r>
        <w:t xml:space="preserve">, S. (2026). Machine learning calibration transfer for low-cost air quality sensors: Distance-based uncertainty quantification in a hybrid urban monitoring network. </w:t>
      </w:r>
      <w:r>
        <w:rPr>
          <w:i/>
          <w:iCs/>
        </w:rPr>
        <w:t>Atmosphere</w:t>
      </w:r>
      <w:r>
        <w:t xml:space="preserve">, </w:t>
      </w:r>
      <w:r>
        <w:rPr>
          <w:i/>
          <w:iCs/>
        </w:rPr>
        <w:t>17</w:t>
      </w:r>
      <w:r>
        <w:t>(4), Article 335. https://doi.org/10.3390/atmos17040335</w:t>
      </w:r>
    </w:p>
    <w:p w14:paraId="55EEA2A0" w14:textId="77777777" w:rsidR="002413BA" w:rsidRDefault="00000000" w:rsidP="008D794F">
      <w:pPr>
        <w:pStyle w:val="BodyText"/>
        <w:jc w:val="both"/>
      </w:pPr>
      <w:r>
        <w:t xml:space="preserve">Zimmerman, N., Presto, A. A., Kumar, S. P. N., Gu, J., </w:t>
      </w:r>
      <w:proofErr w:type="spellStart"/>
      <w:r>
        <w:t>Hauryliuk</w:t>
      </w:r>
      <w:proofErr w:type="spellEnd"/>
      <w:r>
        <w:t xml:space="preserve">, A., Robinson, E. S., Robinson, A. L., &amp; Subramanian, R. (2018). A machine learning calibration model using random forests to improve sensor performance for lower-cost air quality monitoring. </w:t>
      </w:r>
      <w:r>
        <w:rPr>
          <w:i/>
          <w:iCs/>
        </w:rPr>
        <w:t>Atmospheric Measurement Techniques</w:t>
      </w:r>
      <w:r>
        <w:t xml:space="preserve">, </w:t>
      </w:r>
      <w:r>
        <w:rPr>
          <w:i/>
          <w:iCs/>
        </w:rPr>
        <w:t>11</w:t>
      </w:r>
      <w:r>
        <w:t>(1), 291–313. https://doi.org/10.5194/amt-11-291-2018</w:t>
      </w:r>
    </w:p>
    <w:p w14:paraId="3EE1C09F" w14:textId="77777777" w:rsidR="002413BA" w:rsidRDefault="00000000" w:rsidP="008D794F">
      <w:pPr>
        <w:pStyle w:val="BodyText"/>
        <w:jc w:val="both"/>
      </w:pPr>
      <w:proofErr w:type="spellStart"/>
      <w:r>
        <w:t>Zoogman</w:t>
      </w:r>
      <w:proofErr w:type="spellEnd"/>
      <w:r>
        <w:t xml:space="preserve">, P., Liu, X., Suleiman, R. M., Pennington, W. F., Flittner, D. E., Al-Saadi, J. A., Hilton, B. B., Nicks, D. K., Newchurch, M. J., Carr, J. L., Janz, S. J., Andraschko, M. R., Arola, A., Baker, B. D., Canova, B. P., Chan Miller, C., Cohen, R. C., Davis, J. E., Dussault, M. E., … Chance, K. (2017). Tropospheric emissions: Monitoring of pollution (TEMPO). </w:t>
      </w:r>
      <w:r>
        <w:rPr>
          <w:i/>
          <w:iCs/>
        </w:rPr>
        <w:t>Journal of Quantitative Spectroscopy and Radiative Transfer</w:t>
      </w:r>
      <w:r>
        <w:t xml:space="preserve">, </w:t>
      </w:r>
      <w:r>
        <w:rPr>
          <w:i/>
          <w:iCs/>
        </w:rPr>
        <w:t>186</w:t>
      </w:r>
      <w:r>
        <w:t>, 17–39. https://doi.org/10.1016/j.jqsrt.2016.05.008</w:t>
      </w:r>
      <w:bookmarkEnd w:id="0"/>
      <w:bookmarkEnd w:id="38"/>
    </w:p>
    <w:sectPr w:rsidR="002413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5B0F7" w14:textId="77777777" w:rsidR="00AB3B3C" w:rsidRDefault="00AB3B3C">
      <w:pPr>
        <w:spacing w:after="0"/>
      </w:pPr>
      <w:r>
        <w:separator/>
      </w:r>
    </w:p>
  </w:endnote>
  <w:endnote w:type="continuationSeparator" w:id="0">
    <w:p w14:paraId="6759702A" w14:textId="77777777" w:rsidR="00AB3B3C" w:rsidRDefault="00AB3B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A65B" w14:textId="77777777" w:rsidR="003B7A4D" w:rsidRDefault="003B7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85CF" w14:textId="77777777" w:rsidR="003B7A4D" w:rsidRDefault="003B7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4F51" w14:textId="77777777" w:rsidR="003B7A4D" w:rsidRDefault="003B7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0E721" w14:textId="77777777" w:rsidR="00AB3B3C" w:rsidRDefault="00AB3B3C">
      <w:r>
        <w:separator/>
      </w:r>
    </w:p>
  </w:footnote>
  <w:footnote w:type="continuationSeparator" w:id="0">
    <w:p w14:paraId="4B709CD6" w14:textId="77777777" w:rsidR="00AB3B3C" w:rsidRDefault="00AB3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32A8" w14:textId="138A00FD" w:rsidR="003B7A4D" w:rsidRDefault="003B7A4D">
    <w:pPr>
      <w:pStyle w:val="Header"/>
    </w:pPr>
    <w:r>
      <w:rPr>
        <w:noProof/>
      </w:rPr>
      <w:pict w14:anchorId="194F55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3"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C380" w14:textId="4117BDBF" w:rsidR="003B7A4D" w:rsidRDefault="003B7A4D">
    <w:pPr>
      <w:pStyle w:val="Header"/>
    </w:pPr>
    <w:r>
      <w:rPr>
        <w:noProof/>
      </w:rPr>
      <w:pict w14:anchorId="37408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4"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F63E" w14:textId="50AC1050" w:rsidR="003B7A4D" w:rsidRDefault="003B7A4D">
    <w:pPr>
      <w:pStyle w:val="Header"/>
    </w:pPr>
    <w:r>
      <w:rPr>
        <w:noProof/>
      </w:rPr>
      <w:pict w14:anchorId="2A4FC1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52562"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A6570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55812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13BA"/>
    <w:rsid w:val="002413BA"/>
    <w:rsid w:val="003B7A4D"/>
    <w:rsid w:val="004306F1"/>
    <w:rsid w:val="007F62E1"/>
    <w:rsid w:val="0087015C"/>
    <w:rsid w:val="008D794F"/>
    <w:rsid w:val="00944032"/>
    <w:rsid w:val="00977003"/>
    <w:rsid w:val="00AB3B3C"/>
    <w:rsid w:val="00D05AF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E9C2C"/>
  <w15:docId w15:val="{0D801745-2D74-4EB5-A174-A7222335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20" w:after="20"/>
    </w:pPr>
    <w:rPr>
      <w:sz w:val="18"/>
      <w:szCs w:val="18"/>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8D79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B7A4D"/>
    <w:pPr>
      <w:tabs>
        <w:tab w:val="center" w:pos="4680"/>
        <w:tab w:val="right" w:pos="9360"/>
      </w:tabs>
      <w:spacing w:after="0"/>
    </w:pPr>
  </w:style>
  <w:style w:type="character" w:customStyle="1" w:styleId="HeaderChar">
    <w:name w:val="Header Char"/>
    <w:basedOn w:val="DefaultParagraphFont"/>
    <w:link w:val="Header"/>
    <w:rsid w:val="003B7A4D"/>
  </w:style>
  <w:style w:type="paragraph" w:styleId="Footer">
    <w:name w:val="footer"/>
    <w:basedOn w:val="Normal"/>
    <w:link w:val="FooterChar"/>
    <w:rsid w:val="003B7A4D"/>
    <w:pPr>
      <w:tabs>
        <w:tab w:val="center" w:pos="4680"/>
        <w:tab w:val="right" w:pos="9360"/>
      </w:tabs>
      <w:spacing w:after="0"/>
    </w:pPr>
  </w:style>
  <w:style w:type="character" w:customStyle="1" w:styleId="FooterChar">
    <w:name w:val="Footer Char"/>
    <w:basedOn w:val="DefaultParagraphFont"/>
    <w:link w:val="Footer"/>
    <w:rsid w:val="003B7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35</Pages>
  <Words>17059</Words>
  <Characters>97237</Characters>
  <Application>Microsoft Office Word</Application>
  <DocSecurity>0</DocSecurity>
  <Lines>810</Lines>
  <Paragraphs>228</Paragraphs>
  <ScaleCrop>false</ScaleCrop>
  <Company>HP</Company>
  <LinksUpToDate>false</LinksUpToDate>
  <CharactersWithSpaces>114068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SDI 1084</cp:lastModifiedBy>
  <cp:revision>4</cp:revision>
  <dcterms:created xsi:type="dcterms:W3CDTF">2026-08-11T12:17:00Z</dcterms:created>
  <dcterms:modified xsi:type="dcterms:W3CDTF">2026-08-13T13:59:00Z</dcterms:modified>
</cp:coreProperties>
</file>