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112E" w14:textId="77777777" w:rsidR="00F35357" w:rsidRDefault="00F35357" w:rsidP="00117D6C">
      <w:pPr>
        <w:spacing w:before="100" w:beforeAutospacing="1" w:after="100" w:afterAutospacing="1"/>
        <w:jc w:val="center"/>
        <w:rPr>
          <w:b/>
          <w:bCs/>
          <w:sz w:val="30"/>
          <w:szCs w:val="30"/>
        </w:rPr>
      </w:pPr>
      <w:r w:rsidRPr="00F35357">
        <w:rPr>
          <w:b/>
          <w:bCs/>
          <w:sz w:val="30"/>
          <w:szCs w:val="30"/>
        </w:rPr>
        <w:t>Review Article</w:t>
      </w:r>
    </w:p>
    <w:p w14:paraId="45F8073F" w14:textId="4B2BFF32" w:rsidR="00E77864" w:rsidRDefault="00000000" w:rsidP="00117D6C">
      <w:pPr>
        <w:spacing w:before="100" w:beforeAutospacing="1" w:after="100" w:afterAutospacing="1"/>
        <w:jc w:val="center"/>
        <w:rPr>
          <w:b/>
          <w:bCs/>
          <w:sz w:val="30"/>
          <w:szCs w:val="30"/>
        </w:rPr>
      </w:pPr>
      <w:r>
        <w:rPr>
          <w:b/>
          <w:bCs/>
          <w:sz w:val="30"/>
          <w:szCs w:val="30"/>
        </w:rPr>
        <w:t>Mucoadhesive Drug Delivery Systems: A Critical Appraisal of Adhesion Mechanisms, Formulation Strategies and Translational Prospects</w:t>
      </w:r>
    </w:p>
    <w:p w14:paraId="4EF78D17" w14:textId="77777777" w:rsidR="00117D6C" w:rsidRDefault="00117D6C" w:rsidP="00117D6C">
      <w:pPr>
        <w:spacing w:before="100" w:beforeAutospacing="1" w:after="100" w:afterAutospacing="1"/>
        <w:jc w:val="center"/>
      </w:pPr>
    </w:p>
    <w:p w14:paraId="573AD221" w14:textId="77777777" w:rsidR="00E77864" w:rsidRDefault="00000000" w:rsidP="00117D6C">
      <w:pPr>
        <w:pStyle w:val="Heading1"/>
        <w:spacing w:before="100" w:beforeAutospacing="1" w:after="100" w:afterAutospacing="1"/>
      </w:pPr>
      <w:r>
        <w:rPr>
          <w:b/>
          <w:bCs/>
          <w:color w:val="000000"/>
          <w:sz w:val="26"/>
          <w:szCs w:val="26"/>
        </w:rPr>
        <w:t>Abstract</w:t>
      </w:r>
    </w:p>
    <w:p w14:paraId="069C1874" w14:textId="77777777" w:rsidR="00E77864" w:rsidRDefault="00000000" w:rsidP="00117D6C">
      <w:pPr>
        <w:spacing w:before="100" w:beforeAutospacing="1" w:after="100" w:afterAutospacing="1"/>
        <w:jc w:val="both"/>
      </w:pPr>
      <w:r>
        <w:t xml:space="preserve">Mucoadhesive drug delivery systems have been developed for more than four decades on the premise that prolonging contact between a dosage form and a mucosal surface increases local drug concentration, extends residence time and improves absorption. The premise is intuitively attractive and is supported by a large materials-science literature, yet the clinical output of the field remains modest relative to the volume of preclinical publication. This critical narrative review examines why that discrepancy persists and what would be required to resolve it. Literature retrieved from Europe PMC, </w:t>
      </w:r>
      <w:proofErr w:type="spellStart"/>
      <w:r>
        <w:t>Crossref</w:t>
      </w:r>
      <w:proofErr w:type="spellEnd"/>
      <w:r>
        <w:t xml:space="preserve"> Metadata Search and the Directory of Open Access Journals, supplemented by backward and forward citation tracking, was appraised for methodological adequacy, internal consistency and translational relevance rather than catalogued by dosage form. Four principal conclusions emerge. The classical mechanistic theories of </w:t>
      </w:r>
      <w:proofErr w:type="spellStart"/>
      <w:r>
        <w:t>mucoadhesion</w:t>
      </w:r>
      <w:proofErr w:type="spellEnd"/>
      <w:r>
        <w:t xml:space="preserve"> retain descriptive value but generate few falsifiable predictions, and the shift towards covalent and dynamic-covalent interfacial chemistry has outpaced the conceptual framework used to interpret it. The adhesion substrate is poorly controlled: commercially purified mucins differ from native mucus and from one another in ways that materially alter measured polymer interaction, so a substantial proportion of comparative data reflects substrate selection as much as material performance. The long-standing opposition between mucoadhesive and mucus-penetrating design is better understood as a site-specific optimisation problem governed by mucus turnover than as a general contest between rival philosophies, and available in vivo evidence does not establish the superiority of either strategy across mucosal sites. Measurement remains the central methodological weakness, because detachment force, rheological synergism, particle tracking and interfacial techniques probe different physical phenomena, are seldom reported with parameters sufficient for cross-study comparison, and lack agreed reference materials. The clinical evidence base is correspondingly thin and dominated by small trials of heterogeneous formulations. Research priorities are proposed for benchmark materials, standardised reporting, mechanistically informative characterisation and trial designs capable of isolating the contribution of adhesion from concurrent drug, excipient and vehicle effects.</w:t>
      </w:r>
    </w:p>
    <w:p w14:paraId="2D62D32A" w14:textId="77777777" w:rsidR="00E77864" w:rsidRDefault="00000000" w:rsidP="00117D6C">
      <w:pPr>
        <w:pStyle w:val="Heading1"/>
        <w:spacing w:before="100" w:beforeAutospacing="1" w:after="100" w:afterAutospacing="1"/>
      </w:pPr>
      <w:r>
        <w:rPr>
          <w:b/>
          <w:bCs/>
          <w:color w:val="000000"/>
          <w:sz w:val="26"/>
          <w:szCs w:val="26"/>
        </w:rPr>
        <w:t>Keywords</w:t>
      </w:r>
    </w:p>
    <w:p w14:paraId="434BAE80" w14:textId="77777777" w:rsidR="00E77864" w:rsidRDefault="00000000" w:rsidP="00117D6C">
      <w:pPr>
        <w:spacing w:before="100" w:beforeAutospacing="1" w:after="100" w:afterAutospacing="1"/>
        <w:jc w:val="both"/>
      </w:pPr>
      <w:proofErr w:type="spellStart"/>
      <w:r>
        <w:t>mucoadhesion</w:t>
      </w:r>
      <w:proofErr w:type="spellEnd"/>
      <w:r>
        <w:t xml:space="preserve">; mucus barrier; </w:t>
      </w:r>
      <w:proofErr w:type="spellStart"/>
      <w:r>
        <w:t>mucopenetration</w:t>
      </w:r>
      <w:proofErr w:type="spellEnd"/>
      <w:r>
        <w:t xml:space="preserve">; </w:t>
      </w:r>
      <w:proofErr w:type="spellStart"/>
      <w:r>
        <w:t>thiolated</w:t>
      </w:r>
      <w:proofErr w:type="spellEnd"/>
      <w:r>
        <w:t xml:space="preserve"> polymers; transmucosal drug delivery; formulation characterisation; translational pharmaceutics</w:t>
      </w:r>
    </w:p>
    <w:p w14:paraId="49723FD6" w14:textId="77777777" w:rsidR="00E77864" w:rsidRDefault="00000000" w:rsidP="00117D6C">
      <w:pPr>
        <w:pStyle w:val="Heading1"/>
        <w:spacing w:before="100" w:beforeAutospacing="1" w:after="100" w:afterAutospacing="1"/>
      </w:pPr>
      <w:r>
        <w:rPr>
          <w:b/>
          <w:bCs/>
          <w:color w:val="000000"/>
          <w:sz w:val="26"/>
          <w:szCs w:val="26"/>
        </w:rPr>
        <w:t>1. Introduction</w:t>
      </w:r>
    </w:p>
    <w:p w14:paraId="3F07DEB1" w14:textId="77777777" w:rsidR="00E77864" w:rsidRDefault="00000000" w:rsidP="00117D6C">
      <w:pPr>
        <w:spacing w:before="100" w:beforeAutospacing="1" w:after="100" w:afterAutospacing="1"/>
        <w:jc w:val="both"/>
      </w:pPr>
      <w:r>
        <w:t>Every epithelial surface exposed to the external environment is coated by mucus, a hydrated gel whose principal structural components are high-molecular-weight glycoproteins of the mucin family. This layer lubricates, hydrates and protects the underlying tissue, and it filters particulate and molecular traffic reaching the epithelium (Bansil &amp; Turner, 2018; Cone, 2009). For pharmaceutical scientists the same layer represents two opposed propositions. It is an obstacle, because it clears foreign material efficiently and restricts diffusion of many drugs and carriers. It is also an opportunity, because a formulation that interacts favourably with mucus can be held at an absorptive or therapeutic site for far longer than an unmodified vehicle.</w:t>
      </w:r>
    </w:p>
    <w:p w14:paraId="2BF6FFFF" w14:textId="77777777" w:rsidR="00E77864" w:rsidRDefault="00000000" w:rsidP="00117D6C">
      <w:pPr>
        <w:spacing w:before="100" w:beforeAutospacing="1" w:after="100" w:afterAutospacing="1"/>
        <w:jc w:val="both"/>
      </w:pPr>
      <w:proofErr w:type="spellStart"/>
      <w:r>
        <w:lastRenderedPageBreak/>
        <w:t>Mucoadhesion</w:t>
      </w:r>
      <w:proofErr w:type="spellEnd"/>
      <w:r>
        <w:t xml:space="preserve"> is the term applied to that favourable interaction. It denotes the capacity of a material, usually a hydrophilic macromolecule, to adhere to a mucus-covered surface and resist removal for a defined period (</w:t>
      </w:r>
      <w:proofErr w:type="spellStart"/>
      <w:r>
        <w:t>Khutoryanskiy</w:t>
      </w:r>
      <w:proofErr w:type="spellEnd"/>
      <w:r>
        <w:t>, 2011; Smart, 2005). The concept has been applied across buccal, sublingual, ocular, nasal, vaginal, gastrointestinal, pulmonary and intravesical routes, and it underpins commercial products ranging from ophthalmic viscosity-enhancing solutions to buccal films and vaginal gels. Its rationale is straightforward: residence time is a determinant of local exposure, and local exposure is a determinant of therapeutic effect for drugs acting on or through mucosal tissue.</w:t>
      </w:r>
    </w:p>
    <w:p w14:paraId="3DC7AF5B" w14:textId="77777777" w:rsidR="00E77864" w:rsidRDefault="00000000" w:rsidP="00117D6C">
      <w:pPr>
        <w:spacing w:before="100" w:beforeAutospacing="1" w:after="100" w:afterAutospacing="1"/>
        <w:jc w:val="both"/>
      </w:pPr>
      <w:r>
        <w:t xml:space="preserve">Interest has been sustained by a steady expansion of the underlying materials chemistry. Early work relied on a comparatively small palette of hydrophilic polymers that interact with mucin through hydrogen bonding, electrostatic attraction and physical entanglement, notably </w:t>
      </w:r>
      <w:proofErr w:type="gramStart"/>
      <w:r>
        <w:t>poly(</w:t>
      </w:r>
      <w:proofErr w:type="gramEnd"/>
      <w:r>
        <w:t xml:space="preserve">acrylic acid) derivatives, cellulose ethers, alginate, hyaluronic acid and chitosan (Sosnik et al., 2014). Subsequent generations introduced deliberate covalent chemistry, most prominently </w:t>
      </w:r>
      <w:proofErr w:type="spellStart"/>
      <w:r>
        <w:t>thiolated</w:t>
      </w:r>
      <w:proofErr w:type="spellEnd"/>
      <w:r>
        <w:t xml:space="preserve"> polymers capable of forming disulphide bridges with cysteine-rich subdomains of mucin, and later maleimide, acrylate and catechol functionalities designed for more selective or more stable attachment (Hock et al., 2022; </w:t>
      </w:r>
      <w:proofErr w:type="spellStart"/>
      <w:r>
        <w:t>Kaldybekov</w:t>
      </w:r>
      <w:proofErr w:type="spellEnd"/>
      <w:r>
        <w:t xml:space="preserve"> et al., 2019; Knoll et al., 2021). The available synthetic repertoire is now considerably broader than the conceptual framework used to rationalise it.</w:t>
      </w:r>
    </w:p>
    <w:p w14:paraId="309F081B" w14:textId="77777777" w:rsidR="00E77864" w:rsidRDefault="00000000" w:rsidP="00117D6C">
      <w:pPr>
        <w:spacing w:before="100" w:beforeAutospacing="1" w:after="100" w:afterAutospacing="1"/>
        <w:jc w:val="both"/>
      </w:pPr>
      <w:r>
        <w:t>The state of the field is nevertheless uneven. Preclinical output is substantial and continues to grow, with new mucoadhesive systems reported for almost every mucosal route and therapeutic class (Kumar et al., 2026; Sangavi et al., 2025). Clinical translation is comparatively sparse. Systematic evaluation of mucoadhesive tablets in recurrent aphthous stomatitis identified only four randomised controlled trials suitable for inclusion, of which three could be pooled, and the pooled effects were accompanied by substantial statistical heterogeneity and were characterised by the authors as preliminary (</w:t>
      </w:r>
      <w:proofErr w:type="spellStart"/>
      <w:r>
        <w:t>Alkabazi</w:t>
      </w:r>
      <w:proofErr w:type="spellEnd"/>
      <w:r>
        <w:t xml:space="preserve"> et al., 2026). Reviews of </w:t>
      </w:r>
      <w:proofErr w:type="spellStart"/>
      <w:r>
        <w:t>oromucosal</w:t>
      </w:r>
      <w:proofErr w:type="spellEnd"/>
      <w:r>
        <w:t xml:space="preserve"> delivery similarly note that the number of approved mucoadhesive products for local antifungal therapy remains small despite decades of formulation research (</w:t>
      </w:r>
      <w:proofErr w:type="spellStart"/>
      <w:r>
        <w:t>Olechno</w:t>
      </w:r>
      <w:proofErr w:type="spellEnd"/>
      <w:r>
        <w:t xml:space="preserve"> et al., 2026). This asymmetry between laboratory activity and clinical adoption is the central problem addressed here.</w:t>
      </w:r>
    </w:p>
    <w:p w14:paraId="6006C9AD" w14:textId="77777777" w:rsidR="00E77864" w:rsidRDefault="00000000" w:rsidP="00117D6C">
      <w:pPr>
        <w:spacing w:before="100" w:beforeAutospacing="1" w:after="100" w:afterAutospacing="1"/>
        <w:jc w:val="both"/>
      </w:pPr>
      <w:r>
        <w:t>Several structural weaknesses plausibly contribute. Comparative studies of mucoadhesive materials are frequently conducted against commercially purified mucins whose behaviour differs measurably from that of native mucus and, importantly, differs between mucin sources; interaction of the same polymer with porcine gastric mucin and with bovine submaxillary mucin can diverge to an extent that would alter the ranking of candidate materials (Stie et al., 2024). Characterisation methods are numerous but weakly harmonised, and single-particle tracking, one of the few techniques capable of separating adhesion from penetration at the particle level, remains underused partly because standardised protocols and benchmark particles do not exist (</w:t>
      </w:r>
      <w:proofErr w:type="spellStart"/>
      <w:r>
        <w:t>Tollemeto</w:t>
      </w:r>
      <w:proofErr w:type="spellEnd"/>
      <w:r>
        <w:t xml:space="preserve"> et al., 2025). Testing protocols for even relatively mature dosage forms show wide procedural variation, as documented for vaginal mucoadhesive tablets (Zainol Abidin et al., 2023). Under these conditions, apparent progress at the level of individual publications does not readily aggregate into cumulative knowledge.</w:t>
      </w:r>
    </w:p>
    <w:p w14:paraId="7F73D1D4" w14:textId="77777777" w:rsidR="00E77864" w:rsidRDefault="00000000" w:rsidP="00117D6C">
      <w:pPr>
        <w:spacing w:before="100" w:beforeAutospacing="1" w:after="100" w:afterAutospacing="1"/>
        <w:jc w:val="both"/>
      </w:pPr>
      <w:r>
        <w:t xml:space="preserve">A further difficulty is conceptual. For much of the past fifteen years the field has been organised around a contrast between </w:t>
      </w:r>
      <w:proofErr w:type="spellStart"/>
      <w:r>
        <w:t>mucoadhesion</w:t>
      </w:r>
      <w:proofErr w:type="spellEnd"/>
      <w:r>
        <w:t xml:space="preserve">, which seeks retention within or upon the mucus gel, and </w:t>
      </w:r>
      <w:proofErr w:type="spellStart"/>
      <w:r>
        <w:t>mucopenetration</w:t>
      </w:r>
      <w:proofErr w:type="spellEnd"/>
      <w:r>
        <w:t>, which seeks rapid transit through it to reach the epithelium (Ensign et al., 2012; Lai, Wang, &amp; Hanes, 2009). The contrast has been analytically productive, but it has occasionally been treated as a general question with a general answer. Direct comparison of the two strategies concluded that neither is uniformly superior and that the appropriate choice depends on the therapeutic target and on site-specific properties of the mucosa, particularly gel thickness, turnover rate and water movement (</w:t>
      </w:r>
      <w:proofErr w:type="spellStart"/>
      <w:r>
        <w:t>Netsomboon</w:t>
      </w:r>
      <w:proofErr w:type="spellEnd"/>
      <w:r>
        <w:t xml:space="preserve"> &amp; </w:t>
      </w:r>
      <w:proofErr w:type="spellStart"/>
      <w:r>
        <w:t>Bernkop-Schnürch</w:t>
      </w:r>
      <w:proofErr w:type="spellEnd"/>
      <w:r>
        <w:t>, 2016). More recent work has moved towards systems intended to combine or switch between the two behaviours (Zheng, Liu, et al., 2025), which further weakens the usefulness of treating them as alternatives.</w:t>
      </w:r>
    </w:p>
    <w:p w14:paraId="1945A602" w14:textId="77777777" w:rsidR="00E77864" w:rsidRDefault="00000000" w:rsidP="00117D6C">
      <w:pPr>
        <w:spacing w:before="100" w:beforeAutospacing="1" w:after="100" w:afterAutospacing="1"/>
        <w:jc w:val="both"/>
      </w:pPr>
      <w:r>
        <w:lastRenderedPageBreak/>
        <w:t>Existing reviews have addressed parts of this territory well. Comprehensive accounts exist of mucoadhesive polymer chemistry (Khutoryanskiy, 2011; Sosnik et al., 2014), of mucus as a barrier (Bansil &amp; Turner, 2018; Boegh &amp; Nielsen, 2015), of nanoparticle engineering for mucosal transport (Watchorn et al., 2022) and of route-specific formulation practice for the nose (</w:t>
      </w:r>
      <w:proofErr w:type="spellStart"/>
      <w:r>
        <w:t>Porfiryeva</w:t>
      </w:r>
      <w:proofErr w:type="spellEnd"/>
      <w:r>
        <w:t xml:space="preserve"> et al., 2026), the eye (Desai et al., 2026), the oral cavity (Solanki &amp; Parmar, 2025) and the vagina (</w:t>
      </w:r>
      <w:proofErr w:type="spellStart"/>
      <w:r>
        <w:t>Osmałek</w:t>
      </w:r>
      <w:proofErr w:type="spellEnd"/>
      <w:r>
        <w:t xml:space="preserve"> et al., 2021). What is less well developed is an integrated critical assessment that treats the mechanistic, methodological and translational problems as connected rather than separate. Reviews organised by material class tend to accept published </w:t>
      </w:r>
      <w:proofErr w:type="spellStart"/>
      <w:r>
        <w:t>mucoadhesion</w:t>
      </w:r>
      <w:proofErr w:type="spellEnd"/>
      <w:r>
        <w:t xml:space="preserve"> metrics at face value; reviews organised by anatomical route tend to describe formulations without interrogating whether the reported adhesion actually accounts for the observed pharmacological outcome. Neither format readily surfaces the possibility that the reproducibility problem in </w:t>
      </w:r>
      <w:proofErr w:type="spellStart"/>
      <w:r>
        <w:t>mucoadhesion</w:t>
      </w:r>
      <w:proofErr w:type="spellEnd"/>
      <w:r>
        <w:t xml:space="preserve"> measurement is itself a principal cause of the translational gap.</w:t>
      </w:r>
    </w:p>
    <w:p w14:paraId="1FFE5519" w14:textId="77777777" w:rsidR="00E77864" w:rsidRDefault="00000000" w:rsidP="00117D6C">
      <w:pPr>
        <w:pStyle w:val="Heading2"/>
        <w:spacing w:before="100" w:beforeAutospacing="1" w:after="100" w:afterAutospacing="1"/>
      </w:pPr>
      <w:r>
        <w:rPr>
          <w:b/>
          <w:bCs/>
          <w:color w:val="000000"/>
          <w:sz w:val="24"/>
          <w:szCs w:val="24"/>
        </w:rPr>
        <w:t>1.1 Scope, Research Gap and Objectives</w:t>
      </w:r>
    </w:p>
    <w:p w14:paraId="7B1366A9" w14:textId="77777777" w:rsidR="00E77864" w:rsidRDefault="00000000" w:rsidP="00117D6C">
      <w:pPr>
        <w:spacing w:before="100" w:beforeAutospacing="1" w:after="100" w:afterAutospacing="1"/>
        <w:jc w:val="both"/>
      </w:pPr>
      <w:r>
        <w:t xml:space="preserve">This review is bounded to systems in which </w:t>
      </w:r>
      <w:proofErr w:type="spellStart"/>
      <w:r>
        <w:t>mucoadhesion</w:t>
      </w:r>
      <w:proofErr w:type="spellEnd"/>
      <w:r>
        <w:t xml:space="preserve"> is an intended and characterised design attribute of a pharmaceutical dosage form or carrier intended for human or veterinary therapeutic use. It covers the mucus substrate, the mechanisms proposed to explain adhesion to it, the materials used to achieve adhesion, the methods used to measure it, and the evidence linking measured adhesion to therapeutic outcome across the principal transmucosal routes. Systems in which adhesion to non-mucosal wet tissue is the objective, food-science applications of mucin binding, diagnostic and biosensing uses of mucin interaction, and microbial adhesion to mucus are outside the scope except where they illuminate a mechanistic point.</w:t>
      </w:r>
    </w:p>
    <w:p w14:paraId="325665A5" w14:textId="77777777" w:rsidR="00E77864" w:rsidRDefault="00000000" w:rsidP="00117D6C">
      <w:pPr>
        <w:spacing w:before="100" w:beforeAutospacing="1" w:after="100" w:afterAutospacing="1"/>
        <w:jc w:val="both"/>
      </w:pPr>
      <w:r>
        <w:t>The research gap addressed is the absence of a synthesis that connects three problems normally treated in isolation: the weak predictive content of prevailing mechanistic theory, the substrate and measurement variability that undermines comparability across studies, and the limited clinical evidence linking adhesion to benefit. Each has been noted individually within the literature. Their combined effect on the trajectory of the field has not been examined systematically.</w:t>
      </w:r>
    </w:p>
    <w:p w14:paraId="37863559" w14:textId="77777777" w:rsidR="00E77864" w:rsidRDefault="00000000" w:rsidP="00117D6C">
      <w:pPr>
        <w:spacing w:before="100" w:beforeAutospacing="1" w:after="100" w:afterAutospacing="1"/>
        <w:jc w:val="both"/>
      </w:pPr>
      <w:r>
        <w:t>Five objectives follow. The first is to reassess what mucoadhesive systems adhere to, and to establish how far site-specific substrate properties constrain formulation design. The second is to evaluate the explanatory adequacy of established mechanistic frameworks against the behaviour of contemporary functionalised materials. The third is to compare functionalisation chemistries on the basis of evidence quality rather than reported magnitude of effect. The fourth is to appraise characterisation methodology and identify what would be required for cross-laboratory comparability. The fifth is to assess the clinical, regulatory and manufacturing evidence and to derive prioritised research recommendations from that assessment.</w:t>
      </w:r>
    </w:p>
    <w:p w14:paraId="32B958F8" w14:textId="77777777" w:rsidR="00E77864" w:rsidRDefault="00000000" w:rsidP="00117D6C">
      <w:pPr>
        <w:spacing w:before="100" w:beforeAutospacing="1" w:after="100" w:afterAutospacing="1"/>
        <w:jc w:val="both"/>
      </w:pPr>
      <w:r>
        <w:t>The intended contribution is diagnostic and prescriptive rather than encyclopaedic. Coverage of individual formulations is deliberately selective and is used to illustrate analytical points. Quantitative meta-analysis is not attempted, and no claim is made to exhaustive coverage of any material class or anatomical route. Detailed treatment of mucus pathophysiology in specific diseases, of mucolytic pharmacology, and of the immunology of mucosal vaccination is excluded except where directly relevant to adhesion behaviour.</w:t>
      </w:r>
    </w:p>
    <w:p w14:paraId="0B97006F" w14:textId="77777777" w:rsidR="00E77864" w:rsidRDefault="00000000" w:rsidP="00117D6C">
      <w:pPr>
        <w:pStyle w:val="Heading1"/>
        <w:spacing w:before="100" w:beforeAutospacing="1" w:after="100" w:afterAutospacing="1"/>
      </w:pPr>
      <w:r>
        <w:rPr>
          <w:b/>
          <w:bCs/>
          <w:color w:val="000000"/>
          <w:sz w:val="26"/>
          <w:szCs w:val="26"/>
        </w:rPr>
        <w:t>2. Methods for Literature Selection</w:t>
      </w:r>
    </w:p>
    <w:p w14:paraId="3AF849BD" w14:textId="77777777" w:rsidR="00E77864" w:rsidRDefault="00000000" w:rsidP="00117D6C">
      <w:pPr>
        <w:pStyle w:val="Heading2"/>
        <w:spacing w:before="100" w:beforeAutospacing="1" w:after="100" w:afterAutospacing="1"/>
      </w:pPr>
      <w:r>
        <w:rPr>
          <w:b/>
          <w:bCs/>
          <w:color w:val="000000"/>
          <w:sz w:val="24"/>
          <w:szCs w:val="24"/>
        </w:rPr>
        <w:t>2.1 Review Design and Rationale</w:t>
      </w:r>
    </w:p>
    <w:p w14:paraId="62319FF7" w14:textId="77777777" w:rsidR="00E77864" w:rsidRDefault="00000000" w:rsidP="00117D6C">
      <w:pPr>
        <w:spacing w:before="100" w:beforeAutospacing="1" w:after="100" w:afterAutospacing="1"/>
        <w:jc w:val="both"/>
      </w:pPr>
      <w:r>
        <w:t xml:space="preserve">A critical narrative design was selected because the review question concerns the coherence, comparability and interpretive validity of a heterogeneous literature rather than the pooled magnitude </w:t>
      </w:r>
      <w:r>
        <w:lastRenderedPageBreak/>
        <w:t xml:space="preserve">of a defined intervention effect. Systematic review and meta-analysis presuppose a body of studies sufficiently homogeneous in population, intervention, comparator and outcome to justify aggregation. That condition is not met here: </w:t>
      </w:r>
      <w:proofErr w:type="spellStart"/>
      <w:r>
        <w:t>mucoadhesion</w:t>
      </w:r>
      <w:proofErr w:type="spellEnd"/>
      <w:r>
        <w:t xml:space="preserve"> is quantified by methods that measure different physical properties, on substrates that are not equivalent, with outcomes reported in units that cannot be converted between studies. Attempting quantitative synthesis under these conditions would impose a spurious precision on the evidence.</w:t>
      </w:r>
    </w:p>
    <w:p w14:paraId="24D2AB70" w14:textId="77777777" w:rsidR="00E77864" w:rsidRDefault="00000000" w:rsidP="00117D6C">
      <w:pPr>
        <w:spacing w:before="100" w:beforeAutospacing="1" w:after="100" w:afterAutospacing="1"/>
        <w:jc w:val="both"/>
      </w:pPr>
      <w:r>
        <w:t>Narrative synthesis nevertheless imposes obligations of transparency and appraisal, and it is not a licence for selective citation (Ferrari, 2015; Sukhera, 2022). The conduct of this review was guided by the domains of the Scale for the Assessment of Narrative Review Articles, which specify justification of importance, statement of aims, description of the literature search, referencing of claims, evidence-appropriate presentation and adequate presentation of data (</w:t>
      </w:r>
      <w:proofErr w:type="spellStart"/>
      <w:r>
        <w:t>Baethge</w:t>
      </w:r>
      <w:proofErr w:type="spellEnd"/>
      <w:r>
        <w:t xml:space="preserve"> et al., 2019). Search strategy, sources, eligibility criteria and appraisal approach are reported below so that the selection process can be scrutinised, but no claim is made that selection was exhaustive or free from interpretive judgement.</w:t>
      </w:r>
    </w:p>
    <w:p w14:paraId="41079FF5" w14:textId="77777777" w:rsidR="00E77864" w:rsidRDefault="00000000" w:rsidP="00117D6C">
      <w:pPr>
        <w:pStyle w:val="Heading2"/>
        <w:spacing w:before="100" w:beforeAutospacing="1" w:after="100" w:afterAutospacing="1"/>
      </w:pPr>
      <w:r>
        <w:rPr>
          <w:b/>
          <w:bCs/>
          <w:color w:val="000000"/>
          <w:sz w:val="24"/>
          <w:szCs w:val="24"/>
        </w:rPr>
        <w:t>2.2 Information Sources</w:t>
      </w:r>
    </w:p>
    <w:p w14:paraId="5C9063A7" w14:textId="77777777" w:rsidR="00E77864" w:rsidRDefault="00000000" w:rsidP="00117D6C">
      <w:pPr>
        <w:spacing w:before="100" w:beforeAutospacing="1" w:after="100" w:afterAutospacing="1"/>
        <w:jc w:val="both"/>
      </w:pPr>
      <w:r>
        <w:t xml:space="preserve">Three bibliographic resources were searched directly and programmatically during the preparation of this review: Europe PMC, which indexes MEDLINE and PubMed content together with additional life-science literature; </w:t>
      </w:r>
      <w:proofErr w:type="spellStart"/>
      <w:r>
        <w:t>Crossref</w:t>
      </w:r>
      <w:proofErr w:type="spellEnd"/>
      <w:r>
        <w:t xml:space="preserve"> Metadata Search, used for bibliographic verification and for retrieval of records by title, author and journal; and the Directory of Open Access Journals. General web searching was used to locate publisher landing pages and to confirm bibliographic details where records disagreed.</w:t>
      </w:r>
    </w:p>
    <w:p w14:paraId="2A4BDBDB" w14:textId="77777777" w:rsidR="00E77864" w:rsidRDefault="00000000" w:rsidP="00117D6C">
      <w:pPr>
        <w:spacing w:before="100" w:beforeAutospacing="1" w:after="100" w:afterAutospacing="1"/>
        <w:jc w:val="both"/>
      </w:pPr>
      <w:r>
        <w:t>No subscription database was accessible during this work. Searches of Web of Science, Scopus, Embase, CAB Abstracts and comparable licensed indexes were not performed, and no complete database exports were supplied. The evidence base described here therefore reflects the coverage of the three resources named above and of the citation-tracking procedures described in Section 2.3. This constraint is stated explicitly because it bears on the completeness of the retrieved literature, particularly for engineering, materials-science and non-English sources that are indexed unevenly in biomedical resources.</w:t>
      </w:r>
    </w:p>
    <w:p w14:paraId="3B3E2066" w14:textId="77777777" w:rsidR="00E77864" w:rsidRDefault="00000000" w:rsidP="00117D6C">
      <w:pPr>
        <w:spacing w:before="100" w:beforeAutospacing="1" w:after="100" w:afterAutospacing="1"/>
        <w:jc w:val="both"/>
      </w:pPr>
      <w:r>
        <w:t xml:space="preserve">Database searching was supplemented by backward citation searching of retrieved reviews, forward citation checking through </w:t>
      </w:r>
      <w:proofErr w:type="spellStart"/>
      <w:r>
        <w:t>Crossref</w:t>
      </w:r>
      <w:proofErr w:type="spellEnd"/>
      <w:r>
        <w:t xml:space="preserve"> reference counts and linked records, targeted retrieval of publications by research groups identified as productive in the field, and inspection of publisher records for corrections and expressions of concern relating to candidate sources.</w:t>
      </w:r>
    </w:p>
    <w:p w14:paraId="596DB99A" w14:textId="77777777" w:rsidR="00E77864" w:rsidRDefault="00000000" w:rsidP="00117D6C">
      <w:pPr>
        <w:pStyle w:val="Heading2"/>
        <w:spacing w:before="100" w:beforeAutospacing="1" w:after="100" w:afterAutospacing="1"/>
      </w:pPr>
      <w:r>
        <w:rPr>
          <w:b/>
          <w:bCs/>
          <w:color w:val="000000"/>
          <w:sz w:val="24"/>
          <w:szCs w:val="24"/>
        </w:rPr>
        <w:t>2.3 Search Strategy and Search Period</w:t>
      </w:r>
    </w:p>
    <w:p w14:paraId="61762CE6" w14:textId="77777777" w:rsidR="00E77864" w:rsidRDefault="00000000" w:rsidP="00117D6C">
      <w:pPr>
        <w:spacing w:before="100" w:beforeAutospacing="1" w:after="100" w:afterAutospacing="1"/>
        <w:jc w:val="both"/>
      </w:pPr>
      <w:r>
        <w:t>Search concepts were constructed around five domains: the adhesion phenomenon and its synonyms; the mucus and mucin substrate; polymer chemistry and functionalisation; dosage form and anatomical route; and evaluation methodology. Representative Boolean strings combined free-text terms across these domains, for example (</w:t>
      </w:r>
      <w:proofErr w:type="spellStart"/>
      <w:r>
        <w:t>mucoadhesion</w:t>
      </w:r>
      <w:proofErr w:type="spellEnd"/>
      <w:r>
        <w:t xml:space="preserve"> OR mucoadhesive OR </w:t>
      </w:r>
      <w:proofErr w:type="spellStart"/>
      <w:r>
        <w:t>bioadhesion</w:t>
      </w:r>
      <w:proofErr w:type="spellEnd"/>
      <w:r>
        <w:t>) AND (mucin OR mucus) AND (mechanism OR theory OR interpenetration OR wetting); (</w:t>
      </w:r>
      <w:proofErr w:type="spellStart"/>
      <w:r>
        <w:t>thiolated</w:t>
      </w:r>
      <w:proofErr w:type="spellEnd"/>
      <w:r>
        <w:t xml:space="preserve"> OR </w:t>
      </w:r>
      <w:proofErr w:type="spellStart"/>
      <w:r>
        <w:t>thiomer</w:t>
      </w:r>
      <w:proofErr w:type="spellEnd"/>
      <w:r>
        <w:t xml:space="preserve"> OR maleimide OR catechol OR </w:t>
      </w:r>
      <w:proofErr w:type="spellStart"/>
      <w:r>
        <w:t>boronate</w:t>
      </w:r>
      <w:proofErr w:type="spellEnd"/>
      <w:r>
        <w:t xml:space="preserve">) AND </w:t>
      </w:r>
      <w:proofErr w:type="spellStart"/>
      <w:r>
        <w:t>mucoadhes</w:t>
      </w:r>
      <w:proofErr w:type="spellEnd"/>
      <w:r>
        <w:t xml:space="preserve">*; (mucoadhesive OR </w:t>
      </w:r>
      <w:proofErr w:type="spellStart"/>
      <w:r>
        <w:t>mucopenetrating</w:t>
      </w:r>
      <w:proofErr w:type="spellEnd"/>
      <w:r>
        <w:t xml:space="preserve"> OR “mucus-penetrating”) AND (nanoparticle OR film OR gel OR tablet OR </w:t>
      </w:r>
      <w:proofErr w:type="spellStart"/>
      <w:r>
        <w:t>nanofibre</w:t>
      </w:r>
      <w:proofErr w:type="spellEnd"/>
      <w:r>
        <w:t>); and (</w:t>
      </w:r>
      <w:proofErr w:type="spellStart"/>
      <w:r>
        <w:t>mucoadhesion</w:t>
      </w:r>
      <w:proofErr w:type="spellEnd"/>
      <w:r>
        <w:t>) AND (measurement OR characterisation OR tensile OR rheological OR “particle tracking” OR standardisation). Field-restricted title searches were used to increase precision where free-text searching returned excessive noise, and route-specific searches were run separately for buccal, ocular, nasal, vaginal, gastrointestinal, pulmonary and intravesical applications rather than combined into a single query.</w:t>
      </w:r>
    </w:p>
    <w:p w14:paraId="0DA5593C" w14:textId="77777777" w:rsidR="00E77864" w:rsidRDefault="00000000" w:rsidP="00117D6C">
      <w:pPr>
        <w:spacing w:before="100" w:beforeAutospacing="1" w:after="100" w:afterAutospacing="1"/>
        <w:jc w:val="both"/>
      </w:pPr>
      <w:r>
        <w:lastRenderedPageBreak/>
        <w:t>The search period extended from 1 January 1994 to 25 May 2026. The starting year corresponds to the period in which quantitative characterisation of mucus thickness and turnover began to be applied explicitly to the interpretation of mucoadhesive residence, providing a defensible boundary for the physiological reasoning that underpins contemporary design (Rubinstein &amp; Tirosh, 1994). Foundational publications preceding this date were consulted where necessary to establish the historical development of mechanistic theory. The final search date was 25 May 2026.</w:t>
      </w:r>
    </w:p>
    <w:p w14:paraId="1B5D18EF" w14:textId="77777777" w:rsidR="00E77864" w:rsidRDefault="00000000" w:rsidP="00117D6C">
      <w:pPr>
        <w:pStyle w:val="Heading2"/>
        <w:spacing w:before="100" w:beforeAutospacing="1" w:after="100" w:afterAutospacing="1"/>
      </w:pPr>
      <w:r>
        <w:rPr>
          <w:b/>
          <w:bCs/>
          <w:color w:val="000000"/>
          <w:sz w:val="24"/>
          <w:szCs w:val="24"/>
        </w:rPr>
        <w:t>2.4 Eligibility Criteria</w:t>
      </w:r>
    </w:p>
    <w:p w14:paraId="5D923CE6" w14:textId="77777777" w:rsidR="00E77864" w:rsidRDefault="00000000" w:rsidP="00117D6C">
      <w:pPr>
        <w:spacing w:before="100" w:beforeAutospacing="1" w:after="100" w:afterAutospacing="1"/>
        <w:jc w:val="both"/>
      </w:pPr>
      <w:r>
        <w:t xml:space="preserve">Peer-reviewed primary research and review articles addressing </w:t>
      </w:r>
      <w:proofErr w:type="spellStart"/>
      <w:r>
        <w:t>mucoadhesion</w:t>
      </w:r>
      <w:proofErr w:type="spellEnd"/>
      <w:r>
        <w:t xml:space="preserve">, mucus barrier properties, mucoadhesive or </w:t>
      </w:r>
      <w:proofErr w:type="spellStart"/>
      <w:r>
        <w:t>mucopenetrating</w:t>
      </w:r>
      <w:proofErr w:type="spellEnd"/>
      <w:r>
        <w:t xml:space="preserve"> formulation design, characterisation methodology, or clinical evaluation of mucoadhesive dosage forms were eligible. Studies of any mucosal route in human, veterinary or laboratory-animal contexts were eligible, as were in vitro and ex vivo investigations where the substrate and method were adequately described. Publications in English were included; language restriction is acknowledged as a limitation.</w:t>
      </w:r>
    </w:p>
    <w:p w14:paraId="4E37269C" w14:textId="77777777" w:rsidR="00E77864" w:rsidRDefault="00000000" w:rsidP="00117D6C">
      <w:pPr>
        <w:spacing w:before="100" w:beforeAutospacing="1" w:after="100" w:afterAutospacing="1"/>
        <w:jc w:val="both"/>
      </w:pPr>
      <w:r>
        <w:t xml:space="preserve">Excluded were conference abstracts without full reports, non-peer-reviewed commentary, promotional and trade material, patents cited as evidence of effectiveness, and any source whose bibliographic identity could not be confirmed against an authoritative record. Preprints were excluded because peer-reviewed evidence was available on every theme addressed. Editorials and short introductory pieces to journal special issues were excluded even when topically relevant, on the ground that they do not present appraisable evidence. Publications in which </w:t>
      </w:r>
      <w:proofErr w:type="spellStart"/>
      <w:r>
        <w:t>mucoadhesion</w:t>
      </w:r>
      <w:proofErr w:type="spellEnd"/>
      <w:r>
        <w:t xml:space="preserve"> was asserted but not measured, and publications reporting adhesion metrics without describing the substrate, were excluded from the evidential base although some are referred to collectively when characterising reporting practice.</w:t>
      </w:r>
    </w:p>
    <w:p w14:paraId="34D10D75" w14:textId="77777777" w:rsidR="00E77864" w:rsidRDefault="00000000" w:rsidP="00117D6C">
      <w:pPr>
        <w:pStyle w:val="Heading2"/>
        <w:spacing w:before="100" w:beforeAutospacing="1" w:after="100" w:afterAutospacing="1"/>
      </w:pPr>
      <w:r>
        <w:rPr>
          <w:b/>
          <w:bCs/>
          <w:color w:val="000000"/>
          <w:sz w:val="24"/>
          <w:szCs w:val="24"/>
        </w:rPr>
        <w:t>2.5 Screening, Duplicate Handling and Study Selection</w:t>
      </w:r>
    </w:p>
    <w:p w14:paraId="52FE12BA" w14:textId="77777777" w:rsidR="00E77864" w:rsidRDefault="00000000" w:rsidP="00117D6C">
      <w:pPr>
        <w:spacing w:before="100" w:beforeAutospacing="1" w:after="100" w:afterAutospacing="1"/>
        <w:jc w:val="both"/>
      </w:pPr>
      <w:r>
        <w:t xml:space="preserve">Records retrieved from each source were screened at title level for topical relevance, then at abstract level for the presence of appraisable evidence relating to one of the review objectives. Full records were examined for all sources retained after abstract screening and for all sources ultimately cited. Duplicates arising between Europe PMC and </w:t>
      </w:r>
      <w:proofErr w:type="spellStart"/>
      <w:r>
        <w:t>Crossref</w:t>
      </w:r>
      <w:proofErr w:type="spellEnd"/>
      <w:r>
        <w:t xml:space="preserve"> were identified by Digital Object Identifier and, where identifiers were absent or inconsistent, by matching of title, first author and journal. Where a record existed in both preprint and peer-reviewed form, the peer-reviewed version was retained.</w:t>
      </w:r>
    </w:p>
    <w:p w14:paraId="78213F83" w14:textId="77777777" w:rsidR="00E77864" w:rsidRDefault="00000000" w:rsidP="00117D6C">
      <w:pPr>
        <w:spacing w:before="100" w:beforeAutospacing="1" w:after="100" w:afterAutospacing="1"/>
        <w:jc w:val="both"/>
      </w:pPr>
      <w:r>
        <w:t>No record counts are reported. Screening was not conducted in duplicate by independent reviewers, no formal screening log was maintained, and the process does not meet the requirements of a systematic selection procedure; reporting counts would therefore convey a misleading impression of methodological rigour. For the same reason no flow diagram is presented. Sources that could not be retrieved in full text were excluded rather than cited on the basis of abstract content alone, except where the abstract itself contained the specific quantitative or methodological information supporting the claim made, in which case reliance on the abstract is evident from the nature of the claim.</w:t>
      </w:r>
    </w:p>
    <w:p w14:paraId="2E8E6B8B" w14:textId="77777777" w:rsidR="00E77864" w:rsidRDefault="00000000" w:rsidP="00117D6C">
      <w:pPr>
        <w:pStyle w:val="Heading2"/>
        <w:spacing w:before="100" w:beforeAutospacing="1" w:after="100" w:afterAutospacing="1"/>
      </w:pPr>
      <w:r>
        <w:rPr>
          <w:b/>
          <w:bCs/>
          <w:color w:val="000000"/>
          <w:sz w:val="24"/>
          <w:szCs w:val="24"/>
        </w:rPr>
        <w:t>2.6 Critical Appraisal and Evidence Synthesis</w:t>
      </w:r>
    </w:p>
    <w:p w14:paraId="28C07D27" w14:textId="77777777" w:rsidR="00E77864" w:rsidRDefault="00000000" w:rsidP="00117D6C">
      <w:pPr>
        <w:spacing w:before="100" w:beforeAutospacing="1" w:after="100" w:afterAutospacing="1"/>
        <w:jc w:val="both"/>
      </w:pPr>
      <w:r>
        <w:t xml:space="preserve">No formal risk-of-bias instrument was applied, because the retrieved literature is dominated by laboratory studies for which validated appraisal tools are not established and because insufficient methodological detail is reported in many publications to score such tools meaningfully. Appraisal was instead structured around domains selected for their relevance to the review question: adequacy and physiological relevance of the adhesion substrate; appropriateness of the characterisation method to the property claimed; presence of appropriate negative and positive comparators; whether reported adhesion was linked to a pharmacological or clinical outcome or merely to a surrogate; sample size </w:t>
      </w:r>
      <w:r>
        <w:lastRenderedPageBreak/>
        <w:t>and replication; transparency of experimental conditions sufficient for replication; and consistency with independent evidence.</w:t>
      </w:r>
    </w:p>
    <w:p w14:paraId="7B8E09D8" w14:textId="77777777" w:rsidR="00E77864" w:rsidRDefault="00000000" w:rsidP="00117D6C">
      <w:pPr>
        <w:spacing w:before="100" w:beforeAutospacing="1" w:after="100" w:afterAutospacing="1"/>
        <w:jc w:val="both"/>
      </w:pPr>
      <w:r>
        <w:t>Themes were developed inductively from the retrieved literature and then tested against it. Where studies disagreed, the disagreement was examined for methodological explanation before any substantive interpretation was offered, on the reasoning that apparent contradiction in this field frequently reflects differences in substrate or measurement rather than differences in material behaviour. Where a claim rested on a single study, or on evidence from one laboratory only, this is stated in the text. Convergent findings from independent groups using different methods were treated as carrying greater weight than repeated findings from a single group using a single method.</w:t>
      </w:r>
    </w:p>
    <w:p w14:paraId="131CAB04" w14:textId="77777777" w:rsidR="00E77864" w:rsidRDefault="00000000" w:rsidP="00117D6C">
      <w:pPr>
        <w:pStyle w:val="Heading1"/>
        <w:spacing w:before="100" w:beforeAutospacing="1" w:after="100" w:afterAutospacing="1"/>
      </w:pPr>
      <w:r>
        <w:rPr>
          <w:b/>
          <w:bCs/>
          <w:color w:val="000000"/>
          <w:sz w:val="26"/>
          <w:szCs w:val="26"/>
        </w:rPr>
        <w:t>3. The Adhesion Substrate Reconsidered</w:t>
      </w:r>
    </w:p>
    <w:p w14:paraId="4DD9828F" w14:textId="77777777" w:rsidR="00E77864" w:rsidRDefault="00000000" w:rsidP="00117D6C">
      <w:pPr>
        <w:pStyle w:val="Heading2"/>
        <w:spacing w:before="100" w:beforeAutospacing="1" w:after="100" w:afterAutospacing="1"/>
      </w:pPr>
      <w:r>
        <w:rPr>
          <w:b/>
          <w:bCs/>
          <w:color w:val="000000"/>
          <w:sz w:val="24"/>
          <w:szCs w:val="24"/>
        </w:rPr>
        <w:t>3.1 Mucin Architecture and the Basis of Gel Formation</w:t>
      </w:r>
    </w:p>
    <w:p w14:paraId="2C727414" w14:textId="77777777" w:rsidR="00E77864" w:rsidRDefault="00000000" w:rsidP="00117D6C">
      <w:pPr>
        <w:spacing w:before="100" w:beforeAutospacing="1" w:after="100" w:afterAutospacing="1"/>
        <w:jc w:val="both"/>
      </w:pPr>
      <w:r>
        <w:t xml:space="preserve">Mucus owes its rheological identity to gel-forming mucins, large glycoproteins in which serine-, threonine- and proline-rich tandem repeats carry dense O-linked oligosaccharide substitution, interspersed with cysteine-rich domains that mediate oligomerisation. The resulting network is stabilised by disulphide bonds, chain entanglement, hydrophobic association at sparsely glycosylated segments, and calcium-dependent and pH-dependent interactions (Bansil &amp; Turner, 2018). Terminal sialic acid and sulphate residues confer a net negative charge that dominates electrostatic interaction with formulation components at physiological </w:t>
      </w:r>
      <w:proofErr w:type="spellStart"/>
      <w:r>
        <w:t>pH.</w:t>
      </w:r>
      <w:proofErr w:type="spellEnd"/>
    </w:p>
    <w:p w14:paraId="3DDBEBB9" w14:textId="77777777" w:rsidR="00E77864" w:rsidRDefault="00000000" w:rsidP="00117D6C">
      <w:pPr>
        <w:spacing w:before="100" w:beforeAutospacing="1" w:after="100" w:afterAutospacing="1"/>
        <w:jc w:val="both"/>
      </w:pPr>
      <w:r>
        <w:t xml:space="preserve">Structural understanding has advanced materially in recent years. Direct structural characterisation of MUC5AC filaments has demonstrated that the assembly principles of respiratory and intestinal gel-forming mucins are more divergent than the common domain architecture had implied, indicating that mucins from different anatomical sites should not be treated as interchangeable structural models (Haberman et al., 2025). This observation has practical consequences for formulation science, because much of the </w:t>
      </w:r>
      <w:proofErr w:type="spellStart"/>
      <w:r>
        <w:t>mucoadhesion</w:t>
      </w:r>
      <w:proofErr w:type="spellEnd"/>
      <w:r>
        <w:t xml:space="preserve"> literature has proceeded on the tacit assumption that a polymer optimised against one mucin will behave comparably against another. Microrheological measurement of isolated airway mucins likewise indicates that the mechanical properties of purified mucin gels are sensitive to preparation and concentration in ways that complicate comparison across studies (Engle et al., 2025).</w:t>
      </w:r>
    </w:p>
    <w:p w14:paraId="38EEE47C" w14:textId="77777777" w:rsidR="00E77864" w:rsidRDefault="00000000" w:rsidP="00117D6C">
      <w:pPr>
        <w:spacing w:before="100" w:beforeAutospacing="1" w:after="100" w:afterAutospacing="1"/>
        <w:jc w:val="both"/>
      </w:pPr>
      <w:r>
        <w:t>The consequence for adhesion theory is that the substrate is not a passive surface but a dynamic, chemically heterogeneous, viscoelastic network whose local properties vary with hydration, ionic strength, pH, shear history and disease state. Any account of adhesion that treats mucus as a uniform hydrogel of fixed mesh size will misrepresent the physical situation at most anatomical sites.</w:t>
      </w:r>
    </w:p>
    <w:p w14:paraId="3FC03F71" w14:textId="77777777" w:rsidR="00E77864" w:rsidRDefault="00000000" w:rsidP="00117D6C">
      <w:pPr>
        <w:pStyle w:val="Heading2"/>
        <w:spacing w:before="100" w:beforeAutospacing="1" w:after="100" w:afterAutospacing="1"/>
      </w:pPr>
      <w:r>
        <w:rPr>
          <w:b/>
          <w:bCs/>
          <w:color w:val="000000"/>
          <w:sz w:val="24"/>
          <w:szCs w:val="24"/>
        </w:rPr>
        <w:t>3.2 Site-Dependent Thickness, Turnover and Clearance</w:t>
      </w:r>
    </w:p>
    <w:p w14:paraId="4D4E9616" w14:textId="77777777" w:rsidR="00E77864" w:rsidRDefault="00000000" w:rsidP="00117D6C">
      <w:pPr>
        <w:spacing w:before="100" w:beforeAutospacing="1" w:after="100" w:afterAutospacing="1"/>
        <w:jc w:val="both"/>
      </w:pPr>
      <w:r>
        <w:t>Residence time achievable through adhesion is bounded above by the renewal rate of the layer to which the formulation adheres. Where mucus is shed and replaced rapidly, an adhesive system is removed with the layer irrespective of the strength of its attachment. Quantitative measurement of gel thickness and turnover in the rodent gastrointestinal tract established this constraint explicitly and drew the implication for mucoadhesive design (Rubinstein &amp; Tirosh, 1994). The point has been restated repeatedly since, yet it continues to be underweighted in formulation studies that report detachment force without reference to the clearance kinetics of the intended site.</w:t>
      </w:r>
    </w:p>
    <w:p w14:paraId="5AE0A122" w14:textId="77777777" w:rsidR="00E77864" w:rsidRDefault="00000000" w:rsidP="00117D6C">
      <w:pPr>
        <w:spacing w:before="100" w:beforeAutospacing="1" w:after="100" w:afterAutospacing="1"/>
        <w:jc w:val="both"/>
      </w:pPr>
      <w:r>
        <w:t>Clearance mechanisms differ qualitatively between sites. Nasal delivery is limited principally by mucociliary transport, which removes material from the respiratory epithelium on a timescale of minutes and constitutes the dominant constraint on nasal residence (</w:t>
      </w:r>
      <w:proofErr w:type="spellStart"/>
      <w:r>
        <w:t>Porfiryeva</w:t>
      </w:r>
      <w:proofErr w:type="spellEnd"/>
      <w:r>
        <w:t xml:space="preserve"> et al., 2026). Ocular </w:t>
      </w:r>
      <w:r>
        <w:lastRenderedPageBreak/>
        <w:t>delivery is limited by tear turnover, blinking and nasolacrimal drainage, which together eliminate the greater part of an instilled dose within minutes of administration (Jumelle et al., 2020). Gastrointestinal delivery contends with peristalsis, luminal shear and mucus shedding acting in combination, and the small intestine presents a loosely adherent outer layer that is continuously discharged. Buccal, vaginal and intravesical sites offer comparatively slower clearance and correspondingly greater scope for adhesion-based prolongation, which is consistent with the concentration of clinically established mucoadhesive products at these sites.</w:t>
      </w:r>
    </w:p>
    <w:p w14:paraId="769278B4" w14:textId="77777777" w:rsidR="00E77864" w:rsidRDefault="00000000" w:rsidP="00117D6C">
      <w:pPr>
        <w:spacing w:before="100" w:beforeAutospacing="1" w:after="100" w:afterAutospacing="1"/>
        <w:jc w:val="both"/>
      </w:pPr>
      <w:r>
        <w:t>The practical implication is that the ceiling on achievable benefit is set by physiology rather than by chemistry, and differs by an order of magnitude between sites. A functionalisation strategy that produces a large increase in ex vivo detachment force may translate into a clinically negligible increase in nasal residence while producing a substantial increase in intravesical retention. Comparative claims that ignore this asymmetry are difficult to interpret.</w:t>
      </w:r>
    </w:p>
    <w:p w14:paraId="6C2D8C0C" w14:textId="77777777" w:rsidR="00E77864" w:rsidRDefault="00000000" w:rsidP="00117D6C">
      <w:pPr>
        <w:pStyle w:val="Heading2"/>
        <w:spacing w:before="100" w:beforeAutospacing="1" w:after="100" w:afterAutospacing="1"/>
      </w:pPr>
      <w:r>
        <w:rPr>
          <w:b/>
          <w:bCs/>
          <w:color w:val="000000"/>
          <w:sz w:val="24"/>
          <w:szCs w:val="24"/>
        </w:rPr>
        <w:t>3.3 The Substrate Problem in Experimental Practice</w:t>
      </w:r>
    </w:p>
    <w:p w14:paraId="2A628F8A" w14:textId="77777777" w:rsidR="00E77864" w:rsidRDefault="00000000" w:rsidP="00117D6C">
      <w:pPr>
        <w:spacing w:before="100" w:beforeAutospacing="1" w:after="100" w:afterAutospacing="1"/>
        <w:jc w:val="both"/>
      </w:pPr>
      <w:r>
        <w:t xml:space="preserve">Native mucus is heterogeneous, variable between individuals, difficult to obtain in quantity and prone to alteration during harvesting and storage. Commercially purified mucins are therefore used widely as surrogates. Direct comparison of the interaction of </w:t>
      </w:r>
      <w:proofErr w:type="gramStart"/>
      <w:r>
        <w:t>poly(</w:t>
      </w:r>
      <w:proofErr w:type="gramEnd"/>
      <w:r>
        <w:t xml:space="preserve">ethylene oxide) and chitosan with porcine gastric mucin and with bovine submaxillary mucin, assessed by turbidity, dynamic light scattering and quartz crystal microbalance with dissipation monitoring, demonstrated that binding and adsorption differ according to mucin type, with chitosan interacting more extensively with bovine submaxillary mucin than with porcine gastric mucin (Stie et al., 2024). </w:t>
      </w:r>
      <w:proofErr w:type="gramStart"/>
      <w:r>
        <w:t>Poly(</w:t>
      </w:r>
      <w:proofErr w:type="gramEnd"/>
      <w:r>
        <w:t>ethylene oxide), used as a weakly interacting control, showed limited interaction with both by all three methods, which supports the validity of the comparison rather than undermining it.</w:t>
      </w:r>
    </w:p>
    <w:p w14:paraId="22295942" w14:textId="77777777" w:rsidR="00E77864" w:rsidRDefault="00000000" w:rsidP="00117D6C">
      <w:pPr>
        <w:spacing w:before="100" w:beforeAutospacing="1" w:after="100" w:afterAutospacing="1"/>
        <w:jc w:val="both"/>
      </w:pPr>
      <w:r>
        <w:t xml:space="preserve">This finding is more consequential than it may appear. If the choice of commercial mucin alters the measured extent of polymer interaction, then rank orderings of candidate materials derived in different laboratories using different mucins are not directly comparable, and a proportion of the apparent inconsistency in the </w:t>
      </w:r>
      <w:proofErr w:type="spellStart"/>
      <w:r>
        <w:t>mucoadhesion</w:t>
      </w:r>
      <w:proofErr w:type="spellEnd"/>
      <w:r>
        <w:t xml:space="preserve"> literature is attributable to substrate selection rather than to material behaviour. The problem is compounded by the fact that commercial mucin preparations are partially degraded and depleted of associated non-mucin components relative to native mucus, and by evidence that introducing foreign mucins into reconstituted gastric mucus alters its properties (Henkel &amp; Lieleg, 2025).</w:t>
      </w:r>
    </w:p>
    <w:p w14:paraId="2751EE54" w14:textId="77777777" w:rsidR="00E77864" w:rsidRDefault="00000000" w:rsidP="00117D6C">
      <w:pPr>
        <w:spacing w:before="100" w:beforeAutospacing="1" w:after="100" w:afterAutospacing="1"/>
        <w:jc w:val="both"/>
      </w:pPr>
      <w:r>
        <w:t xml:space="preserve">Artificial mucus formulations have been developed to improve reproducibility, and recent work has addressed a specific deficiency of earlier models, namely their failure to reproduce the zeta potential of native tissue. Systematic substitution of the viscosity-conferring polymer backbone in a porcine artificial colonic mucus model, comparing </w:t>
      </w:r>
      <w:proofErr w:type="gramStart"/>
      <w:r>
        <w:t>poly(</w:t>
      </w:r>
      <w:proofErr w:type="gramEnd"/>
      <w:r>
        <w:t xml:space="preserve">acrylic acid), </w:t>
      </w:r>
      <w:proofErr w:type="spellStart"/>
      <w:r>
        <w:t>hydroxyethylcellulose</w:t>
      </w:r>
      <w:proofErr w:type="spellEnd"/>
      <w:r>
        <w:t xml:space="preserve">, sodium hyaluronate, sodium alginate and pectin, identified </w:t>
      </w:r>
      <w:proofErr w:type="spellStart"/>
      <w:r>
        <w:t>hydroxyethylcellulose</w:t>
      </w:r>
      <w:proofErr w:type="spellEnd"/>
      <w:r>
        <w:t xml:space="preserve"> as generating zeta potential and binding kinetics closest to native porcine colonic mucus, and concluded that the choice of backbone polymer is critical to the model's fitness for purpose (</w:t>
      </w:r>
      <w:proofErr w:type="spellStart"/>
      <w:r>
        <w:t>Tjakra</w:t>
      </w:r>
      <w:proofErr w:type="spellEnd"/>
      <w:r>
        <w:t xml:space="preserve">, </w:t>
      </w:r>
      <w:proofErr w:type="spellStart"/>
      <w:r>
        <w:t>Chakrapeesirisuk</w:t>
      </w:r>
      <w:proofErr w:type="spellEnd"/>
      <w:r>
        <w:t>, et al., 2025). The same work emphasised that complementary techniques are required to characterise rheology, mesh and pore size, since no single measurement captures the relevant properties.</w:t>
      </w:r>
    </w:p>
    <w:p w14:paraId="0D30CC95" w14:textId="77777777" w:rsidR="00E77864" w:rsidRDefault="00000000" w:rsidP="00117D6C">
      <w:pPr>
        <w:spacing w:before="100" w:beforeAutospacing="1" w:after="100" w:afterAutospacing="1"/>
        <w:jc w:val="both"/>
      </w:pPr>
      <w:r>
        <w:t>A tension is evident here. Artificial substrates improve reproducibility at the cost of physiological fidelity, while native tissue offers fidelity at the cost of variability. Neither is intrinsically preferable, but the choice must be justified against the claim being made. A screening study comparing many candidate polymers is well served by a reproducible artificial substrate; a study claiming that a particular formulation will perform in vivo requires evidence on native tissue, and preferably in the target species. Much of the published literature does not make this distinction explicit, and substrate choice frequently appears to reflect availability rather than argument.</w:t>
      </w:r>
    </w:p>
    <w:p w14:paraId="24252F38" w14:textId="77777777" w:rsidR="00E77864" w:rsidRDefault="00000000" w:rsidP="00117D6C">
      <w:pPr>
        <w:spacing w:before="100" w:beforeAutospacing="1" w:after="100" w:afterAutospacing="1"/>
        <w:jc w:val="both"/>
      </w:pPr>
      <w:r>
        <w:lastRenderedPageBreak/>
        <w:t>Table 1 summarises the principal mucosal sites addressed in the reviewed literature and the physiological parameters that constrain adhesion-based design at each. The table is intended to make explicit the asymmetry noted above: the sites at which mucoadhesive products are clinically established are those at which clearance is slowest, and the sites at which preclinical enthusiasm has been greatest relative to clinical output are those at which clearance is most rapid. It also indicates the substrate conventionally used for in vitro evaluation at each site, which frequently does not correspond to the mucin type present at that site. Entries describe the qualitative constraints reported in the cited sources rather than quantitative parameters, because the reviewed literature does not report thickness and turnover values on a comparable basis across sites.</w:t>
      </w:r>
    </w:p>
    <w:p w14:paraId="41914EEF" w14:textId="77777777" w:rsidR="00E77864" w:rsidRDefault="00000000" w:rsidP="00117D6C">
      <w:pPr>
        <w:spacing w:before="100" w:beforeAutospacing="1" w:after="100" w:afterAutospacing="1"/>
      </w:pPr>
      <w:r>
        <w:rPr>
          <w:b/>
          <w:bCs/>
          <w:sz w:val="22"/>
          <w:szCs w:val="22"/>
        </w:rPr>
        <w:t>Table 1. Site-specific physiological constraints on mucoadhesive residence and the substrates conventionally used for in vitro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7"/>
        <w:gridCol w:w="1677"/>
        <w:gridCol w:w="2492"/>
        <w:gridCol w:w="2012"/>
        <w:gridCol w:w="2010"/>
      </w:tblGrid>
      <w:tr w:rsidR="00E77864" w14:paraId="5D42F17A" w14:textId="77777777" w:rsidTr="00117D6C">
        <w:trPr>
          <w:tblHeader/>
        </w:trPr>
        <w:tc>
          <w:tcPr>
            <w:tcW w:w="746" w:type="pct"/>
            <w:shd w:val="clear" w:color="auto" w:fill="E8E8E8"/>
            <w:tcMar>
              <w:top w:w="60" w:type="dxa"/>
              <w:left w:w="80" w:type="dxa"/>
              <w:bottom w:w="60" w:type="dxa"/>
              <w:right w:w="80" w:type="dxa"/>
            </w:tcMar>
          </w:tcPr>
          <w:p w14:paraId="7E8E0D9F" w14:textId="77777777" w:rsidR="00E77864" w:rsidRDefault="00000000" w:rsidP="00117D6C">
            <w:pPr>
              <w:spacing w:before="100" w:beforeAutospacing="1" w:after="100" w:afterAutospacing="1"/>
            </w:pPr>
            <w:r>
              <w:rPr>
                <w:b/>
                <w:bCs/>
                <w:sz w:val="18"/>
                <w:szCs w:val="18"/>
              </w:rPr>
              <w:t>Mucosal site</w:t>
            </w:r>
          </w:p>
        </w:tc>
        <w:tc>
          <w:tcPr>
            <w:tcW w:w="871" w:type="pct"/>
            <w:shd w:val="clear" w:color="auto" w:fill="E8E8E8"/>
            <w:tcMar>
              <w:top w:w="60" w:type="dxa"/>
              <w:left w:w="80" w:type="dxa"/>
              <w:bottom w:w="60" w:type="dxa"/>
              <w:right w:w="80" w:type="dxa"/>
            </w:tcMar>
          </w:tcPr>
          <w:p w14:paraId="2AAD950F" w14:textId="77777777" w:rsidR="00E77864" w:rsidRDefault="00000000" w:rsidP="00117D6C">
            <w:pPr>
              <w:spacing w:before="100" w:beforeAutospacing="1" w:after="100" w:afterAutospacing="1"/>
            </w:pPr>
            <w:r>
              <w:rPr>
                <w:b/>
                <w:bCs/>
                <w:sz w:val="18"/>
                <w:szCs w:val="18"/>
              </w:rPr>
              <w:t>Dominant clearance mechanism</w:t>
            </w:r>
          </w:p>
        </w:tc>
        <w:tc>
          <w:tcPr>
            <w:tcW w:w="1294" w:type="pct"/>
            <w:shd w:val="clear" w:color="auto" w:fill="E8E8E8"/>
            <w:tcMar>
              <w:top w:w="60" w:type="dxa"/>
              <w:left w:w="80" w:type="dxa"/>
              <w:bottom w:w="60" w:type="dxa"/>
              <w:right w:w="80" w:type="dxa"/>
            </w:tcMar>
          </w:tcPr>
          <w:p w14:paraId="603C2382" w14:textId="77777777" w:rsidR="00E77864" w:rsidRDefault="00000000" w:rsidP="00117D6C">
            <w:pPr>
              <w:spacing w:before="100" w:beforeAutospacing="1" w:after="100" w:afterAutospacing="1"/>
            </w:pPr>
            <w:r>
              <w:rPr>
                <w:b/>
                <w:bCs/>
                <w:sz w:val="18"/>
                <w:szCs w:val="18"/>
              </w:rPr>
              <w:t>Constraint on adhesion-based residence</w:t>
            </w:r>
          </w:p>
        </w:tc>
        <w:tc>
          <w:tcPr>
            <w:tcW w:w="1045" w:type="pct"/>
            <w:shd w:val="clear" w:color="auto" w:fill="E8E8E8"/>
            <w:tcMar>
              <w:top w:w="60" w:type="dxa"/>
              <w:left w:w="80" w:type="dxa"/>
              <w:bottom w:w="60" w:type="dxa"/>
              <w:right w:w="80" w:type="dxa"/>
            </w:tcMar>
          </w:tcPr>
          <w:p w14:paraId="7E2B21DE" w14:textId="77777777" w:rsidR="00E77864" w:rsidRDefault="00000000" w:rsidP="00117D6C">
            <w:pPr>
              <w:spacing w:before="100" w:beforeAutospacing="1" w:after="100" w:afterAutospacing="1"/>
            </w:pPr>
            <w:r>
              <w:rPr>
                <w:b/>
                <w:bCs/>
                <w:sz w:val="18"/>
                <w:szCs w:val="18"/>
              </w:rPr>
              <w:t>Substrate commonly used in vitro</w:t>
            </w:r>
          </w:p>
        </w:tc>
        <w:tc>
          <w:tcPr>
            <w:tcW w:w="1045" w:type="pct"/>
            <w:shd w:val="clear" w:color="auto" w:fill="E8E8E8"/>
            <w:tcMar>
              <w:top w:w="60" w:type="dxa"/>
              <w:left w:w="80" w:type="dxa"/>
              <w:bottom w:w="60" w:type="dxa"/>
              <w:right w:w="80" w:type="dxa"/>
            </w:tcMar>
          </w:tcPr>
          <w:p w14:paraId="57BF3436" w14:textId="77777777" w:rsidR="00E77864" w:rsidRDefault="00000000" w:rsidP="00117D6C">
            <w:pPr>
              <w:spacing w:before="100" w:beforeAutospacing="1" w:after="100" w:afterAutospacing="1"/>
            </w:pPr>
            <w:r>
              <w:rPr>
                <w:b/>
                <w:bCs/>
                <w:sz w:val="18"/>
                <w:szCs w:val="18"/>
              </w:rPr>
              <w:t>Supporting references</w:t>
            </w:r>
          </w:p>
        </w:tc>
      </w:tr>
      <w:tr w:rsidR="00E77864" w14:paraId="0A2EFAA5" w14:textId="77777777" w:rsidTr="00117D6C">
        <w:tc>
          <w:tcPr>
            <w:tcW w:w="746" w:type="pct"/>
            <w:tcMar>
              <w:top w:w="60" w:type="dxa"/>
              <w:left w:w="80" w:type="dxa"/>
              <w:bottom w:w="60" w:type="dxa"/>
              <w:right w:w="80" w:type="dxa"/>
            </w:tcMar>
          </w:tcPr>
          <w:p w14:paraId="6C36CACE" w14:textId="77777777" w:rsidR="00E77864" w:rsidRDefault="00000000" w:rsidP="00117D6C">
            <w:pPr>
              <w:spacing w:before="100" w:beforeAutospacing="1" w:after="100" w:afterAutospacing="1"/>
            </w:pPr>
            <w:r>
              <w:rPr>
                <w:sz w:val="18"/>
                <w:szCs w:val="18"/>
              </w:rPr>
              <w:t>Nasal</w:t>
            </w:r>
          </w:p>
        </w:tc>
        <w:tc>
          <w:tcPr>
            <w:tcW w:w="871" w:type="pct"/>
            <w:tcMar>
              <w:top w:w="60" w:type="dxa"/>
              <w:left w:w="80" w:type="dxa"/>
              <w:bottom w:w="60" w:type="dxa"/>
              <w:right w:w="80" w:type="dxa"/>
            </w:tcMar>
          </w:tcPr>
          <w:p w14:paraId="0D0F39D9" w14:textId="77777777" w:rsidR="00E77864" w:rsidRDefault="00000000" w:rsidP="00117D6C">
            <w:pPr>
              <w:spacing w:before="100" w:beforeAutospacing="1" w:after="100" w:afterAutospacing="1"/>
            </w:pPr>
            <w:r>
              <w:rPr>
                <w:sz w:val="18"/>
                <w:szCs w:val="18"/>
              </w:rPr>
              <w:t>Mucociliary transport</w:t>
            </w:r>
          </w:p>
        </w:tc>
        <w:tc>
          <w:tcPr>
            <w:tcW w:w="1294" w:type="pct"/>
            <w:tcMar>
              <w:top w:w="60" w:type="dxa"/>
              <w:left w:w="80" w:type="dxa"/>
              <w:bottom w:w="60" w:type="dxa"/>
              <w:right w:w="80" w:type="dxa"/>
            </w:tcMar>
          </w:tcPr>
          <w:p w14:paraId="1C2AFACC" w14:textId="77777777" w:rsidR="00E77864" w:rsidRDefault="00000000" w:rsidP="00117D6C">
            <w:pPr>
              <w:spacing w:before="100" w:beforeAutospacing="1" w:after="100" w:afterAutospacing="1"/>
            </w:pPr>
            <w:r>
              <w:rPr>
                <w:sz w:val="18"/>
                <w:szCs w:val="18"/>
              </w:rPr>
              <w:t>Severe; clearance operates on a timescale of minutes and limits the benefit obtainable from adhesion alone</w:t>
            </w:r>
          </w:p>
        </w:tc>
        <w:tc>
          <w:tcPr>
            <w:tcW w:w="1045" w:type="pct"/>
            <w:tcMar>
              <w:top w:w="60" w:type="dxa"/>
              <w:left w:w="80" w:type="dxa"/>
              <w:bottom w:w="60" w:type="dxa"/>
              <w:right w:w="80" w:type="dxa"/>
            </w:tcMar>
          </w:tcPr>
          <w:p w14:paraId="37E42A18" w14:textId="77777777" w:rsidR="00E77864" w:rsidRDefault="00000000" w:rsidP="00117D6C">
            <w:pPr>
              <w:spacing w:before="100" w:beforeAutospacing="1" w:after="100" w:afterAutospacing="1"/>
            </w:pPr>
            <w:r>
              <w:rPr>
                <w:sz w:val="18"/>
                <w:szCs w:val="18"/>
              </w:rPr>
              <w:t>Porcine or bovine mucin dispersions; excised porcine or sheep nasal mucosa</w:t>
            </w:r>
          </w:p>
        </w:tc>
        <w:tc>
          <w:tcPr>
            <w:tcW w:w="1045" w:type="pct"/>
            <w:tcMar>
              <w:top w:w="60" w:type="dxa"/>
              <w:left w:w="80" w:type="dxa"/>
              <w:bottom w:w="60" w:type="dxa"/>
              <w:right w:w="80" w:type="dxa"/>
            </w:tcMar>
          </w:tcPr>
          <w:p w14:paraId="472FA738" w14:textId="77777777" w:rsidR="00E77864" w:rsidRDefault="00000000" w:rsidP="00117D6C">
            <w:pPr>
              <w:spacing w:before="100" w:beforeAutospacing="1" w:after="100" w:afterAutospacing="1"/>
            </w:pPr>
            <w:proofErr w:type="spellStart"/>
            <w:r>
              <w:rPr>
                <w:sz w:val="18"/>
                <w:szCs w:val="18"/>
              </w:rPr>
              <w:t>Porfiryeva</w:t>
            </w:r>
            <w:proofErr w:type="spellEnd"/>
            <w:r>
              <w:rPr>
                <w:sz w:val="18"/>
                <w:szCs w:val="18"/>
              </w:rPr>
              <w:t xml:space="preserve"> et al. (2026); </w:t>
            </w:r>
            <w:proofErr w:type="spellStart"/>
            <w:r>
              <w:rPr>
                <w:sz w:val="18"/>
                <w:szCs w:val="18"/>
              </w:rPr>
              <w:t>Trenkel</w:t>
            </w:r>
            <w:proofErr w:type="spellEnd"/>
            <w:r>
              <w:rPr>
                <w:sz w:val="18"/>
                <w:szCs w:val="18"/>
              </w:rPr>
              <w:t xml:space="preserve"> &amp; </w:t>
            </w:r>
            <w:proofErr w:type="spellStart"/>
            <w:r>
              <w:rPr>
                <w:sz w:val="18"/>
                <w:szCs w:val="18"/>
              </w:rPr>
              <w:t>Scherließ</w:t>
            </w:r>
            <w:proofErr w:type="spellEnd"/>
            <w:r>
              <w:rPr>
                <w:sz w:val="18"/>
                <w:szCs w:val="18"/>
              </w:rPr>
              <w:t xml:space="preserve"> (2021)</w:t>
            </w:r>
          </w:p>
        </w:tc>
      </w:tr>
      <w:tr w:rsidR="00E77864" w14:paraId="672BE1E6" w14:textId="77777777" w:rsidTr="00117D6C">
        <w:tc>
          <w:tcPr>
            <w:tcW w:w="746" w:type="pct"/>
            <w:tcMar>
              <w:top w:w="60" w:type="dxa"/>
              <w:left w:w="80" w:type="dxa"/>
              <w:bottom w:w="60" w:type="dxa"/>
              <w:right w:w="80" w:type="dxa"/>
            </w:tcMar>
          </w:tcPr>
          <w:p w14:paraId="4752439D" w14:textId="77777777" w:rsidR="00E77864" w:rsidRDefault="00000000" w:rsidP="00117D6C">
            <w:pPr>
              <w:spacing w:before="100" w:beforeAutospacing="1" w:after="100" w:afterAutospacing="1"/>
            </w:pPr>
            <w:r>
              <w:rPr>
                <w:sz w:val="18"/>
                <w:szCs w:val="18"/>
              </w:rPr>
              <w:t>Ocular surface</w:t>
            </w:r>
          </w:p>
        </w:tc>
        <w:tc>
          <w:tcPr>
            <w:tcW w:w="871" w:type="pct"/>
            <w:tcMar>
              <w:top w:w="60" w:type="dxa"/>
              <w:left w:w="80" w:type="dxa"/>
              <w:bottom w:w="60" w:type="dxa"/>
              <w:right w:w="80" w:type="dxa"/>
            </w:tcMar>
          </w:tcPr>
          <w:p w14:paraId="39F8B64D" w14:textId="77777777" w:rsidR="00E77864" w:rsidRDefault="00000000" w:rsidP="00117D6C">
            <w:pPr>
              <w:spacing w:before="100" w:beforeAutospacing="1" w:after="100" w:afterAutospacing="1"/>
            </w:pPr>
            <w:r>
              <w:rPr>
                <w:sz w:val="18"/>
                <w:szCs w:val="18"/>
              </w:rPr>
              <w:t>Tear turnover, blinking, nasolacrimal drainage</w:t>
            </w:r>
          </w:p>
        </w:tc>
        <w:tc>
          <w:tcPr>
            <w:tcW w:w="1294" w:type="pct"/>
            <w:tcMar>
              <w:top w:w="60" w:type="dxa"/>
              <w:left w:w="80" w:type="dxa"/>
              <w:bottom w:w="60" w:type="dxa"/>
              <w:right w:w="80" w:type="dxa"/>
            </w:tcMar>
          </w:tcPr>
          <w:p w14:paraId="157680C4" w14:textId="77777777" w:rsidR="00E77864" w:rsidRDefault="00000000" w:rsidP="00117D6C">
            <w:pPr>
              <w:spacing w:before="100" w:beforeAutospacing="1" w:after="100" w:afterAutospacing="1"/>
            </w:pPr>
            <w:r>
              <w:rPr>
                <w:sz w:val="18"/>
                <w:szCs w:val="18"/>
              </w:rPr>
              <w:t>Severe; the greater part of an instilled dose is eliminated within minutes</w:t>
            </w:r>
          </w:p>
        </w:tc>
        <w:tc>
          <w:tcPr>
            <w:tcW w:w="1045" w:type="pct"/>
            <w:tcMar>
              <w:top w:w="60" w:type="dxa"/>
              <w:left w:w="80" w:type="dxa"/>
              <w:bottom w:w="60" w:type="dxa"/>
              <w:right w:w="80" w:type="dxa"/>
            </w:tcMar>
          </w:tcPr>
          <w:p w14:paraId="7E369C0B" w14:textId="77777777" w:rsidR="00E77864" w:rsidRDefault="00000000" w:rsidP="00117D6C">
            <w:pPr>
              <w:spacing w:before="100" w:beforeAutospacing="1" w:after="100" w:afterAutospacing="1"/>
            </w:pPr>
            <w:r>
              <w:rPr>
                <w:sz w:val="18"/>
                <w:szCs w:val="18"/>
              </w:rPr>
              <w:t>Mucin solutions; excised corneal and conjunctival tissue</w:t>
            </w:r>
          </w:p>
        </w:tc>
        <w:tc>
          <w:tcPr>
            <w:tcW w:w="1045" w:type="pct"/>
            <w:tcMar>
              <w:top w:w="60" w:type="dxa"/>
              <w:left w:w="80" w:type="dxa"/>
              <w:bottom w:w="60" w:type="dxa"/>
              <w:right w:w="80" w:type="dxa"/>
            </w:tcMar>
          </w:tcPr>
          <w:p w14:paraId="100D3EB8" w14:textId="77777777" w:rsidR="00E77864" w:rsidRDefault="00000000" w:rsidP="00117D6C">
            <w:pPr>
              <w:spacing w:before="100" w:beforeAutospacing="1" w:after="100" w:afterAutospacing="1"/>
            </w:pPr>
            <w:r>
              <w:rPr>
                <w:sz w:val="18"/>
                <w:szCs w:val="18"/>
              </w:rPr>
              <w:t>Jumelle et al. (2020); Popov (2020)</w:t>
            </w:r>
          </w:p>
        </w:tc>
      </w:tr>
      <w:tr w:rsidR="00E77864" w14:paraId="4B0EC8BD" w14:textId="77777777" w:rsidTr="00117D6C">
        <w:tc>
          <w:tcPr>
            <w:tcW w:w="746" w:type="pct"/>
            <w:tcMar>
              <w:top w:w="60" w:type="dxa"/>
              <w:left w:w="80" w:type="dxa"/>
              <w:bottom w:w="60" w:type="dxa"/>
              <w:right w:w="80" w:type="dxa"/>
            </w:tcMar>
          </w:tcPr>
          <w:p w14:paraId="19861238" w14:textId="77777777" w:rsidR="00E77864" w:rsidRDefault="00000000" w:rsidP="00117D6C">
            <w:pPr>
              <w:spacing w:before="100" w:beforeAutospacing="1" w:after="100" w:afterAutospacing="1"/>
            </w:pPr>
            <w:r>
              <w:rPr>
                <w:sz w:val="18"/>
                <w:szCs w:val="18"/>
              </w:rPr>
              <w:t>Buccal and sublingual</w:t>
            </w:r>
          </w:p>
        </w:tc>
        <w:tc>
          <w:tcPr>
            <w:tcW w:w="871" w:type="pct"/>
            <w:tcMar>
              <w:top w:w="60" w:type="dxa"/>
              <w:left w:w="80" w:type="dxa"/>
              <w:bottom w:w="60" w:type="dxa"/>
              <w:right w:w="80" w:type="dxa"/>
            </w:tcMar>
          </w:tcPr>
          <w:p w14:paraId="4775A3C4" w14:textId="77777777" w:rsidR="00E77864" w:rsidRDefault="00000000" w:rsidP="00117D6C">
            <w:pPr>
              <w:spacing w:before="100" w:beforeAutospacing="1" w:after="100" w:afterAutospacing="1"/>
            </w:pPr>
            <w:r>
              <w:rPr>
                <w:sz w:val="18"/>
                <w:szCs w:val="18"/>
              </w:rPr>
              <w:t>Salivary flow and mechanical displacement</w:t>
            </w:r>
          </w:p>
        </w:tc>
        <w:tc>
          <w:tcPr>
            <w:tcW w:w="1294" w:type="pct"/>
            <w:tcMar>
              <w:top w:w="60" w:type="dxa"/>
              <w:left w:w="80" w:type="dxa"/>
              <w:bottom w:w="60" w:type="dxa"/>
              <w:right w:w="80" w:type="dxa"/>
            </w:tcMar>
          </w:tcPr>
          <w:p w14:paraId="0718839A" w14:textId="77777777" w:rsidR="00E77864" w:rsidRDefault="00000000" w:rsidP="00117D6C">
            <w:pPr>
              <w:spacing w:before="100" w:beforeAutospacing="1" w:after="100" w:afterAutospacing="1"/>
            </w:pPr>
            <w:r>
              <w:rPr>
                <w:sz w:val="18"/>
                <w:szCs w:val="18"/>
              </w:rPr>
              <w:t>Moderate; residence of hours is attainable and is exploited by marketed films and tablets</w:t>
            </w:r>
          </w:p>
        </w:tc>
        <w:tc>
          <w:tcPr>
            <w:tcW w:w="1045" w:type="pct"/>
            <w:tcMar>
              <w:top w:w="60" w:type="dxa"/>
              <w:left w:w="80" w:type="dxa"/>
              <w:bottom w:w="60" w:type="dxa"/>
              <w:right w:w="80" w:type="dxa"/>
            </w:tcMar>
          </w:tcPr>
          <w:p w14:paraId="527D65EA" w14:textId="77777777" w:rsidR="00E77864" w:rsidRDefault="00000000" w:rsidP="00117D6C">
            <w:pPr>
              <w:spacing w:before="100" w:beforeAutospacing="1" w:after="100" w:afterAutospacing="1"/>
            </w:pPr>
            <w:r>
              <w:rPr>
                <w:sz w:val="18"/>
                <w:szCs w:val="18"/>
              </w:rPr>
              <w:t>Porcine buccal mucosa; reconstructed oral epithelial models</w:t>
            </w:r>
          </w:p>
        </w:tc>
        <w:tc>
          <w:tcPr>
            <w:tcW w:w="1045" w:type="pct"/>
            <w:tcMar>
              <w:top w:w="60" w:type="dxa"/>
              <w:left w:w="80" w:type="dxa"/>
              <w:bottom w:w="60" w:type="dxa"/>
              <w:right w:w="80" w:type="dxa"/>
            </w:tcMar>
          </w:tcPr>
          <w:p w14:paraId="2FBB99FA" w14:textId="77777777" w:rsidR="00E77864" w:rsidRDefault="00000000" w:rsidP="00117D6C">
            <w:pPr>
              <w:spacing w:before="100" w:beforeAutospacing="1" w:after="100" w:afterAutospacing="1"/>
            </w:pPr>
            <w:r>
              <w:rPr>
                <w:sz w:val="18"/>
                <w:szCs w:val="18"/>
              </w:rPr>
              <w:t>Macartney et al. (2025); Solanki &amp; Parmar (2025)</w:t>
            </w:r>
          </w:p>
        </w:tc>
      </w:tr>
      <w:tr w:rsidR="00E77864" w14:paraId="02640A22" w14:textId="77777777" w:rsidTr="00117D6C">
        <w:tc>
          <w:tcPr>
            <w:tcW w:w="746" w:type="pct"/>
            <w:tcMar>
              <w:top w:w="60" w:type="dxa"/>
              <w:left w:w="80" w:type="dxa"/>
              <w:bottom w:w="60" w:type="dxa"/>
              <w:right w:w="80" w:type="dxa"/>
            </w:tcMar>
          </w:tcPr>
          <w:p w14:paraId="1137C7FD" w14:textId="77777777" w:rsidR="00E77864" w:rsidRDefault="00000000" w:rsidP="00117D6C">
            <w:pPr>
              <w:spacing w:before="100" w:beforeAutospacing="1" w:after="100" w:afterAutospacing="1"/>
            </w:pPr>
            <w:r>
              <w:rPr>
                <w:sz w:val="18"/>
                <w:szCs w:val="18"/>
              </w:rPr>
              <w:t>Gastrointestinal</w:t>
            </w:r>
          </w:p>
        </w:tc>
        <w:tc>
          <w:tcPr>
            <w:tcW w:w="871" w:type="pct"/>
            <w:tcMar>
              <w:top w:w="60" w:type="dxa"/>
              <w:left w:w="80" w:type="dxa"/>
              <w:bottom w:w="60" w:type="dxa"/>
              <w:right w:w="80" w:type="dxa"/>
            </w:tcMar>
          </w:tcPr>
          <w:p w14:paraId="23FFF9C5" w14:textId="77777777" w:rsidR="00E77864" w:rsidRDefault="00000000" w:rsidP="00117D6C">
            <w:pPr>
              <w:spacing w:before="100" w:beforeAutospacing="1" w:after="100" w:afterAutospacing="1"/>
            </w:pPr>
            <w:r>
              <w:rPr>
                <w:sz w:val="18"/>
                <w:szCs w:val="18"/>
              </w:rPr>
              <w:t>Peristalsis, luminal shear, continuous shedding of the outer mucus layer</w:t>
            </w:r>
          </w:p>
        </w:tc>
        <w:tc>
          <w:tcPr>
            <w:tcW w:w="1294" w:type="pct"/>
            <w:tcMar>
              <w:top w:w="60" w:type="dxa"/>
              <w:left w:w="80" w:type="dxa"/>
              <w:bottom w:w="60" w:type="dxa"/>
              <w:right w:w="80" w:type="dxa"/>
            </w:tcMar>
          </w:tcPr>
          <w:p w14:paraId="2E1DD1A2" w14:textId="77777777" w:rsidR="00E77864" w:rsidRDefault="00000000" w:rsidP="00117D6C">
            <w:pPr>
              <w:spacing w:before="100" w:beforeAutospacing="1" w:after="100" w:afterAutospacing="1"/>
            </w:pPr>
            <w:r>
              <w:rPr>
                <w:sz w:val="18"/>
                <w:szCs w:val="18"/>
              </w:rPr>
              <w:t>Severe to moderate and region-dependent; turnover of the loosely adherent layer bounds residence</w:t>
            </w:r>
          </w:p>
        </w:tc>
        <w:tc>
          <w:tcPr>
            <w:tcW w:w="1045" w:type="pct"/>
            <w:tcMar>
              <w:top w:w="60" w:type="dxa"/>
              <w:left w:w="80" w:type="dxa"/>
              <w:bottom w:w="60" w:type="dxa"/>
              <w:right w:w="80" w:type="dxa"/>
            </w:tcMar>
          </w:tcPr>
          <w:p w14:paraId="4900103D" w14:textId="77777777" w:rsidR="00E77864" w:rsidRDefault="00000000" w:rsidP="00117D6C">
            <w:pPr>
              <w:spacing w:before="100" w:beforeAutospacing="1" w:after="100" w:afterAutospacing="1"/>
            </w:pPr>
            <w:r>
              <w:rPr>
                <w:sz w:val="18"/>
                <w:szCs w:val="18"/>
              </w:rPr>
              <w:t>Porcine gastric mucin; artificial colonic mucus; excised intestinal tissue</w:t>
            </w:r>
          </w:p>
        </w:tc>
        <w:tc>
          <w:tcPr>
            <w:tcW w:w="1045" w:type="pct"/>
            <w:tcMar>
              <w:top w:w="60" w:type="dxa"/>
              <w:left w:w="80" w:type="dxa"/>
              <w:bottom w:w="60" w:type="dxa"/>
              <w:right w:w="80" w:type="dxa"/>
            </w:tcMar>
          </w:tcPr>
          <w:p w14:paraId="227BCC94" w14:textId="77777777" w:rsidR="00E77864" w:rsidRDefault="00000000" w:rsidP="00117D6C">
            <w:pPr>
              <w:spacing w:before="100" w:beforeAutospacing="1" w:after="100" w:afterAutospacing="1"/>
            </w:pPr>
            <w:r>
              <w:rPr>
                <w:sz w:val="18"/>
                <w:szCs w:val="18"/>
              </w:rPr>
              <w:t xml:space="preserve">Ensign et al. (2012); Rubinstein &amp; Tirosh (1994); </w:t>
            </w:r>
            <w:proofErr w:type="spellStart"/>
            <w:r>
              <w:rPr>
                <w:sz w:val="18"/>
                <w:szCs w:val="18"/>
              </w:rPr>
              <w:t>Tjakra</w:t>
            </w:r>
            <w:proofErr w:type="spellEnd"/>
            <w:r>
              <w:rPr>
                <w:sz w:val="18"/>
                <w:szCs w:val="18"/>
              </w:rPr>
              <w:t xml:space="preserve">, </w:t>
            </w:r>
            <w:proofErr w:type="spellStart"/>
            <w:r>
              <w:rPr>
                <w:sz w:val="18"/>
                <w:szCs w:val="18"/>
              </w:rPr>
              <w:t>Chakrapeesirisuk</w:t>
            </w:r>
            <w:proofErr w:type="spellEnd"/>
            <w:r>
              <w:rPr>
                <w:sz w:val="18"/>
                <w:szCs w:val="18"/>
              </w:rPr>
              <w:t>, et al. (2025)</w:t>
            </w:r>
          </w:p>
        </w:tc>
      </w:tr>
      <w:tr w:rsidR="00E77864" w14:paraId="45046C1E" w14:textId="77777777" w:rsidTr="00117D6C">
        <w:tc>
          <w:tcPr>
            <w:tcW w:w="746" w:type="pct"/>
            <w:tcMar>
              <w:top w:w="60" w:type="dxa"/>
              <w:left w:w="80" w:type="dxa"/>
              <w:bottom w:w="60" w:type="dxa"/>
              <w:right w:w="80" w:type="dxa"/>
            </w:tcMar>
          </w:tcPr>
          <w:p w14:paraId="52E56EF3" w14:textId="77777777" w:rsidR="00E77864" w:rsidRDefault="00000000" w:rsidP="00117D6C">
            <w:pPr>
              <w:spacing w:before="100" w:beforeAutospacing="1" w:after="100" w:afterAutospacing="1"/>
            </w:pPr>
            <w:r>
              <w:rPr>
                <w:sz w:val="18"/>
                <w:szCs w:val="18"/>
              </w:rPr>
              <w:t>Vaginal</w:t>
            </w:r>
          </w:p>
        </w:tc>
        <w:tc>
          <w:tcPr>
            <w:tcW w:w="871" w:type="pct"/>
            <w:tcMar>
              <w:top w:w="60" w:type="dxa"/>
              <w:left w:w="80" w:type="dxa"/>
              <w:bottom w:w="60" w:type="dxa"/>
              <w:right w:w="80" w:type="dxa"/>
            </w:tcMar>
          </w:tcPr>
          <w:p w14:paraId="46DE4DC0" w14:textId="77777777" w:rsidR="00E77864" w:rsidRDefault="00000000" w:rsidP="00117D6C">
            <w:pPr>
              <w:spacing w:before="100" w:beforeAutospacing="1" w:after="100" w:afterAutospacing="1"/>
            </w:pPr>
            <w:r>
              <w:rPr>
                <w:sz w:val="18"/>
                <w:szCs w:val="18"/>
              </w:rPr>
              <w:t>Cervicovaginal fluid turnover and dilution</w:t>
            </w:r>
          </w:p>
        </w:tc>
        <w:tc>
          <w:tcPr>
            <w:tcW w:w="1294" w:type="pct"/>
            <w:tcMar>
              <w:top w:w="60" w:type="dxa"/>
              <w:left w:w="80" w:type="dxa"/>
              <w:bottom w:w="60" w:type="dxa"/>
              <w:right w:w="80" w:type="dxa"/>
            </w:tcMar>
          </w:tcPr>
          <w:p w14:paraId="595997B0" w14:textId="77777777" w:rsidR="00E77864" w:rsidRDefault="00000000" w:rsidP="00117D6C">
            <w:pPr>
              <w:spacing w:before="100" w:beforeAutospacing="1" w:after="100" w:afterAutospacing="1"/>
            </w:pPr>
            <w:r>
              <w:rPr>
                <w:sz w:val="18"/>
                <w:szCs w:val="18"/>
              </w:rPr>
              <w:t>Moderate; retention of hours to days is reported for gels and inserts</w:t>
            </w:r>
          </w:p>
        </w:tc>
        <w:tc>
          <w:tcPr>
            <w:tcW w:w="1045" w:type="pct"/>
            <w:tcMar>
              <w:top w:w="60" w:type="dxa"/>
              <w:left w:w="80" w:type="dxa"/>
              <w:bottom w:w="60" w:type="dxa"/>
              <w:right w:w="80" w:type="dxa"/>
            </w:tcMar>
          </w:tcPr>
          <w:p w14:paraId="5D1D2C14" w14:textId="77777777" w:rsidR="00E77864" w:rsidRDefault="00000000" w:rsidP="00117D6C">
            <w:pPr>
              <w:spacing w:before="100" w:beforeAutospacing="1" w:after="100" w:afterAutospacing="1"/>
            </w:pPr>
            <w:r>
              <w:rPr>
                <w:sz w:val="18"/>
                <w:szCs w:val="18"/>
              </w:rPr>
              <w:t>Simulated vaginal fluid with mucin; excised porcine or bovine vaginal tissue</w:t>
            </w:r>
          </w:p>
        </w:tc>
        <w:tc>
          <w:tcPr>
            <w:tcW w:w="1045" w:type="pct"/>
            <w:tcMar>
              <w:top w:w="60" w:type="dxa"/>
              <w:left w:w="80" w:type="dxa"/>
              <w:bottom w:w="60" w:type="dxa"/>
              <w:right w:w="80" w:type="dxa"/>
            </w:tcMar>
          </w:tcPr>
          <w:p w14:paraId="4330DFBF" w14:textId="77777777" w:rsidR="00E77864" w:rsidRDefault="00000000" w:rsidP="00117D6C">
            <w:pPr>
              <w:spacing w:before="100" w:beforeAutospacing="1" w:after="100" w:afterAutospacing="1"/>
            </w:pPr>
            <w:proofErr w:type="spellStart"/>
            <w:r>
              <w:rPr>
                <w:sz w:val="18"/>
                <w:szCs w:val="18"/>
              </w:rPr>
              <w:t>Osmałek</w:t>
            </w:r>
            <w:proofErr w:type="spellEnd"/>
            <w:r>
              <w:rPr>
                <w:sz w:val="18"/>
                <w:szCs w:val="18"/>
              </w:rPr>
              <w:t xml:space="preserve"> et al. (2021); Zainol Abidin et al. (2023)</w:t>
            </w:r>
          </w:p>
        </w:tc>
      </w:tr>
      <w:tr w:rsidR="00E77864" w14:paraId="71E6E8B3" w14:textId="77777777" w:rsidTr="00117D6C">
        <w:tc>
          <w:tcPr>
            <w:tcW w:w="746" w:type="pct"/>
            <w:tcMar>
              <w:top w:w="60" w:type="dxa"/>
              <w:left w:w="80" w:type="dxa"/>
              <w:bottom w:w="60" w:type="dxa"/>
              <w:right w:w="80" w:type="dxa"/>
            </w:tcMar>
          </w:tcPr>
          <w:p w14:paraId="55B48A8C" w14:textId="77777777" w:rsidR="00E77864" w:rsidRDefault="00000000" w:rsidP="00117D6C">
            <w:pPr>
              <w:spacing w:before="100" w:beforeAutospacing="1" w:after="100" w:afterAutospacing="1"/>
            </w:pPr>
            <w:r>
              <w:rPr>
                <w:sz w:val="18"/>
                <w:szCs w:val="18"/>
              </w:rPr>
              <w:t>Urinary bladder</w:t>
            </w:r>
          </w:p>
        </w:tc>
        <w:tc>
          <w:tcPr>
            <w:tcW w:w="871" w:type="pct"/>
            <w:tcMar>
              <w:top w:w="60" w:type="dxa"/>
              <w:left w:w="80" w:type="dxa"/>
              <w:bottom w:w="60" w:type="dxa"/>
              <w:right w:w="80" w:type="dxa"/>
            </w:tcMar>
          </w:tcPr>
          <w:p w14:paraId="0A33F9ED" w14:textId="77777777" w:rsidR="00E77864" w:rsidRDefault="00000000" w:rsidP="00117D6C">
            <w:pPr>
              <w:spacing w:before="100" w:beforeAutospacing="1" w:after="100" w:afterAutospacing="1"/>
            </w:pPr>
            <w:r>
              <w:rPr>
                <w:sz w:val="18"/>
                <w:szCs w:val="18"/>
              </w:rPr>
              <w:t>Voiding of instilled volume; urothelial glycosaminoglycan layer turnover</w:t>
            </w:r>
          </w:p>
        </w:tc>
        <w:tc>
          <w:tcPr>
            <w:tcW w:w="1294" w:type="pct"/>
            <w:tcMar>
              <w:top w:w="60" w:type="dxa"/>
              <w:left w:w="80" w:type="dxa"/>
              <w:bottom w:w="60" w:type="dxa"/>
              <w:right w:w="80" w:type="dxa"/>
            </w:tcMar>
          </w:tcPr>
          <w:p w14:paraId="07079D24" w14:textId="77777777" w:rsidR="00E77864" w:rsidRDefault="00000000" w:rsidP="00117D6C">
            <w:pPr>
              <w:spacing w:before="100" w:beforeAutospacing="1" w:after="100" w:afterAutospacing="1"/>
            </w:pPr>
            <w:r>
              <w:rPr>
                <w:sz w:val="18"/>
                <w:szCs w:val="18"/>
              </w:rPr>
              <w:t>Moderate; retention beyond voiding is the principal formulation objective</w:t>
            </w:r>
          </w:p>
        </w:tc>
        <w:tc>
          <w:tcPr>
            <w:tcW w:w="1045" w:type="pct"/>
            <w:tcMar>
              <w:top w:w="60" w:type="dxa"/>
              <w:left w:w="80" w:type="dxa"/>
              <w:bottom w:w="60" w:type="dxa"/>
              <w:right w:w="80" w:type="dxa"/>
            </w:tcMar>
          </w:tcPr>
          <w:p w14:paraId="4A242FB7" w14:textId="77777777" w:rsidR="00E77864" w:rsidRDefault="00000000" w:rsidP="00117D6C">
            <w:pPr>
              <w:spacing w:before="100" w:beforeAutospacing="1" w:after="100" w:afterAutospacing="1"/>
            </w:pPr>
            <w:r>
              <w:rPr>
                <w:sz w:val="18"/>
                <w:szCs w:val="18"/>
              </w:rPr>
              <w:t>Porcine urinary bladder mucosa; mucin-coated surfaces</w:t>
            </w:r>
          </w:p>
        </w:tc>
        <w:tc>
          <w:tcPr>
            <w:tcW w:w="1045" w:type="pct"/>
            <w:tcMar>
              <w:top w:w="60" w:type="dxa"/>
              <w:left w:w="80" w:type="dxa"/>
              <w:bottom w:w="60" w:type="dxa"/>
              <w:right w:w="80" w:type="dxa"/>
            </w:tcMar>
          </w:tcPr>
          <w:p w14:paraId="69475DD0" w14:textId="77777777" w:rsidR="00E77864" w:rsidRDefault="00000000" w:rsidP="00117D6C">
            <w:pPr>
              <w:spacing w:before="100" w:beforeAutospacing="1" w:after="100" w:afterAutospacing="1"/>
            </w:pP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de Lima et al. (2022)</w:t>
            </w:r>
          </w:p>
        </w:tc>
      </w:tr>
      <w:tr w:rsidR="00E77864" w14:paraId="6AA82DE3" w14:textId="77777777" w:rsidTr="00117D6C">
        <w:tc>
          <w:tcPr>
            <w:tcW w:w="746" w:type="pct"/>
            <w:tcMar>
              <w:top w:w="60" w:type="dxa"/>
              <w:left w:w="80" w:type="dxa"/>
              <w:bottom w:w="60" w:type="dxa"/>
              <w:right w:w="80" w:type="dxa"/>
            </w:tcMar>
          </w:tcPr>
          <w:p w14:paraId="427A09B2" w14:textId="77777777" w:rsidR="00E77864" w:rsidRDefault="00000000" w:rsidP="00117D6C">
            <w:pPr>
              <w:spacing w:before="100" w:beforeAutospacing="1" w:after="100" w:afterAutospacing="1"/>
            </w:pPr>
            <w:r>
              <w:rPr>
                <w:sz w:val="18"/>
                <w:szCs w:val="18"/>
              </w:rPr>
              <w:t>Airway</w:t>
            </w:r>
          </w:p>
        </w:tc>
        <w:tc>
          <w:tcPr>
            <w:tcW w:w="871" w:type="pct"/>
            <w:tcMar>
              <w:top w:w="60" w:type="dxa"/>
              <w:left w:w="80" w:type="dxa"/>
              <w:bottom w:w="60" w:type="dxa"/>
              <w:right w:w="80" w:type="dxa"/>
            </w:tcMar>
          </w:tcPr>
          <w:p w14:paraId="5ED2D671" w14:textId="77777777" w:rsidR="00E77864" w:rsidRDefault="00000000" w:rsidP="00117D6C">
            <w:pPr>
              <w:spacing w:before="100" w:beforeAutospacing="1" w:after="100" w:afterAutospacing="1"/>
            </w:pPr>
            <w:r>
              <w:rPr>
                <w:sz w:val="18"/>
                <w:szCs w:val="18"/>
              </w:rPr>
              <w:t>Mucociliary transport and cough clearance</w:t>
            </w:r>
          </w:p>
        </w:tc>
        <w:tc>
          <w:tcPr>
            <w:tcW w:w="1294" w:type="pct"/>
            <w:tcMar>
              <w:top w:w="60" w:type="dxa"/>
              <w:left w:w="80" w:type="dxa"/>
              <w:bottom w:w="60" w:type="dxa"/>
              <w:right w:w="80" w:type="dxa"/>
            </w:tcMar>
          </w:tcPr>
          <w:p w14:paraId="597992A7" w14:textId="77777777" w:rsidR="00E77864" w:rsidRDefault="00000000" w:rsidP="00117D6C">
            <w:pPr>
              <w:spacing w:before="100" w:beforeAutospacing="1" w:after="100" w:afterAutospacing="1"/>
            </w:pPr>
            <w:r>
              <w:rPr>
                <w:sz w:val="18"/>
                <w:szCs w:val="18"/>
              </w:rPr>
              <w:t>Severe; adhesion competes directly with a highly efficient physiological clearance system</w:t>
            </w:r>
          </w:p>
        </w:tc>
        <w:tc>
          <w:tcPr>
            <w:tcW w:w="1045" w:type="pct"/>
            <w:tcMar>
              <w:top w:w="60" w:type="dxa"/>
              <w:left w:w="80" w:type="dxa"/>
              <w:bottom w:w="60" w:type="dxa"/>
              <w:right w:w="80" w:type="dxa"/>
            </w:tcMar>
          </w:tcPr>
          <w:p w14:paraId="27FBF633" w14:textId="77777777" w:rsidR="00E77864" w:rsidRDefault="00000000" w:rsidP="00117D6C">
            <w:pPr>
              <w:spacing w:before="100" w:beforeAutospacing="1" w:after="100" w:afterAutospacing="1"/>
            </w:pPr>
            <w:r>
              <w:rPr>
                <w:sz w:val="18"/>
                <w:szCs w:val="18"/>
              </w:rPr>
              <w:t>Isolated airway mucins; native tracheobronchial mucus</w:t>
            </w:r>
          </w:p>
        </w:tc>
        <w:tc>
          <w:tcPr>
            <w:tcW w:w="1045" w:type="pct"/>
            <w:tcMar>
              <w:top w:w="60" w:type="dxa"/>
              <w:left w:w="80" w:type="dxa"/>
              <w:bottom w:w="60" w:type="dxa"/>
              <w:right w:w="80" w:type="dxa"/>
            </w:tcMar>
          </w:tcPr>
          <w:p w14:paraId="0820BABA" w14:textId="77777777" w:rsidR="00E77864" w:rsidRDefault="00000000" w:rsidP="00117D6C">
            <w:pPr>
              <w:spacing w:before="100" w:beforeAutospacing="1" w:after="100" w:afterAutospacing="1"/>
            </w:pPr>
            <w:r>
              <w:rPr>
                <w:sz w:val="18"/>
                <w:szCs w:val="18"/>
              </w:rPr>
              <w:t>Engle et al. (2025); Haberman et al. (2025)</w:t>
            </w:r>
          </w:p>
        </w:tc>
      </w:tr>
    </w:tbl>
    <w:p w14:paraId="50F53FC5" w14:textId="77777777" w:rsidR="00E77864" w:rsidRDefault="00E77864" w:rsidP="00117D6C">
      <w:pPr>
        <w:spacing w:before="100" w:beforeAutospacing="1" w:after="100" w:afterAutospacing="1"/>
      </w:pPr>
    </w:p>
    <w:p w14:paraId="6B9C4E64" w14:textId="77777777" w:rsidR="00E77864" w:rsidRDefault="00000000" w:rsidP="00117D6C">
      <w:pPr>
        <w:spacing w:before="100" w:beforeAutospacing="1" w:after="100" w:afterAutospacing="1"/>
        <w:jc w:val="both"/>
      </w:pPr>
      <w:r>
        <w:rPr>
          <w:sz w:val="18"/>
          <w:szCs w:val="18"/>
        </w:rPr>
        <w:t>Note. Entries describe qualitative constraints as characterised in the cited sources. The reviewed literature does not report mucus thickness and turnover on a methodologically comparable basis across sites, and quantitative values are therefore not tabulated. Substrates listed are those most frequently encountered in the retrieved literature and are not recommendations.</w:t>
      </w:r>
    </w:p>
    <w:p w14:paraId="66784CC2" w14:textId="77777777" w:rsidR="00E77864" w:rsidRDefault="00000000" w:rsidP="00117D6C">
      <w:pPr>
        <w:pStyle w:val="Heading1"/>
        <w:spacing w:before="100" w:beforeAutospacing="1" w:after="100" w:afterAutospacing="1"/>
      </w:pPr>
      <w:r>
        <w:rPr>
          <w:b/>
          <w:bCs/>
          <w:color w:val="000000"/>
          <w:sz w:val="26"/>
          <w:szCs w:val="26"/>
        </w:rPr>
        <w:t xml:space="preserve">4. Mechanisms of </w:t>
      </w:r>
      <w:proofErr w:type="spellStart"/>
      <w:r>
        <w:rPr>
          <w:b/>
          <w:bCs/>
          <w:color w:val="000000"/>
          <w:sz w:val="26"/>
          <w:szCs w:val="26"/>
        </w:rPr>
        <w:t>Mucoadhesion</w:t>
      </w:r>
      <w:proofErr w:type="spellEnd"/>
      <w:r>
        <w:rPr>
          <w:b/>
          <w:bCs/>
          <w:color w:val="000000"/>
          <w:sz w:val="26"/>
          <w:szCs w:val="26"/>
        </w:rPr>
        <w:t xml:space="preserve"> and the Limits of Prevailing Theory</w:t>
      </w:r>
    </w:p>
    <w:p w14:paraId="3025A730" w14:textId="77777777" w:rsidR="00E77864" w:rsidRDefault="00000000" w:rsidP="00117D6C">
      <w:pPr>
        <w:pStyle w:val="Heading2"/>
        <w:spacing w:before="100" w:beforeAutospacing="1" w:after="100" w:afterAutospacing="1"/>
      </w:pPr>
      <w:r>
        <w:rPr>
          <w:b/>
          <w:bCs/>
          <w:color w:val="000000"/>
          <w:sz w:val="24"/>
          <w:szCs w:val="24"/>
        </w:rPr>
        <w:t>4.1 The Classical Multi-Theory Account</w:t>
      </w:r>
    </w:p>
    <w:p w14:paraId="2F8BA7D1" w14:textId="77777777" w:rsidR="00E77864" w:rsidRDefault="00000000" w:rsidP="00117D6C">
      <w:pPr>
        <w:spacing w:before="100" w:beforeAutospacing="1" w:after="100" w:afterAutospacing="1"/>
        <w:jc w:val="both"/>
      </w:pPr>
      <w:proofErr w:type="spellStart"/>
      <w:r>
        <w:t>Mucoadhesion</w:t>
      </w:r>
      <w:proofErr w:type="spellEnd"/>
      <w:r>
        <w:t xml:space="preserve"> is conventionally explained by reference to a set of complementary theories, each addressing a different physical aspect of the interaction. Wetting theory treats adhesion as a consequence of spreading and interfacial energy relations, and applies most naturally to low-viscosity </w:t>
      </w:r>
      <w:r>
        <w:lastRenderedPageBreak/>
        <w:t xml:space="preserve">liquids and to systems applied as sprays or drops. Electronic theory attributes adhesion to charge transfer across the interface and to the electrical double layer that forms between materials of differing electron affinity. Adsorption theory attributes it to secondary chemical interactions at the interface, principally hydrogen bonding and van der Waals forces, supplemented by ionic interaction where charged groups are present. Diffusion or interpenetration theory holds that polymer chains and mucin chains </w:t>
      </w:r>
      <w:proofErr w:type="spellStart"/>
      <w:r>
        <w:t>interdiffuse</w:t>
      </w:r>
      <w:proofErr w:type="spellEnd"/>
      <w:r>
        <w:t xml:space="preserve"> across the interface to form an entangled interphase whose depth determines adhesive strength. Fracture theory addresses the mechanics of separation rather than of formation, relating measured adhesive strength to the force required to propagate failure. Mechanical theory attributes adhesion in part to interlocking with surface irregularities, and dehydration theory to the osmotic movement of water from the mucus gel into a hydrating polymer, with consequent local strengthening of the interface (</w:t>
      </w:r>
      <w:proofErr w:type="spellStart"/>
      <w:r>
        <w:t>Khutoryanskiy</w:t>
      </w:r>
      <w:proofErr w:type="spellEnd"/>
      <w:r>
        <w:t>, 2011; Smart, 2005).</w:t>
      </w:r>
    </w:p>
    <w:p w14:paraId="1BB1CC6D" w14:textId="77777777" w:rsidR="00E77864" w:rsidRDefault="00000000" w:rsidP="00117D6C">
      <w:pPr>
        <w:spacing w:before="100" w:beforeAutospacing="1" w:after="100" w:afterAutospacing="1"/>
        <w:jc w:val="both"/>
      </w:pPr>
      <w:r>
        <w:t>These accounts are not mutually exclusive, and the standard position is that several operate simultaneously with relative contributions determined by material, substrate and application conditions. The formulation of this position as a two-stage process, comprising an initial contact stage in which intimate interfacial contact is established and a subsequent consolidation stage in which interpenetration and secondary bonding develop, remains the most useful organising device in the field (</w:t>
      </w:r>
      <w:proofErr w:type="spellStart"/>
      <w:r>
        <w:t>Khutoryanskiy</w:t>
      </w:r>
      <w:proofErr w:type="spellEnd"/>
      <w:r>
        <w:t>, 2011; Smart, 2005). It correctly predicts that adhesive strength develops over time, that hydration state is critical, and that excessive hydration is detrimental because it produces a weak, slippery boundary layer rather than a strong interphase.</w:t>
      </w:r>
    </w:p>
    <w:p w14:paraId="0EFC40BA" w14:textId="77777777" w:rsidR="00E77864" w:rsidRDefault="00000000" w:rsidP="00117D6C">
      <w:pPr>
        <w:pStyle w:val="Heading2"/>
        <w:spacing w:before="100" w:beforeAutospacing="1" w:after="100" w:afterAutospacing="1"/>
      </w:pPr>
      <w:r>
        <w:rPr>
          <w:b/>
          <w:bCs/>
          <w:color w:val="000000"/>
          <w:sz w:val="24"/>
          <w:szCs w:val="24"/>
        </w:rPr>
        <w:t>4.2 The Predictive Deficit</w:t>
      </w:r>
    </w:p>
    <w:p w14:paraId="7E4BCBD9" w14:textId="77777777" w:rsidR="00E77864" w:rsidRDefault="00000000" w:rsidP="00117D6C">
      <w:pPr>
        <w:spacing w:before="100" w:beforeAutospacing="1" w:after="100" w:afterAutospacing="1"/>
        <w:jc w:val="both"/>
      </w:pPr>
      <w:r>
        <w:t>The difficulty with this framework is not that it is wrong but that it is largely unfalsifiable in the form in which it is generally invoked. A given experimental result can usually be accommodated by attributing it to a different weighting of the same set of contributions, without any independent measurement of those contributions. The theories are rarely used to generate quantitative predictions that a subsequent experiment could refute. Consequently, the literature accumulates mechanistic attributions rather than mechanistic tests.</w:t>
      </w:r>
    </w:p>
    <w:p w14:paraId="3CD85172" w14:textId="77777777" w:rsidR="00E77864" w:rsidRDefault="00000000" w:rsidP="00117D6C">
      <w:pPr>
        <w:spacing w:before="100" w:beforeAutospacing="1" w:after="100" w:afterAutospacing="1"/>
        <w:jc w:val="both"/>
      </w:pPr>
      <w:r>
        <w:t>Progress has been made where individual contributions have been isolated experimentally. Studies of hydration and surface interaction in cellulose-based polymer blends have shown that mucoadhesive performance in oral applications depends jointly on hydration kinetics and surface behaviour rather than on either alone, and that blend composition modulates the two in ways that are not additive (Rojewska et al., 2026). Investigation of the effect of PEGylation on cyclodextrin interaction with bovine submaxillary mucin using fluorine diffusion nuclear magnetic resonance spectroscopy, interpreted through a kinetic model of reversible binding to stationary substrates, demonstrated that PEGylation substantially reduces mucin adhesion and that longer chains provide more effective steric shielding than shorter ones (Nguyen &amp; Ba, 2025). Studies of this kind, which measure a defined molecular interaction under conditions permitting quantitative interpretation, are more informative than aggregate detachment measurements, but they remain a small proportion of the literature.</w:t>
      </w:r>
    </w:p>
    <w:p w14:paraId="51B967F1" w14:textId="77777777" w:rsidR="00E77864" w:rsidRDefault="00000000" w:rsidP="00117D6C">
      <w:pPr>
        <w:spacing w:before="100" w:beforeAutospacing="1" w:after="100" w:afterAutospacing="1"/>
        <w:jc w:val="both"/>
      </w:pPr>
      <w:r>
        <w:t>A further limitation is that classical theory was developed for physical interaction between a hydrating polymer and a mucus gel. It does not naturally accommodate covalent bond formation, in which adhesion arises from a defined chemical reaction with a specific functional group on the substrate. Attempts to describe thiol-mediated or maleimide-mediated adhesion within the language of interpenetration and secondary bonding obscure the fact that a different physical process is involved, with different kinetics, different reversibility and different dependence on substrate composition.</w:t>
      </w:r>
    </w:p>
    <w:p w14:paraId="50D5671C" w14:textId="77777777" w:rsidR="00E77864" w:rsidRDefault="00000000" w:rsidP="00117D6C">
      <w:pPr>
        <w:pStyle w:val="Heading2"/>
        <w:spacing w:before="100" w:beforeAutospacing="1" w:after="100" w:afterAutospacing="1"/>
      </w:pPr>
      <w:r>
        <w:rPr>
          <w:b/>
          <w:bCs/>
          <w:color w:val="000000"/>
          <w:sz w:val="24"/>
          <w:szCs w:val="24"/>
        </w:rPr>
        <w:t>4.3 Covalent and Dynamic-Covalent Mechanisms</w:t>
      </w:r>
    </w:p>
    <w:p w14:paraId="25E17FDB" w14:textId="77777777" w:rsidR="00E77864" w:rsidRDefault="00000000" w:rsidP="00117D6C">
      <w:pPr>
        <w:spacing w:before="100" w:beforeAutospacing="1" w:after="100" w:afterAutospacing="1"/>
        <w:jc w:val="both"/>
      </w:pPr>
      <w:proofErr w:type="spellStart"/>
      <w:r>
        <w:lastRenderedPageBreak/>
        <w:t>Thiolated</w:t>
      </w:r>
      <w:proofErr w:type="spellEnd"/>
      <w:r>
        <w:t xml:space="preserve"> polymers form disulphide bonds with cysteine-rich subdomains of mucin glycoproteins, producing attachment that is chemically specific rather than merely physical. Comparative synthesis and evaluation of three generations of </w:t>
      </w:r>
      <w:proofErr w:type="spellStart"/>
      <w:r>
        <w:t>thiolated</w:t>
      </w:r>
      <w:proofErr w:type="spellEnd"/>
      <w:r>
        <w:t xml:space="preserve"> pectin, comprising an unprotected </w:t>
      </w:r>
      <w:proofErr w:type="spellStart"/>
      <w:r>
        <w:t>thiomer</w:t>
      </w:r>
      <w:proofErr w:type="spellEnd"/>
      <w:r>
        <w:t xml:space="preserve">, a preactivated S-protected </w:t>
      </w:r>
      <w:proofErr w:type="spellStart"/>
      <w:r>
        <w:t>thiomer</w:t>
      </w:r>
      <w:proofErr w:type="spellEnd"/>
      <w:r>
        <w:t xml:space="preserve"> bearing </w:t>
      </w:r>
      <w:proofErr w:type="spellStart"/>
      <w:r>
        <w:t>mercaptonicotinic</w:t>
      </w:r>
      <w:proofErr w:type="spellEnd"/>
      <w:r>
        <w:t xml:space="preserve"> acid, and a less reactive S-protected </w:t>
      </w:r>
      <w:proofErr w:type="spellStart"/>
      <w:r>
        <w:t>thiomer</w:t>
      </w:r>
      <w:proofErr w:type="spellEnd"/>
      <w:r>
        <w:t xml:space="preserve"> bearing glutathione, demonstrated that swelling, </w:t>
      </w:r>
      <w:proofErr w:type="spellStart"/>
      <w:r>
        <w:t>mucoadhesion</w:t>
      </w:r>
      <w:proofErr w:type="spellEnd"/>
      <w:r>
        <w:t xml:space="preserve">, interpenetration and mucus diffusion increased in that order, with the two S-protected derivatives showing approximately sevenfold and eightfold increases in </w:t>
      </w:r>
      <w:proofErr w:type="spellStart"/>
      <w:r>
        <w:t>mucoadhesion</w:t>
      </w:r>
      <w:proofErr w:type="spellEnd"/>
      <w:r>
        <w:t xml:space="preserve"> relative to unmodified pectin and marked increases in the viscosity of polymer-mucus mixtures over three hours (Knoll et al., 2021). Importantly, the less reactive S-protected </w:t>
      </w:r>
      <w:proofErr w:type="spellStart"/>
      <w:r>
        <w:t>thiomer</w:t>
      </w:r>
      <w:proofErr w:type="spellEnd"/>
      <w:r>
        <w:t xml:space="preserve"> outperformed the more reactive preactivated derivative, which contradicts the intuitive expectation that greater thiol reactivity yields greater adhesion and indicates that premature oxidation or non-productive reaction limits the performance of highly reactive thiols. Independent work on less reactive thiol ligands reached a compatible conclusion (Shahzadi et al., 2020).</w:t>
      </w:r>
    </w:p>
    <w:p w14:paraId="56F2B080" w14:textId="77777777" w:rsidR="00E77864" w:rsidRDefault="00000000" w:rsidP="00117D6C">
      <w:pPr>
        <w:spacing w:before="100" w:beforeAutospacing="1" w:after="100" w:afterAutospacing="1"/>
        <w:jc w:val="both"/>
      </w:pPr>
      <w:r>
        <w:t xml:space="preserve">Maleimide chemistry provides an alternative covalent route, reacting with thiol groups by Michael addition under mild aqueous conditions. Maleimide-functionalised liposomes and PLGA-PEG nanoparticles have been shown to exhibit enhanced retention on urinary bladder mucosa relative to </w:t>
      </w:r>
      <w:proofErr w:type="spellStart"/>
      <w:r>
        <w:t>unfunctionalised</w:t>
      </w:r>
      <w:proofErr w:type="spellEnd"/>
      <w:r>
        <w:t xml:space="preserve"> controls (</w:t>
      </w:r>
      <w:proofErr w:type="spellStart"/>
      <w:r>
        <w:t>Kaldybekov</w:t>
      </w:r>
      <w:proofErr w:type="spellEnd"/>
      <w:r>
        <w:t xml:space="preserve"> et al., 2018; </w:t>
      </w:r>
      <w:proofErr w:type="spellStart"/>
      <w:r>
        <w:t>Kaldybekov</w:t>
      </w:r>
      <w:proofErr w:type="spellEnd"/>
      <w:r>
        <w:t xml:space="preserve"> et al., 2019), and maleimide functionalisation of </w:t>
      </w:r>
      <w:proofErr w:type="spellStart"/>
      <w:r>
        <w:t>hydroxyethylcellulose</w:t>
      </w:r>
      <w:proofErr w:type="spellEnd"/>
      <w:r>
        <w:t xml:space="preserve"> produced an excipient with enhanced mucoadhesive properties (Buang et al., 2023). Alginate modified with maleimide-terminated </w:t>
      </w:r>
      <w:proofErr w:type="gramStart"/>
      <w:r>
        <w:t>poly(</w:t>
      </w:r>
      <w:proofErr w:type="gramEnd"/>
      <w:r>
        <w:t>ethylene glycol) showed comparable behaviour (</w:t>
      </w:r>
      <w:proofErr w:type="spellStart"/>
      <w:r>
        <w:t>Shtenberg</w:t>
      </w:r>
      <w:proofErr w:type="spellEnd"/>
      <w:r>
        <w:t xml:space="preserve"> et al., 2017). The consistency of these findings across different polymer backbones and different carrier architectures, from a small number of related groups, is a point in favour of the mechanism; independent replication in other laboratories would strengthen it considerably.</w:t>
      </w:r>
    </w:p>
    <w:p w14:paraId="376A0454" w14:textId="77777777" w:rsidR="00E77864" w:rsidRDefault="00000000" w:rsidP="00117D6C">
      <w:pPr>
        <w:spacing w:before="100" w:beforeAutospacing="1" w:after="100" w:afterAutospacing="1"/>
        <w:jc w:val="both"/>
      </w:pPr>
      <w:r>
        <w:t>Table 2 sets out the principal mechanistic accounts against three criteria: the observations each explains, the predictions each generates that could in principle be tested, and the limitations that constrain its application. The purpose is to expose the uneven evidential status of accounts that are usually presented as a single coherent framework. Interpenetration and dehydration mechanisms are supported by substantial indirect evidence but are rarely measured directly; covalent mechanisms are supported by direct chemical evidence but by a narrower base of independent laboratories; and electronic theory, although routinely recited, is supported by little contemporary experimental work in the pharmaceutical literature retrieved for this review.</w:t>
      </w:r>
    </w:p>
    <w:p w14:paraId="7934DE95" w14:textId="77777777" w:rsidR="00E77864" w:rsidRDefault="00000000" w:rsidP="00117D6C">
      <w:pPr>
        <w:spacing w:before="100" w:beforeAutospacing="1" w:after="100" w:afterAutospacing="1"/>
      </w:pPr>
      <w:r>
        <w:rPr>
          <w:b/>
          <w:bCs/>
          <w:sz w:val="22"/>
          <w:szCs w:val="22"/>
        </w:rPr>
        <w:t xml:space="preserve">Table 2. Mechanistic accounts of </w:t>
      </w:r>
      <w:proofErr w:type="spellStart"/>
      <w:r>
        <w:rPr>
          <w:b/>
          <w:bCs/>
          <w:sz w:val="22"/>
          <w:szCs w:val="22"/>
        </w:rPr>
        <w:t>mucoadhesion</w:t>
      </w:r>
      <w:proofErr w:type="spellEnd"/>
      <w:r>
        <w:rPr>
          <w:b/>
          <w:bCs/>
          <w:sz w:val="22"/>
          <w:szCs w:val="22"/>
        </w:rPr>
        <w:t xml:space="preserve"> appraised by explanatory scope, testable predictions and evidential limitations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2074"/>
        <w:gridCol w:w="2263"/>
        <w:gridCol w:w="2266"/>
        <w:gridCol w:w="1230"/>
      </w:tblGrid>
      <w:tr w:rsidR="00E77864" w14:paraId="277DA0D0" w14:textId="77777777" w:rsidTr="00117D6C">
        <w:trPr>
          <w:tblHeader/>
        </w:trPr>
        <w:tc>
          <w:tcPr>
            <w:tcW w:w="939" w:type="pct"/>
            <w:shd w:val="clear" w:color="auto" w:fill="E8E8E8"/>
            <w:tcMar>
              <w:top w:w="60" w:type="dxa"/>
              <w:left w:w="80" w:type="dxa"/>
              <w:bottom w:w="60" w:type="dxa"/>
              <w:right w:w="80" w:type="dxa"/>
            </w:tcMar>
          </w:tcPr>
          <w:p w14:paraId="7C4BF2AF" w14:textId="77777777" w:rsidR="00E77864" w:rsidRDefault="00000000" w:rsidP="00117D6C">
            <w:pPr>
              <w:spacing w:before="100" w:beforeAutospacing="1" w:after="100" w:afterAutospacing="1"/>
            </w:pPr>
            <w:r>
              <w:rPr>
                <w:b/>
                <w:bCs/>
                <w:sz w:val="18"/>
                <w:szCs w:val="18"/>
              </w:rPr>
              <w:t>Mechanistic account</w:t>
            </w:r>
          </w:p>
        </w:tc>
        <w:tc>
          <w:tcPr>
            <w:tcW w:w="1084" w:type="pct"/>
            <w:shd w:val="clear" w:color="auto" w:fill="E8E8E8"/>
            <w:tcMar>
              <w:top w:w="60" w:type="dxa"/>
              <w:left w:w="80" w:type="dxa"/>
              <w:bottom w:w="60" w:type="dxa"/>
              <w:right w:w="80" w:type="dxa"/>
            </w:tcMar>
          </w:tcPr>
          <w:p w14:paraId="08AA2DD2" w14:textId="77777777" w:rsidR="00E77864" w:rsidRDefault="00000000" w:rsidP="00117D6C">
            <w:pPr>
              <w:spacing w:before="100" w:beforeAutospacing="1" w:after="100" w:afterAutospacing="1"/>
            </w:pPr>
            <w:r>
              <w:rPr>
                <w:b/>
                <w:bCs/>
                <w:sz w:val="18"/>
                <w:szCs w:val="18"/>
              </w:rPr>
              <w:t>Observations explained</w:t>
            </w:r>
          </w:p>
        </w:tc>
        <w:tc>
          <w:tcPr>
            <w:tcW w:w="1182" w:type="pct"/>
            <w:shd w:val="clear" w:color="auto" w:fill="E8E8E8"/>
            <w:tcMar>
              <w:top w:w="60" w:type="dxa"/>
              <w:left w:w="80" w:type="dxa"/>
              <w:bottom w:w="60" w:type="dxa"/>
              <w:right w:w="80" w:type="dxa"/>
            </w:tcMar>
          </w:tcPr>
          <w:p w14:paraId="03AC89B7" w14:textId="77777777" w:rsidR="00E77864" w:rsidRDefault="00000000" w:rsidP="00117D6C">
            <w:pPr>
              <w:spacing w:before="100" w:beforeAutospacing="1" w:after="100" w:afterAutospacing="1"/>
            </w:pPr>
            <w:r>
              <w:rPr>
                <w:b/>
                <w:bCs/>
                <w:sz w:val="18"/>
                <w:szCs w:val="18"/>
              </w:rPr>
              <w:t>Testable predictions generated</w:t>
            </w:r>
          </w:p>
        </w:tc>
        <w:tc>
          <w:tcPr>
            <w:tcW w:w="1183" w:type="pct"/>
            <w:shd w:val="clear" w:color="auto" w:fill="E8E8E8"/>
            <w:tcMar>
              <w:top w:w="60" w:type="dxa"/>
              <w:left w:w="80" w:type="dxa"/>
              <w:bottom w:w="60" w:type="dxa"/>
              <w:right w:w="80" w:type="dxa"/>
            </w:tcMar>
          </w:tcPr>
          <w:p w14:paraId="0D2BDC58" w14:textId="77777777" w:rsidR="00E77864" w:rsidRDefault="00000000" w:rsidP="00117D6C">
            <w:pPr>
              <w:spacing w:before="100" w:beforeAutospacing="1" w:after="100" w:afterAutospacing="1"/>
            </w:pPr>
            <w:r>
              <w:rPr>
                <w:b/>
                <w:bCs/>
                <w:sz w:val="18"/>
                <w:szCs w:val="18"/>
              </w:rPr>
              <w:t>Principal limitations</w:t>
            </w:r>
          </w:p>
        </w:tc>
        <w:tc>
          <w:tcPr>
            <w:tcW w:w="612" w:type="pct"/>
            <w:shd w:val="clear" w:color="auto" w:fill="E8E8E8"/>
            <w:tcMar>
              <w:top w:w="60" w:type="dxa"/>
              <w:left w:w="80" w:type="dxa"/>
              <w:bottom w:w="60" w:type="dxa"/>
              <w:right w:w="80" w:type="dxa"/>
            </w:tcMar>
          </w:tcPr>
          <w:p w14:paraId="66B0CB8C" w14:textId="77777777" w:rsidR="00E77864" w:rsidRDefault="00000000" w:rsidP="00117D6C">
            <w:pPr>
              <w:spacing w:before="100" w:beforeAutospacing="1" w:after="100" w:afterAutospacing="1"/>
            </w:pPr>
            <w:r>
              <w:rPr>
                <w:b/>
                <w:bCs/>
                <w:sz w:val="18"/>
                <w:szCs w:val="18"/>
              </w:rPr>
              <w:t>Supporting references</w:t>
            </w:r>
          </w:p>
        </w:tc>
      </w:tr>
      <w:tr w:rsidR="00E77864" w14:paraId="12463FC2" w14:textId="77777777" w:rsidTr="00117D6C">
        <w:tc>
          <w:tcPr>
            <w:tcW w:w="939" w:type="pct"/>
            <w:tcMar>
              <w:top w:w="60" w:type="dxa"/>
              <w:left w:w="80" w:type="dxa"/>
              <w:bottom w:w="60" w:type="dxa"/>
              <w:right w:w="80" w:type="dxa"/>
            </w:tcMar>
          </w:tcPr>
          <w:p w14:paraId="198F1512" w14:textId="77777777" w:rsidR="00E77864" w:rsidRDefault="00000000" w:rsidP="00117D6C">
            <w:pPr>
              <w:spacing w:before="100" w:beforeAutospacing="1" w:after="100" w:afterAutospacing="1"/>
            </w:pPr>
            <w:r>
              <w:rPr>
                <w:sz w:val="18"/>
                <w:szCs w:val="18"/>
              </w:rPr>
              <w:t>Wetting and spreading</w:t>
            </w:r>
          </w:p>
        </w:tc>
        <w:tc>
          <w:tcPr>
            <w:tcW w:w="1084" w:type="pct"/>
            <w:tcMar>
              <w:top w:w="60" w:type="dxa"/>
              <w:left w:w="80" w:type="dxa"/>
              <w:bottom w:w="60" w:type="dxa"/>
              <w:right w:w="80" w:type="dxa"/>
            </w:tcMar>
          </w:tcPr>
          <w:p w14:paraId="21280E49" w14:textId="77777777" w:rsidR="00E77864" w:rsidRDefault="00000000" w:rsidP="00117D6C">
            <w:pPr>
              <w:spacing w:before="100" w:beforeAutospacing="1" w:after="100" w:afterAutospacing="1"/>
            </w:pPr>
            <w:r>
              <w:rPr>
                <w:sz w:val="18"/>
                <w:szCs w:val="18"/>
              </w:rPr>
              <w:t>Behaviour of liquid and low-viscosity semi-solid systems; dependence on surface energy</w:t>
            </w:r>
          </w:p>
        </w:tc>
        <w:tc>
          <w:tcPr>
            <w:tcW w:w="1182" w:type="pct"/>
            <w:tcMar>
              <w:top w:w="60" w:type="dxa"/>
              <w:left w:w="80" w:type="dxa"/>
              <w:bottom w:w="60" w:type="dxa"/>
              <w:right w:w="80" w:type="dxa"/>
            </w:tcMar>
          </w:tcPr>
          <w:p w14:paraId="18B8C995" w14:textId="77777777" w:rsidR="00E77864" w:rsidRDefault="00000000" w:rsidP="00117D6C">
            <w:pPr>
              <w:spacing w:before="100" w:beforeAutospacing="1" w:after="100" w:afterAutospacing="1"/>
            </w:pPr>
            <w:r>
              <w:rPr>
                <w:sz w:val="18"/>
                <w:szCs w:val="18"/>
              </w:rPr>
              <w:t>Adhesion should correlate with contact angle and spreading coefficient on mucosal surfaces</w:t>
            </w:r>
          </w:p>
        </w:tc>
        <w:tc>
          <w:tcPr>
            <w:tcW w:w="1183" w:type="pct"/>
            <w:tcMar>
              <w:top w:w="60" w:type="dxa"/>
              <w:left w:w="80" w:type="dxa"/>
              <w:bottom w:w="60" w:type="dxa"/>
              <w:right w:w="80" w:type="dxa"/>
            </w:tcMar>
          </w:tcPr>
          <w:p w14:paraId="041A226A" w14:textId="77777777" w:rsidR="00E77864" w:rsidRDefault="00000000" w:rsidP="00117D6C">
            <w:pPr>
              <w:spacing w:before="100" w:beforeAutospacing="1" w:after="100" w:afterAutospacing="1"/>
            </w:pPr>
            <w:r>
              <w:rPr>
                <w:sz w:val="18"/>
                <w:szCs w:val="18"/>
              </w:rPr>
              <w:t>Poorly applicable to solid dosage forms; mucosal surface energy is difficult to measure reliably</w:t>
            </w:r>
          </w:p>
        </w:tc>
        <w:tc>
          <w:tcPr>
            <w:tcW w:w="612" w:type="pct"/>
            <w:tcMar>
              <w:top w:w="60" w:type="dxa"/>
              <w:left w:w="80" w:type="dxa"/>
              <w:bottom w:w="60" w:type="dxa"/>
              <w:right w:w="80" w:type="dxa"/>
            </w:tcMar>
          </w:tcPr>
          <w:p w14:paraId="79A6E258" w14:textId="77777777" w:rsidR="00E77864" w:rsidRDefault="00000000" w:rsidP="00117D6C">
            <w:pPr>
              <w:spacing w:before="100" w:beforeAutospacing="1" w:after="100" w:afterAutospacing="1"/>
            </w:pPr>
            <w:r>
              <w:rPr>
                <w:sz w:val="18"/>
                <w:szCs w:val="18"/>
              </w:rPr>
              <w:t>Smart (2005)</w:t>
            </w:r>
          </w:p>
        </w:tc>
      </w:tr>
      <w:tr w:rsidR="00E77864" w14:paraId="558BC813" w14:textId="77777777" w:rsidTr="00117D6C">
        <w:tc>
          <w:tcPr>
            <w:tcW w:w="939" w:type="pct"/>
            <w:tcMar>
              <w:top w:w="60" w:type="dxa"/>
              <w:left w:w="80" w:type="dxa"/>
              <w:bottom w:w="60" w:type="dxa"/>
              <w:right w:w="80" w:type="dxa"/>
            </w:tcMar>
          </w:tcPr>
          <w:p w14:paraId="2C08BDA2" w14:textId="77777777" w:rsidR="00E77864" w:rsidRDefault="00000000" w:rsidP="00117D6C">
            <w:pPr>
              <w:spacing w:before="100" w:beforeAutospacing="1" w:after="100" w:afterAutospacing="1"/>
            </w:pPr>
            <w:r>
              <w:rPr>
                <w:sz w:val="18"/>
                <w:szCs w:val="18"/>
              </w:rPr>
              <w:t>Electronic and electrostatic</w:t>
            </w:r>
          </w:p>
        </w:tc>
        <w:tc>
          <w:tcPr>
            <w:tcW w:w="1084" w:type="pct"/>
            <w:tcMar>
              <w:top w:w="60" w:type="dxa"/>
              <w:left w:w="80" w:type="dxa"/>
              <w:bottom w:w="60" w:type="dxa"/>
              <w:right w:w="80" w:type="dxa"/>
            </w:tcMar>
          </w:tcPr>
          <w:p w14:paraId="665FC69E" w14:textId="77777777" w:rsidR="00E77864" w:rsidRDefault="00000000" w:rsidP="00117D6C">
            <w:pPr>
              <w:spacing w:before="100" w:beforeAutospacing="1" w:after="100" w:afterAutospacing="1"/>
            </w:pPr>
            <w:r>
              <w:rPr>
                <w:sz w:val="18"/>
                <w:szCs w:val="18"/>
              </w:rPr>
              <w:t>Superior performance of polycations such as chitosan against anionic mucin</w:t>
            </w:r>
          </w:p>
        </w:tc>
        <w:tc>
          <w:tcPr>
            <w:tcW w:w="1182" w:type="pct"/>
            <w:tcMar>
              <w:top w:w="60" w:type="dxa"/>
              <w:left w:w="80" w:type="dxa"/>
              <w:bottom w:w="60" w:type="dxa"/>
              <w:right w:w="80" w:type="dxa"/>
            </w:tcMar>
          </w:tcPr>
          <w:p w14:paraId="03538247" w14:textId="77777777" w:rsidR="00E77864" w:rsidRDefault="00000000" w:rsidP="00117D6C">
            <w:pPr>
              <w:spacing w:before="100" w:beforeAutospacing="1" w:after="100" w:afterAutospacing="1"/>
            </w:pPr>
            <w:r>
              <w:rPr>
                <w:sz w:val="18"/>
                <w:szCs w:val="18"/>
              </w:rPr>
              <w:t>Adhesion should scale with charge density and be attenuated at high ionic strength</w:t>
            </w:r>
          </w:p>
        </w:tc>
        <w:tc>
          <w:tcPr>
            <w:tcW w:w="1183" w:type="pct"/>
            <w:tcMar>
              <w:top w:w="60" w:type="dxa"/>
              <w:left w:w="80" w:type="dxa"/>
              <w:bottom w:w="60" w:type="dxa"/>
              <w:right w:w="80" w:type="dxa"/>
            </w:tcMar>
          </w:tcPr>
          <w:p w14:paraId="35B9A055" w14:textId="77777777" w:rsidR="00E77864" w:rsidRDefault="00000000" w:rsidP="00117D6C">
            <w:pPr>
              <w:spacing w:before="100" w:beforeAutospacing="1" w:after="100" w:afterAutospacing="1"/>
            </w:pPr>
            <w:r>
              <w:rPr>
                <w:sz w:val="18"/>
                <w:szCs w:val="18"/>
              </w:rPr>
              <w:t>Charge effects are confounded with molecular weight and conformation; little direct contemporary measurement retrieved</w:t>
            </w:r>
          </w:p>
        </w:tc>
        <w:tc>
          <w:tcPr>
            <w:tcW w:w="612" w:type="pct"/>
            <w:tcMar>
              <w:top w:w="60" w:type="dxa"/>
              <w:left w:w="80" w:type="dxa"/>
              <w:bottom w:w="60" w:type="dxa"/>
              <w:right w:w="80" w:type="dxa"/>
            </w:tcMar>
          </w:tcPr>
          <w:p w14:paraId="2D489BBF" w14:textId="77777777" w:rsidR="00E77864" w:rsidRDefault="00000000" w:rsidP="00117D6C">
            <w:pPr>
              <w:spacing w:before="100" w:beforeAutospacing="1" w:after="100" w:afterAutospacing="1"/>
            </w:pPr>
            <w:proofErr w:type="spellStart"/>
            <w:r>
              <w:rPr>
                <w:sz w:val="18"/>
                <w:szCs w:val="18"/>
              </w:rPr>
              <w:t>Khutoryanskiy</w:t>
            </w:r>
            <w:proofErr w:type="spellEnd"/>
            <w:r>
              <w:rPr>
                <w:sz w:val="18"/>
                <w:szCs w:val="18"/>
              </w:rPr>
              <w:t xml:space="preserve"> (2011); Sosnik et al. (2014)</w:t>
            </w:r>
          </w:p>
        </w:tc>
      </w:tr>
      <w:tr w:rsidR="00E77864" w14:paraId="6473458B" w14:textId="77777777" w:rsidTr="00117D6C">
        <w:tc>
          <w:tcPr>
            <w:tcW w:w="939" w:type="pct"/>
            <w:tcMar>
              <w:top w:w="60" w:type="dxa"/>
              <w:left w:w="80" w:type="dxa"/>
              <w:bottom w:w="60" w:type="dxa"/>
              <w:right w:w="80" w:type="dxa"/>
            </w:tcMar>
          </w:tcPr>
          <w:p w14:paraId="6E876B00" w14:textId="77777777" w:rsidR="00E77864" w:rsidRDefault="00000000" w:rsidP="00117D6C">
            <w:pPr>
              <w:spacing w:before="100" w:beforeAutospacing="1" w:after="100" w:afterAutospacing="1"/>
            </w:pPr>
            <w:r>
              <w:rPr>
                <w:sz w:val="18"/>
                <w:szCs w:val="18"/>
              </w:rPr>
              <w:t>Adsorption and secondary bonding</w:t>
            </w:r>
          </w:p>
        </w:tc>
        <w:tc>
          <w:tcPr>
            <w:tcW w:w="1084" w:type="pct"/>
            <w:tcMar>
              <w:top w:w="60" w:type="dxa"/>
              <w:left w:w="80" w:type="dxa"/>
              <w:bottom w:w="60" w:type="dxa"/>
              <w:right w:w="80" w:type="dxa"/>
            </w:tcMar>
          </w:tcPr>
          <w:p w14:paraId="5C20C0A1" w14:textId="77777777" w:rsidR="00E77864" w:rsidRDefault="00000000" w:rsidP="00117D6C">
            <w:pPr>
              <w:spacing w:before="100" w:beforeAutospacing="1" w:after="100" w:afterAutospacing="1"/>
            </w:pPr>
            <w:r>
              <w:rPr>
                <w:sz w:val="18"/>
                <w:szCs w:val="18"/>
              </w:rPr>
              <w:t xml:space="preserve">Performance of hydrogen-bonding polymers such as </w:t>
            </w:r>
            <w:proofErr w:type="gramStart"/>
            <w:r>
              <w:rPr>
                <w:sz w:val="18"/>
                <w:szCs w:val="18"/>
              </w:rPr>
              <w:t>poly(</w:t>
            </w:r>
            <w:proofErr w:type="gramEnd"/>
            <w:r>
              <w:rPr>
                <w:sz w:val="18"/>
                <w:szCs w:val="18"/>
              </w:rPr>
              <w:t>acrylic acid) and cellulose ethers</w:t>
            </w:r>
          </w:p>
        </w:tc>
        <w:tc>
          <w:tcPr>
            <w:tcW w:w="1182" w:type="pct"/>
            <w:tcMar>
              <w:top w:w="60" w:type="dxa"/>
              <w:left w:w="80" w:type="dxa"/>
              <w:bottom w:w="60" w:type="dxa"/>
              <w:right w:w="80" w:type="dxa"/>
            </w:tcMar>
          </w:tcPr>
          <w:p w14:paraId="6F8AD466" w14:textId="77777777" w:rsidR="00E77864" w:rsidRDefault="00000000" w:rsidP="00117D6C">
            <w:pPr>
              <w:spacing w:before="100" w:beforeAutospacing="1" w:after="100" w:afterAutospacing="1"/>
            </w:pPr>
            <w:r>
              <w:rPr>
                <w:sz w:val="18"/>
                <w:szCs w:val="18"/>
              </w:rPr>
              <w:t>Adhesion should depend on density of donor and acceptor groups and on pH-dependent ionisation</w:t>
            </w:r>
          </w:p>
        </w:tc>
        <w:tc>
          <w:tcPr>
            <w:tcW w:w="1183" w:type="pct"/>
            <w:tcMar>
              <w:top w:w="60" w:type="dxa"/>
              <w:left w:w="80" w:type="dxa"/>
              <w:bottom w:w="60" w:type="dxa"/>
              <w:right w:w="80" w:type="dxa"/>
            </w:tcMar>
          </w:tcPr>
          <w:p w14:paraId="3C034D2F" w14:textId="77777777" w:rsidR="00E77864" w:rsidRDefault="00000000" w:rsidP="00117D6C">
            <w:pPr>
              <w:spacing w:before="100" w:beforeAutospacing="1" w:after="100" w:afterAutospacing="1"/>
            </w:pPr>
            <w:r>
              <w:rPr>
                <w:sz w:val="18"/>
                <w:szCs w:val="18"/>
              </w:rPr>
              <w:t>Cannot readily be separated from interpenetration; predicts direction but not magnitude</w:t>
            </w:r>
          </w:p>
        </w:tc>
        <w:tc>
          <w:tcPr>
            <w:tcW w:w="612" w:type="pct"/>
            <w:tcMar>
              <w:top w:w="60" w:type="dxa"/>
              <w:left w:w="80" w:type="dxa"/>
              <w:bottom w:w="60" w:type="dxa"/>
              <w:right w:w="80" w:type="dxa"/>
            </w:tcMar>
          </w:tcPr>
          <w:p w14:paraId="65B4CEED" w14:textId="77777777" w:rsidR="00E77864" w:rsidRDefault="00000000" w:rsidP="00117D6C">
            <w:pPr>
              <w:spacing w:before="100" w:beforeAutospacing="1" w:after="100" w:afterAutospacing="1"/>
            </w:pPr>
            <w:proofErr w:type="spellStart"/>
            <w:r>
              <w:rPr>
                <w:sz w:val="18"/>
                <w:szCs w:val="18"/>
              </w:rPr>
              <w:t>Khutoryanskiy</w:t>
            </w:r>
            <w:proofErr w:type="spellEnd"/>
            <w:r>
              <w:rPr>
                <w:sz w:val="18"/>
                <w:szCs w:val="18"/>
              </w:rPr>
              <w:t xml:space="preserve"> (2011); Smart (2005)</w:t>
            </w:r>
          </w:p>
        </w:tc>
      </w:tr>
      <w:tr w:rsidR="00E77864" w14:paraId="3B48E8DF" w14:textId="77777777" w:rsidTr="00117D6C">
        <w:tc>
          <w:tcPr>
            <w:tcW w:w="939" w:type="pct"/>
            <w:tcMar>
              <w:top w:w="60" w:type="dxa"/>
              <w:left w:w="80" w:type="dxa"/>
              <w:bottom w:w="60" w:type="dxa"/>
              <w:right w:w="80" w:type="dxa"/>
            </w:tcMar>
          </w:tcPr>
          <w:p w14:paraId="353FD178" w14:textId="77777777" w:rsidR="00E77864" w:rsidRDefault="00000000" w:rsidP="00117D6C">
            <w:pPr>
              <w:spacing w:before="100" w:beforeAutospacing="1" w:after="100" w:afterAutospacing="1"/>
            </w:pPr>
            <w:r>
              <w:rPr>
                <w:sz w:val="18"/>
                <w:szCs w:val="18"/>
              </w:rPr>
              <w:t>Diffusion and interpenetration</w:t>
            </w:r>
          </w:p>
        </w:tc>
        <w:tc>
          <w:tcPr>
            <w:tcW w:w="1084" w:type="pct"/>
            <w:tcMar>
              <w:top w:w="60" w:type="dxa"/>
              <w:left w:w="80" w:type="dxa"/>
              <w:bottom w:w="60" w:type="dxa"/>
              <w:right w:w="80" w:type="dxa"/>
            </w:tcMar>
          </w:tcPr>
          <w:p w14:paraId="6C53B89D" w14:textId="77777777" w:rsidR="00E77864" w:rsidRDefault="00000000" w:rsidP="00117D6C">
            <w:pPr>
              <w:spacing w:before="100" w:beforeAutospacing="1" w:after="100" w:afterAutospacing="1"/>
            </w:pPr>
            <w:r>
              <w:rPr>
                <w:sz w:val="18"/>
                <w:szCs w:val="18"/>
              </w:rPr>
              <w:t xml:space="preserve">Time dependence of adhesive strength; effect </w:t>
            </w:r>
            <w:r>
              <w:rPr>
                <w:sz w:val="18"/>
                <w:szCs w:val="18"/>
              </w:rPr>
              <w:lastRenderedPageBreak/>
              <w:t>of molecular weight and chain flexibility</w:t>
            </w:r>
          </w:p>
        </w:tc>
        <w:tc>
          <w:tcPr>
            <w:tcW w:w="1182" w:type="pct"/>
            <w:tcMar>
              <w:top w:w="60" w:type="dxa"/>
              <w:left w:w="80" w:type="dxa"/>
              <w:bottom w:w="60" w:type="dxa"/>
              <w:right w:w="80" w:type="dxa"/>
            </w:tcMar>
          </w:tcPr>
          <w:p w14:paraId="62DE5EF0" w14:textId="77777777" w:rsidR="00E77864" w:rsidRDefault="00000000" w:rsidP="00117D6C">
            <w:pPr>
              <w:spacing w:before="100" w:beforeAutospacing="1" w:after="100" w:afterAutospacing="1"/>
            </w:pPr>
            <w:r>
              <w:rPr>
                <w:sz w:val="18"/>
                <w:szCs w:val="18"/>
              </w:rPr>
              <w:lastRenderedPageBreak/>
              <w:t xml:space="preserve">Interphase depth should increase with contact time </w:t>
            </w:r>
            <w:r>
              <w:rPr>
                <w:sz w:val="18"/>
                <w:szCs w:val="18"/>
              </w:rPr>
              <w:lastRenderedPageBreak/>
              <w:t>and with chain mobility, and adhesion should follow</w:t>
            </w:r>
          </w:p>
        </w:tc>
        <w:tc>
          <w:tcPr>
            <w:tcW w:w="1183" w:type="pct"/>
            <w:tcMar>
              <w:top w:w="60" w:type="dxa"/>
              <w:left w:w="80" w:type="dxa"/>
              <w:bottom w:w="60" w:type="dxa"/>
              <w:right w:w="80" w:type="dxa"/>
            </w:tcMar>
          </w:tcPr>
          <w:p w14:paraId="07ECF96E" w14:textId="77777777" w:rsidR="00E77864" w:rsidRDefault="00000000" w:rsidP="00117D6C">
            <w:pPr>
              <w:spacing w:before="100" w:beforeAutospacing="1" w:after="100" w:afterAutospacing="1"/>
            </w:pPr>
            <w:r>
              <w:rPr>
                <w:sz w:val="18"/>
                <w:szCs w:val="18"/>
              </w:rPr>
              <w:lastRenderedPageBreak/>
              <w:t xml:space="preserve">Interphase depth is seldom measured directly; inferred </w:t>
            </w:r>
            <w:r>
              <w:rPr>
                <w:sz w:val="18"/>
                <w:szCs w:val="18"/>
              </w:rPr>
              <w:lastRenderedPageBreak/>
              <w:t>from bulk adhesion rather than observed</w:t>
            </w:r>
          </w:p>
        </w:tc>
        <w:tc>
          <w:tcPr>
            <w:tcW w:w="612" w:type="pct"/>
            <w:tcMar>
              <w:top w:w="60" w:type="dxa"/>
              <w:left w:w="80" w:type="dxa"/>
              <w:bottom w:w="60" w:type="dxa"/>
              <w:right w:w="80" w:type="dxa"/>
            </w:tcMar>
          </w:tcPr>
          <w:p w14:paraId="29299514" w14:textId="77777777" w:rsidR="00E77864" w:rsidRDefault="00000000" w:rsidP="00117D6C">
            <w:pPr>
              <w:spacing w:before="100" w:beforeAutospacing="1" w:after="100" w:afterAutospacing="1"/>
            </w:pPr>
            <w:r>
              <w:rPr>
                <w:sz w:val="18"/>
                <w:szCs w:val="18"/>
              </w:rPr>
              <w:lastRenderedPageBreak/>
              <w:t>Knoll et al. (2021); Smart (2005)</w:t>
            </w:r>
          </w:p>
        </w:tc>
      </w:tr>
      <w:tr w:rsidR="00E77864" w14:paraId="23DDD14E" w14:textId="77777777" w:rsidTr="00117D6C">
        <w:tc>
          <w:tcPr>
            <w:tcW w:w="939" w:type="pct"/>
            <w:tcMar>
              <w:top w:w="60" w:type="dxa"/>
              <w:left w:w="80" w:type="dxa"/>
              <w:bottom w:w="60" w:type="dxa"/>
              <w:right w:w="80" w:type="dxa"/>
            </w:tcMar>
          </w:tcPr>
          <w:p w14:paraId="771A8D39" w14:textId="77777777" w:rsidR="00E77864" w:rsidRDefault="00000000" w:rsidP="00117D6C">
            <w:pPr>
              <w:spacing w:before="100" w:beforeAutospacing="1" w:after="100" w:afterAutospacing="1"/>
            </w:pPr>
            <w:r>
              <w:rPr>
                <w:sz w:val="18"/>
                <w:szCs w:val="18"/>
              </w:rPr>
              <w:t>Dehydration and osmotic</w:t>
            </w:r>
          </w:p>
        </w:tc>
        <w:tc>
          <w:tcPr>
            <w:tcW w:w="1084" w:type="pct"/>
            <w:tcMar>
              <w:top w:w="60" w:type="dxa"/>
              <w:left w:w="80" w:type="dxa"/>
              <w:bottom w:w="60" w:type="dxa"/>
              <w:right w:w="80" w:type="dxa"/>
            </w:tcMar>
          </w:tcPr>
          <w:p w14:paraId="50A8B838" w14:textId="77777777" w:rsidR="00E77864" w:rsidRDefault="00000000" w:rsidP="00117D6C">
            <w:pPr>
              <w:spacing w:before="100" w:beforeAutospacing="1" w:after="100" w:afterAutospacing="1"/>
            </w:pPr>
            <w:r>
              <w:rPr>
                <w:sz w:val="18"/>
                <w:szCs w:val="18"/>
              </w:rPr>
              <w:t>Strong adhesion of rapidly hydrating polymers; loss of adhesion on overhydration</w:t>
            </w:r>
          </w:p>
        </w:tc>
        <w:tc>
          <w:tcPr>
            <w:tcW w:w="1182" w:type="pct"/>
            <w:tcMar>
              <w:top w:w="60" w:type="dxa"/>
              <w:left w:w="80" w:type="dxa"/>
              <w:bottom w:w="60" w:type="dxa"/>
              <w:right w:w="80" w:type="dxa"/>
            </w:tcMar>
          </w:tcPr>
          <w:p w14:paraId="73B02790" w14:textId="77777777" w:rsidR="00E77864" w:rsidRDefault="00000000" w:rsidP="00117D6C">
            <w:pPr>
              <w:spacing w:before="100" w:beforeAutospacing="1" w:after="100" w:afterAutospacing="1"/>
            </w:pPr>
            <w:r>
              <w:rPr>
                <w:sz w:val="18"/>
                <w:szCs w:val="18"/>
              </w:rPr>
              <w:t>Adhesion should depend on the water activity gradient between formulation and mucus</w:t>
            </w:r>
          </w:p>
        </w:tc>
        <w:tc>
          <w:tcPr>
            <w:tcW w:w="1183" w:type="pct"/>
            <w:tcMar>
              <w:top w:w="60" w:type="dxa"/>
              <w:left w:w="80" w:type="dxa"/>
              <w:bottom w:w="60" w:type="dxa"/>
              <w:right w:w="80" w:type="dxa"/>
            </w:tcMar>
          </w:tcPr>
          <w:p w14:paraId="47EABCBE" w14:textId="77777777" w:rsidR="00E77864" w:rsidRDefault="00000000" w:rsidP="00117D6C">
            <w:pPr>
              <w:spacing w:before="100" w:beforeAutospacing="1" w:after="100" w:afterAutospacing="1"/>
            </w:pPr>
            <w:r>
              <w:rPr>
                <w:sz w:val="18"/>
                <w:szCs w:val="18"/>
              </w:rPr>
              <w:t>Difficult to distinguish experimentally from viscosity increase at the interface</w:t>
            </w:r>
          </w:p>
        </w:tc>
        <w:tc>
          <w:tcPr>
            <w:tcW w:w="612" w:type="pct"/>
            <w:tcMar>
              <w:top w:w="60" w:type="dxa"/>
              <w:left w:w="80" w:type="dxa"/>
              <w:bottom w:w="60" w:type="dxa"/>
              <w:right w:w="80" w:type="dxa"/>
            </w:tcMar>
          </w:tcPr>
          <w:p w14:paraId="1357A190" w14:textId="77777777" w:rsidR="00E77864" w:rsidRDefault="00000000" w:rsidP="00117D6C">
            <w:pPr>
              <w:spacing w:before="100" w:beforeAutospacing="1" w:after="100" w:afterAutospacing="1"/>
            </w:pPr>
            <w:proofErr w:type="spellStart"/>
            <w:r>
              <w:rPr>
                <w:sz w:val="18"/>
                <w:szCs w:val="18"/>
              </w:rPr>
              <w:t>Khutoryanskiy</w:t>
            </w:r>
            <w:proofErr w:type="spellEnd"/>
            <w:r>
              <w:rPr>
                <w:sz w:val="18"/>
                <w:szCs w:val="18"/>
              </w:rPr>
              <w:t xml:space="preserve"> (2011); Rojewska et al. (2026)</w:t>
            </w:r>
          </w:p>
        </w:tc>
      </w:tr>
      <w:tr w:rsidR="00E77864" w14:paraId="4A2123A8" w14:textId="77777777" w:rsidTr="00117D6C">
        <w:tc>
          <w:tcPr>
            <w:tcW w:w="939" w:type="pct"/>
            <w:tcMar>
              <w:top w:w="60" w:type="dxa"/>
              <w:left w:w="80" w:type="dxa"/>
              <w:bottom w:w="60" w:type="dxa"/>
              <w:right w:w="80" w:type="dxa"/>
            </w:tcMar>
          </w:tcPr>
          <w:p w14:paraId="0FB35576" w14:textId="77777777" w:rsidR="00E77864" w:rsidRDefault="00000000" w:rsidP="00117D6C">
            <w:pPr>
              <w:spacing w:before="100" w:beforeAutospacing="1" w:after="100" w:afterAutospacing="1"/>
            </w:pPr>
            <w:r>
              <w:rPr>
                <w:sz w:val="18"/>
                <w:szCs w:val="18"/>
              </w:rPr>
              <w:t>Fracture and mechanical</w:t>
            </w:r>
          </w:p>
        </w:tc>
        <w:tc>
          <w:tcPr>
            <w:tcW w:w="1084" w:type="pct"/>
            <w:tcMar>
              <w:top w:w="60" w:type="dxa"/>
              <w:left w:w="80" w:type="dxa"/>
              <w:bottom w:w="60" w:type="dxa"/>
              <w:right w:w="80" w:type="dxa"/>
            </w:tcMar>
          </w:tcPr>
          <w:p w14:paraId="6DE24537" w14:textId="77777777" w:rsidR="00E77864" w:rsidRDefault="00000000" w:rsidP="00117D6C">
            <w:pPr>
              <w:spacing w:before="100" w:beforeAutospacing="1" w:after="100" w:afterAutospacing="1"/>
            </w:pPr>
            <w:r>
              <w:rPr>
                <w:sz w:val="18"/>
                <w:szCs w:val="18"/>
              </w:rPr>
              <w:t>Dependence of measured detachment force on separation rate and geometry</w:t>
            </w:r>
          </w:p>
        </w:tc>
        <w:tc>
          <w:tcPr>
            <w:tcW w:w="1182" w:type="pct"/>
            <w:tcMar>
              <w:top w:w="60" w:type="dxa"/>
              <w:left w:w="80" w:type="dxa"/>
              <w:bottom w:w="60" w:type="dxa"/>
              <w:right w:w="80" w:type="dxa"/>
            </w:tcMar>
          </w:tcPr>
          <w:p w14:paraId="1C863569" w14:textId="77777777" w:rsidR="00E77864" w:rsidRDefault="00000000" w:rsidP="00117D6C">
            <w:pPr>
              <w:spacing w:before="100" w:beforeAutospacing="1" w:after="100" w:afterAutospacing="1"/>
            </w:pPr>
            <w:r>
              <w:rPr>
                <w:sz w:val="18"/>
                <w:szCs w:val="18"/>
              </w:rPr>
              <w:t>Measured work of adhesion should vary systematically with test geometry and rate</w:t>
            </w:r>
          </w:p>
        </w:tc>
        <w:tc>
          <w:tcPr>
            <w:tcW w:w="1183" w:type="pct"/>
            <w:tcMar>
              <w:top w:w="60" w:type="dxa"/>
              <w:left w:w="80" w:type="dxa"/>
              <w:bottom w:w="60" w:type="dxa"/>
              <w:right w:w="80" w:type="dxa"/>
            </w:tcMar>
          </w:tcPr>
          <w:p w14:paraId="63BBBC4F" w14:textId="77777777" w:rsidR="00E77864" w:rsidRDefault="00000000" w:rsidP="00117D6C">
            <w:pPr>
              <w:spacing w:before="100" w:beforeAutospacing="1" w:after="100" w:afterAutospacing="1"/>
            </w:pPr>
            <w:r>
              <w:rPr>
                <w:sz w:val="18"/>
                <w:szCs w:val="18"/>
              </w:rPr>
              <w:t>Describes the measurement rather than the adhesion; a major source of cross-study incomparability</w:t>
            </w:r>
          </w:p>
        </w:tc>
        <w:tc>
          <w:tcPr>
            <w:tcW w:w="612" w:type="pct"/>
            <w:tcMar>
              <w:top w:w="60" w:type="dxa"/>
              <w:left w:w="80" w:type="dxa"/>
              <w:bottom w:w="60" w:type="dxa"/>
              <w:right w:w="80" w:type="dxa"/>
            </w:tcMar>
          </w:tcPr>
          <w:p w14:paraId="34340143" w14:textId="77777777" w:rsidR="00E77864" w:rsidRDefault="00000000" w:rsidP="00117D6C">
            <w:pPr>
              <w:spacing w:before="100" w:beforeAutospacing="1" w:after="100" w:afterAutospacing="1"/>
            </w:pPr>
            <w:r>
              <w:rPr>
                <w:sz w:val="18"/>
                <w:szCs w:val="18"/>
              </w:rPr>
              <w:t>Pollini et al. (2025); Takeuchi et al. (2005)</w:t>
            </w:r>
          </w:p>
        </w:tc>
      </w:tr>
      <w:tr w:rsidR="00E77864" w14:paraId="084A5917" w14:textId="77777777" w:rsidTr="00117D6C">
        <w:tc>
          <w:tcPr>
            <w:tcW w:w="939" w:type="pct"/>
            <w:tcMar>
              <w:top w:w="60" w:type="dxa"/>
              <w:left w:w="80" w:type="dxa"/>
              <w:bottom w:w="60" w:type="dxa"/>
              <w:right w:w="80" w:type="dxa"/>
            </w:tcMar>
          </w:tcPr>
          <w:p w14:paraId="7461C656" w14:textId="77777777" w:rsidR="00E77864" w:rsidRDefault="00000000" w:rsidP="00117D6C">
            <w:pPr>
              <w:spacing w:before="100" w:beforeAutospacing="1" w:after="100" w:afterAutospacing="1"/>
            </w:pPr>
            <w:r>
              <w:rPr>
                <w:sz w:val="18"/>
                <w:szCs w:val="18"/>
              </w:rPr>
              <w:t>Covalent disulphide formation</w:t>
            </w:r>
          </w:p>
        </w:tc>
        <w:tc>
          <w:tcPr>
            <w:tcW w:w="1084" w:type="pct"/>
            <w:tcMar>
              <w:top w:w="60" w:type="dxa"/>
              <w:left w:w="80" w:type="dxa"/>
              <w:bottom w:w="60" w:type="dxa"/>
              <w:right w:w="80" w:type="dxa"/>
            </w:tcMar>
          </w:tcPr>
          <w:p w14:paraId="6602B711" w14:textId="77777777" w:rsidR="00E77864" w:rsidRDefault="00000000" w:rsidP="00117D6C">
            <w:pPr>
              <w:spacing w:before="100" w:beforeAutospacing="1" w:after="100" w:afterAutospacing="1"/>
            </w:pPr>
            <w:r>
              <w:rPr>
                <w:sz w:val="18"/>
                <w:szCs w:val="18"/>
              </w:rPr>
              <w:t xml:space="preserve">Large, durable adhesion increases of </w:t>
            </w:r>
            <w:proofErr w:type="spellStart"/>
            <w:r>
              <w:rPr>
                <w:sz w:val="18"/>
                <w:szCs w:val="18"/>
              </w:rPr>
              <w:t>thiolated</w:t>
            </w:r>
            <w:proofErr w:type="spellEnd"/>
            <w:r>
              <w:rPr>
                <w:sz w:val="18"/>
                <w:szCs w:val="18"/>
              </w:rPr>
              <w:t xml:space="preserve"> polymers; dependence on thiol protection</w:t>
            </w:r>
          </w:p>
        </w:tc>
        <w:tc>
          <w:tcPr>
            <w:tcW w:w="1182" w:type="pct"/>
            <w:tcMar>
              <w:top w:w="60" w:type="dxa"/>
              <w:left w:w="80" w:type="dxa"/>
              <w:bottom w:w="60" w:type="dxa"/>
              <w:right w:w="80" w:type="dxa"/>
            </w:tcMar>
          </w:tcPr>
          <w:p w14:paraId="113601B0" w14:textId="77777777" w:rsidR="00E77864" w:rsidRDefault="00000000" w:rsidP="00117D6C">
            <w:pPr>
              <w:spacing w:before="100" w:beforeAutospacing="1" w:after="100" w:afterAutospacing="1"/>
            </w:pPr>
            <w:r>
              <w:rPr>
                <w:sz w:val="18"/>
                <w:szCs w:val="18"/>
              </w:rPr>
              <w:t>Adhesion should depend on accessible thiol content and on the redox state of the interface</w:t>
            </w:r>
          </w:p>
        </w:tc>
        <w:tc>
          <w:tcPr>
            <w:tcW w:w="1183" w:type="pct"/>
            <w:tcMar>
              <w:top w:w="60" w:type="dxa"/>
              <w:left w:w="80" w:type="dxa"/>
              <w:bottom w:w="60" w:type="dxa"/>
              <w:right w:w="80" w:type="dxa"/>
            </w:tcMar>
          </w:tcPr>
          <w:p w14:paraId="5FEB6FBD" w14:textId="77777777" w:rsidR="00E77864" w:rsidRDefault="00000000" w:rsidP="00117D6C">
            <w:pPr>
              <w:spacing w:before="100" w:beforeAutospacing="1" w:after="100" w:afterAutospacing="1"/>
            </w:pPr>
            <w:r>
              <w:rPr>
                <w:sz w:val="18"/>
                <w:szCs w:val="18"/>
              </w:rPr>
              <w:t>Narrow base of independent laboratories; reactivity and adhesion are not monotonically related</w:t>
            </w:r>
          </w:p>
        </w:tc>
        <w:tc>
          <w:tcPr>
            <w:tcW w:w="612" w:type="pct"/>
            <w:tcMar>
              <w:top w:w="60" w:type="dxa"/>
              <w:left w:w="80" w:type="dxa"/>
              <w:bottom w:w="60" w:type="dxa"/>
              <w:right w:w="80" w:type="dxa"/>
            </w:tcMar>
          </w:tcPr>
          <w:p w14:paraId="662A8557" w14:textId="77777777" w:rsidR="00E77864" w:rsidRDefault="00000000" w:rsidP="00117D6C">
            <w:pPr>
              <w:spacing w:before="100" w:beforeAutospacing="1" w:after="100" w:afterAutospacing="1"/>
            </w:pPr>
            <w:r>
              <w:rPr>
                <w:sz w:val="18"/>
                <w:szCs w:val="18"/>
              </w:rPr>
              <w:t>Hock et al. (2022); Knoll et al. (2021); Shahzadi et al. (2020)</w:t>
            </w:r>
          </w:p>
        </w:tc>
      </w:tr>
      <w:tr w:rsidR="00E77864" w14:paraId="778BD2E8" w14:textId="77777777" w:rsidTr="00117D6C">
        <w:tc>
          <w:tcPr>
            <w:tcW w:w="939" w:type="pct"/>
            <w:tcMar>
              <w:top w:w="60" w:type="dxa"/>
              <w:left w:w="80" w:type="dxa"/>
              <w:bottom w:w="60" w:type="dxa"/>
              <w:right w:w="80" w:type="dxa"/>
            </w:tcMar>
          </w:tcPr>
          <w:p w14:paraId="27486BD9" w14:textId="77777777" w:rsidR="00E77864" w:rsidRDefault="00000000" w:rsidP="00117D6C">
            <w:pPr>
              <w:spacing w:before="100" w:beforeAutospacing="1" w:after="100" w:afterAutospacing="1"/>
            </w:pPr>
            <w:r>
              <w:rPr>
                <w:sz w:val="18"/>
                <w:szCs w:val="18"/>
              </w:rPr>
              <w:t>Covalent Michael addition</w:t>
            </w:r>
          </w:p>
        </w:tc>
        <w:tc>
          <w:tcPr>
            <w:tcW w:w="1084" w:type="pct"/>
            <w:tcMar>
              <w:top w:w="60" w:type="dxa"/>
              <w:left w:w="80" w:type="dxa"/>
              <w:bottom w:w="60" w:type="dxa"/>
              <w:right w:w="80" w:type="dxa"/>
            </w:tcMar>
          </w:tcPr>
          <w:p w14:paraId="205E28EB" w14:textId="77777777" w:rsidR="00E77864" w:rsidRDefault="00000000" w:rsidP="00117D6C">
            <w:pPr>
              <w:spacing w:before="100" w:beforeAutospacing="1" w:after="100" w:afterAutospacing="1"/>
            </w:pPr>
            <w:r>
              <w:rPr>
                <w:sz w:val="18"/>
                <w:szCs w:val="18"/>
              </w:rPr>
              <w:t>Retention of maleimide-functionalised carriers on bladder and other mucosae</w:t>
            </w:r>
          </w:p>
        </w:tc>
        <w:tc>
          <w:tcPr>
            <w:tcW w:w="1182" w:type="pct"/>
            <w:tcMar>
              <w:top w:w="60" w:type="dxa"/>
              <w:left w:w="80" w:type="dxa"/>
              <w:bottom w:w="60" w:type="dxa"/>
              <w:right w:w="80" w:type="dxa"/>
            </w:tcMar>
          </w:tcPr>
          <w:p w14:paraId="575484FA" w14:textId="77777777" w:rsidR="00E77864" w:rsidRDefault="00000000" w:rsidP="00117D6C">
            <w:pPr>
              <w:spacing w:before="100" w:beforeAutospacing="1" w:after="100" w:afterAutospacing="1"/>
            </w:pPr>
            <w:r>
              <w:rPr>
                <w:sz w:val="18"/>
                <w:szCs w:val="18"/>
              </w:rPr>
              <w:t>Adhesion should depend on maleimide density and be abolished by thiol blockade of the substrate</w:t>
            </w:r>
          </w:p>
        </w:tc>
        <w:tc>
          <w:tcPr>
            <w:tcW w:w="1183" w:type="pct"/>
            <w:tcMar>
              <w:top w:w="60" w:type="dxa"/>
              <w:left w:w="80" w:type="dxa"/>
              <w:bottom w:w="60" w:type="dxa"/>
              <w:right w:w="80" w:type="dxa"/>
            </w:tcMar>
          </w:tcPr>
          <w:p w14:paraId="607E6135" w14:textId="77777777" w:rsidR="00E77864" w:rsidRDefault="00000000" w:rsidP="00117D6C">
            <w:pPr>
              <w:spacing w:before="100" w:beforeAutospacing="1" w:after="100" w:afterAutospacing="1"/>
            </w:pPr>
            <w:r>
              <w:rPr>
                <w:sz w:val="18"/>
                <w:szCs w:val="18"/>
              </w:rPr>
              <w:t>Substrate thiol availability varies by site and is rarely quantified; hydrolytic stability of maleimide requires control</w:t>
            </w:r>
          </w:p>
        </w:tc>
        <w:tc>
          <w:tcPr>
            <w:tcW w:w="612" w:type="pct"/>
            <w:tcMar>
              <w:top w:w="60" w:type="dxa"/>
              <w:left w:w="80" w:type="dxa"/>
              <w:bottom w:w="60" w:type="dxa"/>
              <w:right w:w="80" w:type="dxa"/>
            </w:tcMar>
          </w:tcPr>
          <w:p w14:paraId="6B6407CA" w14:textId="77777777" w:rsidR="00E77864" w:rsidRDefault="00000000" w:rsidP="00117D6C">
            <w:pPr>
              <w:spacing w:before="100" w:beforeAutospacing="1" w:after="100" w:afterAutospacing="1"/>
            </w:pPr>
            <w:r>
              <w:rPr>
                <w:sz w:val="18"/>
                <w:szCs w:val="18"/>
              </w:rPr>
              <w:t xml:space="preserve">Buang et al. (2023); </w:t>
            </w: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w:t>
            </w:r>
            <w:proofErr w:type="spellStart"/>
            <w:r>
              <w:rPr>
                <w:sz w:val="18"/>
                <w:szCs w:val="18"/>
              </w:rPr>
              <w:t>Shtenberg</w:t>
            </w:r>
            <w:proofErr w:type="spellEnd"/>
            <w:r>
              <w:rPr>
                <w:sz w:val="18"/>
                <w:szCs w:val="18"/>
              </w:rPr>
              <w:t xml:space="preserve"> et al. (2017)</w:t>
            </w:r>
          </w:p>
        </w:tc>
      </w:tr>
    </w:tbl>
    <w:p w14:paraId="4A26F84E" w14:textId="77777777" w:rsidR="00E77864" w:rsidRDefault="00E77864" w:rsidP="00117D6C">
      <w:pPr>
        <w:spacing w:before="100" w:beforeAutospacing="1" w:after="100" w:afterAutospacing="1"/>
      </w:pPr>
    </w:p>
    <w:p w14:paraId="5410A313" w14:textId="77777777" w:rsidR="00E77864" w:rsidRDefault="00000000" w:rsidP="00117D6C">
      <w:pPr>
        <w:spacing w:before="100" w:beforeAutospacing="1" w:after="100" w:afterAutospacing="1"/>
        <w:jc w:val="both"/>
      </w:pPr>
      <w:r>
        <w:rPr>
          <w:sz w:val="18"/>
          <w:szCs w:val="18"/>
        </w:rPr>
        <w:t xml:space="preserve">Note. PLGA = </w:t>
      </w:r>
      <w:proofErr w:type="gramStart"/>
      <w:r>
        <w:rPr>
          <w:sz w:val="18"/>
          <w:szCs w:val="18"/>
        </w:rPr>
        <w:t>poly(</w:t>
      </w:r>
      <w:proofErr w:type="gramEnd"/>
      <w:r>
        <w:rPr>
          <w:sz w:val="18"/>
          <w:szCs w:val="18"/>
        </w:rPr>
        <w:t>lactic-co-glycolic acid). Predictions listed are those implied by the account as generally stated in the cited sources; their formal testing is uncommon in the retrieved literature.</w:t>
      </w:r>
    </w:p>
    <w:p w14:paraId="1D4CE878" w14:textId="77777777" w:rsidR="00E77864" w:rsidRDefault="00000000" w:rsidP="00117D6C">
      <w:pPr>
        <w:pStyle w:val="Heading1"/>
        <w:spacing w:before="100" w:beforeAutospacing="1" w:after="100" w:afterAutospacing="1"/>
      </w:pPr>
      <w:r>
        <w:rPr>
          <w:b/>
          <w:bCs/>
          <w:color w:val="000000"/>
          <w:sz w:val="26"/>
          <w:szCs w:val="26"/>
        </w:rPr>
        <w:t>5. Materials: From Non-Specific Hydrophilic Polymers to Designed Interfacial Chemistry</w:t>
      </w:r>
    </w:p>
    <w:p w14:paraId="2A7F11E5" w14:textId="77777777" w:rsidR="00E77864" w:rsidRDefault="00000000" w:rsidP="00117D6C">
      <w:pPr>
        <w:pStyle w:val="Heading2"/>
        <w:spacing w:before="100" w:beforeAutospacing="1" w:after="100" w:afterAutospacing="1"/>
      </w:pPr>
      <w:r>
        <w:rPr>
          <w:b/>
          <w:bCs/>
          <w:color w:val="000000"/>
          <w:sz w:val="24"/>
          <w:szCs w:val="24"/>
        </w:rPr>
        <w:t>5.1 First-Generation Polymers and What They Achieve</w:t>
      </w:r>
    </w:p>
    <w:p w14:paraId="67DE50E9" w14:textId="77777777" w:rsidR="00E77864" w:rsidRDefault="00000000" w:rsidP="00117D6C">
      <w:pPr>
        <w:spacing w:before="100" w:beforeAutospacing="1" w:after="100" w:afterAutospacing="1"/>
        <w:jc w:val="both"/>
      </w:pPr>
      <w:r>
        <w:t xml:space="preserve">The materials on which the field was built are hydrophilic macromolecules that interact with mucin non-specifically. </w:t>
      </w:r>
      <w:proofErr w:type="gramStart"/>
      <w:r>
        <w:t>Poly(</w:t>
      </w:r>
      <w:proofErr w:type="gramEnd"/>
      <w:r>
        <w:t xml:space="preserve">acrylic acid) and its crosslinked derivatives adhere through hydrogen bonding and, in the ionised state, through chain expansion and entanglement. Cellulose ethers, principally hydroxypropyl methylcellulose and </w:t>
      </w:r>
      <w:proofErr w:type="spellStart"/>
      <w:r>
        <w:t>hydroxyethylcellulose</w:t>
      </w:r>
      <w:proofErr w:type="spellEnd"/>
      <w:r>
        <w:t>, adhere primarily through hydrogen bonding and hydration-driven interpenetration. Alginate, pectin, hyaluronic acid and carrageenan contribute anionic charge and hydration. Chitosan, the principal polycation in routine use, adheres through electrostatic interaction with sialic acid and sulphate groups on mucin in addition to hydrogen bonding (Sosnik et al., 2014).</w:t>
      </w:r>
    </w:p>
    <w:p w14:paraId="56D2E8DD" w14:textId="77777777" w:rsidR="00E77864" w:rsidRDefault="00000000" w:rsidP="00117D6C">
      <w:pPr>
        <w:spacing w:before="100" w:beforeAutospacing="1" w:after="100" w:afterAutospacing="1"/>
        <w:jc w:val="both"/>
      </w:pPr>
      <w:r>
        <w:t xml:space="preserve">These polymers remain the basis of nearly all clinically established mucoadhesive products, and their continued dominance is instructive. They are inexpensive, available in pharmaceutical grades, well characterised toxicologically, processable by conventional pharmaceutical unit operations, and in several cases already present on excipient monographs. Studies continue to demonstrate that careful selection and blending of these materials produces measurable and reproducible performance improvements, as shown for cellulose-based blends in oral </w:t>
      </w:r>
      <w:proofErr w:type="spellStart"/>
      <w:r>
        <w:t>mucoadhesion</w:t>
      </w:r>
      <w:proofErr w:type="spellEnd"/>
      <w:r>
        <w:t xml:space="preserve"> where hydration behaviour and surface interaction were shown to be jointly determining (Rojewska et al., 2026). The persistence of first-generation materials is therefore not evidence of conservatism but of a favourable balance between performance and developability.</w:t>
      </w:r>
    </w:p>
    <w:p w14:paraId="743C478A" w14:textId="77777777" w:rsidR="00E77864" w:rsidRDefault="00000000" w:rsidP="00117D6C">
      <w:pPr>
        <w:spacing w:before="100" w:beforeAutospacing="1" w:after="100" w:afterAutospacing="1"/>
        <w:jc w:val="both"/>
      </w:pPr>
      <w:r>
        <w:lastRenderedPageBreak/>
        <w:t>Chitosan occupies an ambiguous position. Its mucoadhesive performance is well documented, but it also acts as a permeation enhancer through reversible opening of epithelial tight junctions, an effect characterised mechanistically in cell and animal studies (</w:t>
      </w:r>
      <w:proofErr w:type="spellStart"/>
      <w:r>
        <w:t>Sonaje</w:t>
      </w:r>
      <w:proofErr w:type="spellEnd"/>
      <w:r>
        <w:t xml:space="preserve"> et al., 2012; Yeh et al., 2011). This dual action complicates interpretation of studies in which chitosan-containing formulations show improved absorption, because the improvement may derive from prolonged contact, from increased epithelial permeability, or from both, and these are rarely separated experimentally. It also raises a safety consideration, since reversible barrier disruption is not a neutral property in chronic use, and formulation solubility and toxicity depend on the specific chemical modification employed (Suryani et al., 2024).</w:t>
      </w:r>
    </w:p>
    <w:p w14:paraId="4791707E" w14:textId="77777777" w:rsidR="00E77864" w:rsidRDefault="00000000" w:rsidP="00117D6C">
      <w:pPr>
        <w:pStyle w:val="Heading2"/>
        <w:spacing w:before="100" w:beforeAutospacing="1" w:after="100" w:afterAutospacing="1"/>
      </w:pPr>
      <w:r>
        <w:rPr>
          <w:b/>
          <w:bCs/>
          <w:color w:val="000000"/>
          <w:sz w:val="24"/>
          <w:szCs w:val="24"/>
        </w:rPr>
        <w:t xml:space="preserve">5.2 </w:t>
      </w:r>
      <w:proofErr w:type="spellStart"/>
      <w:r>
        <w:rPr>
          <w:b/>
          <w:bCs/>
          <w:color w:val="000000"/>
          <w:sz w:val="24"/>
          <w:szCs w:val="24"/>
        </w:rPr>
        <w:t>Thiolated</w:t>
      </w:r>
      <w:proofErr w:type="spellEnd"/>
      <w:r>
        <w:rPr>
          <w:b/>
          <w:bCs/>
          <w:color w:val="000000"/>
          <w:sz w:val="24"/>
          <w:szCs w:val="24"/>
        </w:rPr>
        <w:t xml:space="preserve"> Polymers</w:t>
      </w:r>
    </w:p>
    <w:p w14:paraId="31957940" w14:textId="77777777" w:rsidR="00E77864" w:rsidRDefault="00000000" w:rsidP="00117D6C">
      <w:pPr>
        <w:spacing w:before="100" w:beforeAutospacing="1" w:after="100" w:afterAutospacing="1"/>
        <w:jc w:val="both"/>
      </w:pPr>
      <w:r>
        <w:t xml:space="preserve">Thiolation represents the most extensively developed second-generation strategy. Attachment of thiol-bearing ligands to polymeric backbones enables disulphide exchange with mucin cysteine domains, converting a physical interaction into a covalent one. </w:t>
      </w:r>
      <w:proofErr w:type="spellStart"/>
      <w:r>
        <w:t>Thiolated</w:t>
      </w:r>
      <w:proofErr w:type="spellEnd"/>
      <w:r>
        <w:t xml:space="preserve"> derivatives of chitosan, cellulose, pectin, starch, hyaluronic acid, alginate and several synthetic polymers have been reported, with consistent findings of increased adhesion relative to the parent polymer (Puri et al., 2020).</w:t>
      </w:r>
    </w:p>
    <w:p w14:paraId="4E59602B" w14:textId="77777777" w:rsidR="00E77864" w:rsidRDefault="00000000" w:rsidP="00117D6C">
      <w:pPr>
        <w:spacing w:before="100" w:beforeAutospacing="1" w:after="100" w:afterAutospacing="1"/>
        <w:jc w:val="both"/>
      </w:pPr>
      <w:r>
        <w:t xml:space="preserve">Beyond adhesion, thiolation confers additional pharmaceutical properties. </w:t>
      </w:r>
      <w:proofErr w:type="spellStart"/>
      <w:r>
        <w:t>Thiolated</w:t>
      </w:r>
      <w:proofErr w:type="spellEnd"/>
      <w:r>
        <w:t xml:space="preserve"> cellulose has been characterised as dual-acting, combining </w:t>
      </w:r>
      <w:proofErr w:type="spellStart"/>
      <w:r>
        <w:t>mucoadhesion</w:t>
      </w:r>
      <w:proofErr w:type="spellEnd"/>
      <w:r>
        <w:t xml:space="preserve"> with permeation enhancement (Kali et al., 2023), and highly </w:t>
      </w:r>
      <w:proofErr w:type="spellStart"/>
      <w:r>
        <w:t>thiolated</w:t>
      </w:r>
      <w:proofErr w:type="spellEnd"/>
      <w:r>
        <w:t xml:space="preserve"> corn starch was similarly reported to enhance both adhesion and permeation (Davoudi et al., 2025). </w:t>
      </w:r>
      <w:proofErr w:type="spellStart"/>
      <w:r>
        <w:t>Thiolated</w:t>
      </w:r>
      <w:proofErr w:type="spellEnd"/>
      <w:r>
        <w:t xml:space="preserve"> nanoparticles have been reviewed as a broad platform whose reactivity mimics endogenous thiol-mediated processes (Hock et al., 2022). The generational refinement from unprotected </w:t>
      </w:r>
      <w:proofErr w:type="spellStart"/>
      <w:r>
        <w:t>thiomers</w:t>
      </w:r>
      <w:proofErr w:type="spellEnd"/>
      <w:r>
        <w:t xml:space="preserve"> to S-protected and less reactive S-protected derivatives was driven by the recognition that unprotected thiols oxidise prematurely at physiological pH, and the resulting finding that reduced reactivity improves rather than degrades performance is one of the more robust and counterintuitive results in the field (Knoll et al., 2021; Shahzadi et al., 2020).</w:t>
      </w:r>
    </w:p>
    <w:p w14:paraId="55CB3C3E" w14:textId="77777777" w:rsidR="00E77864" w:rsidRDefault="00000000" w:rsidP="00117D6C">
      <w:pPr>
        <w:spacing w:before="100" w:beforeAutospacing="1" w:after="100" w:afterAutospacing="1"/>
        <w:jc w:val="both"/>
      </w:pPr>
      <w:r>
        <w:t xml:space="preserve">Two reservations are warranted. First, a substantial proportion of the </w:t>
      </w:r>
      <w:proofErr w:type="spellStart"/>
      <w:r>
        <w:t>thiomer</w:t>
      </w:r>
      <w:proofErr w:type="spellEnd"/>
      <w:r>
        <w:t xml:space="preserve"> literature originates from a small number of closely associated research groups, and although the internal consistency of that body of work is high, independent replication in unrelated laboratories is less abundant than the volume of publication suggests. Second, the reported magnitude of adhesion enhancement is generally established by ex vivo detachment or retention measurement, and the translation of a sevenfold to eightfold ex vivo increase into a proportionate in vivo benefit has not been demonstrated at most sites. Given the physiological ceilings discussed in Section 3.2, proportionality should not be assumed.</w:t>
      </w:r>
    </w:p>
    <w:p w14:paraId="70D30291" w14:textId="77777777" w:rsidR="00E77864" w:rsidRDefault="00000000" w:rsidP="00117D6C">
      <w:pPr>
        <w:pStyle w:val="Heading2"/>
        <w:spacing w:before="100" w:beforeAutospacing="1" w:after="100" w:afterAutospacing="1"/>
      </w:pPr>
      <w:r>
        <w:rPr>
          <w:b/>
          <w:bCs/>
          <w:color w:val="000000"/>
          <w:sz w:val="24"/>
          <w:szCs w:val="24"/>
        </w:rPr>
        <w:t xml:space="preserve">5.3 Electrophilic, </w:t>
      </w:r>
      <w:proofErr w:type="spellStart"/>
      <w:r>
        <w:rPr>
          <w:b/>
          <w:bCs/>
          <w:color w:val="000000"/>
          <w:sz w:val="24"/>
          <w:szCs w:val="24"/>
        </w:rPr>
        <w:t>Catecholic</w:t>
      </w:r>
      <w:proofErr w:type="spellEnd"/>
      <w:r>
        <w:rPr>
          <w:b/>
          <w:bCs/>
          <w:color w:val="000000"/>
          <w:sz w:val="24"/>
          <w:szCs w:val="24"/>
        </w:rPr>
        <w:t xml:space="preserve"> and Related Chemistries</w:t>
      </w:r>
    </w:p>
    <w:p w14:paraId="6A167207" w14:textId="77777777" w:rsidR="00E77864" w:rsidRDefault="00000000" w:rsidP="00117D6C">
      <w:pPr>
        <w:spacing w:before="100" w:beforeAutospacing="1" w:after="100" w:afterAutospacing="1"/>
        <w:jc w:val="both"/>
      </w:pPr>
      <w:r>
        <w:t>Maleimide functionalisation has been developed principally by groups working on intravesical and ocular delivery, and the evidence is summarised in Section 4.3. Its attraction is selectivity for thiol groups under mild aqueous conditions, which permits functionalisation of preformed carriers. Its principal vulnerabilities are hydrolytic ring opening and the variable availability of accessible thiols at different mucosal sites; neither is routinely quantified in the studies reporting maleimide-based systems.</w:t>
      </w:r>
    </w:p>
    <w:p w14:paraId="7A217265" w14:textId="77777777" w:rsidR="00E77864" w:rsidRDefault="00000000" w:rsidP="00117D6C">
      <w:pPr>
        <w:spacing w:before="100" w:beforeAutospacing="1" w:after="100" w:afterAutospacing="1"/>
        <w:jc w:val="both"/>
      </w:pPr>
      <w:r>
        <w:t xml:space="preserve">Catechol chemistry, inspired by the adhesive proteins of marine mussels, has produced one of the more striking demonstrations in the field. A mussel-inspired film designed for adhesion to wet buccal tissue achieved robust attachment under moist conditions and enabled efficient buccal drug delivery (Hu et al., 2021). The relevance of this work extends beyond the specific system, because it demonstrates that adhesion to a hydrated biological surface can be engineered through mechanisms substantially different from those of conventional hydrophilic polymers. Whether such systems </w:t>
      </w:r>
      <w:r>
        <w:lastRenderedPageBreak/>
        <w:t>adhere to mucus, to the underlying epithelium after mucus displacement, or to both, is not always clearly established, and the distinction matters for predicting residence because the two substrates have different turnover rates.</w:t>
      </w:r>
    </w:p>
    <w:p w14:paraId="702E968F" w14:textId="77777777" w:rsidR="00E77864" w:rsidRDefault="00000000" w:rsidP="00117D6C">
      <w:pPr>
        <w:spacing w:before="100" w:beforeAutospacing="1" w:after="100" w:afterAutospacing="1"/>
        <w:jc w:val="both"/>
      </w:pPr>
      <w:r>
        <w:t xml:space="preserve">Protein-based and biologically derived adhesives constitute a further direction. Heat-induced structural modification of lactoferrin has been shown to enhance its </w:t>
      </w:r>
      <w:proofErr w:type="spellStart"/>
      <w:r>
        <w:t>mucoadhesion</w:t>
      </w:r>
      <w:proofErr w:type="spellEnd"/>
      <w:r>
        <w:t>, indicating that conformational engineering of proteins is a viable route to adhesive function without synthetic derivatisation (</w:t>
      </w:r>
      <w:proofErr w:type="spellStart"/>
      <w:r>
        <w:t>Hazt</w:t>
      </w:r>
      <w:proofErr w:type="spellEnd"/>
      <w:r>
        <w:t xml:space="preserve"> et al., 2025). Whether such systems can meet pharmaceutical stability and immunogenicity requirements is unresolved.</w:t>
      </w:r>
    </w:p>
    <w:p w14:paraId="4652CE2E" w14:textId="77777777" w:rsidR="00E77864" w:rsidRDefault="00000000" w:rsidP="00117D6C">
      <w:pPr>
        <w:pStyle w:val="Heading2"/>
        <w:spacing w:before="100" w:beforeAutospacing="1" w:after="100" w:afterAutospacing="1"/>
      </w:pPr>
      <w:r>
        <w:rPr>
          <w:b/>
          <w:bCs/>
          <w:color w:val="000000"/>
          <w:sz w:val="24"/>
          <w:szCs w:val="24"/>
        </w:rPr>
        <w:t>5.4 The Absence of Predictive Design Rules</w:t>
      </w:r>
    </w:p>
    <w:p w14:paraId="71BC99A4" w14:textId="77777777" w:rsidR="00E77864" w:rsidRDefault="00000000" w:rsidP="00117D6C">
      <w:pPr>
        <w:spacing w:before="100" w:beforeAutospacing="1" w:after="100" w:afterAutospacing="1"/>
        <w:jc w:val="both"/>
      </w:pPr>
      <w:r>
        <w:t>Despite decades of structure-property investigation, the field lacks quantitative design rules capable of predicting mucoadhesive performance from molecular descriptors. General qualitative principles are well established: sufficient molecular weight for entanglement but not so high as to impede interdiffusion; adequate chain flexibility; a high density of hydrogen-bonding groups; charge complementary to the substrate; and hydration behaviour matched to the application site (</w:t>
      </w:r>
      <w:proofErr w:type="spellStart"/>
      <w:r>
        <w:t>Khutoryanskiy</w:t>
      </w:r>
      <w:proofErr w:type="spellEnd"/>
      <w:r>
        <w:t>, 2011; Sosnik et al., 2014). These principles are directionally reliable and practically useful, but they do not permit ranking of candidate materials without experiment, and they cannot accommodate the covalent chemistries of Section 5.3 within a common framework.</w:t>
      </w:r>
    </w:p>
    <w:p w14:paraId="6B5F2E19" w14:textId="77777777" w:rsidR="00E77864" w:rsidRDefault="00000000" w:rsidP="00117D6C">
      <w:pPr>
        <w:spacing w:before="100" w:beforeAutospacing="1" w:after="100" w:afterAutospacing="1"/>
        <w:jc w:val="both"/>
      </w:pPr>
      <w:r>
        <w:t xml:space="preserve">Part of the obstacle is the substrate and measurement variability documented in Sections 3.3 and 7. Quantitative structure-property relationships require a consistent dependent variable, and </w:t>
      </w:r>
      <w:proofErr w:type="spellStart"/>
      <w:r>
        <w:t>mucoadhesion</w:t>
      </w:r>
      <w:proofErr w:type="spellEnd"/>
      <w:r>
        <w:t xml:space="preserve"> as currently measured is not one variable but several, measured against inconsistent substrates. Until that is addressed, the accumulation of further individual structure-property studies is unlikely to yield predictive capability.</w:t>
      </w:r>
    </w:p>
    <w:p w14:paraId="3D78694C" w14:textId="77777777" w:rsidR="00E77864" w:rsidRDefault="00000000" w:rsidP="00117D6C">
      <w:pPr>
        <w:spacing w:before="100" w:beforeAutospacing="1" w:after="100" w:afterAutospacing="1"/>
        <w:jc w:val="both"/>
      </w:pPr>
      <w:r>
        <w:t>Table 3 compares the principal functionalisation strategies according to the mechanism invoked, the direction and consistency of reported effects, the breadth of the supporting evidence base, and the specific developability considerations each raises. The comparison is deliberately weighted towards evidential breadth rather than reported magnitude of effect, because reported magnitudes are not comparable across the substrate and method differences discussed elsewhere in this review. Read in that way, the table indicates that first-generation materials retain the strongest translational position notwithstanding their weaker measured adhesion, and that the covalent strategies with the largest reported effects have the narrowest independent evidence base.</w:t>
      </w:r>
    </w:p>
    <w:p w14:paraId="4F6C57F5" w14:textId="77777777" w:rsidR="00E77864" w:rsidRDefault="00000000" w:rsidP="00117D6C">
      <w:pPr>
        <w:spacing w:before="100" w:beforeAutospacing="1" w:after="100" w:afterAutospacing="1"/>
      </w:pPr>
      <w:r>
        <w:rPr>
          <w:b/>
          <w:bCs/>
          <w:sz w:val="22"/>
          <w:szCs w:val="22"/>
        </w:rPr>
        <w:t>Table 3. Comparative appraisal of mucoadhesive functionalisation strategies by mechanism, evidential breadth and developability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687"/>
        <w:gridCol w:w="1906"/>
        <w:gridCol w:w="1688"/>
        <w:gridCol w:w="1907"/>
        <w:gridCol w:w="1040"/>
      </w:tblGrid>
      <w:tr w:rsidR="00E77864" w14:paraId="68232C9B" w14:textId="77777777" w:rsidTr="00117D6C">
        <w:trPr>
          <w:tblHeader/>
        </w:trPr>
        <w:tc>
          <w:tcPr>
            <w:tcW w:w="701" w:type="pct"/>
            <w:shd w:val="clear" w:color="auto" w:fill="E8E8E8"/>
            <w:tcMar>
              <w:top w:w="60" w:type="dxa"/>
              <w:left w:w="80" w:type="dxa"/>
              <w:bottom w:w="60" w:type="dxa"/>
              <w:right w:w="80" w:type="dxa"/>
            </w:tcMar>
          </w:tcPr>
          <w:p w14:paraId="0A77398F" w14:textId="77777777" w:rsidR="00E77864" w:rsidRDefault="00000000" w:rsidP="00117D6C">
            <w:pPr>
              <w:spacing w:before="100" w:beforeAutospacing="1" w:after="100" w:afterAutospacing="1"/>
            </w:pPr>
            <w:r>
              <w:rPr>
                <w:b/>
                <w:bCs/>
                <w:sz w:val="18"/>
                <w:szCs w:val="18"/>
              </w:rPr>
              <w:t>Strategy</w:t>
            </w:r>
          </w:p>
        </w:tc>
        <w:tc>
          <w:tcPr>
            <w:tcW w:w="882" w:type="pct"/>
            <w:shd w:val="clear" w:color="auto" w:fill="E8E8E8"/>
            <w:tcMar>
              <w:top w:w="60" w:type="dxa"/>
              <w:left w:w="80" w:type="dxa"/>
              <w:bottom w:w="60" w:type="dxa"/>
              <w:right w:w="80" w:type="dxa"/>
            </w:tcMar>
          </w:tcPr>
          <w:p w14:paraId="1AE7D77A" w14:textId="77777777" w:rsidR="00E77864" w:rsidRDefault="00000000" w:rsidP="00117D6C">
            <w:pPr>
              <w:spacing w:before="100" w:beforeAutospacing="1" w:after="100" w:afterAutospacing="1"/>
            </w:pPr>
            <w:r>
              <w:rPr>
                <w:b/>
                <w:bCs/>
                <w:sz w:val="18"/>
                <w:szCs w:val="18"/>
              </w:rPr>
              <w:t>Principal interaction with mucin</w:t>
            </w:r>
          </w:p>
        </w:tc>
        <w:tc>
          <w:tcPr>
            <w:tcW w:w="995" w:type="pct"/>
            <w:shd w:val="clear" w:color="auto" w:fill="E8E8E8"/>
            <w:tcMar>
              <w:top w:w="60" w:type="dxa"/>
              <w:left w:w="80" w:type="dxa"/>
              <w:bottom w:w="60" w:type="dxa"/>
              <w:right w:w="80" w:type="dxa"/>
            </w:tcMar>
          </w:tcPr>
          <w:p w14:paraId="4B422375" w14:textId="77777777" w:rsidR="00E77864" w:rsidRDefault="00000000" w:rsidP="00117D6C">
            <w:pPr>
              <w:spacing w:before="100" w:beforeAutospacing="1" w:after="100" w:afterAutospacing="1"/>
            </w:pPr>
            <w:r>
              <w:rPr>
                <w:b/>
                <w:bCs/>
                <w:sz w:val="18"/>
                <w:szCs w:val="18"/>
              </w:rPr>
              <w:t>Consistency and direction of reported effects</w:t>
            </w:r>
          </w:p>
        </w:tc>
        <w:tc>
          <w:tcPr>
            <w:tcW w:w="882" w:type="pct"/>
            <w:shd w:val="clear" w:color="auto" w:fill="E8E8E8"/>
            <w:tcMar>
              <w:top w:w="60" w:type="dxa"/>
              <w:left w:w="80" w:type="dxa"/>
              <w:bottom w:w="60" w:type="dxa"/>
              <w:right w:w="80" w:type="dxa"/>
            </w:tcMar>
          </w:tcPr>
          <w:p w14:paraId="43572BED" w14:textId="77777777" w:rsidR="00E77864" w:rsidRDefault="00000000" w:rsidP="00117D6C">
            <w:pPr>
              <w:spacing w:before="100" w:beforeAutospacing="1" w:after="100" w:afterAutospacing="1"/>
            </w:pPr>
            <w:r>
              <w:rPr>
                <w:b/>
                <w:bCs/>
                <w:sz w:val="18"/>
                <w:szCs w:val="18"/>
              </w:rPr>
              <w:t>Breadth of independent evidence</w:t>
            </w:r>
          </w:p>
        </w:tc>
        <w:tc>
          <w:tcPr>
            <w:tcW w:w="995" w:type="pct"/>
            <w:shd w:val="clear" w:color="auto" w:fill="E8E8E8"/>
            <w:tcMar>
              <w:top w:w="60" w:type="dxa"/>
              <w:left w:w="80" w:type="dxa"/>
              <w:bottom w:w="60" w:type="dxa"/>
              <w:right w:w="80" w:type="dxa"/>
            </w:tcMar>
          </w:tcPr>
          <w:p w14:paraId="023CF692" w14:textId="77777777" w:rsidR="00E77864" w:rsidRDefault="00000000" w:rsidP="00117D6C">
            <w:pPr>
              <w:spacing w:before="100" w:beforeAutospacing="1" w:after="100" w:afterAutospacing="1"/>
            </w:pPr>
            <w:r>
              <w:rPr>
                <w:b/>
                <w:bCs/>
                <w:sz w:val="18"/>
                <w:szCs w:val="18"/>
              </w:rPr>
              <w:t>Developability considerations</w:t>
            </w:r>
          </w:p>
        </w:tc>
        <w:tc>
          <w:tcPr>
            <w:tcW w:w="543" w:type="pct"/>
            <w:shd w:val="clear" w:color="auto" w:fill="E8E8E8"/>
            <w:tcMar>
              <w:top w:w="60" w:type="dxa"/>
              <w:left w:w="80" w:type="dxa"/>
              <w:bottom w:w="60" w:type="dxa"/>
              <w:right w:w="80" w:type="dxa"/>
            </w:tcMar>
          </w:tcPr>
          <w:p w14:paraId="77CBFFD9" w14:textId="77777777" w:rsidR="00E77864" w:rsidRDefault="00000000" w:rsidP="00117D6C">
            <w:pPr>
              <w:spacing w:before="100" w:beforeAutospacing="1" w:after="100" w:afterAutospacing="1"/>
            </w:pPr>
            <w:r>
              <w:rPr>
                <w:b/>
                <w:bCs/>
                <w:sz w:val="18"/>
                <w:szCs w:val="18"/>
              </w:rPr>
              <w:t>Supporting references</w:t>
            </w:r>
          </w:p>
        </w:tc>
      </w:tr>
      <w:tr w:rsidR="00E77864" w14:paraId="2B60A107" w14:textId="77777777" w:rsidTr="00117D6C">
        <w:tc>
          <w:tcPr>
            <w:tcW w:w="701" w:type="pct"/>
            <w:tcMar>
              <w:top w:w="60" w:type="dxa"/>
              <w:left w:w="80" w:type="dxa"/>
              <w:bottom w:w="60" w:type="dxa"/>
              <w:right w:w="80" w:type="dxa"/>
            </w:tcMar>
          </w:tcPr>
          <w:p w14:paraId="28732222" w14:textId="77777777" w:rsidR="00E77864" w:rsidRDefault="00000000" w:rsidP="00117D6C">
            <w:pPr>
              <w:spacing w:before="100" w:beforeAutospacing="1" w:after="100" w:afterAutospacing="1"/>
            </w:pPr>
            <w:r>
              <w:rPr>
                <w:sz w:val="18"/>
                <w:szCs w:val="18"/>
              </w:rPr>
              <w:t>Unmodified hydrophilic polymers</w:t>
            </w:r>
          </w:p>
        </w:tc>
        <w:tc>
          <w:tcPr>
            <w:tcW w:w="882" w:type="pct"/>
            <w:tcMar>
              <w:top w:w="60" w:type="dxa"/>
              <w:left w:w="80" w:type="dxa"/>
              <w:bottom w:w="60" w:type="dxa"/>
              <w:right w:w="80" w:type="dxa"/>
            </w:tcMar>
          </w:tcPr>
          <w:p w14:paraId="63F13470" w14:textId="77777777" w:rsidR="00E77864" w:rsidRDefault="00000000" w:rsidP="00117D6C">
            <w:pPr>
              <w:spacing w:before="100" w:beforeAutospacing="1" w:after="100" w:afterAutospacing="1"/>
            </w:pPr>
            <w:r>
              <w:rPr>
                <w:sz w:val="18"/>
                <w:szCs w:val="18"/>
              </w:rPr>
              <w:t>Hydrogen bonding, entanglement, hydration-driven interpenetration</w:t>
            </w:r>
          </w:p>
        </w:tc>
        <w:tc>
          <w:tcPr>
            <w:tcW w:w="995" w:type="pct"/>
            <w:tcMar>
              <w:top w:w="60" w:type="dxa"/>
              <w:left w:w="80" w:type="dxa"/>
              <w:bottom w:w="60" w:type="dxa"/>
              <w:right w:w="80" w:type="dxa"/>
            </w:tcMar>
          </w:tcPr>
          <w:p w14:paraId="37758E78" w14:textId="77777777" w:rsidR="00E77864" w:rsidRDefault="00000000" w:rsidP="00117D6C">
            <w:pPr>
              <w:spacing w:before="100" w:beforeAutospacing="1" w:after="100" w:afterAutospacing="1"/>
            </w:pPr>
            <w:r>
              <w:rPr>
                <w:sz w:val="18"/>
                <w:szCs w:val="18"/>
              </w:rPr>
              <w:t>Consistent and moderate; well reproduced across laboratories and dosage forms</w:t>
            </w:r>
          </w:p>
        </w:tc>
        <w:tc>
          <w:tcPr>
            <w:tcW w:w="882" w:type="pct"/>
            <w:tcMar>
              <w:top w:w="60" w:type="dxa"/>
              <w:left w:w="80" w:type="dxa"/>
              <w:bottom w:w="60" w:type="dxa"/>
              <w:right w:w="80" w:type="dxa"/>
            </w:tcMar>
          </w:tcPr>
          <w:p w14:paraId="33E76D02" w14:textId="77777777" w:rsidR="00E77864" w:rsidRDefault="00000000" w:rsidP="00117D6C">
            <w:pPr>
              <w:spacing w:before="100" w:beforeAutospacing="1" w:after="100" w:afterAutospacing="1"/>
            </w:pPr>
            <w:r>
              <w:rPr>
                <w:sz w:val="18"/>
                <w:szCs w:val="18"/>
              </w:rPr>
              <w:t>Broad; multiple independent groups, several marketed products</w:t>
            </w:r>
          </w:p>
        </w:tc>
        <w:tc>
          <w:tcPr>
            <w:tcW w:w="995" w:type="pct"/>
            <w:tcMar>
              <w:top w:w="60" w:type="dxa"/>
              <w:left w:w="80" w:type="dxa"/>
              <w:bottom w:w="60" w:type="dxa"/>
              <w:right w:w="80" w:type="dxa"/>
            </w:tcMar>
          </w:tcPr>
          <w:p w14:paraId="504DB048" w14:textId="77777777" w:rsidR="00E77864" w:rsidRDefault="00000000" w:rsidP="00117D6C">
            <w:pPr>
              <w:spacing w:before="100" w:beforeAutospacing="1" w:after="100" w:afterAutospacing="1"/>
            </w:pPr>
            <w:proofErr w:type="spellStart"/>
            <w:r>
              <w:rPr>
                <w:sz w:val="18"/>
                <w:szCs w:val="18"/>
              </w:rPr>
              <w:t>Pharmacopoeial</w:t>
            </w:r>
            <w:proofErr w:type="spellEnd"/>
            <w:r>
              <w:rPr>
                <w:sz w:val="18"/>
                <w:szCs w:val="18"/>
              </w:rPr>
              <w:t xml:space="preserve"> grades available; conventional processing; established toxicology</w:t>
            </w:r>
          </w:p>
        </w:tc>
        <w:tc>
          <w:tcPr>
            <w:tcW w:w="543" w:type="pct"/>
            <w:tcMar>
              <w:top w:w="60" w:type="dxa"/>
              <w:left w:w="80" w:type="dxa"/>
              <w:bottom w:w="60" w:type="dxa"/>
              <w:right w:w="80" w:type="dxa"/>
            </w:tcMar>
          </w:tcPr>
          <w:p w14:paraId="4F7089BB" w14:textId="77777777" w:rsidR="00E77864" w:rsidRDefault="00000000" w:rsidP="00117D6C">
            <w:pPr>
              <w:spacing w:before="100" w:beforeAutospacing="1" w:after="100" w:afterAutospacing="1"/>
            </w:pPr>
            <w:r>
              <w:rPr>
                <w:sz w:val="18"/>
                <w:szCs w:val="18"/>
              </w:rPr>
              <w:t>Rojewska et al. (2026); Sosnik et al. (2014)</w:t>
            </w:r>
          </w:p>
        </w:tc>
      </w:tr>
      <w:tr w:rsidR="00E77864" w14:paraId="6A1801ED" w14:textId="77777777" w:rsidTr="00117D6C">
        <w:tc>
          <w:tcPr>
            <w:tcW w:w="701" w:type="pct"/>
            <w:tcMar>
              <w:top w:w="60" w:type="dxa"/>
              <w:left w:w="80" w:type="dxa"/>
              <w:bottom w:w="60" w:type="dxa"/>
              <w:right w:w="80" w:type="dxa"/>
            </w:tcMar>
          </w:tcPr>
          <w:p w14:paraId="350E5812" w14:textId="77777777" w:rsidR="00E77864" w:rsidRDefault="00000000" w:rsidP="00117D6C">
            <w:pPr>
              <w:spacing w:before="100" w:beforeAutospacing="1" w:after="100" w:afterAutospacing="1"/>
            </w:pPr>
            <w:r>
              <w:rPr>
                <w:sz w:val="18"/>
                <w:szCs w:val="18"/>
              </w:rPr>
              <w:t>Cationic polysaccharides (chitosan and derivatives)</w:t>
            </w:r>
          </w:p>
        </w:tc>
        <w:tc>
          <w:tcPr>
            <w:tcW w:w="882" w:type="pct"/>
            <w:tcMar>
              <w:top w:w="60" w:type="dxa"/>
              <w:left w:w="80" w:type="dxa"/>
              <w:bottom w:w="60" w:type="dxa"/>
              <w:right w:w="80" w:type="dxa"/>
            </w:tcMar>
          </w:tcPr>
          <w:p w14:paraId="02556BCE" w14:textId="77777777" w:rsidR="00E77864" w:rsidRDefault="00000000" w:rsidP="00117D6C">
            <w:pPr>
              <w:spacing w:before="100" w:beforeAutospacing="1" w:after="100" w:afterAutospacing="1"/>
            </w:pPr>
            <w:r>
              <w:rPr>
                <w:sz w:val="18"/>
                <w:szCs w:val="18"/>
              </w:rPr>
              <w:t>Electrostatic attraction to sialic acid and sulphate groups; hydrogen bonding</w:t>
            </w:r>
          </w:p>
        </w:tc>
        <w:tc>
          <w:tcPr>
            <w:tcW w:w="995" w:type="pct"/>
            <w:tcMar>
              <w:top w:w="60" w:type="dxa"/>
              <w:left w:w="80" w:type="dxa"/>
              <w:bottom w:w="60" w:type="dxa"/>
              <w:right w:w="80" w:type="dxa"/>
            </w:tcMar>
          </w:tcPr>
          <w:p w14:paraId="22157955" w14:textId="77777777" w:rsidR="00E77864" w:rsidRDefault="00000000" w:rsidP="00117D6C">
            <w:pPr>
              <w:spacing w:before="100" w:beforeAutospacing="1" w:after="100" w:afterAutospacing="1"/>
            </w:pPr>
            <w:r>
              <w:rPr>
                <w:sz w:val="18"/>
                <w:szCs w:val="18"/>
              </w:rPr>
              <w:t>Consistent and moderate to strong; adhesion confounded with permeation enhancement</w:t>
            </w:r>
          </w:p>
        </w:tc>
        <w:tc>
          <w:tcPr>
            <w:tcW w:w="882" w:type="pct"/>
            <w:tcMar>
              <w:top w:w="60" w:type="dxa"/>
              <w:left w:w="80" w:type="dxa"/>
              <w:bottom w:w="60" w:type="dxa"/>
              <w:right w:w="80" w:type="dxa"/>
            </w:tcMar>
          </w:tcPr>
          <w:p w14:paraId="2CDC6DE6" w14:textId="77777777" w:rsidR="00E77864" w:rsidRDefault="00000000" w:rsidP="00117D6C">
            <w:pPr>
              <w:spacing w:before="100" w:beforeAutospacing="1" w:after="100" w:afterAutospacing="1"/>
            </w:pPr>
            <w:r>
              <w:rPr>
                <w:sz w:val="18"/>
                <w:szCs w:val="18"/>
              </w:rPr>
              <w:t>Broad, but adhesion and permeation effects rarely separated</w:t>
            </w:r>
          </w:p>
        </w:tc>
        <w:tc>
          <w:tcPr>
            <w:tcW w:w="995" w:type="pct"/>
            <w:tcMar>
              <w:top w:w="60" w:type="dxa"/>
              <w:left w:w="80" w:type="dxa"/>
              <w:bottom w:w="60" w:type="dxa"/>
              <w:right w:w="80" w:type="dxa"/>
            </w:tcMar>
          </w:tcPr>
          <w:p w14:paraId="1F70EDFE" w14:textId="77777777" w:rsidR="00E77864" w:rsidRDefault="00000000" w:rsidP="00117D6C">
            <w:pPr>
              <w:spacing w:before="100" w:beforeAutospacing="1" w:after="100" w:afterAutospacing="1"/>
            </w:pPr>
            <w:r>
              <w:rPr>
                <w:sz w:val="18"/>
                <w:szCs w:val="18"/>
              </w:rPr>
              <w:t>Solubility requires chemical modification; reversible tight-junction opening raises chronic-use questions</w:t>
            </w:r>
          </w:p>
        </w:tc>
        <w:tc>
          <w:tcPr>
            <w:tcW w:w="543" w:type="pct"/>
            <w:tcMar>
              <w:top w:w="60" w:type="dxa"/>
              <w:left w:w="80" w:type="dxa"/>
              <w:bottom w:w="60" w:type="dxa"/>
              <w:right w:w="80" w:type="dxa"/>
            </w:tcMar>
          </w:tcPr>
          <w:p w14:paraId="4A66F028" w14:textId="77777777" w:rsidR="00E77864" w:rsidRDefault="00000000" w:rsidP="00117D6C">
            <w:pPr>
              <w:spacing w:before="100" w:beforeAutospacing="1" w:after="100" w:afterAutospacing="1"/>
            </w:pPr>
            <w:proofErr w:type="spellStart"/>
            <w:r>
              <w:rPr>
                <w:sz w:val="18"/>
                <w:szCs w:val="18"/>
              </w:rPr>
              <w:t>Sonaje</w:t>
            </w:r>
            <w:proofErr w:type="spellEnd"/>
            <w:r>
              <w:rPr>
                <w:sz w:val="18"/>
                <w:szCs w:val="18"/>
              </w:rPr>
              <w:t xml:space="preserve"> et al. (2012); Suryani et al. (2024); Yeh et al. (2011)</w:t>
            </w:r>
          </w:p>
        </w:tc>
      </w:tr>
      <w:tr w:rsidR="00E77864" w14:paraId="1C99211C" w14:textId="77777777" w:rsidTr="00117D6C">
        <w:tc>
          <w:tcPr>
            <w:tcW w:w="701" w:type="pct"/>
            <w:tcMar>
              <w:top w:w="60" w:type="dxa"/>
              <w:left w:w="80" w:type="dxa"/>
              <w:bottom w:w="60" w:type="dxa"/>
              <w:right w:w="80" w:type="dxa"/>
            </w:tcMar>
          </w:tcPr>
          <w:p w14:paraId="360EC14E" w14:textId="77777777" w:rsidR="00E77864" w:rsidRDefault="00000000" w:rsidP="00117D6C">
            <w:pPr>
              <w:spacing w:before="100" w:beforeAutospacing="1" w:after="100" w:afterAutospacing="1"/>
            </w:pPr>
            <w:proofErr w:type="spellStart"/>
            <w:r>
              <w:rPr>
                <w:sz w:val="18"/>
                <w:szCs w:val="18"/>
              </w:rPr>
              <w:lastRenderedPageBreak/>
              <w:t>Thiolated</w:t>
            </w:r>
            <w:proofErr w:type="spellEnd"/>
            <w:r>
              <w:rPr>
                <w:sz w:val="18"/>
                <w:szCs w:val="18"/>
              </w:rPr>
              <w:t xml:space="preserve"> polymers, unprotected</w:t>
            </w:r>
          </w:p>
        </w:tc>
        <w:tc>
          <w:tcPr>
            <w:tcW w:w="882" w:type="pct"/>
            <w:tcMar>
              <w:top w:w="60" w:type="dxa"/>
              <w:left w:w="80" w:type="dxa"/>
              <w:bottom w:w="60" w:type="dxa"/>
              <w:right w:w="80" w:type="dxa"/>
            </w:tcMar>
          </w:tcPr>
          <w:p w14:paraId="6F1AAFDD" w14:textId="77777777" w:rsidR="00E77864" w:rsidRDefault="00000000" w:rsidP="00117D6C">
            <w:pPr>
              <w:spacing w:before="100" w:beforeAutospacing="1" w:after="100" w:afterAutospacing="1"/>
            </w:pPr>
            <w:r>
              <w:rPr>
                <w:sz w:val="18"/>
                <w:szCs w:val="18"/>
              </w:rPr>
              <w:t>Disulphide exchange with mucin cysteine domains</w:t>
            </w:r>
          </w:p>
        </w:tc>
        <w:tc>
          <w:tcPr>
            <w:tcW w:w="995" w:type="pct"/>
            <w:tcMar>
              <w:top w:w="60" w:type="dxa"/>
              <w:left w:w="80" w:type="dxa"/>
              <w:bottom w:w="60" w:type="dxa"/>
              <w:right w:w="80" w:type="dxa"/>
            </w:tcMar>
          </w:tcPr>
          <w:p w14:paraId="6DD9AC04" w14:textId="77777777" w:rsidR="00E77864" w:rsidRDefault="00000000" w:rsidP="00117D6C">
            <w:pPr>
              <w:spacing w:before="100" w:beforeAutospacing="1" w:after="100" w:afterAutospacing="1"/>
            </w:pPr>
            <w:r>
              <w:rPr>
                <w:sz w:val="18"/>
                <w:szCs w:val="18"/>
              </w:rPr>
              <w:t>Consistent increase over parent polymer, but limited by premature thiol oxidation</w:t>
            </w:r>
          </w:p>
        </w:tc>
        <w:tc>
          <w:tcPr>
            <w:tcW w:w="882" w:type="pct"/>
            <w:tcMar>
              <w:top w:w="60" w:type="dxa"/>
              <w:left w:w="80" w:type="dxa"/>
              <w:bottom w:w="60" w:type="dxa"/>
              <w:right w:w="80" w:type="dxa"/>
            </w:tcMar>
          </w:tcPr>
          <w:p w14:paraId="52A903AC" w14:textId="77777777" w:rsidR="00E77864" w:rsidRDefault="00000000" w:rsidP="00117D6C">
            <w:pPr>
              <w:spacing w:before="100" w:beforeAutospacing="1" w:after="100" w:afterAutospacing="1"/>
            </w:pPr>
            <w:r>
              <w:rPr>
                <w:sz w:val="18"/>
                <w:szCs w:val="18"/>
              </w:rPr>
              <w:t>Moderate; concentrated in a small number of associated groups</w:t>
            </w:r>
          </w:p>
        </w:tc>
        <w:tc>
          <w:tcPr>
            <w:tcW w:w="995" w:type="pct"/>
            <w:tcMar>
              <w:top w:w="60" w:type="dxa"/>
              <w:left w:w="80" w:type="dxa"/>
              <w:bottom w:w="60" w:type="dxa"/>
              <w:right w:w="80" w:type="dxa"/>
            </w:tcMar>
          </w:tcPr>
          <w:p w14:paraId="38FEBED1" w14:textId="77777777" w:rsidR="00E77864" w:rsidRDefault="00000000" w:rsidP="00117D6C">
            <w:pPr>
              <w:spacing w:before="100" w:beforeAutospacing="1" w:after="100" w:afterAutospacing="1"/>
            </w:pPr>
            <w:r>
              <w:rPr>
                <w:sz w:val="18"/>
                <w:szCs w:val="18"/>
              </w:rPr>
              <w:t>Oxidative instability during storage; thiol content must be controlled as a critical attribute</w:t>
            </w:r>
          </w:p>
        </w:tc>
        <w:tc>
          <w:tcPr>
            <w:tcW w:w="543" w:type="pct"/>
            <w:tcMar>
              <w:top w:w="60" w:type="dxa"/>
              <w:left w:w="80" w:type="dxa"/>
              <w:bottom w:w="60" w:type="dxa"/>
              <w:right w:w="80" w:type="dxa"/>
            </w:tcMar>
          </w:tcPr>
          <w:p w14:paraId="1FEB2FE5" w14:textId="77777777" w:rsidR="00E77864" w:rsidRDefault="00000000" w:rsidP="00117D6C">
            <w:pPr>
              <w:spacing w:before="100" w:beforeAutospacing="1" w:after="100" w:afterAutospacing="1"/>
            </w:pPr>
            <w:r>
              <w:rPr>
                <w:sz w:val="18"/>
                <w:szCs w:val="18"/>
              </w:rPr>
              <w:t>Knoll et al. (2021); Puri et al. (2020)</w:t>
            </w:r>
          </w:p>
        </w:tc>
      </w:tr>
      <w:tr w:rsidR="00E77864" w14:paraId="1B03FFBF" w14:textId="77777777" w:rsidTr="00117D6C">
        <w:tc>
          <w:tcPr>
            <w:tcW w:w="701" w:type="pct"/>
            <w:tcMar>
              <w:top w:w="60" w:type="dxa"/>
              <w:left w:w="80" w:type="dxa"/>
              <w:bottom w:w="60" w:type="dxa"/>
              <w:right w:w="80" w:type="dxa"/>
            </w:tcMar>
          </w:tcPr>
          <w:p w14:paraId="3997FC80" w14:textId="77777777" w:rsidR="00E77864" w:rsidRDefault="00000000" w:rsidP="00117D6C">
            <w:pPr>
              <w:spacing w:before="100" w:beforeAutospacing="1" w:after="100" w:afterAutospacing="1"/>
            </w:pPr>
            <w:proofErr w:type="spellStart"/>
            <w:r>
              <w:rPr>
                <w:sz w:val="18"/>
                <w:szCs w:val="18"/>
              </w:rPr>
              <w:t>Thiolated</w:t>
            </w:r>
            <w:proofErr w:type="spellEnd"/>
            <w:r>
              <w:rPr>
                <w:sz w:val="18"/>
                <w:szCs w:val="18"/>
              </w:rPr>
              <w:t xml:space="preserve"> polymers, S-protected and less reactive</w:t>
            </w:r>
          </w:p>
        </w:tc>
        <w:tc>
          <w:tcPr>
            <w:tcW w:w="882" w:type="pct"/>
            <w:tcMar>
              <w:top w:w="60" w:type="dxa"/>
              <w:left w:w="80" w:type="dxa"/>
              <w:bottom w:w="60" w:type="dxa"/>
              <w:right w:w="80" w:type="dxa"/>
            </w:tcMar>
          </w:tcPr>
          <w:p w14:paraId="16BE7F5D" w14:textId="77777777" w:rsidR="00E77864" w:rsidRDefault="00000000" w:rsidP="00117D6C">
            <w:pPr>
              <w:spacing w:before="100" w:beforeAutospacing="1" w:after="100" w:afterAutospacing="1"/>
            </w:pPr>
            <w:r>
              <w:rPr>
                <w:sz w:val="18"/>
                <w:szCs w:val="18"/>
              </w:rPr>
              <w:t>Controlled disulphide exchange following ligand displacement</w:t>
            </w:r>
          </w:p>
        </w:tc>
        <w:tc>
          <w:tcPr>
            <w:tcW w:w="995" w:type="pct"/>
            <w:tcMar>
              <w:top w:w="60" w:type="dxa"/>
              <w:left w:w="80" w:type="dxa"/>
              <w:bottom w:w="60" w:type="dxa"/>
              <w:right w:w="80" w:type="dxa"/>
            </w:tcMar>
          </w:tcPr>
          <w:p w14:paraId="2528C37E" w14:textId="77777777" w:rsidR="00E77864" w:rsidRDefault="00000000" w:rsidP="00117D6C">
            <w:pPr>
              <w:spacing w:before="100" w:beforeAutospacing="1" w:after="100" w:afterAutospacing="1"/>
            </w:pPr>
            <w:r>
              <w:rPr>
                <w:sz w:val="18"/>
                <w:szCs w:val="18"/>
              </w:rPr>
              <w:t>Consistent and large; less reactive derivatives outperform more reactive preactivated ones</w:t>
            </w:r>
          </w:p>
        </w:tc>
        <w:tc>
          <w:tcPr>
            <w:tcW w:w="882" w:type="pct"/>
            <w:tcMar>
              <w:top w:w="60" w:type="dxa"/>
              <w:left w:w="80" w:type="dxa"/>
              <w:bottom w:w="60" w:type="dxa"/>
              <w:right w:w="80" w:type="dxa"/>
            </w:tcMar>
          </w:tcPr>
          <w:p w14:paraId="27E06ECC" w14:textId="77777777" w:rsidR="00E77864" w:rsidRDefault="00000000" w:rsidP="00117D6C">
            <w:pPr>
              <w:spacing w:before="100" w:beforeAutospacing="1" w:after="100" w:afterAutospacing="1"/>
            </w:pPr>
            <w:r>
              <w:rPr>
                <w:sz w:val="18"/>
                <w:szCs w:val="18"/>
              </w:rPr>
              <w:t>Moderate; internally consistent but narrow independent replication</w:t>
            </w:r>
          </w:p>
        </w:tc>
        <w:tc>
          <w:tcPr>
            <w:tcW w:w="995" w:type="pct"/>
            <w:tcMar>
              <w:top w:w="60" w:type="dxa"/>
              <w:left w:w="80" w:type="dxa"/>
              <w:bottom w:w="60" w:type="dxa"/>
              <w:right w:w="80" w:type="dxa"/>
            </w:tcMar>
          </w:tcPr>
          <w:p w14:paraId="68076086" w14:textId="77777777" w:rsidR="00E77864" w:rsidRDefault="00000000" w:rsidP="00117D6C">
            <w:pPr>
              <w:spacing w:before="100" w:beforeAutospacing="1" w:after="100" w:afterAutospacing="1"/>
            </w:pPr>
            <w:r>
              <w:rPr>
                <w:sz w:val="18"/>
                <w:szCs w:val="18"/>
              </w:rPr>
              <w:t>Additional synthetic steps; ligand release must be characterised toxicologically</w:t>
            </w:r>
          </w:p>
        </w:tc>
        <w:tc>
          <w:tcPr>
            <w:tcW w:w="543" w:type="pct"/>
            <w:tcMar>
              <w:top w:w="60" w:type="dxa"/>
              <w:left w:w="80" w:type="dxa"/>
              <w:bottom w:w="60" w:type="dxa"/>
              <w:right w:w="80" w:type="dxa"/>
            </w:tcMar>
          </w:tcPr>
          <w:p w14:paraId="7E0EDB67" w14:textId="77777777" w:rsidR="00E77864" w:rsidRDefault="00000000" w:rsidP="00117D6C">
            <w:pPr>
              <w:spacing w:before="100" w:beforeAutospacing="1" w:after="100" w:afterAutospacing="1"/>
            </w:pPr>
            <w:r>
              <w:rPr>
                <w:sz w:val="18"/>
                <w:szCs w:val="18"/>
              </w:rPr>
              <w:t>Knoll et al. (2021); Shahzadi et al. (2020)</w:t>
            </w:r>
          </w:p>
        </w:tc>
      </w:tr>
      <w:tr w:rsidR="00E77864" w14:paraId="6F6BC39A" w14:textId="77777777" w:rsidTr="00117D6C">
        <w:tc>
          <w:tcPr>
            <w:tcW w:w="701" w:type="pct"/>
            <w:tcMar>
              <w:top w:w="60" w:type="dxa"/>
              <w:left w:w="80" w:type="dxa"/>
              <w:bottom w:w="60" w:type="dxa"/>
              <w:right w:w="80" w:type="dxa"/>
            </w:tcMar>
          </w:tcPr>
          <w:p w14:paraId="037709A6" w14:textId="77777777" w:rsidR="00E77864" w:rsidRDefault="00000000" w:rsidP="00117D6C">
            <w:pPr>
              <w:spacing w:before="100" w:beforeAutospacing="1" w:after="100" w:afterAutospacing="1"/>
            </w:pPr>
            <w:r>
              <w:rPr>
                <w:sz w:val="18"/>
                <w:szCs w:val="18"/>
              </w:rPr>
              <w:t>Maleimide functionalisation</w:t>
            </w:r>
          </w:p>
        </w:tc>
        <w:tc>
          <w:tcPr>
            <w:tcW w:w="882" w:type="pct"/>
            <w:tcMar>
              <w:top w:w="60" w:type="dxa"/>
              <w:left w:w="80" w:type="dxa"/>
              <w:bottom w:w="60" w:type="dxa"/>
              <w:right w:w="80" w:type="dxa"/>
            </w:tcMar>
          </w:tcPr>
          <w:p w14:paraId="08B9CED2" w14:textId="77777777" w:rsidR="00E77864" w:rsidRDefault="00000000" w:rsidP="00117D6C">
            <w:pPr>
              <w:spacing w:before="100" w:beforeAutospacing="1" w:after="100" w:afterAutospacing="1"/>
            </w:pPr>
            <w:r>
              <w:rPr>
                <w:sz w:val="18"/>
                <w:szCs w:val="18"/>
              </w:rPr>
              <w:t>Michael addition to accessible substrate thiols</w:t>
            </w:r>
          </w:p>
        </w:tc>
        <w:tc>
          <w:tcPr>
            <w:tcW w:w="995" w:type="pct"/>
            <w:tcMar>
              <w:top w:w="60" w:type="dxa"/>
              <w:left w:w="80" w:type="dxa"/>
              <w:bottom w:w="60" w:type="dxa"/>
              <w:right w:w="80" w:type="dxa"/>
            </w:tcMar>
          </w:tcPr>
          <w:p w14:paraId="5B3FF387" w14:textId="77777777" w:rsidR="00E77864" w:rsidRDefault="00000000" w:rsidP="00117D6C">
            <w:pPr>
              <w:spacing w:before="100" w:beforeAutospacing="1" w:after="100" w:afterAutospacing="1"/>
            </w:pPr>
            <w:r>
              <w:rPr>
                <w:sz w:val="18"/>
                <w:szCs w:val="18"/>
              </w:rPr>
              <w:t>Consistent increase in retention across liposomal, polymeric and excipient formats</w:t>
            </w:r>
          </w:p>
        </w:tc>
        <w:tc>
          <w:tcPr>
            <w:tcW w:w="882" w:type="pct"/>
            <w:tcMar>
              <w:top w:w="60" w:type="dxa"/>
              <w:left w:w="80" w:type="dxa"/>
              <w:bottom w:w="60" w:type="dxa"/>
              <w:right w:w="80" w:type="dxa"/>
            </w:tcMar>
          </w:tcPr>
          <w:p w14:paraId="3F6E6672" w14:textId="77777777" w:rsidR="00E77864" w:rsidRDefault="00000000" w:rsidP="00117D6C">
            <w:pPr>
              <w:spacing w:before="100" w:beforeAutospacing="1" w:after="100" w:afterAutospacing="1"/>
            </w:pPr>
            <w:r>
              <w:rPr>
                <w:sz w:val="18"/>
                <w:szCs w:val="18"/>
              </w:rPr>
              <w:t>Narrow; predominantly one research network across several backbones</w:t>
            </w:r>
          </w:p>
        </w:tc>
        <w:tc>
          <w:tcPr>
            <w:tcW w:w="995" w:type="pct"/>
            <w:tcMar>
              <w:top w:w="60" w:type="dxa"/>
              <w:left w:w="80" w:type="dxa"/>
              <w:bottom w:w="60" w:type="dxa"/>
              <w:right w:w="80" w:type="dxa"/>
            </w:tcMar>
          </w:tcPr>
          <w:p w14:paraId="095D0C8B" w14:textId="77777777" w:rsidR="00E77864" w:rsidRDefault="00000000" w:rsidP="00117D6C">
            <w:pPr>
              <w:spacing w:before="100" w:beforeAutospacing="1" w:after="100" w:afterAutospacing="1"/>
            </w:pPr>
            <w:r>
              <w:rPr>
                <w:sz w:val="18"/>
                <w:szCs w:val="18"/>
              </w:rPr>
              <w:t>Hydrolytic ring opening; substrate thiol availability varies by site and is seldom quantified</w:t>
            </w:r>
          </w:p>
        </w:tc>
        <w:tc>
          <w:tcPr>
            <w:tcW w:w="543" w:type="pct"/>
            <w:tcMar>
              <w:top w:w="60" w:type="dxa"/>
              <w:left w:w="80" w:type="dxa"/>
              <w:bottom w:w="60" w:type="dxa"/>
              <w:right w:w="80" w:type="dxa"/>
            </w:tcMar>
          </w:tcPr>
          <w:p w14:paraId="51B6DDE7" w14:textId="77777777" w:rsidR="00E77864" w:rsidRDefault="00000000" w:rsidP="00117D6C">
            <w:pPr>
              <w:spacing w:before="100" w:beforeAutospacing="1" w:after="100" w:afterAutospacing="1"/>
            </w:pPr>
            <w:r>
              <w:rPr>
                <w:sz w:val="18"/>
                <w:szCs w:val="18"/>
              </w:rPr>
              <w:t xml:space="preserve">Buang et al. (2023); </w:t>
            </w: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w:t>
            </w:r>
            <w:proofErr w:type="spellStart"/>
            <w:r>
              <w:rPr>
                <w:sz w:val="18"/>
                <w:szCs w:val="18"/>
              </w:rPr>
              <w:t>Shtenberg</w:t>
            </w:r>
            <w:proofErr w:type="spellEnd"/>
            <w:r>
              <w:rPr>
                <w:sz w:val="18"/>
                <w:szCs w:val="18"/>
              </w:rPr>
              <w:t xml:space="preserve"> et al. (2017)</w:t>
            </w:r>
          </w:p>
        </w:tc>
      </w:tr>
      <w:tr w:rsidR="00E77864" w14:paraId="55968666" w14:textId="77777777" w:rsidTr="00117D6C">
        <w:tc>
          <w:tcPr>
            <w:tcW w:w="701" w:type="pct"/>
            <w:tcMar>
              <w:top w:w="60" w:type="dxa"/>
              <w:left w:w="80" w:type="dxa"/>
              <w:bottom w:w="60" w:type="dxa"/>
              <w:right w:w="80" w:type="dxa"/>
            </w:tcMar>
          </w:tcPr>
          <w:p w14:paraId="143BDF3D" w14:textId="77777777" w:rsidR="00E77864" w:rsidRDefault="00000000" w:rsidP="00117D6C">
            <w:pPr>
              <w:spacing w:before="100" w:beforeAutospacing="1" w:after="100" w:afterAutospacing="1"/>
            </w:pPr>
            <w:r>
              <w:rPr>
                <w:sz w:val="18"/>
                <w:szCs w:val="18"/>
              </w:rPr>
              <w:t>Catechol and mussel-inspired chemistry</w:t>
            </w:r>
          </w:p>
        </w:tc>
        <w:tc>
          <w:tcPr>
            <w:tcW w:w="882" w:type="pct"/>
            <w:tcMar>
              <w:top w:w="60" w:type="dxa"/>
              <w:left w:w="80" w:type="dxa"/>
              <w:bottom w:w="60" w:type="dxa"/>
              <w:right w:w="80" w:type="dxa"/>
            </w:tcMar>
          </w:tcPr>
          <w:p w14:paraId="57EFD70A" w14:textId="77777777" w:rsidR="00E77864" w:rsidRDefault="00000000" w:rsidP="00117D6C">
            <w:pPr>
              <w:spacing w:before="100" w:beforeAutospacing="1" w:after="100" w:afterAutospacing="1"/>
            </w:pPr>
            <w:r>
              <w:rPr>
                <w:sz w:val="18"/>
                <w:szCs w:val="18"/>
              </w:rPr>
              <w:t>Interfacial coordination and covalent coupling under wet conditions</w:t>
            </w:r>
          </w:p>
        </w:tc>
        <w:tc>
          <w:tcPr>
            <w:tcW w:w="995" w:type="pct"/>
            <w:tcMar>
              <w:top w:w="60" w:type="dxa"/>
              <w:left w:w="80" w:type="dxa"/>
              <w:bottom w:w="60" w:type="dxa"/>
              <w:right w:w="80" w:type="dxa"/>
            </w:tcMar>
          </w:tcPr>
          <w:p w14:paraId="27197719" w14:textId="77777777" w:rsidR="00E77864" w:rsidRDefault="00000000" w:rsidP="00117D6C">
            <w:pPr>
              <w:spacing w:before="100" w:beforeAutospacing="1" w:after="100" w:afterAutospacing="1"/>
            </w:pPr>
            <w:r>
              <w:rPr>
                <w:sz w:val="18"/>
                <w:szCs w:val="18"/>
              </w:rPr>
              <w:t>Strong in the reported systems; adhesion target not always distinguished between mucus and epithelium</w:t>
            </w:r>
          </w:p>
        </w:tc>
        <w:tc>
          <w:tcPr>
            <w:tcW w:w="882" w:type="pct"/>
            <w:tcMar>
              <w:top w:w="60" w:type="dxa"/>
              <w:left w:w="80" w:type="dxa"/>
              <w:bottom w:w="60" w:type="dxa"/>
              <w:right w:w="80" w:type="dxa"/>
            </w:tcMar>
          </w:tcPr>
          <w:p w14:paraId="16FAB31B" w14:textId="77777777" w:rsidR="00E77864" w:rsidRDefault="00000000" w:rsidP="00117D6C">
            <w:pPr>
              <w:spacing w:before="100" w:beforeAutospacing="1" w:after="100" w:afterAutospacing="1"/>
            </w:pPr>
            <w:r>
              <w:rPr>
                <w:sz w:val="18"/>
                <w:szCs w:val="18"/>
              </w:rPr>
              <w:t xml:space="preserve">Narrow within pharmaceutical </w:t>
            </w:r>
            <w:proofErr w:type="spellStart"/>
            <w:r>
              <w:rPr>
                <w:sz w:val="18"/>
                <w:szCs w:val="18"/>
              </w:rPr>
              <w:t>mucoadhesion</w:t>
            </w:r>
            <w:proofErr w:type="spellEnd"/>
            <w:r>
              <w:rPr>
                <w:sz w:val="18"/>
                <w:szCs w:val="18"/>
              </w:rPr>
              <w:t>; broader in biomaterials generally</w:t>
            </w:r>
          </w:p>
        </w:tc>
        <w:tc>
          <w:tcPr>
            <w:tcW w:w="995" w:type="pct"/>
            <w:tcMar>
              <w:top w:w="60" w:type="dxa"/>
              <w:left w:w="80" w:type="dxa"/>
              <w:bottom w:w="60" w:type="dxa"/>
              <w:right w:w="80" w:type="dxa"/>
            </w:tcMar>
          </w:tcPr>
          <w:p w14:paraId="2AB5CF0D" w14:textId="77777777" w:rsidR="00E77864" w:rsidRDefault="00000000" w:rsidP="00117D6C">
            <w:pPr>
              <w:spacing w:before="100" w:beforeAutospacing="1" w:after="100" w:afterAutospacing="1"/>
            </w:pPr>
            <w:r>
              <w:rPr>
                <w:sz w:val="18"/>
                <w:szCs w:val="18"/>
              </w:rPr>
              <w:t>Oxidative crosslinking during storage; regulatory novelty of the functional group</w:t>
            </w:r>
          </w:p>
        </w:tc>
        <w:tc>
          <w:tcPr>
            <w:tcW w:w="543" w:type="pct"/>
            <w:tcMar>
              <w:top w:w="60" w:type="dxa"/>
              <w:left w:w="80" w:type="dxa"/>
              <w:bottom w:w="60" w:type="dxa"/>
              <w:right w:w="80" w:type="dxa"/>
            </w:tcMar>
          </w:tcPr>
          <w:p w14:paraId="1BD50110" w14:textId="77777777" w:rsidR="00E77864" w:rsidRDefault="00000000" w:rsidP="00117D6C">
            <w:pPr>
              <w:spacing w:before="100" w:beforeAutospacing="1" w:after="100" w:afterAutospacing="1"/>
            </w:pPr>
            <w:r>
              <w:rPr>
                <w:sz w:val="18"/>
                <w:szCs w:val="18"/>
              </w:rPr>
              <w:t>Hu et al. (2021)</w:t>
            </w:r>
          </w:p>
        </w:tc>
      </w:tr>
      <w:tr w:rsidR="00E77864" w14:paraId="5A4501E3" w14:textId="77777777" w:rsidTr="00117D6C">
        <w:tc>
          <w:tcPr>
            <w:tcW w:w="701" w:type="pct"/>
            <w:tcMar>
              <w:top w:w="60" w:type="dxa"/>
              <w:left w:w="80" w:type="dxa"/>
              <w:bottom w:w="60" w:type="dxa"/>
              <w:right w:w="80" w:type="dxa"/>
            </w:tcMar>
          </w:tcPr>
          <w:p w14:paraId="0AAECAC1" w14:textId="77777777" w:rsidR="00E77864" w:rsidRDefault="00000000" w:rsidP="00117D6C">
            <w:pPr>
              <w:spacing w:before="100" w:beforeAutospacing="1" w:after="100" w:afterAutospacing="1"/>
            </w:pPr>
            <w:r>
              <w:rPr>
                <w:sz w:val="18"/>
                <w:szCs w:val="18"/>
              </w:rPr>
              <w:t>Protein-based and conformationally engineered adhesives</w:t>
            </w:r>
          </w:p>
        </w:tc>
        <w:tc>
          <w:tcPr>
            <w:tcW w:w="882" w:type="pct"/>
            <w:tcMar>
              <w:top w:w="60" w:type="dxa"/>
              <w:left w:w="80" w:type="dxa"/>
              <w:bottom w:w="60" w:type="dxa"/>
              <w:right w:w="80" w:type="dxa"/>
            </w:tcMar>
          </w:tcPr>
          <w:p w14:paraId="6EA4FD77" w14:textId="77777777" w:rsidR="00E77864" w:rsidRDefault="00000000" w:rsidP="00117D6C">
            <w:pPr>
              <w:spacing w:before="100" w:beforeAutospacing="1" w:after="100" w:afterAutospacing="1"/>
            </w:pPr>
            <w:r>
              <w:rPr>
                <w:sz w:val="18"/>
                <w:szCs w:val="18"/>
              </w:rPr>
              <w:t>Multivalent physical interaction dependent on tertiary structure</w:t>
            </w:r>
          </w:p>
        </w:tc>
        <w:tc>
          <w:tcPr>
            <w:tcW w:w="995" w:type="pct"/>
            <w:tcMar>
              <w:top w:w="60" w:type="dxa"/>
              <w:left w:w="80" w:type="dxa"/>
              <w:bottom w:w="60" w:type="dxa"/>
              <w:right w:w="80" w:type="dxa"/>
            </w:tcMar>
          </w:tcPr>
          <w:p w14:paraId="4A9CB6A4" w14:textId="77777777" w:rsidR="00E77864" w:rsidRDefault="00000000" w:rsidP="00117D6C">
            <w:pPr>
              <w:spacing w:before="100" w:beforeAutospacing="1" w:after="100" w:afterAutospacing="1"/>
            </w:pPr>
            <w:r>
              <w:rPr>
                <w:sz w:val="18"/>
                <w:szCs w:val="18"/>
              </w:rPr>
              <w:t>Emerging; single-system evidence of enhancement following controlled denaturation</w:t>
            </w:r>
          </w:p>
        </w:tc>
        <w:tc>
          <w:tcPr>
            <w:tcW w:w="882" w:type="pct"/>
            <w:tcMar>
              <w:top w:w="60" w:type="dxa"/>
              <w:left w:w="80" w:type="dxa"/>
              <w:bottom w:w="60" w:type="dxa"/>
              <w:right w:w="80" w:type="dxa"/>
            </w:tcMar>
          </w:tcPr>
          <w:p w14:paraId="79178785" w14:textId="77777777" w:rsidR="00E77864" w:rsidRDefault="00000000" w:rsidP="00117D6C">
            <w:pPr>
              <w:spacing w:before="100" w:beforeAutospacing="1" w:after="100" w:afterAutospacing="1"/>
            </w:pPr>
            <w:r>
              <w:rPr>
                <w:sz w:val="18"/>
                <w:szCs w:val="18"/>
              </w:rPr>
              <w:t>Very narrow; early-stage</w:t>
            </w:r>
          </w:p>
        </w:tc>
        <w:tc>
          <w:tcPr>
            <w:tcW w:w="995" w:type="pct"/>
            <w:tcMar>
              <w:top w:w="60" w:type="dxa"/>
              <w:left w:w="80" w:type="dxa"/>
              <w:bottom w:w="60" w:type="dxa"/>
              <w:right w:w="80" w:type="dxa"/>
            </w:tcMar>
          </w:tcPr>
          <w:p w14:paraId="16B6E045" w14:textId="77777777" w:rsidR="00E77864" w:rsidRDefault="00000000" w:rsidP="00117D6C">
            <w:pPr>
              <w:spacing w:before="100" w:beforeAutospacing="1" w:after="100" w:afterAutospacing="1"/>
            </w:pPr>
            <w:r>
              <w:rPr>
                <w:sz w:val="18"/>
                <w:szCs w:val="18"/>
              </w:rPr>
              <w:t>Stability, batch consistency and immunogenicity are unresolved</w:t>
            </w:r>
          </w:p>
        </w:tc>
        <w:tc>
          <w:tcPr>
            <w:tcW w:w="543" w:type="pct"/>
            <w:tcMar>
              <w:top w:w="60" w:type="dxa"/>
              <w:left w:w="80" w:type="dxa"/>
              <w:bottom w:w="60" w:type="dxa"/>
              <w:right w:w="80" w:type="dxa"/>
            </w:tcMar>
          </w:tcPr>
          <w:p w14:paraId="00C680BA" w14:textId="77777777" w:rsidR="00E77864" w:rsidRDefault="00000000" w:rsidP="00117D6C">
            <w:pPr>
              <w:spacing w:before="100" w:beforeAutospacing="1" w:after="100" w:afterAutospacing="1"/>
            </w:pPr>
            <w:proofErr w:type="spellStart"/>
            <w:r>
              <w:rPr>
                <w:sz w:val="18"/>
                <w:szCs w:val="18"/>
              </w:rPr>
              <w:t>Hazt</w:t>
            </w:r>
            <w:proofErr w:type="spellEnd"/>
            <w:r>
              <w:rPr>
                <w:sz w:val="18"/>
                <w:szCs w:val="18"/>
              </w:rPr>
              <w:t xml:space="preserve"> et al. (2025)</w:t>
            </w:r>
          </w:p>
        </w:tc>
      </w:tr>
      <w:tr w:rsidR="00E77864" w14:paraId="6304BB1E" w14:textId="77777777" w:rsidTr="00117D6C">
        <w:tc>
          <w:tcPr>
            <w:tcW w:w="701" w:type="pct"/>
            <w:tcMar>
              <w:top w:w="60" w:type="dxa"/>
              <w:left w:w="80" w:type="dxa"/>
              <w:bottom w:w="60" w:type="dxa"/>
              <w:right w:w="80" w:type="dxa"/>
            </w:tcMar>
          </w:tcPr>
          <w:p w14:paraId="246642A6" w14:textId="77777777" w:rsidR="00E77864" w:rsidRDefault="00000000" w:rsidP="00117D6C">
            <w:pPr>
              <w:spacing w:before="100" w:beforeAutospacing="1" w:after="100" w:afterAutospacing="1"/>
            </w:pPr>
            <w:r>
              <w:rPr>
                <w:sz w:val="18"/>
                <w:szCs w:val="18"/>
              </w:rPr>
              <w:t>PEGylation and steric shielding (mucus-penetrating design)</w:t>
            </w:r>
          </w:p>
        </w:tc>
        <w:tc>
          <w:tcPr>
            <w:tcW w:w="882" w:type="pct"/>
            <w:tcMar>
              <w:top w:w="60" w:type="dxa"/>
              <w:left w:w="80" w:type="dxa"/>
              <w:bottom w:w="60" w:type="dxa"/>
              <w:right w:w="80" w:type="dxa"/>
            </w:tcMar>
          </w:tcPr>
          <w:p w14:paraId="0217AFCD" w14:textId="77777777" w:rsidR="00E77864" w:rsidRDefault="00000000" w:rsidP="00117D6C">
            <w:pPr>
              <w:spacing w:before="100" w:beforeAutospacing="1" w:after="100" w:afterAutospacing="1"/>
            </w:pPr>
            <w:r>
              <w:rPr>
                <w:sz w:val="18"/>
                <w:szCs w:val="18"/>
              </w:rPr>
              <w:t>Deliberate minimisation of mucin interaction</w:t>
            </w:r>
          </w:p>
        </w:tc>
        <w:tc>
          <w:tcPr>
            <w:tcW w:w="995" w:type="pct"/>
            <w:tcMar>
              <w:top w:w="60" w:type="dxa"/>
              <w:left w:w="80" w:type="dxa"/>
              <w:bottom w:w="60" w:type="dxa"/>
              <w:right w:w="80" w:type="dxa"/>
            </w:tcMar>
          </w:tcPr>
          <w:p w14:paraId="61C0089D" w14:textId="77777777" w:rsidR="00E77864" w:rsidRDefault="00000000" w:rsidP="00117D6C">
            <w:pPr>
              <w:spacing w:before="100" w:beforeAutospacing="1" w:after="100" w:afterAutospacing="1"/>
            </w:pPr>
            <w:r>
              <w:rPr>
                <w:sz w:val="18"/>
                <w:szCs w:val="18"/>
              </w:rPr>
              <w:t>Consistent reduction in mucin adhesion; effect increases with chain length</w:t>
            </w:r>
          </w:p>
        </w:tc>
        <w:tc>
          <w:tcPr>
            <w:tcW w:w="882" w:type="pct"/>
            <w:tcMar>
              <w:top w:w="60" w:type="dxa"/>
              <w:left w:w="80" w:type="dxa"/>
              <w:bottom w:w="60" w:type="dxa"/>
              <w:right w:w="80" w:type="dxa"/>
            </w:tcMar>
          </w:tcPr>
          <w:p w14:paraId="1F175145" w14:textId="77777777" w:rsidR="00E77864" w:rsidRDefault="00000000" w:rsidP="00117D6C">
            <w:pPr>
              <w:spacing w:before="100" w:beforeAutospacing="1" w:after="100" w:afterAutospacing="1"/>
            </w:pPr>
            <w:r>
              <w:rPr>
                <w:sz w:val="18"/>
                <w:szCs w:val="18"/>
              </w:rPr>
              <w:t>Moderate; supported by orthogonal physical methods</w:t>
            </w:r>
          </w:p>
        </w:tc>
        <w:tc>
          <w:tcPr>
            <w:tcW w:w="995" w:type="pct"/>
            <w:tcMar>
              <w:top w:w="60" w:type="dxa"/>
              <w:left w:w="80" w:type="dxa"/>
              <w:bottom w:w="60" w:type="dxa"/>
              <w:right w:w="80" w:type="dxa"/>
            </w:tcMar>
          </w:tcPr>
          <w:p w14:paraId="5C959390" w14:textId="77777777" w:rsidR="00E77864" w:rsidRDefault="00000000" w:rsidP="00117D6C">
            <w:pPr>
              <w:spacing w:before="100" w:beforeAutospacing="1" w:after="100" w:afterAutospacing="1"/>
            </w:pPr>
            <w:r>
              <w:rPr>
                <w:sz w:val="18"/>
                <w:szCs w:val="18"/>
              </w:rPr>
              <w:t>Coating density and stability in vivo are difficult to control and are rarely reported</w:t>
            </w:r>
          </w:p>
        </w:tc>
        <w:tc>
          <w:tcPr>
            <w:tcW w:w="543" w:type="pct"/>
            <w:tcMar>
              <w:top w:w="60" w:type="dxa"/>
              <w:left w:w="80" w:type="dxa"/>
              <w:bottom w:w="60" w:type="dxa"/>
              <w:right w:w="80" w:type="dxa"/>
            </w:tcMar>
          </w:tcPr>
          <w:p w14:paraId="714AF0CC" w14:textId="77777777" w:rsidR="00E77864" w:rsidRDefault="00000000" w:rsidP="00117D6C">
            <w:pPr>
              <w:spacing w:before="100" w:beforeAutospacing="1" w:after="100" w:afterAutospacing="1"/>
            </w:pPr>
            <w:r>
              <w:rPr>
                <w:sz w:val="18"/>
                <w:szCs w:val="18"/>
              </w:rPr>
              <w:t>Nguyen &amp; Ba (2025); Popov (2020)</w:t>
            </w:r>
          </w:p>
        </w:tc>
      </w:tr>
    </w:tbl>
    <w:p w14:paraId="478B5539" w14:textId="77777777" w:rsidR="00E77864" w:rsidRDefault="00E77864" w:rsidP="00117D6C">
      <w:pPr>
        <w:spacing w:before="100" w:beforeAutospacing="1" w:after="100" w:afterAutospacing="1"/>
      </w:pPr>
    </w:p>
    <w:p w14:paraId="4751580E" w14:textId="77777777" w:rsidR="00E77864" w:rsidRDefault="00000000" w:rsidP="00117D6C">
      <w:pPr>
        <w:spacing w:before="100" w:beforeAutospacing="1" w:after="100" w:afterAutospacing="1"/>
        <w:jc w:val="both"/>
      </w:pPr>
      <w:r>
        <w:rPr>
          <w:sz w:val="18"/>
          <w:szCs w:val="18"/>
        </w:rPr>
        <w:t xml:space="preserve">Note. PEG = </w:t>
      </w:r>
      <w:proofErr w:type="gramStart"/>
      <w:r>
        <w:rPr>
          <w:sz w:val="18"/>
          <w:szCs w:val="18"/>
        </w:rPr>
        <w:t>poly(</w:t>
      </w:r>
      <w:proofErr w:type="gramEnd"/>
      <w:r>
        <w:rPr>
          <w:sz w:val="18"/>
          <w:szCs w:val="18"/>
        </w:rPr>
        <w:t>ethylene glycol). Breadth of independent evidence refers to the number of unrelated research groups contributing corroborating data within the literature retrieved for this review, and is a qualitative judgement rather than a bibliometric measure.</w:t>
      </w:r>
    </w:p>
    <w:p w14:paraId="16ABDD97" w14:textId="77777777" w:rsidR="00E77864" w:rsidRDefault="00000000" w:rsidP="00117D6C">
      <w:pPr>
        <w:pStyle w:val="Heading1"/>
        <w:spacing w:before="100" w:beforeAutospacing="1" w:after="100" w:afterAutospacing="1"/>
      </w:pPr>
      <w:r>
        <w:rPr>
          <w:b/>
          <w:bCs/>
          <w:color w:val="000000"/>
          <w:sz w:val="26"/>
          <w:szCs w:val="26"/>
        </w:rPr>
        <w:t xml:space="preserve">6. </w:t>
      </w:r>
      <w:proofErr w:type="spellStart"/>
      <w:r>
        <w:rPr>
          <w:b/>
          <w:bCs/>
          <w:color w:val="000000"/>
          <w:sz w:val="26"/>
          <w:szCs w:val="26"/>
        </w:rPr>
        <w:t>Mucoadhesion</w:t>
      </w:r>
      <w:proofErr w:type="spellEnd"/>
      <w:r>
        <w:rPr>
          <w:b/>
          <w:bCs/>
          <w:color w:val="000000"/>
          <w:sz w:val="26"/>
          <w:szCs w:val="26"/>
        </w:rPr>
        <w:t xml:space="preserve"> and </w:t>
      </w:r>
      <w:proofErr w:type="spellStart"/>
      <w:r>
        <w:rPr>
          <w:b/>
          <w:bCs/>
          <w:color w:val="000000"/>
          <w:sz w:val="26"/>
          <w:szCs w:val="26"/>
        </w:rPr>
        <w:t>Mucopenetration</w:t>
      </w:r>
      <w:proofErr w:type="spellEnd"/>
      <w:r>
        <w:rPr>
          <w:b/>
          <w:bCs/>
          <w:color w:val="000000"/>
          <w:sz w:val="26"/>
          <w:szCs w:val="26"/>
        </w:rPr>
        <w:t>: A Contest Wrongly Framed</w:t>
      </w:r>
    </w:p>
    <w:p w14:paraId="5A60AECA" w14:textId="77777777" w:rsidR="00E77864" w:rsidRDefault="00000000" w:rsidP="00117D6C">
      <w:pPr>
        <w:pStyle w:val="Heading2"/>
        <w:spacing w:before="100" w:beforeAutospacing="1" w:after="100" w:afterAutospacing="1"/>
      </w:pPr>
      <w:r>
        <w:rPr>
          <w:b/>
          <w:bCs/>
          <w:color w:val="000000"/>
          <w:sz w:val="24"/>
          <w:szCs w:val="24"/>
        </w:rPr>
        <w:t>6.1 The Two Design Philosophies</w:t>
      </w:r>
    </w:p>
    <w:p w14:paraId="4A1E596B" w14:textId="77777777" w:rsidR="00E77864" w:rsidRDefault="00000000" w:rsidP="00117D6C">
      <w:pPr>
        <w:spacing w:before="100" w:beforeAutospacing="1" w:after="100" w:afterAutospacing="1"/>
        <w:jc w:val="both"/>
      </w:pPr>
      <w:r>
        <w:t xml:space="preserve">The mucoadhesive rationale holds that retention at the mucosal surface increases local exposure and therefore therapeutic effect. The </w:t>
      </w:r>
      <w:proofErr w:type="spellStart"/>
      <w:r>
        <w:t>mucopenetrating</w:t>
      </w:r>
      <w:proofErr w:type="spellEnd"/>
      <w:r>
        <w:t xml:space="preserve"> rationale holds that the mucus layer is principally an obstacle, that adhesion to a rapidly cleared layer is self-defeating, and that carriers should therefore be engineered to avoid mucin interaction and diffuse to the epithelium before clearance occurs. The </w:t>
      </w:r>
      <w:proofErr w:type="spellStart"/>
      <w:r>
        <w:t>mucopenetrating</w:t>
      </w:r>
      <w:proofErr w:type="spellEnd"/>
      <w:r>
        <w:t xml:space="preserve"> position was developed from measurement of particle transport in human mucus and from the demonstration that dense, low-molecular-weight </w:t>
      </w:r>
      <w:proofErr w:type="gramStart"/>
      <w:r>
        <w:t>poly(</w:t>
      </w:r>
      <w:proofErr w:type="gramEnd"/>
      <w:r>
        <w:t>ethylene glycol) coatings on particles smaller than the mucus mesh permit diffusion approaching that in water (Lai, Wang, &amp; Hanes, 2009). Its application to the gastrointestinal tract, where the outer mucus layer is continuously shed, was argued on the ground that adhesion to that layer confers no durable advantage (Ensign et al., 2012).</w:t>
      </w:r>
    </w:p>
    <w:p w14:paraId="09593624" w14:textId="77777777" w:rsidR="00E77864" w:rsidRDefault="00000000" w:rsidP="00117D6C">
      <w:pPr>
        <w:spacing w:before="100" w:beforeAutospacing="1" w:after="100" w:afterAutospacing="1"/>
        <w:jc w:val="both"/>
      </w:pPr>
      <w:r>
        <w:lastRenderedPageBreak/>
        <w:t>Both positions rest on defensible physical reasoning, and each has generated productive research programmes. The difficulty arises when they are treated as competing general answers rather than as site-conditional strategies.</w:t>
      </w:r>
    </w:p>
    <w:p w14:paraId="3E7EB581" w14:textId="77777777" w:rsidR="00E77864" w:rsidRDefault="00000000" w:rsidP="00117D6C">
      <w:pPr>
        <w:pStyle w:val="Heading2"/>
        <w:spacing w:before="100" w:beforeAutospacing="1" w:after="100" w:afterAutospacing="1"/>
      </w:pPr>
      <w:r>
        <w:rPr>
          <w:b/>
          <w:bCs/>
          <w:color w:val="000000"/>
          <w:sz w:val="24"/>
          <w:szCs w:val="24"/>
        </w:rPr>
        <w:t>6.2 What the Comparative Evidence Shows</w:t>
      </w:r>
    </w:p>
    <w:p w14:paraId="1E05F912" w14:textId="77777777" w:rsidR="00E77864" w:rsidRDefault="00000000" w:rsidP="00117D6C">
      <w:pPr>
        <w:spacing w:before="100" w:beforeAutospacing="1" w:after="100" w:afterAutospacing="1"/>
        <w:jc w:val="both"/>
      </w:pPr>
      <w:r>
        <w:t xml:space="preserve">The most direct appraisal of the question concluded that, on the basis of the available in vivo evidence, neither mucoadhesive nor </w:t>
      </w:r>
      <w:proofErr w:type="spellStart"/>
      <w:r>
        <w:t>mucopenetrating</w:t>
      </w:r>
      <w:proofErr w:type="spellEnd"/>
      <w:r>
        <w:t xml:space="preserve"> particles are advantageous over the other in general, and that the appropriate choice depends on the therapeutic target and on the properties of the target mucosa, specifically the thickness of the mucus gel layer, its turnover rate and water movement within it (</w:t>
      </w:r>
      <w:proofErr w:type="spellStart"/>
      <w:r>
        <w:t>Netsomboon</w:t>
      </w:r>
      <w:proofErr w:type="spellEnd"/>
      <w:r>
        <w:t xml:space="preserve"> &amp; </w:t>
      </w:r>
      <w:proofErr w:type="spellStart"/>
      <w:r>
        <w:t>Bernkop-Schnürch</w:t>
      </w:r>
      <w:proofErr w:type="spellEnd"/>
      <w:r>
        <w:t>, 2016). This conclusion has been broadly sustained by subsequent work but is frequently omitted from the framing of individual studies, which typically compare a functionalised system against an unmodified control rather than against the alternative strategy.</w:t>
      </w:r>
    </w:p>
    <w:p w14:paraId="6630EDE5" w14:textId="77777777" w:rsidR="00E77864" w:rsidRDefault="00000000" w:rsidP="00117D6C">
      <w:pPr>
        <w:spacing w:before="100" w:beforeAutospacing="1" w:after="100" w:afterAutospacing="1"/>
        <w:jc w:val="both"/>
      </w:pPr>
      <w:r>
        <w:t>Site-specific evidence supports the conditional reading. In the eye, where the mucus layer is thin and clearance rapid, mucus-penetrating particle technology has been reported to improve the uniformity of drug particle distribution on mucosal surfaces and to enhance delivery to ocular tissues relative to particles lacking mucus-penetrating attributes (Popov, 2020). In the bladder, where instilled material is retained until voiding and where prolonging contact beyond voiding is the central objective, mucoadhesive functionalisation has repeatedly improved retention (</w:t>
      </w:r>
      <w:proofErr w:type="spellStart"/>
      <w:r>
        <w:t>Kaldybekov</w:t>
      </w:r>
      <w:proofErr w:type="spellEnd"/>
      <w:r>
        <w:t xml:space="preserve"> et al., 2018; </w:t>
      </w:r>
      <w:proofErr w:type="spellStart"/>
      <w:r>
        <w:t>Kaldybekov</w:t>
      </w:r>
      <w:proofErr w:type="spellEnd"/>
      <w:r>
        <w:t xml:space="preserve"> et al., 2019). These are not contradictory results; they are results from sites with opposite clearance characteristics.</w:t>
      </w:r>
    </w:p>
    <w:p w14:paraId="7E235988" w14:textId="77777777" w:rsidR="00E77864" w:rsidRDefault="00000000" w:rsidP="00117D6C">
      <w:pPr>
        <w:spacing w:before="100" w:beforeAutospacing="1" w:after="100" w:afterAutospacing="1"/>
        <w:jc w:val="both"/>
      </w:pPr>
      <w:r>
        <w:t xml:space="preserve">A more challenging observation comes from sublingual vaccination. Formulations containing hydroxypropyl methylcellulose exhibited the highest viscosity, </w:t>
      </w:r>
      <w:proofErr w:type="spellStart"/>
      <w:r>
        <w:t>mucoadhesion</w:t>
      </w:r>
      <w:proofErr w:type="spellEnd"/>
      <w:r>
        <w:t xml:space="preserve"> and mucosal retention among those tested, yet elicited the weakest systemic and mucosal antibody responses, whereas chitosan-based formulations enhanced immune responses at reduced antigen and adjuvant doses, an effect attributed to permeation-enhancing and adjuvant properties rather than to retention (Yousif et al., 2025). The direct implication is that </w:t>
      </w:r>
      <w:proofErr w:type="spellStart"/>
      <w:r>
        <w:t>mucoadhesion</w:t>
      </w:r>
      <w:proofErr w:type="spellEnd"/>
      <w:r>
        <w:t xml:space="preserve"> and therapeutic outcome can be inversely related when the therapeutic mechanism requires transit across rather than residence upon the mucosa. This finding is from a single study in a mouse model and should not be overgeneralised, but it is a clear counterexample to the assumption that greater measured adhesion is intrinsically desirable. Related work on polymer-based mucosal adjuvants has likewise emphasised that the balance between adhesion and penetration shapes the immune response rather than adhesion alone determining it (Vasquez-Martínez et al., 2023).</w:t>
      </w:r>
    </w:p>
    <w:p w14:paraId="2D2EB377" w14:textId="77777777" w:rsidR="00E77864" w:rsidRDefault="00000000" w:rsidP="00117D6C">
      <w:pPr>
        <w:pStyle w:val="Heading2"/>
        <w:spacing w:before="100" w:beforeAutospacing="1" w:after="100" w:afterAutospacing="1"/>
      </w:pPr>
      <w:r>
        <w:rPr>
          <w:b/>
          <w:bCs/>
          <w:color w:val="000000"/>
          <w:sz w:val="24"/>
          <w:szCs w:val="24"/>
        </w:rPr>
        <w:t>6.3 Sequential, Switchable and Hybrid Systems</w:t>
      </w:r>
    </w:p>
    <w:p w14:paraId="73A795D9" w14:textId="77777777" w:rsidR="00E77864" w:rsidRDefault="00000000" w:rsidP="00117D6C">
      <w:pPr>
        <w:spacing w:before="100" w:beforeAutospacing="1" w:after="100" w:afterAutospacing="1"/>
        <w:jc w:val="both"/>
      </w:pPr>
      <w:r>
        <w:t>Recognition that the two behaviours are required at different stages of the delivery process has motivated systems designed to change character in transit. Zeta-potential-changing self-emulsifying systems exploit enzymatic dephosphorylation at the epithelial surface to convert a negatively charged, mucus-permeating droplet into a less negatively charged, more readily internalised one, thereby addressing the mucus barrier and the epithelial barrier sequentially rather than compromising between them (Nazir et al., 2019). Mucoadhesive-to-</w:t>
      </w:r>
      <w:proofErr w:type="spellStart"/>
      <w:r>
        <w:t>mucopenetrating</w:t>
      </w:r>
      <w:proofErr w:type="spellEnd"/>
      <w:r>
        <w:t xml:space="preserve"> transitions have since been reviewed as a design category in their own right (Zheng, Liu, et al., 2025), and combined mucoadhesive and tumour-penetrating architectures have been reported for intravesical application (Zhao et al., 2026).</w:t>
      </w:r>
    </w:p>
    <w:p w14:paraId="7F2C99D1" w14:textId="77777777" w:rsidR="00E77864" w:rsidRDefault="00000000" w:rsidP="00117D6C">
      <w:pPr>
        <w:spacing w:before="100" w:beforeAutospacing="1" w:after="100" w:afterAutospacing="1"/>
        <w:jc w:val="both"/>
      </w:pPr>
      <w:r>
        <w:t xml:space="preserve">These approaches are conceptually attractive and, in the case of the zeta-potential-changing systems, mechanistically well specified and experimentally supported at the level of the triggering chemistry. Their weakness at present is that the additional complexity is justified largely by mechanistic </w:t>
      </w:r>
      <w:r>
        <w:lastRenderedPageBreak/>
        <w:t>argument and in vitro demonstration rather than by comparative in vivo evidence establishing superiority over a well-optimised single-mechanism system. The relevant comparison is rarely made.</w:t>
      </w:r>
    </w:p>
    <w:p w14:paraId="6D15EE05" w14:textId="77777777" w:rsidR="00E77864" w:rsidRDefault="00000000" w:rsidP="00117D6C">
      <w:pPr>
        <w:pStyle w:val="Heading2"/>
        <w:spacing w:before="100" w:beforeAutospacing="1" w:after="100" w:afterAutospacing="1"/>
      </w:pPr>
      <w:r>
        <w:rPr>
          <w:b/>
          <w:bCs/>
          <w:color w:val="000000"/>
          <w:sz w:val="24"/>
          <w:szCs w:val="24"/>
        </w:rPr>
        <w:t>6.4 What Counts as Success</w:t>
      </w:r>
    </w:p>
    <w:p w14:paraId="7D5922D5" w14:textId="77777777" w:rsidR="00E77864" w:rsidRDefault="00000000" w:rsidP="00117D6C">
      <w:pPr>
        <w:spacing w:before="100" w:beforeAutospacing="1" w:after="100" w:afterAutospacing="1"/>
        <w:jc w:val="both"/>
      </w:pPr>
      <w:r>
        <w:t>Underlying the controversy is an unresolved question about endpoints. A mucoadhesive system may be judged successful if it increases detachment force, if it increases residence measured by imaging, if it increases local drug concentration, if it increases systemic exposure, or if it improves a clinical outcome. These endpoints are not equivalent and are not reliably correlated. The sublingual vaccination result illustrates the extreme case in which improvement on the first two endpoints coincided with deterioration on the last (Yousif et al., 2025).</w:t>
      </w:r>
    </w:p>
    <w:p w14:paraId="5F9A50AB" w14:textId="77777777" w:rsidR="00E77864" w:rsidRDefault="00000000" w:rsidP="00117D6C">
      <w:pPr>
        <w:spacing w:before="100" w:beforeAutospacing="1" w:after="100" w:afterAutospacing="1"/>
        <w:jc w:val="both"/>
      </w:pPr>
      <w:r>
        <w:t>The field would benefit from routine specification of the endpoint against which adhesion is being optimised, and from explicit reasoning connecting that endpoint to the intended therapeutic mechanism. Where the therapeutic target lies within or upon the mucus layer, retention is plausibly the right objective. Where the target lies beneath the epithelium, retention is at best an intermediate objective and may be counterproductive if achieved by mechanisms that impede transit.</w:t>
      </w:r>
    </w:p>
    <w:p w14:paraId="3E15A3BC" w14:textId="77777777" w:rsidR="00E77864" w:rsidRDefault="00000000" w:rsidP="00117D6C">
      <w:pPr>
        <w:pStyle w:val="Heading1"/>
        <w:spacing w:before="100" w:beforeAutospacing="1" w:after="100" w:afterAutospacing="1"/>
      </w:pPr>
      <w:r>
        <w:rPr>
          <w:b/>
          <w:bCs/>
          <w:color w:val="000000"/>
          <w:sz w:val="26"/>
          <w:szCs w:val="26"/>
        </w:rPr>
        <w:t>7. Measurement and Standardisation: The Central Methodological Weakness</w:t>
      </w:r>
    </w:p>
    <w:p w14:paraId="5F37478D" w14:textId="77777777" w:rsidR="00E77864" w:rsidRDefault="00000000" w:rsidP="00117D6C">
      <w:pPr>
        <w:pStyle w:val="Heading2"/>
        <w:spacing w:before="100" w:beforeAutospacing="1" w:after="100" w:afterAutospacing="1"/>
      </w:pPr>
      <w:r>
        <w:rPr>
          <w:b/>
          <w:bCs/>
          <w:color w:val="000000"/>
          <w:sz w:val="24"/>
          <w:szCs w:val="24"/>
        </w:rPr>
        <w:t>7.1 Detachment-Force Methods and Their Interpretive Limits</w:t>
      </w:r>
    </w:p>
    <w:p w14:paraId="66C0C769" w14:textId="77777777" w:rsidR="00E77864" w:rsidRDefault="00000000" w:rsidP="00117D6C">
      <w:pPr>
        <w:spacing w:before="100" w:beforeAutospacing="1" w:after="100" w:afterAutospacing="1"/>
        <w:jc w:val="both"/>
      </w:pPr>
      <w:r>
        <w:t>The most widely used approach applies a texture analyser or comparable instrument to measure the force required to separate a formulation from a mucosal substrate, reporting maximum detachment force and the work of adhesion obtained by integration of the force-displacement curve. The method is accessible, reproducible within a laboratory, and directly interpretable as a mechanical quantity. Its limitations are equally well established. Measured values depend on contact time, applied preload, separation rate, probe geometry, substrate hydration and substrate mounting, none of which is standardised across the field, and fracture mechanics rather than interfacial chemistry frequently dominates the result (Pollini et al., 2025; Takeuchi et al., 2005).</w:t>
      </w:r>
    </w:p>
    <w:p w14:paraId="0CAEE329" w14:textId="77777777" w:rsidR="00E77864" w:rsidRDefault="00000000" w:rsidP="00117D6C">
      <w:pPr>
        <w:spacing w:before="100" w:beforeAutospacing="1" w:after="100" w:afterAutospacing="1"/>
        <w:jc w:val="both"/>
      </w:pPr>
      <w:r>
        <w:t>The consequence is that detachment force is a laboratory-specific quantity. Values from different publications cannot be compared with confidence even when the same units are reported, and the practice of reporting fold-increase relative to an internal control, while an improvement, does not resolve the problem because the control itself behaves differently under different test conditions. The documented procedural variation in mucoadhesive vaginal tablet testing exemplifies the scale of the difficulty for a single, relatively mature dosage form (Zainol Abidin et al., 2023).</w:t>
      </w:r>
    </w:p>
    <w:p w14:paraId="2C4D5178" w14:textId="77777777" w:rsidR="00E77864" w:rsidRDefault="00000000" w:rsidP="00117D6C">
      <w:pPr>
        <w:pStyle w:val="Heading2"/>
        <w:spacing w:before="100" w:beforeAutospacing="1" w:after="100" w:afterAutospacing="1"/>
      </w:pPr>
      <w:r>
        <w:rPr>
          <w:b/>
          <w:bCs/>
          <w:color w:val="000000"/>
          <w:sz w:val="24"/>
          <w:szCs w:val="24"/>
        </w:rPr>
        <w:t>7.2 Rheological, Particle-Level and Interfacial Techniques</w:t>
      </w:r>
    </w:p>
    <w:p w14:paraId="2D3B3D90" w14:textId="77777777" w:rsidR="00E77864" w:rsidRDefault="00000000" w:rsidP="00117D6C">
      <w:pPr>
        <w:spacing w:before="100" w:beforeAutospacing="1" w:after="100" w:afterAutospacing="1"/>
        <w:jc w:val="both"/>
      </w:pPr>
      <w:r>
        <w:t xml:space="preserve">Rheological synergism, in which the viscoelastic properties of a polymer-mucin mixture are compared with the sum of the components measured separately, provides a bulk measure of interaction that is independent of test geometry. It was applied in the </w:t>
      </w:r>
      <w:proofErr w:type="spellStart"/>
      <w:r>
        <w:t>thiolated</w:t>
      </w:r>
      <w:proofErr w:type="spellEnd"/>
      <w:r>
        <w:t xml:space="preserve"> pectin work to demonstrate substantial viscosity increases on mixing with mucus (Knoll et al., 2021). Its limitation is that synergism reflects bulk network formation and may not correspond to interfacial adhesion, particularly for systems whose adhesion is localised to a thin interphase.</w:t>
      </w:r>
    </w:p>
    <w:p w14:paraId="54B59667" w14:textId="77777777" w:rsidR="00E77864" w:rsidRDefault="00000000" w:rsidP="00117D6C">
      <w:pPr>
        <w:spacing w:before="100" w:beforeAutospacing="1" w:after="100" w:afterAutospacing="1"/>
        <w:jc w:val="both"/>
      </w:pPr>
      <w:r>
        <w:t xml:space="preserve">Particle-level methods offer greater mechanistic resolution. Single-particle tracking follows individual carriers within mucus and yields diffusion coefficients and mean squared displacement, permitting </w:t>
      </w:r>
      <w:proofErr w:type="spellStart"/>
      <w:r>
        <w:t>mucoadhesion</w:t>
      </w:r>
      <w:proofErr w:type="spellEnd"/>
      <w:r>
        <w:t xml:space="preserve"> and </w:t>
      </w:r>
      <w:proofErr w:type="spellStart"/>
      <w:r>
        <w:t>mucopenetration</w:t>
      </w:r>
      <w:proofErr w:type="spellEnd"/>
      <w:r>
        <w:t xml:space="preserve"> to be distinguished directly rather than inferred. Particle behaviour in ex vivo mucus has been reported to correlate well with in vivo outcomes, which supports the translational value of the technique, yet it remains underused in mucosal drug delivery, </w:t>
      </w:r>
      <w:r>
        <w:lastRenderedPageBreak/>
        <w:t>a situation attributed principally to the absence of standardised protocols and benchmark materials (</w:t>
      </w:r>
      <w:proofErr w:type="spellStart"/>
      <w:r>
        <w:t>Tollemeto</w:t>
      </w:r>
      <w:proofErr w:type="spellEnd"/>
      <w:r>
        <w:t xml:space="preserve"> et al., 2025). The same source advocates development of a nanoparticle test set with defined surface properties and routine reporting of diffusion coefficients and mean squared displacement, which is among the more concrete methodological proposals in the recent literature. Machine-learning approaches to the analysis of particle diffusion in colonic mucus have been developed to increase the throughput and objectivity of such measurements (</w:t>
      </w:r>
      <w:proofErr w:type="spellStart"/>
      <w:r>
        <w:t>Tjakra</w:t>
      </w:r>
      <w:proofErr w:type="spellEnd"/>
      <w:r>
        <w:t xml:space="preserve">, </w:t>
      </w:r>
      <w:proofErr w:type="spellStart"/>
      <w:r>
        <w:t>Lidayová</w:t>
      </w:r>
      <w:proofErr w:type="spellEnd"/>
      <w:r>
        <w:t>, et al., 2025).</w:t>
      </w:r>
    </w:p>
    <w:p w14:paraId="5557C622" w14:textId="77777777" w:rsidR="00E77864" w:rsidRDefault="00000000" w:rsidP="00117D6C">
      <w:pPr>
        <w:spacing w:before="100" w:beforeAutospacing="1" w:after="100" w:afterAutospacing="1"/>
        <w:jc w:val="both"/>
      </w:pPr>
      <w:r>
        <w:t>Interfacial techniques including quartz crystal microbalance with dissipation monitoring, turbidimetry and dynamic light scattering probe adsorption and complexation at defined surfaces or in dispersion, and were used in orthogonal combination in the comparison of polymer interaction with different commercial mucins (Stie et al., 2024). Diffusion nuclear magnetic resonance spectroscopy, applied with an explicit kinetic binding model, provides quantitative interaction parameters rather than relative rankings (Nguyen &amp; Ba, 2025). These methods offer the strongest prospect of mechanistic interpretation but require model substrates and therefore inherit the substrate problem discussed in Section 3.3.</w:t>
      </w:r>
    </w:p>
    <w:p w14:paraId="2358E297" w14:textId="77777777" w:rsidR="00E77864" w:rsidRDefault="00000000" w:rsidP="00117D6C">
      <w:pPr>
        <w:pStyle w:val="Heading2"/>
        <w:spacing w:before="100" w:beforeAutospacing="1" w:after="100" w:afterAutospacing="1"/>
      </w:pPr>
      <w:r>
        <w:rPr>
          <w:b/>
          <w:bCs/>
          <w:color w:val="000000"/>
          <w:sz w:val="24"/>
          <w:szCs w:val="24"/>
        </w:rPr>
        <w:t>7.3 Tissue Models and In Vivo Retention</w:t>
      </w:r>
    </w:p>
    <w:p w14:paraId="23F98556" w14:textId="77777777" w:rsidR="00E77864" w:rsidRDefault="00000000" w:rsidP="00117D6C">
      <w:pPr>
        <w:spacing w:before="100" w:beforeAutospacing="1" w:after="100" w:afterAutospacing="1"/>
        <w:jc w:val="both"/>
      </w:pPr>
      <w:r>
        <w:t>Ex vivo animal mucosa remains the standard substrate for adhesion and permeation testing. Reconstructed and engineered in vitro models of the oral mucosa have been developed as platforms for validating drug delivery systems, offering greater reproducibility and human relevance than excised animal tissue, and their current capabilities and limitations have been appraised critically (Macartney et al., 2025). Their adoption for adhesion testing specifically remains limited, in part because engineered epithelia do not reliably reproduce the mucus layer that adhesion tests are intended to interrogate.</w:t>
      </w:r>
    </w:p>
    <w:p w14:paraId="367CFCD9" w14:textId="77777777" w:rsidR="00E77864" w:rsidRDefault="00000000" w:rsidP="00117D6C">
      <w:pPr>
        <w:spacing w:before="100" w:beforeAutospacing="1" w:after="100" w:afterAutospacing="1"/>
        <w:jc w:val="both"/>
      </w:pPr>
      <w:r>
        <w:t>In vivo retention is most commonly assessed by fluorescence or radionuclide imaging. The approach directly addresses the endpoint of interest but introduces its own difficulties: label detachment from the carrier, quenching, depth-dependent signal attenuation and the difficulty of distinguishing adherent from merely proximate material. Studies correlating imaging-derived retention with immunological outcome have shown that the correlation may be weak or inverse (Yousif et al., 2025), which underlines that retention imaging measures retention rather than efficacy.</w:t>
      </w:r>
    </w:p>
    <w:p w14:paraId="73FCEB0B" w14:textId="77777777" w:rsidR="00E77864" w:rsidRDefault="00000000" w:rsidP="00117D6C">
      <w:pPr>
        <w:spacing w:before="100" w:beforeAutospacing="1" w:after="100" w:afterAutospacing="1"/>
        <w:jc w:val="both"/>
      </w:pPr>
      <w:r>
        <w:t xml:space="preserve">Table 4 sets out the principal characterisation approaches, the physical property each actually measures, the assumptions required to interpret the measurement as </w:t>
      </w:r>
      <w:proofErr w:type="spellStart"/>
      <w:r>
        <w:t>mucoadhesion</w:t>
      </w:r>
      <w:proofErr w:type="spellEnd"/>
      <w:r>
        <w:t>, and the principal sources of cross-study incomparability. The table makes the central methodological argument of this review concrete: the techniques in routine use do not measure the same property, and reporting practice does not currently permit conversion between them. Its final column is confined to sources that describe or critically evaluate the method rather than merely employ it.</w:t>
      </w:r>
    </w:p>
    <w:p w14:paraId="48D1F982" w14:textId="77777777" w:rsidR="00E77864" w:rsidRDefault="00000000" w:rsidP="00117D6C">
      <w:pPr>
        <w:spacing w:before="100" w:beforeAutospacing="1" w:after="100" w:afterAutospacing="1"/>
      </w:pPr>
      <w:r>
        <w:rPr>
          <w:b/>
          <w:bCs/>
          <w:sz w:val="22"/>
          <w:szCs w:val="22"/>
        </w:rPr>
        <w:t xml:space="preserve">Table 4. Characterisation approaches for </w:t>
      </w:r>
      <w:proofErr w:type="spellStart"/>
      <w:r>
        <w:rPr>
          <w:b/>
          <w:bCs/>
          <w:sz w:val="22"/>
          <w:szCs w:val="22"/>
        </w:rPr>
        <w:t>mucoadhesion</w:t>
      </w:r>
      <w:proofErr w:type="spellEnd"/>
      <w:r>
        <w:rPr>
          <w:b/>
          <w:bCs/>
          <w:sz w:val="22"/>
          <w:szCs w:val="22"/>
        </w:rPr>
        <w:t xml:space="preserve"> appraised by measured property, interpretive assumptions and sources of incomparability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4"/>
        <w:gridCol w:w="2022"/>
        <w:gridCol w:w="2407"/>
        <w:gridCol w:w="2311"/>
        <w:gridCol w:w="1204"/>
      </w:tblGrid>
      <w:tr w:rsidR="00E77864" w14:paraId="0BCF250A" w14:textId="77777777" w:rsidTr="00117D6C">
        <w:trPr>
          <w:tblHeader/>
        </w:trPr>
        <w:tc>
          <w:tcPr>
            <w:tcW w:w="875" w:type="pct"/>
            <w:shd w:val="clear" w:color="auto" w:fill="E8E8E8"/>
            <w:tcMar>
              <w:top w:w="60" w:type="dxa"/>
              <w:left w:w="80" w:type="dxa"/>
              <w:bottom w:w="60" w:type="dxa"/>
              <w:right w:w="80" w:type="dxa"/>
            </w:tcMar>
          </w:tcPr>
          <w:p w14:paraId="3A5DDB73" w14:textId="77777777" w:rsidR="00E77864" w:rsidRDefault="00000000" w:rsidP="00117D6C">
            <w:pPr>
              <w:spacing w:before="100" w:beforeAutospacing="1" w:after="100" w:afterAutospacing="1"/>
            </w:pPr>
            <w:r>
              <w:rPr>
                <w:b/>
                <w:bCs/>
                <w:sz w:val="18"/>
                <w:szCs w:val="18"/>
              </w:rPr>
              <w:t>Method</w:t>
            </w:r>
          </w:p>
        </w:tc>
        <w:tc>
          <w:tcPr>
            <w:tcW w:w="1050" w:type="pct"/>
            <w:shd w:val="clear" w:color="auto" w:fill="E8E8E8"/>
            <w:tcMar>
              <w:top w:w="60" w:type="dxa"/>
              <w:left w:w="80" w:type="dxa"/>
              <w:bottom w:w="60" w:type="dxa"/>
              <w:right w:w="80" w:type="dxa"/>
            </w:tcMar>
          </w:tcPr>
          <w:p w14:paraId="3DB8A1D8" w14:textId="77777777" w:rsidR="00E77864" w:rsidRDefault="00000000" w:rsidP="00117D6C">
            <w:pPr>
              <w:spacing w:before="100" w:beforeAutospacing="1" w:after="100" w:afterAutospacing="1"/>
            </w:pPr>
            <w:r>
              <w:rPr>
                <w:b/>
                <w:bCs/>
                <w:sz w:val="18"/>
                <w:szCs w:val="18"/>
              </w:rPr>
              <w:t>Property actually measured</w:t>
            </w:r>
          </w:p>
        </w:tc>
        <w:tc>
          <w:tcPr>
            <w:tcW w:w="1250" w:type="pct"/>
            <w:shd w:val="clear" w:color="auto" w:fill="E8E8E8"/>
            <w:tcMar>
              <w:top w:w="60" w:type="dxa"/>
              <w:left w:w="80" w:type="dxa"/>
              <w:bottom w:w="60" w:type="dxa"/>
              <w:right w:w="80" w:type="dxa"/>
            </w:tcMar>
          </w:tcPr>
          <w:p w14:paraId="6F25B7DA" w14:textId="77777777" w:rsidR="00E77864" w:rsidRDefault="00000000" w:rsidP="00117D6C">
            <w:pPr>
              <w:spacing w:before="100" w:beforeAutospacing="1" w:after="100" w:afterAutospacing="1"/>
            </w:pPr>
            <w:r>
              <w:rPr>
                <w:b/>
                <w:bCs/>
                <w:sz w:val="18"/>
                <w:szCs w:val="18"/>
              </w:rPr>
              <w:t xml:space="preserve">Assumptions required to interpret as </w:t>
            </w:r>
            <w:proofErr w:type="spellStart"/>
            <w:r>
              <w:rPr>
                <w:b/>
                <w:bCs/>
                <w:sz w:val="18"/>
                <w:szCs w:val="18"/>
              </w:rPr>
              <w:t>mucoadhesion</w:t>
            </w:r>
            <w:proofErr w:type="spellEnd"/>
          </w:p>
        </w:tc>
        <w:tc>
          <w:tcPr>
            <w:tcW w:w="1200" w:type="pct"/>
            <w:shd w:val="clear" w:color="auto" w:fill="E8E8E8"/>
            <w:tcMar>
              <w:top w:w="60" w:type="dxa"/>
              <w:left w:w="80" w:type="dxa"/>
              <w:bottom w:w="60" w:type="dxa"/>
              <w:right w:w="80" w:type="dxa"/>
            </w:tcMar>
          </w:tcPr>
          <w:p w14:paraId="150B24FA" w14:textId="77777777" w:rsidR="00E77864" w:rsidRDefault="00000000" w:rsidP="00117D6C">
            <w:pPr>
              <w:spacing w:before="100" w:beforeAutospacing="1" w:after="100" w:afterAutospacing="1"/>
            </w:pPr>
            <w:r>
              <w:rPr>
                <w:b/>
                <w:bCs/>
                <w:sz w:val="18"/>
                <w:szCs w:val="18"/>
              </w:rPr>
              <w:t>Principal sources of cross-study incomparability</w:t>
            </w:r>
          </w:p>
        </w:tc>
        <w:tc>
          <w:tcPr>
            <w:tcW w:w="625" w:type="pct"/>
            <w:shd w:val="clear" w:color="auto" w:fill="E8E8E8"/>
            <w:tcMar>
              <w:top w:w="60" w:type="dxa"/>
              <w:left w:w="80" w:type="dxa"/>
              <w:bottom w:w="60" w:type="dxa"/>
              <w:right w:w="80" w:type="dxa"/>
            </w:tcMar>
          </w:tcPr>
          <w:p w14:paraId="67964B2E" w14:textId="77777777" w:rsidR="00E77864" w:rsidRDefault="00000000" w:rsidP="00117D6C">
            <w:pPr>
              <w:spacing w:before="100" w:beforeAutospacing="1" w:after="100" w:afterAutospacing="1"/>
            </w:pPr>
            <w:r>
              <w:rPr>
                <w:b/>
                <w:bCs/>
                <w:sz w:val="18"/>
                <w:szCs w:val="18"/>
              </w:rPr>
              <w:t>Supporting references</w:t>
            </w:r>
          </w:p>
        </w:tc>
      </w:tr>
      <w:tr w:rsidR="00E77864" w14:paraId="7704EC69" w14:textId="77777777" w:rsidTr="00117D6C">
        <w:tc>
          <w:tcPr>
            <w:tcW w:w="875" w:type="pct"/>
            <w:tcMar>
              <w:top w:w="60" w:type="dxa"/>
              <w:left w:w="80" w:type="dxa"/>
              <w:bottom w:w="60" w:type="dxa"/>
              <w:right w:w="80" w:type="dxa"/>
            </w:tcMar>
          </w:tcPr>
          <w:p w14:paraId="24CCB7BE" w14:textId="77777777" w:rsidR="00E77864" w:rsidRDefault="00000000" w:rsidP="00117D6C">
            <w:pPr>
              <w:spacing w:before="100" w:beforeAutospacing="1" w:after="100" w:afterAutospacing="1"/>
            </w:pPr>
            <w:r>
              <w:rPr>
                <w:sz w:val="18"/>
                <w:szCs w:val="18"/>
              </w:rPr>
              <w:t>Tensile detachment testing</w:t>
            </w:r>
          </w:p>
        </w:tc>
        <w:tc>
          <w:tcPr>
            <w:tcW w:w="1050" w:type="pct"/>
            <w:tcMar>
              <w:top w:w="60" w:type="dxa"/>
              <w:left w:w="80" w:type="dxa"/>
              <w:bottom w:w="60" w:type="dxa"/>
              <w:right w:w="80" w:type="dxa"/>
            </w:tcMar>
          </w:tcPr>
          <w:p w14:paraId="5CB1B5F5" w14:textId="77777777" w:rsidR="00E77864" w:rsidRDefault="00000000" w:rsidP="00117D6C">
            <w:pPr>
              <w:spacing w:before="100" w:beforeAutospacing="1" w:after="100" w:afterAutospacing="1"/>
            </w:pPr>
            <w:r>
              <w:rPr>
                <w:sz w:val="18"/>
                <w:szCs w:val="18"/>
              </w:rPr>
              <w:t>Force and work required to separate formulation from substrate</w:t>
            </w:r>
          </w:p>
        </w:tc>
        <w:tc>
          <w:tcPr>
            <w:tcW w:w="1250" w:type="pct"/>
            <w:tcMar>
              <w:top w:w="60" w:type="dxa"/>
              <w:left w:w="80" w:type="dxa"/>
              <w:bottom w:w="60" w:type="dxa"/>
              <w:right w:w="80" w:type="dxa"/>
            </w:tcMar>
          </w:tcPr>
          <w:p w14:paraId="289E7237" w14:textId="77777777" w:rsidR="00E77864" w:rsidRDefault="00000000" w:rsidP="00117D6C">
            <w:pPr>
              <w:spacing w:before="100" w:beforeAutospacing="1" w:after="100" w:afterAutospacing="1"/>
            </w:pPr>
            <w:r>
              <w:rPr>
                <w:sz w:val="18"/>
                <w:szCs w:val="18"/>
              </w:rPr>
              <w:t>That separation occurs at the formulation-mucus interface rather than cohesively within either phase</w:t>
            </w:r>
          </w:p>
        </w:tc>
        <w:tc>
          <w:tcPr>
            <w:tcW w:w="1200" w:type="pct"/>
            <w:tcMar>
              <w:top w:w="60" w:type="dxa"/>
              <w:left w:w="80" w:type="dxa"/>
              <w:bottom w:w="60" w:type="dxa"/>
              <w:right w:w="80" w:type="dxa"/>
            </w:tcMar>
          </w:tcPr>
          <w:p w14:paraId="61906545" w14:textId="77777777" w:rsidR="00E77864" w:rsidRDefault="00000000" w:rsidP="00117D6C">
            <w:pPr>
              <w:spacing w:before="100" w:beforeAutospacing="1" w:after="100" w:afterAutospacing="1"/>
            </w:pPr>
            <w:r>
              <w:rPr>
                <w:sz w:val="18"/>
                <w:szCs w:val="18"/>
              </w:rPr>
              <w:t>Contact time, preload, separation rate, probe geometry, substrate hydration and mounting</w:t>
            </w:r>
          </w:p>
        </w:tc>
        <w:tc>
          <w:tcPr>
            <w:tcW w:w="625" w:type="pct"/>
            <w:tcMar>
              <w:top w:w="60" w:type="dxa"/>
              <w:left w:w="80" w:type="dxa"/>
              <w:bottom w:w="60" w:type="dxa"/>
              <w:right w:w="80" w:type="dxa"/>
            </w:tcMar>
          </w:tcPr>
          <w:p w14:paraId="7B89F83B" w14:textId="77777777" w:rsidR="00E77864" w:rsidRDefault="00000000" w:rsidP="00117D6C">
            <w:pPr>
              <w:spacing w:before="100" w:beforeAutospacing="1" w:after="100" w:afterAutospacing="1"/>
            </w:pPr>
            <w:r>
              <w:rPr>
                <w:sz w:val="18"/>
                <w:szCs w:val="18"/>
              </w:rPr>
              <w:t>Pollini et al. (2025); Takeuchi et al. (2005); Zainol Abidin et al. (2023)</w:t>
            </w:r>
          </w:p>
        </w:tc>
      </w:tr>
      <w:tr w:rsidR="00E77864" w14:paraId="0BD66FE5" w14:textId="77777777" w:rsidTr="00117D6C">
        <w:tc>
          <w:tcPr>
            <w:tcW w:w="875" w:type="pct"/>
            <w:tcMar>
              <w:top w:w="60" w:type="dxa"/>
              <w:left w:w="80" w:type="dxa"/>
              <w:bottom w:w="60" w:type="dxa"/>
              <w:right w:w="80" w:type="dxa"/>
            </w:tcMar>
          </w:tcPr>
          <w:p w14:paraId="12EE7773" w14:textId="77777777" w:rsidR="00E77864" w:rsidRDefault="00000000" w:rsidP="00117D6C">
            <w:pPr>
              <w:spacing w:before="100" w:beforeAutospacing="1" w:after="100" w:afterAutospacing="1"/>
            </w:pPr>
            <w:r>
              <w:rPr>
                <w:sz w:val="18"/>
                <w:szCs w:val="18"/>
              </w:rPr>
              <w:lastRenderedPageBreak/>
              <w:t>Shear and peel testing</w:t>
            </w:r>
          </w:p>
        </w:tc>
        <w:tc>
          <w:tcPr>
            <w:tcW w:w="1050" w:type="pct"/>
            <w:tcMar>
              <w:top w:w="60" w:type="dxa"/>
              <w:left w:w="80" w:type="dxa"/>
              <w:bottom w:w="60" w:type="dxa"/>
              <w:right w:w="80" w:type="dxa"/>
            </w:tcMar>
          </w:tcPr>
          <w:p w14:paraId="616941A1" w14:textId="77777777" w:rsidR="00E77864" w:rsidRDefault="00000000" w:rsidP="00117D6C">
            <w:pPr>
              <w:spacing w:before="100" w:beforeAutospacing="1" w:after="100" w:afterAutospacing="1"/>
            </w:pPr>
            <w:r>
              <w:rPr>
                <w:sz w:val="18"/>
                <w:szCs w:val="18"/>
              </w:rPr>
              <w:t>Resistance to displacement parallel to the substrate</w:t>
            </w:r>
          </w:p>
        </w:tc>
        <w:tc>
          <w:tcPr>
            <w:tcW w:w="1250" w:type="pct"/>
            <w:tcMar>
              <w:top w:w="60" w:type="dxa"/>
              <w:left w:w="80" w:type="dxa"/>
              <w:bottom w:w="60" w:type="dxa"/>
              <w:right w:w="80" w:type="dxa"/>
            </w:tcMar>
          </w:tcPr>
          <w:p w14:paraId="1E07A8F0" w14:textId="77777777" w:rsidR="00E77864" w:rsidRDefault="00000000" w:rsidP="00117D6C">
            <w:pPr>
              <w:spacing w:before="100" w:beforeAutospacing="1" w:after="100" w:afterAutospacing="1"/>
            </w:pPr>
            <w:r>
              <w:rPr>
                <w:sz w:val="18"/>
                <w:szCs w:val="18"/>
              </w:rPr>
              <w:t>That the shear geometry represents the in-use displacement mode at the target site</w:t>
            </w:r>
          </w:p>
        </w:tc>
        <w:tc>
          <w:tcPr>
            <w:tcW w:w="1200" w:type="pct"/>
            <w:tcMar>
              <w:top w:w="60" w:type="dxa"/>
              <w:left w:w="80" w:type="dxa"/>
              <w:bottom w:w="60" w:type="dxa"/>
              <w:right w:w="80" w:type="dxa"/>
            </w:tcMar>
          </w:tcPr>
          <w:p w14:paraId="26E8C4CC" w14:textId="77777777" w:rsidR="00E77864" w:rsidRDefault="00000000" w:rsidP="00117D6C">
            <w:pPr>
              <w:spacing w:before="100" w:beforeAutospacing="1" w:after="100" w:afterAutospacing="1"/>
            </w:pPr>
            <w:r>
              <w:rPr>
                <w:sz w:val="18"/>
                <w:szCs w:val="18"/>
              </w:rPr>
              <w:t>Substrate preparation; applied normal load; absence of a shared reference material</w:t>
            </w:r>
          </w:p>
        </w:tc>
        <w:tc>
          <w:tcPr>
            <w:tcW w:w="625" w:type="pct"/>
            <w:tcMar>
              <w:top w:w="60" w:type="dxa"/>
              <w:left w:w="80" w:type="dxa"/>
              <w:bottom w:w="60" w:type="dxa"/>
              <w:right w:w="80" w:type="dxa"/>
            </w:tcMar>
          </w:tcPr>
          <w:p w14:paraId="4AD29622" w14:textId="77777777" w:rsidR="00E77864" w:rsidRDefault="00000000" w:rsidP="00117D6C">
            <w:pPr>
              <w:spacing w:before="100" w:beforeAutospacing="1" w:after="100" w:afterAutospacing="1"/>
            </w:pPr>
            <w:r>
              <w:rPr>
                <w:sz w:val="18"/>
                <w:szCs w:val="18"/>
              </w:rPr>
              <w:t>Pollini et al. (2025)</w:t>
            </w:r>
          </w:p>
        </w:tc>
      </w:tr>
      <w:tr w:rsidR="00E77864" w14:paraId="780DCC69" w14:textId="77777777" w:rsidTr="00117D6C">
        <w:tc>
          <w:tcPr>
            <w:tcW w:w="875" w:type="pct"/>
            <w:tcMar>
              <w:top w:w="60" w:type="dxa"/>
              <w:left w:w="80" w:type="dxa"/>
              <w:bottom w:w="60" w:type="dxa"/>
              <w:right w:w="80" w:type="dxa"/>
            </w:tcMar>
          </w:tcPr>
          <w:p w14:paraId="3C8F59FE" w14:textId="77777777" w:rsidR="00E77864" w:rsidRDefault="00000000" w:rsidP="00117D6C">
            <w:pPr>
              <w:spacing w:before="100" w:beforeAutospacing="1" w:after="100" w:afterAutospacing="1"/>
            </w:pPr>
            <w:r>
              <w:rPr>
                <w:sz w:val="18"/>
                <w:szCs w:val="18"/>
              </w:rPr>
              <w:t>Rheological synergism</w:t>
            </w:r>
          </w:p>
        </w:tc>
        <w:tc>
          <w:tcPr>
            <w:tcW w:w="1050" w:type="pct"/>
            <w:tcMar>
              <w:top w:w="60" w:type="dxa"/>
              <w:left w:w="80" w:type="dxa"/>
              <w:bottom w:w="60" w:type="dxa"/>
              <w:right w:w="80" w:type="dxa"/>
            </w:tcMar>
          </w:tcPr>
          <w:p w14:paraId="627C28C8" w14:textId="77777777" w:rsidR="00E77864" w:rsidRDefault="00000000" w:rsidP="00117D6C">
            <w:pPr>
              <w:spacing w:before="100" w:beforeAutospacing="1" w:after="100" w:afterAutospacing="1"/>
            </w:pPr>
            <w:r>
              <w:rPr>
                <w:sz w:val="18"/>
                <w:szCs w:val="18"/>
              </w:rPr>
              <w:t>Excess viscoelasticity of polymer-mucin mixtures over the sum of components</w:t>
            </w:r>
          </w:p>
        </w:tc>
        <w:tc>
          <w:tcPr>
            <w:tcW w:w="1250" w:type="pct"/>
            <w:tcMar>
              <w:top w:w="60" w:type="dxa"/>
              <w:left w:w="80" w:type="dxa"/>
              <w:bottom w:w="60" w:type="dxa"/>
              <w:right w:w="80" w:type="dxa"/>
            </w:tcMar>
          </w:tcPr>
          <w:p w14:paraId="503573BF" w14:textId="77777777" w:rsidR="00E77864" w:rsidRDefault="00000000" w:rsidP="00117D6C">
            <w:pPr>
              <w:spacing w:before="100" w:beforeAutospacing="1" w:after="100" w:afterAutospacing="1"/>
            </w:pPr>
            <w:r>
              <w:rPr>
                <w:sz w:val="18"/>
                <w:szCs w:val="18"/>
              </w:rPr>
              <w:t>That bulk network formation reflects interfacial adhesion</w:t>
            </w:r>
          </w:p>
        </w:tc>
        <w:tc>
          <w:tcPr>
            <w:tcW w:w="1200" w:type="pct"/>
            <w:tcMar>
              <w:top w:w="60" w:type="dxa"/>
              <w:left w:w="80" w:type="dxa"/>
              <w:bottom w:w="60" w:type="dxa"/>
              <w:right w:w="80" w:type="dxa"/>
            </w:tcMar>
          </w:tcPr>
          <w:p w14:paraId="2DA6403A" w14:textId="77777777" w:rsidR="00E77864" w:rsidRDefault="00000000" w:rsidP="00117D6C">
            <w:pPr>
              <w:spacing w:before="100" w:beforeAutospacing="1" w:after="100" w:afterAutospacing="1"/>
            </w:pPr>
            <w:r>
              <w:rPr>
                <w:sz w:val="18"/>
                <w:szCs w:val="18"/>
              </w:rPr>
              <w:t>Mucin source and concentration; mixing protocol; measurement frequency and strain</w:t>
            </w:r>
          </w:p>
        </w:tc>
        <w:tc>
          <w:tcPr>
            <w:tcW w:w="625" w:type="pct"/>
            <w:tcMar>
              <w:top w:w="60" w:type="dxa"/>
              <w:left w:w="80" w:type="dxa"/>
              <w:bottom w:w="60" w:type="dxa"/>
              <w:right w:w="80" w:type="dxa"/>
            </w:tcMar>
          </w:tcPr>
          <w:p w14:paraId="5DFAC2BE" w14:textId="77777777" w:rsidR="00E77864" w:rsidRDefault="00000000" w:rsidP="00117D6C">
            <w:pPr>
              <w:spacing w:before="100" w:beforeAutospacing="1" w:after="100" w:afterAutospacing="1"/>
            </w:pPr>
            <w:r>
              <w:rPr>
                <w:sz w:val="18"/>
                <w:szCs w:val="18"/>
              </w:rPr>
              <w:t>Knoll et al. (2021); Stie et al. (2024)</w:t>
            </w:r>
          </w:p>
        </w:tc>
      </w:tr>
      <w:tr w:rsidR="00E77864" w14:paraId="43F418E7" w14:textId="77777777" w:rsidTr="00117D6C">
        <w:tc>
          <w:tcPr>
            <w:tcW w:w="875" w:type="pct"/>
            <w:tcMar>
              <w:top w:w="60" w:type="dxa"/>
              <w:left w:w="80" w:type="dxa"/>
              <w:bottom w:w="60" w:type="dxa"/>
              <w:right w:w="80" w:type="dxa"/>
            </w:tcMar>
          </w:tcPr>
          <w:p w14:paraId="4467CCBC" w14:textId="77777777" w:rsidR="00E77864" w:rsidRDefault="00000000" w:rsidP="00117D6C">
            <w:pPr>
              <w:spacing w:before="100" w:beforeAutospacing="1" w:after="100" w:afterAutospacing="1"/>
            </w:pPr>
            <w:r>
              <w:rPr>
                <w:sz w:val="18"/>
                <w:szCs w:val="18"/>
              </w:rPr>
              <w:t>Turbidimetry and dynamic light scattering</w:t>
            </w:r>
          </w:p>
        </w:tc>
        <w:tc>
          <w:tcPr>
            <w:tcW w:w="1050" w:type="pct"/>
            <w:tcMar>
              <w:top w:w="60" w:type="dxa"/>
              <w:left w:w="80" w:type="dxa"/>
              <w:bottom w:w="60" w:type="dxa"/>
              <w:right w:w="80" w:type="dxa"/>
            </w:tcMar>
          </w:tcPr>
          <w:p w14:paraId="5D26140C" w14:textId="77777777" w:rsidR="00E77864" w:rsidRDefault="00000000" w:rsidP="00117D6C">
            <w:pPr>
              <w:spacing w:before="100" w:beforeAutospacing="1" w:after="100" w:afterAutospacing="1"/>
            </w:pPr>
            <w:r>
              <w:rPr>
                <w:sz w:val="18"/>
                <w:szCs w:val="18"/>
              </w:rPr>
              <w:t>Aggregation and size change on polymer-mucin mixing</w:t>
            </w:r>
          </w:p>
        </w:tc>
        <w:tc>
          <w:tcPr>
            <w:tcW w:w="1250" w:type="pct"/>
            <w:tcMar>
              <w:top w:w="60" w:type="dxa"/>
              <w:left w:w="80" w:type="dxa"/>
              <w:bottom w:w="60" w:type="dxa"/>
              <w:right w:w="80" w:type="dxa"/>
            </w:tcMar>
          </w:tcPr>
          <w:p w14:paraId="18DC02B4" w14:textId="77777777" w:rsidR="00E77864" w:rsidRDefault="00000000" w:rsidP="00117D6C">
            <w:pPr>
              <w:spacing w:before="100" w:beforeAutospacing="1" w:after="100" w:afterAutospacing="1"/>
            </w:pPr>
            <w:r>
              <w:rPr>
                <w:sz w:val="18"/>
                <w:szCs w:val="18"/>
              </w:rPr>
              <w:t>That complexation in dispersion predicts adhesion at a gel surface</w:t>
            </w:r>
          </w:p>
        </w:tc>
        <w:tc>
          <w:tcPr>
            <w:tcW w:w="1200" w:type="pct"/>
            <w:tcMar>
              <w:top w:w="60" w:type="dxa"/>
              <w:left w:w="80" w:type="dxa"/>
              <w:bottom w:w="60" w:type="dxa"/>
              <w:right w:w="80" w:type="dxa"/>
            </w:tcMar>
          </w:tcPr>
          <w:p w14:paraId="4B606DE9" w14:textId="77777777" w:rsidR="00E77864" w:rsidRDefault="00000000" w:rsidP="00117D6C">
            <w:pPr>
              <w:spacing w:before="100" w:beforeAutospacing="1" w:after="100" w:afterAutospacing="1"/>
            </w:pPr>
            <w:r>
              <w:rPr>
                <w:sz w:val="18"/>
                <w:szCs w:val="18"/>
              </w:rPr>
              <w:t>Mucin type and purity; ionic strength; concentration ratio</w:t>
            </w:r>
          </w:p>
        </w:tc>
        <w:tc>
          <w:tcPr>
            <w:tcW w:w="625" w:type="pct"/>
            <w:tcMar>
              <w:top w:w="60" w:type="dxa"/>
              <w:left w:w="80" w:type="dxa"/>
              <w:bottom w:w="60" w:type="dxa"/>
              <w:right w:w="80" w:type="dxa"/>
            </w:tcMar>
          </w:tcPr>
          <w:p w14:paraId="4D65582A" w14:textId="77777777" w:rsidR="00E77864" w:rsidRDefault="00000000" w:rsidP="00117D6C">
            <w:pPr>
              <w:spacing w:before="100" w:beforeAutospacing="1" w:after="100" w:afterAutospacing="1"/>
            </w:pPr>
            <w:r>
              <w:rPr>
                <w:sz w:val="18"/>
                <w:szCs w:val="18"/>
              </w:rPr>
              <w:t>Stie et al. (2024)</w:t>
            </w:r>
          </w:p>
        </w:tc>
      </w:tr>
      <w:tr w:rsidR="00E77864" w14:paraId="43C1270A" w14:textId="77777777" w:rsidTr="00117D6C">
        <w:tc>
          <w:tcPr>
            <w:tcW w:w="875" w:type="pct"/>
            <w:tcMar>
              <w:top w:w="60" w:type="dxa"/>
              <w:left w:w="80" w:type="dxa"/>
              <w:bottom w:w="60" w:type="dxa"/>
              <w:right w:w="80" w:type="dxa"/>
            </w:tcMar>
          </w:tcPr>
          <w:p w14:paraId="066C2100" w14:textId="77777777" w:rsidR="00E77864" w:rsidRDefault="00000000" w:rsidP="00117D6C">
            <w:pPr>
              <w:spacing w:before="100" w:beforeAutospacing="1" w:after="100" w:afterAutospacing="1"/>
            </w:pPr>
            <w:r>
              <w:rPr>
                <w:sz w:val="18"/>
                <w:szCs w:val="18"/>
              </w:rPr>
              <w:t>Quartz crystal microbalance with dissipation</w:t>
            </w:r>
          </w:p>
        </w:tc>
        <w:tc>
          <w:tcPr>
            <w:tcW w:w="1050" w:type="pct"/>
            <w:tcMar>
              <w:top w:w="60" w:type="dxa"/>
              <w:left w:w="80" w:type="dxa"/>
              <w:bottom w:w="60" w:type="dxa"/>
              <w:right w:w="80" w:type="dxa"/>
            </w:tcMar>
          </w:tcPr>
          <w:p w14:paraId="7D3AB09F" w14:textId="77777777" w:rsidR="00E77864" w:rsidRDefault="00000000" w:rsidP="00117D6C">
            <w:pPr>
              <w:spacing w:before="100" w:beforeAutospacing="1" w:after="100" w:afterAutospacing="1"/>
            </w:pPr>
            <w:r>
              <w:rPr>
                <w:sz w:val="18"/>
                <w:szCs w:val="18"/>
              </w:rPr>
              <w:t>Mass adsorption and viscoelastic change at a coated sensor surface</w:t>
            </w:r>
          </w:p>
        </w:tc>
        <w:tc>
          <w:tcPr>
            <w:tcW w:w="1250" w:type="pct"/>
            <w:tcMar>
              <w:top w:w="60" w:type="dxa"/>
              <w:left w:w="80" w:type="dxa"/>
              <w:bottom w:w="60" w:type="dxa"/>
              <w:right w:w="80" w:type="dxa"/>
            </w:tcMar>
          </w:tcPr>
          <w:p w14:paraId="4F96C9BC" w14:textId="77777777" w:rsidR="00E77864" w:rsidRDefault="00000000" w:rsidP="00117D6C">
            <w:pPr>
              <w:spacing w:before="100" w:beforeAutospacing="1" w:after="100" w:afterAutospacing="1"/>
            </w:pPr>
            <w:r>
              <w:rPr>
                <w:sz w:val="18"/>
                <w:szCs w:val="18"/>
              </w:rPr>
              <w:t>That adsorption to a deposited mucin film represents adhesion to a hydrated mucus gel</w:t>
            </w:r>
          </w:p>
        </w:tc>
        <w:tc>
          <w:tcPr>
            <w:tcW w:w="1200" w:type="pct"/>
            <w:tcMar>
              <w:top w:w="60" w:type="dxa"/>
              <w:left w:w="80" w:type="dxa"/>
              <w:bottom w:w="60" w:type="dxa"/>
              <w:right w:w="80" w:type="dxa"/>
            </w:tcMar>
          </w:tcPr>
          <w:p w14:paraId="66C60271" w14:textId="77777777" w:rsidR="00E77864" w:rsidRDefault="00000000" w:rsidP="00117D6C">
            <w:pPr>
              <w:spacing w:before="100" w:beforeAutospacing="1" w:after="100" w:afterAutospacing="1"/>
            </w:pPr>
            <w:r>
              <w:rPr>
                <w:sz w:val="18"/>
                <w:szCs w:val="18"/>
              </w:rPr>
              <w:t>Film deposition method; sensor chemistry; mucin source</w:t>
            </w:r>
          </w:p>
        </w:tc>
        <w:tc>
          <w:tcPr>
            <w:tcW w:w="625" w:type="pct"/>
            <w:tcMar>
              <w:top w:w="60" w:type="dxa"/>
              <w:left w:w="80" w:type="dxa"/>
              <w:bottom w:w="60" w:type="dxa"/>
              <w:right w:w="80" w:type="dxa"/>
            </w:tcMar>
          </w:tcPr>
          <w:p w14:paraId="55589E63" w14:textId="77777777" w:rsidR="00E77864" w:rsidRDefault="00000000" w:rsidP="00117D6C">
            <w:pPr>
              <w:spacing w:before="100" w:beforeAutospacing="1" w:after="100" w:afterAutospacing="1"/>
            </w:pPr>
            <w:r>
              <w:rPr>
                <w:sz w:val="18"/>
                <w:szCs w:val="18"/>
              </w:rPr>
              <w:t>Stie et al. (2024)</w:t>
            </w:r>
          </w:p>
        </w:tc>
      </w:tr>
      <w:tr w:rsidR="00E77864" w14:paraId="189D00AC" w14:textId="77777777" w:rsidTr="00117D6C">
        <w:tc>
          <w:tcPr>
            <w:tcW w:w="875" w:type="pct"/>
            <w:tcMar>
              <w:top w:w="60" w:type="dxa"/>
              <w:left w:w="80" w:type="dxa"/>
              <w:bottom w:w="60" w:type="dxa"/>
              <w:right w:w="80" w:type="dxa"/>
            </w:tcMar>
          </w:tcPr>
          <w:p w14:paraId="640373C3" w14:textId="77777777" w:rsidR="00E77864" w:rsidRDefault="00000000" w:rsidP="00117D6C">
            <w:pPr>
              <w:spacing w:before="100" w:beforeAutospacing="1" w:after="100" w:afterAutospacing="1"/>
            </w:pPr>
            <w:r>
              <w:rPr>
                <w:sz w:val="18"/>
                <w:szCs w:val="18"/>
              </w:rPr>
              <w:t>Diffusion nuclear magnetic resonance spectroscopy</w:t>
            </w:r>
          </w:p>
        </w:tc>
        <w:tc>
          <w:tcPr>
            <w:tcW w:w="1050" w:type="pct"/>
            <w:tcMar>
              <w:top w:w="60" w:type="dxa"/>
              <w:left w:w="80" w:type="dxa"/>
              <w:bottom w:w="60" w:type="dxa"/>
              <w:right w:w="80" w:type="dxa"/>
            </w:tcMar>
          </w:tcPr>
          <w:p w14:paraId="737CE477" w14:textId="77777777" w:rsidR="00E77864" w:rsidRDefault="00000000" w:rsidP="00117D6C">
            <w:pPr>
              <w:spacing w:before="100" w:beforeAutospacing="1" w:after="100" w:afterAutospacing="1"/>
            </w:pPr>
            <w:r>
              <w:rPr>
                <w:sz w:val="18"/>
                <w:szCs w:val="18"/>
              </w:rPr>
              <w:t>Self-diffusion coefficients and reversible binding parameters</w:t>
            </w:r>
          </w:p>
        </w:tc>
        <w:tc>
          <w:tcPr>
            <w:tcW w:w="1250" w:type="pct"/>
            <w:tcMar>
              <w:top w:w="60" w:type="dxa"/>
              <w:left w:w="80" w:type="dxa"/>
              <w:bottom w:w="60" w:type="dxa"/>
              <w:right w:w="80" w:type="dxa"/>
            </w:tcMar>
          </w:tcPr>
          <w:p w14:paraId="1955A743" w14:textId="77777777" w:rsidR="00E77864" w:rsidRDefault="00000000" w:rsidP="00117D6C">
            <w:pPr>
              <w:spacing w:before="100" w:beforeAutospacing="1" w:after="100" w:afterAutospacing="1"/>
            </w:pPr>
            <w:r>
              <w:rPr>
                <w:sz w:val="18"/>
                <w:szCs w:val="18"/>
              </w:rPr>
              <w:t>That the model substrate reproduces the binding chemistry of native mucus</w:t>
            </w:r>
          </w:p>
        </w:tc>
        <w:tc>
          <w:tcPr>
            <w:tcW w:w="1200" w:type="pct"/>
            <w:tcMar>
              <w:top w:w="60" w:type="dxa"/>
              <w:left w:w="80" w:type="dxa"/>
              <w:bottom w:w="60" w:type="dxa"/>
              <w:right w:w="80" w:type="dxa"/>
            </w:tcMar>
          </w:tcPr>
          <w:p w14:paraId="05FE7CE6" w14:textId="77777777" w:rsidR="00E77864" w:rsidRDefault="00000000" w:rsidP="00117D6C">
            <w:pPr>
              <w:spacing w:before="100" w:beforeAutospacing="1" w:after="100" w:afterAutospacing="1"/>
            </w:pPr>
            <w:r>
              <w:rPr>
                <w:sz w:val="18"/>
                <w:szCs w:val="18"/>
              </w:rPr>
              <w:t>Mucin hydrogel preparation; probe molecule selection; model assumptions</w:t>
            </w:r>
          </w:p>
        </w:tc>
        <w:tc>
          <w:tcPr>
            <w:tcW w:w="625" w:type="pct"/>
            <w:tcMar>
              <w:top w:w="60" w:type="dxa"/>
              <w:left w:w="80" w:type="dxa"/>
              <w:bottom w:w="60" w:type="dxa"/>
              <w:right w:w="80" w:type="dxa"/>
            </w:tcMar>
          </w:tcPr>
          <w:p w14:paraId="0F0A48F1" w14:textId="77777777" w:rsidR="00E77864" w:rsidRDefault="00000000" w:rsidP="00117D6C">
            <w:pPr>
              <w:spacing w:before="100" w:beforeAutospacing="1" w:after="100" w:afterAutospacing="1"/>
            </w:pPr>
            <w:r>
              <w:rPr>
                <w:sz w:val="18"/>
                <w:szCs w:val="18"/>
              </w:rPr>
              <w:t>Nguyen &amp; Ba (2025)</w:t>
            </w:r>
          </w:p>
        </w:tc>
      </w:tr>
      <w:tr w:rsidR="00E77864" w14:paraId="78F16D76" w14:textId="77777777" w:rsidTr="00117D6C">
        <w:tc>
          <w:tcPr>
            <w:tcW w:w="875" w:type="pct"/>
            <w:tcMar>
              <w:top w:w="60" w:type="dxa"/>
              <w:left w:w="80" w:type="dxa"/>
              <w:bottom w:w="60" w:type="dxa"/>
              <w:right w:w="80" w:type="dxa"/>
            </w:tcMar>
          </w:tcPr>
          <w:p w14:paraId="5A2F8606" w14:textId="77777777" w:rsidR="00E77864" w:rsidRDefault="00000000" w:rsidP="00117D6C">
            <w:pPr>
              <w:spacing w:before="100" w:beforeAutospacing="1" w:after="100" w:afterAutospacing="1"/>
            </w:pPr>
            <w:r>
              <w:rPr>
                <w:sz w:val="18"/>
                <w:szCs w:val="18"/>
              </w:rPr>
              <w:t>Single-particle tracking</w:t>
            </w:r>
          </w:p>
        </w:tc>
        <w:tc>
          <w:tcPr>
            <w:tcW w:w="1050" w:type="pct"/>
            <w:tcMar>
              <w:top w:w="60" w:type="dxa"/>
              <w:left w:w="80" w:type="dxa"/>
              <w:bottom w:w="60" w:type="dxa"/>
              <w:right w:w="80" w:type="dxa"/>
            </w:tcMar>
          </w:tcPr>
          <w:p w14:paraId="6C356F37" w14:textId="77777777" w:rsidR="00E77864" w:rsidRDefault="00000000" w:rsidP="00117D6C">
            <w:pPr>
              <w:spacing w:before="100" w:beforeAutospacing="1" w:after="100" w:afterAutospacing="1"/>
            </w:pPr>
            <w:r>
              <w:rPr>
                <w:sz w:val="18"/>
                <w:szCs w:val="18"/>
              </w:rPr>
              <w:t>Trajectories, diffusion coefficients and mean squared displacement of individual carriers in mucus</w:t>
            </w:r>
          </w:p>
        </w:tc>
        <w:tc>
          <w:tcPr>
            <w:tcW w:w="1250" w:type="pct"/>
            <w:tcMar>
              <w:top w:w="60" w:type="dxa"/>
              <w:left w:w="80" w:type="dxa"/>
              <w:bottom w:w="60" w:type="dxa"/>
              <w:right w:w="80" w:type="dxa"/>
            </w:tcMar>
          </w:tcPr>
          <w:p w14:paraId="58F8856B" w14:textId="77777777" w:rsidR="00E77864" w:rsidRDefault="00000000" w:rsidP="00117D6C">
            <w:pPr>
              <w:spacing w:before="100" w:beforeAutospacing="1" w:after="100" w:afterAutospacing="1"/>
            </w:pPr>
            <w:r>
              <w:rPr>
                <w:sz w:val="18"/>
                <w:szCs w:val="18"/>
              </w:rPr>
              <w:t>That the observed subpopulation is representative and that immobilisation reflects adhesion rather than steric arrest</w:t>
            </w:r>
          </w:p>
        </w:tc>
        <w:tc>
          <w:tcPr>
            <w:tcW w:w="1200" w:type="pct"/>
            <w:tcMar>
              <w:top w:w="60" w:type="dxa"/>
              <w:left w:w="80" w:type="dxa"/>
              <w:bottom w:w="60" w:type="dxa"/>
              <w:right w:w="80" w:type="dxa"/>
            </w:tcMar>
          </w:tcPr>
          <w:p w14:paraId="51233E33" w14:textId="77777777" w:rsidR="00E77864" w:rsidRDefault="00000000" w:rsidP="00117D6C">
            <w:pPr>
              <w:spacing w:before="100" w:beforeAutospacing="1" w:after="100" w:afterAutospacing="1"/>
            </w:pPr>
            <w:r>
              <w:rPr>
                <w:sz w:val="18"/>
                <w:szCs w:val="18"/>
              </w:rPr>
              <w:t>Absence of standardised protocols and benchmark particles; inconsistent reporting of diffusion parameters</w:t>
            </w:r>
          </w:p>
        </w:tc>
        <w:tc>
          <w:tcPr>
            <w:tcW w:w="625" w:type="pct"/>
            <w:tcMar>
              <w:top w:w="60" w:type="dxa"/>
              <w:left w:w="80" w:type="dxa"/>
              <w:bottom w:w="60" w:type="dxa"/>
              <w:right w:w="80" w:type="dxa"/>
            </w:tcMar>
          </w:tcPr>
          <w:p w14:paraId="50160CAF" w14:textId="77777777" w:rsidR="00E77864" w:rsidRDefault="00000000" w:rsidP="00117D6C">
            <w:pPr>
              <w:spacing w:before="100" w:beforeAutospacing="1" w:after="100" w:afterAutospacing="1"/>
            </w:pPr>
            <w:proofErr w:type="spellStart"/>
            <w:r>
              <w:rPr>
                <w:sz w:val="18"/>
                <w:szCs w:val="18"/>
              </w:rPr>
              <w:t>Tjakra</w:t>
            </w:r>
            <w:proofErr w:type="spellEnd"/>
            <w:r>
              <w:rPr>
                <w:sz w:val="18"/>
                <w:szCs w:val="18"/>
              </w:rPr>
              <w:t xml:space="preserve">, </w:t>
            </w:r>
            <w:proofErr w:type="spellStart"/>
            <w:r>
              <w:rPr>
                <w:sz w:val="18"/>
                <w:szCs w:val="18"/>
              </w:rPr>
              <w:t>Lidayová</w:t>
            </w:r>
            <w:proofErr w:type="spellEnd"/>
            <w:r>
              <w:rPr>
                <w:sz w:val="18"/>
                <w:szCs w:val="18"/>
              </w:rPr>
              <w:t xml:space="preserve">, et al. (2025); </w:t>
            </w:r>
            <w:proofErr w:type="spellStart"/>
            <w:r>
              <w:rPr>
                <w:sz w:val="18"/>
                <w:szCs w:val="18"/>
              </w:rPr>
              <w:t>Tollemeto</w:t>
            </w:r>
            <w:proofErr w:type="spellEnd"/>
            <w:r>
              <w:rPr>
                <w:sz w:val="18"/>
                <w:szCs w:val="18"/>
              </w:rPr>
              <w:t xml:space="preserve"> et al. (2025)</w:t>
            </w:r>
          </w:p>
        </w:tc>
      </w:tr>
      <w:tr w:rsidR="00E77864" w14:paraId="7FE38594" w14:textId="77777777" w:rsidTr="00117D6C">
        <w:tc>
          <w:tcPr>
            <w:tcW w:w="875" w:type="pct"/>
            <w:tcMar>
              <w:top w:w="60" w:type="dxa"/>
              <w:left w:w="80" w:type="dxa"/>
              <w:bottom w:w="60" w:type="dxa"/>
              <w:right w:w="80" w:type="dxa"/>
            </w:tcMar>
          </w:tcPr>
          <w:p w14:paraId="61014A8A" w14:textId="77777777" w:rsidR="00E77864" w:rsidRDefault="00000000" w:rsidP="00117D6C">
            <w:pPr>
              <w:spacing w:before="100" w:beforeAutospacing="1" w:after="100" w:afterAutospacing="1"/>
            </w:pPr>
            <w:r>
              <w:rPr>
                <w:sz w:val="18"/>
                <w:szCs w:val="18"/>
              </w:rPr>
              <w:t>Ex vivo tissue retention and washing</w:t>
            </w:r>
          </w:p>
        </w:tc>
        <w:tc>
          <w:tcPr>
            <w:tcW w:w="1050" w:type="pct"/>
            <w:tcMar>
              <w:top w:w="60" w:type="dxa"/>
              <w:left w:w="80" w:type="dxa"/>
              <w:bottom w:w="60" w:type="dxa"/>
              <w:right w:w="80" w:type="dxa"/>
            </w:tcMar>
          </w:tcPr>
          <w:p w14:paraId="099587F2" w14:textId="77777777" w:rsidR="00E77864" w:rsidRDefault="00000000" w:rsidP="00117D6C">
            <w:pPr>
              <w:spacing w:before="100" w:beforeAutospacing="1" w:after="100" w:afterAutospacing="1"/>
            </w:pPr>
            <w:r>
              <w:rPr>
                <w:sz w:val="18"/>
                <w:szCs w:val="18"/>
              </w:rPr>
              <w:t>Fraction of applied dose remaining after defined rinsing</w:t>
            </w:r>
          </w:p>
        </w:tc>
        <w:tc>
          <w:tcPr>
            <w:tcW w:w="1250" w:type="pct"/>
            <w:tcMar>
              <w:top w:w="60" w:type="dxa"/>
              <w:left w:w="80" w:type="dxa"/>
              <w:bottom w:w="60" w:type="dxa"/>
              <w:right w:w="80" w:type="dxa"/>
            </w:tcMar>
          </w:tcPr>
          <w:p w14:paraId="488D1366" w14:textId="77777777" w:rsidR="00E77864" w:rsidRDefault="00000000" w:rsidP="00117D6C">
            <w:pPr>
              <w:spacing w:before="100" w:beforeAutospacing="1" w:after="100" w:afterAutospacing="1"/>
            </w:pPr>
            <w:r>
              <w:rPr>
                <w:sz w:val="18"/>
                <w:szCs w:val="18"/>
              </w:rPr>
              <w:t>That the rinsing protocol represents physiological clearance at the target site</w:t>
            </w:r>
          </w:p>
        </w:tc>
        <w:tc>
          <w:tcPr>
            <w:tcW w:w="1200" w:type="pct"/>
            <w:tcMar>
              <w:top w:w="60" w:type="dxa"/>
              <w:left w:w="80" w:type="dxa"/>
              <w:bottom w:w="60" w:type="dxa"/>
              <w:right w:w="80" w:type="dxa"/>
            </w:tcMar>
          </w:tcPr>
          <w:p w14:paraId="672E0AA4" w14:textId="77777777" w:rsidR="00E77864" w:rsidRDefault="00000000" w:rsidP="00117D6C">
            <w:pPr>
              <w:spacing w:before="100" w:beforeAutospacing="1" w:after="100" w:afterAutospacing="1"/>
            </w:pPr>
            <w:r>
              <w:rPr>
                <w:sz w:val="18"/>
                <w:szCs w:val="18"/>
              </w:rPr>
              <w:t>Tissue species and site; rinse volume, flow rate and duration</w:t>
            </w:r>
          </w:p>
        </w:tc>
        <w:tc>
          <w:tcPr>
            <w:tcW w:w="625" w:type="pct"/>
            <w:tcMar>
              <w:top w:w="60" w:type="dxa"/>
              <w:left w:w="80" w:type="dxa"/>
              <w:bottom w:w="60" w:type="dxa"/>
              <w:right w:w="80" w:type="dxa"/>
            </w:tcMar>
          </w:tcPr>
          <w:p w14:paraId="6C5B2691" w14:textId="77777777" w:rsidR="00E77864" w:rsidRDefault="00000000" w:rsidP="00117D6C">
            <w:pPr>
              <w:spacing w:before="100" w:beforeAutospacing="1" w:after="100" w:afterAutospacing="1"/>
            </w:pPr>
            <w:r>
              <w:rPr>
                <w:sz w:val="18"/>
                <w:szCs w:val="18"/>
              </w:rPr>
              <w:t>Macartney et al. (2025); Zainol Abidin et al. (2023)</w:t>
            </w:r>
          </w:p>
        </w:tc>
      </w:tr>
      <w:tr w:rsidR="00E77864" w14:paraId="189D49B3" w14:textId="77777777" w:rsidTr="00117D6C">
        <w:tc>
          <w:tcPr>
            <w:tcW w:w="875" w:type="pct"/>
            <w:tcMar>
              <w:top w:w="60" w:type="dxa"/>
              <w:left w:w="80" w:type="dxa"/>
              <w:bottom w:w="60" w:type="dxa"/>
              <w:right w:w="80" w:type="dxa"/>
            </w:tcMar>
          </w:tcPr>
          <w:p w14:paraId="5688772D" w14:textId="77777777" w:rsidR="00E77864" w:rsidRDefault="00000000" w:rsidP="00117D6C">
            <w:pPr>
              <w:spacing w:before="100" w:beforeAutospacing="1" w:after="100" w:afterAutospacing="1"/>
            </w:pPr>
            <w:r>
              <w:rPr>
                <w:sz w:val="18"/>
                <w:szCs w:val="18"/>
              </w:rPr>
              <w:t>In vivo imaging of retention</w:t>
            </w:r>
          </w:p>
        </w:tc>
        <w:tc>
          <w:tcPr>
            <w:tcW w:w="1050" w:type="pct"/>
            <w:tcMar>
              <w:top w:w="60" w:type="dxa"/>
              <w:left w:w="80" w:type="dxa"/>
              <w:bottom w:w="60" w:type="dxa"/>
              <w:right w:w="80" w:type="dxa"/>
            </w:tcMar>
          </w:tcPr>
          <w:p w14:paraId="4C50CF4A" w14:textId="77777777" w:rsidR="00E77864" w:rsidRDefault="00000000" w:rsidP="00117D6C">
            <w:pPr>
              <w:spacing w:before="100" w:beforeAutospacing="1" w:after="100" w:afterAutospacing="1"/>
            </w:pPr>
            <w:r>
              <w:rPr>
                <w:sz w:val="18"/>
                <w:szCs w:val="18"/>
              </w:rPr>
              <w:t>Persistence of labelled material at the application site</w:t>
            </w:r>
          </w:p>
        </w:tc>
        <w:tc>
          <w:tcPr>
            <w:tcW w:w="1250" w:type="pct"/>
            <w:tcMar>
              <w:top w:w="60" w:type="dxa"/>
              <w:left w:w="80" w:type="dxa"/>
              <w:bottom w:w="60" w:type="dxa"/>
              <w:right w:w="80" w:type="dxa"/>
            </w:tcMar>
          </w:tcPr>
          <w:p w14:paraId="532D30D5" w14:textId="77777777" w:rsidR="00E77864" w:rsidRDefault="00000000" w:rsidP="00117D6C">
            <w:pPr>
              <w:spacing w:before="100" w:beforeAutospacing="1" w:after="100" w:afterAutospacing="1"/>
            </w:pPr>
            <w:r>
              <w:rPr>
                <w:sz w:val="18"/>
                <w:szCs w:val="18"/>
              </w:rPr>
              <w:t>That label remains associated with the carrier and that signal reflects adherent rather than proximate material</w:t>
            </w:r>
          </w:p>
        </w:tc>
        <w:tc>
          <w:tcPr>
            <w:tcW w:w="1200" w:type="pct"/>
            <w:tcMar>
              <w:top w:w="60" w:type="dxa"/>
              <w:left w:w="80" w:type="dxa"/>
              <w:bottom w:w="60" w:type="dxa"/>
              <w:right w:w="80" w:type="dxa"/>
            </w:tcMar>
          </w:tcPr>
          <w:p w14:paraId="07B74B40" w14:textId="77777777" w:rsidR="00E77864" w:rsidRDefault="00000000" w:rsidP="00117D6C">
            <w:pPr>
              <w:spacing w:before="100" w:beforeAutospacing="1" w:after="100" w:afterAutospacing="1"/>
            </w:pPr>
            <w:r>
              <w:rPr>
                <w:sz w:val="18"/>
                <w:szCs w:val="18"/>
              </w:rPr>
              <w:t>Label chemistry; imaging modality and depth sensitivity; quantification method</w:t>
            </w:r>
          </w:p>
        </w:tc>
        <w:tc>
          <w:tcPr>
            <w:tcW w:w="625" w:type="pct"/>
            <w:tcMar>
              <w:top w:w="60" w:type="dxa"/>
              <w:left w:w="80" w:type="dxa"/>
              <w:bottom w:w="60" w:type="dxa"/>
              <w:right w:w="80" w:type="dxa"/>
            </w:tcMar>
          </w:tcPr>
          <w:p w14:paraId="1DCE90FF" w14:textId="77777777" w:rsidR="00E77864" w:rsidRDefault="00000000" w:rsidP="00117D6C">
            <w:pPr>
              <w:spacing w:before="100" w:beforeAutospacing="1" w:after="100" w:afterAutospacing="1"/>
            </w:pPr>
            <w:r>
              <w:rPr>
                <w:sz w:val="18"/>
                <w:szCs w:val="18"/>
              </w:rPr>
              <w:t>Yousif et al. (2025)</w:t>
            </w:r>
          </w:p>
        </w:tc>
      </w:tr>
    </w:tbl>
    <w:p w14:paraId="6521214E" w14:textId="77777777" w:rsidR="00E77864" w:rsidRDefault="00E77864" w:rsidP="00117D6C">
      <w:pPr>
        <w:spacing w:before="100" w:beforeAutospacing="1" w:after="100" w:afterAutospacing="1"/>
      </w:pPr>
    </w:p>
    <w:p w14:paraId="43079FE7" w14:textId="77777777" w:rsidR="00E77864" w:rsidRDefault="00000000" w:rsidP="00117D6C">
      <w:pPr>
        <w:spacing w:before="100" w:beforeAutospacing="1" w:after="100" w:afterAutospacing="1"/>
        <w:jc w:val="both"/>
      </w:pPr>
      <w:r>
        <w:rPr>
          <w:sz w:val="18"/>
          <w:szCs w:val="18"/>
        </w:rPr>
        <w:t xml:space="preserve">Note. Sources listed in the final column are those describing or critically evaluating the method as applied to </w:t>
      </w:r>
      <w:proofErr w:type="spellStart"/>
      <w:r>
        <w:rPr>
          <w:sz w:val="18"/>
          <w:szCs w:val="18"/>
        </w:rPr>
        <w:t>mucoadhesion</w:t>
      </w:r>
      <w:proofErr w:type="spellEnd"/>
      <w:r>
        <w:rPr>
          <w:sz w:val="18"/>
          <w:szCs w:val="18"/>
        </w:rPr>
        <w:t xml:space="preserve"> within the literature retrieved for this review.</w:t>
      </w:r>
    </w:p>
    <w:p w14:paraId="168E3058" w14:textId="77777777" w:rsidR="00E77864" w:rsidRDefault="00000000" w:rsidP="00117D6C">
      <w:pPr>
        <w:pStyle w:val="Heading2"/>
        <w:spacing w:before="100" w:beforeAutospacing="1" w:after="100" w:afterAutospacing="1"/>
      </w:pPr>
      <w:r>
        <w:rPr>
          <w:b/>
          <w:bCs/>
          <w:color w:val="000000"/>
          <w:sz w:val="24"/>
          <w:szCs w:val="24"/>
        </w:rPr>
        <w:t>7.4 What Standardisation Would Require</w:t>
      </w:r>
    </w:p>
    <w:p w14:paraId="67E1681F" w14:textId="77777777" w:rsidR="00E77864" w:rsidRDefault="00000000" w:rsidP="00117D6C">
      <w:pPr>
        <w:spacing w:before="100" w:beforeAutospacing="1" w:after="100" w:afterAutospacing="1"/>
        <w:jc w:val="both"/>
      </w:pPr>
      <w:r>
        <w:t>Three components would be needed for the field to achieve cross-laboratory comparability. The first is an agreed reference substrate, or a small set of substrates with defined and characterised properties, together with published characterisation data permitting laboratories to verify their own preparations. The work on artificial colonic mucus indicates that this is achievable and identifies zeta potential as a property requiring explicit control alongside viscosity (</w:t>
      </w:r>
      <w:proofErr w:type="spellStart"/>
      <w:r>
        <w:t>Tjakra</w:t>
      </w:r>
      <w:proofErr w:type="spellEnd"/>
      <w:r>
        <w:t xml:space="preserve">, </w:t>
      </w:r>
      <w:proofErr w:type="spellStart"/>
      <w:r>
        <w:t>Chakrapeesirisuk</w:t>
      </w:r>
      <w:proofErr w:type="spellEnd"/>
      <w:r>
        <w:t xml:space="preserve">, et al., 2025). The second is a set of benchmark materials spanning a known range of adhesive behaviour, analogous to the use of weakly interacting </w:t>
      </w:r>
      <w:proofErr w:type="gramStart"/>
      <w:r>
        <w:t>poly(</w:t>
      </w:r>
      <w:proofErr w:type="gramEnd"/>
      <w:r>
        <w:t>ethylene oxide) as a negative control in interfacial studies (Stie et al., 2024), and the proposed nanoparticle test set with defined surface properties addresses the particle-level equivalent (</w:t>
      </w:r>
      <w:proofErr w:type="spellStart"/>
      <w:r>
        <w:t>Tollemeto</w:t>
      </w:r>
      <w:proofErr w:type="spellEnd"/>
      <w:r>
        <w:t xml:space="preserve"> et al., 2025). The third is a minimum reporting standard specifying the experimental parameters that must accompany any adhesion measurement.</w:t>
      </w:r>
    </w:p>
    <w:p w14:paraId="4D646A64" w14:textId="77777777" w:rsidR="00E77864" w:rsidRDefault="00000000" w:rsidP="00117D6C">
      <w:pPr>
        <w:spacing w:before="100" w:beforeAutospacing="1" w:after="100" w:afterAutospacing="1"/>
        <w:jc w:val="both"/>
      </w:pPr>
      <w:r>
        <w:t>None of these requires new science. All require coordination, and the absence of a professional or regulatory body with an interest in convening it is a plausible explanation for why the problem has persisted despite being widely acknowledged.</w:t>
      </w:r>
    </w:p>
    <w:p w14:paraId="20526535" w14:textId="77777777" w:rsidR="00E77864" w:rsidRDefault="00000000" w:rsidP="00117D6C">
      <w:pPr>
        <w:pStyle w:val="Heading1"/>
        <w:spacing w:before="100" w:beforeAutospacing="1" w:after="100" w:afterAutospacing="1"/>
      </w:pPr>
      <w:r>
        <w:rPr>
          <w:b/>
          <w:bCs/>
          <w:color w:val="000000"/>
          <w:sz w:val="26"/>
          <w:szCs w:val="26"/>
        </w:rPr>
        <w:lastRenderedPageBreak/>
        <w:t>8. Formulation Platforms Across Anatomical Routes</w:t>
      </w:r>
    </w:p>
    <w:p w14:paraId="140164CB" w14:textId="77777777" w:rsidR="00E77864" w:rsidRDefault="00000000" w:rsidP="00117D6C">
      <w:pPr>
        <w:pStyle w:val="Heading2"/>
        <w:spacing w:before="100" w:beforeAutospacing="1" w:after="100" w:afterAutospacing="1"/>
      </w:pPr>
      <w:r>
        <w:rPr>
          <w:b/>
          <w:bCs/>
          <w:color w:val="000000"/>
          <w:sz w:val="24"/>
          <w:szCs w:val="24"/>
        </w:rPr>
        <w:t>8.1 Buccal and Sublingual Delivery</w:t>
      </w:r>
    </w:p>
    <w:p w14:paraId="14847E9D" w14:textId="77777777" w:rsidR="00E77864" w:rsidRDefault="00000000" w:rsidP="00117D6C">
      <w:pPr>
        <w:spacing w:before="100" w:beforeAutospacing="1" w:after="100" w:afterAutospacing="1"/>
        <w:jc w:val="both"/>
      </w:pPr>
      <w:r>
        <w:t>The oral cavity offers moderate clearance, accessibility, avoidance of first-pass metabolism and acceptable patient tolerance, and it accounts for the largest share of clinically established mucoadhesive products. Films are the dominant contemporary format, offering dose accuracy, comfort and manufacturability, and their pharmaceutical development has been reviewed comprehensively (de Carvalho et al., 2023; Solanki &amp; Parmar, 2025). Manufacturing has diversified beyond solvent casting to include hot-melt extrusion, which has been applied to poly(2-ethyl-2-oxazoline)-based mucoadhesive buccal films for poorly water-soluble drugs (Zhang et al., 2025), and to electrospinning and three-dimensional printing.</w:t>
      </w:r>
    </w:p>
    <w:p w14:paraId="39FA0FB9" w14:textId="77777777" w:rsidR="00E77864" w:rsidRDefault="00000000" w:rsidP="00117D6C">
      <w:pPr>
        <w:spacing w:before="100" w:beforeAutospacing="1" w:after="100" w:afterAutospacing="1"/>
        <w:jc w:val="both"/>
      </w:pPr>
      <w:r>
        <w:t xml:space="preserve">Two developments merit particular attention. The first is the extension of buccal delivery to peptides. A pullulan-based bilayer film incorporating a mucoadhesive pullulan-carboxymethylcellulose layer and an </w:t>
      </w:r>
      <w:proofErr w:type="spellStart"/>
      <w:r>
        <w:t>ammonio</w:t>
      </w:r>
      <w:proofErr w:type="spellEnd"/>
      <w:r>
        <w:t xml:space="preserve">-methacrylate backing layer, co-delivering a glucagon-like peptide-1 receptor agonist analogue with the permeation enhancer sodium </w:t>
      </w:r>
      <w:proofErr w:type="spellStart"/>
      <w:r>
        <w:t>glycodeoxycholate</w:t>
      </w:r>
      <w:proofErr w:type="spellEnd"/>
      <w:r>
        <w:t>, achieved approximately 4.5 per cent and 2 per cent transmucosal flux at three hours for single-layer and bilayer films respectively across ex vivo porcine buccal mucosa without overt tissue damage (Karki et al., 2026). These figures are modest in absolute terms and are ex vivo, but they establish a quantitative baseline against which subsequent work can be assessed, which is more useful than a qualitative claim of feasibility. The second is the appearance of clinical evaluation. A composite solid lipid microparticle-into-film system delivering clobetasol propionate progressed from formulation design to a pilot clinical evaluation in patients with oral lichen planus, with five patients per group (Di Prima et al., 2026). The sample is small and the study is explicitly preliminary, but the progression from ex vivo characterisation to patient exposure within a single reported programme is uncommon in this literature and is the pattern the field requires.</w:t>
      </w:r>
    </w:p>
    <w:p w14:paraId="4939F902" w14:textId="77777777" w:rsidR="00E77864" w:rsidRDefault="00000000" w:rsidP="00117D6C">
      <w:pPr>
        <w:spacing w:before="100" w:beforeAutospacing="1" w:after="100" w:afterAutospacing="1"/>
        <w:jc w:val="both"/>
      </w:pPr>
      <w:r>
        <w:t>Adhesion in the oral cavity is complicated by the fact that saliva both enables and disrupts it. The mussel-inspired approach, which achieves adhesion under wet conditions through catechol chemistry rather than through hydration-dependent interpenetration, addresses this directly (Hu et al., 2021). Polymer blending offers a more conventional route to the same objective, and the demonstration that hydration behaviour and surface interaction jointly determine performance in cellulose-based blends provides a rational basis for such optimisation (Rojewska et al., 2026).</w:t>
      </w:r>
    </w:p>
    <w:p w14:paraId="5012A289" w14:textId="77777777" w:rsidR="00E77864" w:rsidRDefault="00000000" w:rsidP="00117D6C">
      <w:pPr>
        <w:pStyle w:val="Heading2"/>
        <w:spacing w:before="100" w:beforeAutospacing="1" w:after="100" w:afterAutospacing="1"/>
      </w:pPr>
      <w:r>
        <w:rPr>
          <w:b/>
          <w:bCs/>
          <w:color w:val="000000"/>
          <w:sz w:val="24"/>
          <w:szCs w:val="24"/>
        </w:rPr>
        <w:t>8.2 Ocular Delivery</w:t>
      </w:r>
    </w:p>
    <w:p w14:paraId="75F22F51" w14:textId="77777777" w:rsidR="00E77864" w:rsidRDefault="00000000" w:rsidP="00117D6C">
      <w:pPr>
        <w:spacing w:before="100" w:beforeAutospacing="1" w:after="100" w:afterAutospacing="1"/>
        <w:jc w:val="both"/>
      </w:pPr>
      <w:r>
        <w:t xml:space="preserve">The precorneal environment is the least favourable in which </w:t>
      </w:r>
      <w:proofErr w:type="spellStart"/>
      <w:r>
        <w:t>mucoadhesion</w:t>
      </w:r>
      <w:proofErr w:type="spellEnd"/>
      <w:r>
        <w:t xml:space="preserve"> is routinely attempted. Instilled solutions are cleared within minutes, and the fraction of an applied topical dose reaching intraocular tissue is small; the advances and remaining limitations of eye-drop formulation have been reviewed critically (Jumelle et al., 2020). In situ gelling systems that undergo sol-gel transition in response to temperature, pH or ionic composition of tear fluid remain the principal mucoadhesive strategy, combining the convenience of a drop with the residence of a gel (Pandey et al., 2021; </w:t>
      </w:r>
      <w:proofErr w:type="spellStart"/>
      <w:r>
        <w:t>Vigani</w:t>
      </w:r>
      <w:proofErr w:type="spellEnd"/>
      <w:r>
        <w:t xml:space="preserve"> et al., 2020). Contemporary examples include ion-activated </w:t>
      </w:r>
      <w:proofErr w:type="spellStart"/>
      <w:r>
        <w:t>gellan</w:t>
      </w:r>
      <w:proofErr w:type="spellEnd"/>
      <w:r>
        <w:t xml:space="preserve"> gum systems for tofacitinib citrate in dry eye disease (Chen et al., 2025) and mucoadhesive platforms for sustained glaucoma management (Omar et al., 2026).</w:t>
      </w:r>
    </w:p>
    <w:p w14:paraId="670E368D" w14:textId="77777777" w:rsidR="00E77864" w:rsidRDefault="00000000" w:rsidP="00117D6C">
      <w:pPr>
        <w:spacing w:before="100" w:beforeAutospacing="1" w:after="100" w:afterAutospacing="1"/>
        <w:jc w:val="both"/>
      </w:pPr>
      <w:r>
        <w:t xml:space="preserve">The ocular literature illustrates a recurring evidential weakness. Studies typically report increased precorneal residence and increased area under the concentration-time curve in aqueous humour relative to a solution control, from which superiority is inferred. The comparator is rarely an optimised conventional formulation of equivalent viscosity, so the contribution attributable specifically to </w:t>
      </w:r>
      <w:proofErr w:type="spellStart"/>
      <w:r>
        <w:t>mucoadhesion</w:t>
      </w:r>
      <w:proofErr w:type="spellEnd"/>
      <w:r>
        <w:t xml:space="preserve">, as distinct from viscosity-mediated resistance to drainage, is generally not isolated. </w:t>
      </w:r>
      <w:r>
        <w:lastRenderedPageBreak/>
        <w:t xml:space="preserve">Mucoadhesive </w:t>
      </w:r>
      <w:proofErr w:type="spellStart"/>
      <w:r>
        <w:t>nanofibre</w:t>
      </w:r>
      <w:proofErr w:type="spellEnd"/>
      <w:r>
        <w:t xml:space="preserve"> systems for ocular delivery have been reviewed with attention to mechanism and design, and the review is notable for treating the mechanistic basis rather than only the formulations (Desai et al., 2026). The mucus-penetrating alternative has separately been reported to improve distribution uniformity and tissue delivery relative to conventional particles (Popov, 2020), and the two strategies have seldom been compared directly at this site.</w:t>
      </w:r>
    </w:p>
    <w:p w14:paraId="274FB071" w14:textId="77777777" w:rsidR="00E77864" w:rsidRDefault="00000000" w:rsidP="00117D6C">
      <w:pPr>
        <w:pStyle w:val="Heading2"/>
        <w:spacing w:before="100" w:beforeAutospacing="1" w:after="100" w:afterAutospacing="1"/>
      </w:pPr>
      <w:r>
        <w:rPr>
          <w:b/>
          <w:bCs/>
          <w:color w:val="000000"/>
          <w:sz w:val="24"/>
          <w:szCs w:val="24"/>
        </w:rPr>
        <w:t>8.3 Nasal Delivery</w:t>
      </w:r>
    </w:p>
    <w:p w14:paraId="3730A423" w14:textId="77777777" w:rsidR="00E77864" w:rsidRDefault="00000000" w:rsidP="00117D6C">
      <w:pPr>
        <w:spacing w:before="100" w:beforeAutospacing="1" w:after="100" w:afterAutospacing="1"/>
        <w:jc w:val="both"/>
      </w:pPr>
      <w:r>
        <w:t>Nasal delivery has attracted intense interest, partly for local and systemic indications and partly for the prospect of direct nose-to-brain transport. Mucociliary clearance is the dominant constraint, and mucoadhesive and mucus-penetrating strategies, in situ gelling systems and nano-formulations have all been deployed against it (</w:t>
      </w:r>
      <w:proofErr w:type="spellStart"/>
      <w:r>
        <w:t>Porfiryeva</w:t>
      </w:r>
      <w:proofErr w:type="spellEnd"/>
      <w:r>
        <w:t xml:space="preserve"> et al., 2026). Powder formulations offer an alternative approach in which the dry material gels on contact with nasal mucus, and in vitro characterisation has been used to assess the impact of powders on residence time and sensory effects (</w:t>
      </w:r>
      <w:proofErr w:type="spellStart"/>
      <w:r>
        <w:t>Trenkel</w:t>
      </w:r>
      <w:proofErr w:type="spellEnd"/>
      <w:r>
        <w:t xml:space="preserve"> &amp; </w:t>
      </w:r>
      <w:proofErr w:type="spellStart"/>
      <w:r>
        <w:t>Scherließ</w:t>
      </w:r>
      <w:proofErr w:type="spellEnd"/>
      <w:r>
        <w:t xml:space="preserve">, 2021). Quaternised chitosan-coated liposomes have been reported to provide pH-independent nasal </w:t>
      </w:r>
      <w:proofErr w:type="spellStart"/>
      <w:r>
        <w:t>mucoadhesion</w:t>
      </w:r>
      <w:proofErr w:type="spellEnd"/>
      <w:r>
        <w:t xml:space="preserve"> and a sustained local depot for mometasone furoate (Jiang et al., 2026), and thermosensitive mucoadhesive in situ gels have been evaluated for nose-to-brain targeting of risperidone (Singh et al., 2025).</w:t>
      </w:r>
    </w:p>
    <w:p w14:paraId="60159852" w14:textId="77777777" w:rsidR="00E77864" w:rsidRDefault="00000000" w:rsidP="00117D6C">
      <w:pPr>
        <w:spacing w:before="100" w:beforeAutospacing="1" w:after="100" w:afterAutospacing="1"/>
        <w:jc w:val="both"/>
      </w:pPr>
      <w:r>
        <w:t>Critical appraisal of this route requires caution on two grounds. Nose-to-brain transport is frequently inferred from higher brain-to-plasma concentration ratios after intranasal compared with intravenous administration, an inference that is sensitive to sampling scheme, tissue perfusion and analytical method, and that does not by itself establish an olfactory or trigeminal route. A recent review of nasal mucoadhesive and mucus-penetrating systems identified insufficient validation, uncertainty regarding long-term safety and inadequate characterisation of repeated-dose effects as the principal barriers to translation (</w:t>
      </w:r>
      <w:proofErr w:type="spellStart"/>
      <w:r>
        <w:t>Porfiryeva</w:t>
      </w:r>
      <w:proofErr w:type="spellEnd"/>
      <w:r>
        <w:t xml:space="preserve"> et al., 2026). The second concern follows from Section 3.2: given the timescale of mucociliary clearance, the ceiling on achievable residence gain is low, and large reported improvements warrant scrutiny of the measurement conditions under which they were obtained.</w:t>
      </w:r>
    </w:p>
    <w:p w14:paraId="3781782D" w14:textId="77777777" w:rsidR="00E77864" w:rsidRDefault="00000000" w:rsidP="00117D6C">
      <w:pPr>
        <w:pStyle w:val="Heading2"/>
        <w:spacing w:before="100" w:beforeAutospacing="1" w:after="100" w:afterAutospacing="1"/>
      </w:pPr>
      <w:r>
        <w:rPr>
          <w:b/>
          <w:bCs/>
          <w:color w:val="000000"/>
          <w:sz w:val="24"/>
          <w:szCs w:val="24"/>
        </w:rPr>
        <w:t>8.4 Vaginal Delivery</w:t>
      </w:r>
    </w:p>
    <w:p w14:paraId="7CEC2FE2" w14:textId="77777777" w:rsidR="00E77864" w:rsidRDefault="00000000" w:rsidP="00117D6C">
      <w:pPr>
        <w:spacing w:before="100" w:beforeAutospacing="1" w:after="100" w:afterAutospacing="1"/>
        <w:jc w:val="both"/>
      </w:pPr>
      <w:r>
        <w:t>The vaginal route permits local therapy and offers moderate clearance, and polymer-based systems including gels, films, tablets, inserts and rings are well developed (</w:t>
      </w:r>
      <w:proofErr w:type="spellStart"/>
      <w:r>
        <w:t>Osmałek</w:t>
      </w:r>
      <w:proofErr w:type="spellEnd"/>
      <w:r>
        <w:t xml:space="preserve"> et al., 2021). Mucoadhesive systems have been applied to antimicrobial therapy, hormone delivery and pre-exposure prophylaxis, the last exemplified by </w:t>
      </w:r>
      <w:proofErr w:type="spellStart"/>
      <w:r>
        <w:t>thermoresponsive</w:t>
      </w:r>
      <w:proofErr w:type="spellEnd"/>
      <w:r>
        <w:t xml:space="preserve"> mucoadhesive in situ gelling systems containing surface-engineered nanoparticles for sustained intravaginal efavirenz delivery (Kumar et al., 2025).</w:t>
      </w:r>
    </w:p>
    <w:p w14:paraId="0BF5F3A1" w14:textId="77777777" w:rsidR="00E77864" w:rsidRDefault="00000000" w:rsidP="00117D6C">
      <w:pPr>
        <w:spacing w:before="100" w:beforeAutospacing="1" w:after="100" w:afterAutospacing="1"/>
        <w:jc w:val="both"/>
      </w:pPr>
      <w:r>
        <w:t>The most useful critical contribution from this route is methodological. Systematic review of mucoadhesive vaginal tablet testing documented substantial variation in test methods, substrates and reporting across the published literature, with the consequence that reported performance cannot readily be compared between studies (Zainol Abidin et al., 2023). This is the clearest documentation available of the standardisation problem within a single dosage form, and its conclusions generalise directly to other routes.</w:t>
      </w:r>
    </w:p>
    <w:p w14:paraId="75902B25" w14:textId="77777777" w:rsidR="00E77864" w:rsidRDefault="00000000" w:rsidP="00117D6C">
      <w:pPr>
        <w:pStyle w:val="Heading2"/>
        <w:spacing w:before="100" w:beforeAutospacing="1" w:after="100" w:afterAutospacing="1"/>
      </w:pPr>
      <w:r>
        <w:rPr>
          <w:b/>
          <w:bCs/>
          <w:color w:val="000000"/>
          <w:sz w:val="24"/>
          <w:szCs w:val="24"/>
        </w:rPr>
        <w:t>8.5 Gastrointestinal Delivery</w:t>
      </w:r>
    </w:p>
    <w:p w14:paraId="36D42B78" w14:textId="77777777" w:rsidR="00E77864" w:rsidRDefault="00000000" w:rsidP="00117D6C">
      <w:pPr>
        <w:spacing w:before="100" w:beforeAutospacing="1" w:after="100" w:afterAutospacing="1"/>
        <w:jc w:val="both"/>
      </w:pPr>
      <w:r>
        <w:t xml:space="preserve">Gastrointestinal </w:t>
      </w:r>
      <w:proofErr w:type="spellStart"/>
      <w:r>
        <w:t>mucoadhesion</w:t>
      </w:r>
      <w:proofErr w:type="spellEnd"/>
      <w:r>
        <w:t xml:space="preserve"> is the application in which the theoretical objection is strongest, because the loosely adherent outer mucus layer is continuously shed and adhesion to it confers no durable residence (Ensign et al., 2012; Rubinstein &amp; Tirosh, 1994). </w:t>
      </w:r>
      <w:proofErr w:type="spellStart"/>
      <w:r>
        <w:t>Gastroretentive</w:t>
      </w:r>
      <w:proofErr w:type="spellEnd"/>
      <w:r>
        <w:t xml:space="preserve"> strategies </w:t>
      </w:r>
      <w:r>
        <w:lastRenderedPageBreak/>
        <w:t xml:space="preserve">accordingly rely predominantly on floating, swelling or expanding mechanisms, with </w:t>
      </w:r>
      <w:proofErr w:type="spellStart"/>
      <w:r>
        <w:t>mucoadhesion</w:t>
      </w:r>
      <w:proofErr w:type="spellEnd"/>
      <w:r>
        <w:t xml:space="preserve"> as a contributory rather than a primary mechanism (Iglesias et al., 2020).</w:t>
      </w:r>
    </w:p>
    <w:p w14:paraId="04946C58" w14:textId="77777777" w:rsidR="00E77864" w:rsidRDefault="00000000" w:rsidP="00117D6C">
      <w:pPr>
        <w:spacing w:before="100" w:beforeAutospacing="1" w:after="100" w:afterAutospacing="1"/>
        <w:jc w:val="both"/>
      </w:pPr>
      <w:r>
        <w:t xml:space="preserve">Where gastrointestinal </w:t>
      </w:r>
      <w:proofErr w:type="spellStart"/>
      <w:r>
        <w:t>mucoadhesion</w:t>
      </w:r>
      <w:proofErr w:type="spellEnd"/>
      <w:r>
        <w:t xml:space="preserve"> retains a clear rationale is in localised therapy of the mucosa itself and in targeting to regions with slower turnover. Gastric-mucus-penetrating responsive microgels developed for Helicobacter pylori-induced gastritis illustrate a case in which the pathogen resides within the mucus layer, making transit into that layer rather than adhesion upon it the appropriate objective (Li et al., 2025). Starch-based mucoadhesive systems have been reviewed for oncological applications along the gastrointestinal tract (Kumar et al., 2026). For oral delivery of </w:t>
      </w:r>
      <w:proofErr w:type="gramStart"/>
      <w:r>
        <w:t>macromolecules</w:t>
      </w:r>
      <w:proofErr w:type="gramEnd"/>
      <w:r>
        <w:t xml:space="preserve"> the emerging consensus is that mucus is one barrier among several and that formulations must address mucus transit, epithelial permeation and enzymatic stability jointly, which is the reasoning underlying sequential and switchable designs (Nazir et al., 2019).</w:t>
      </w:r>
    </w:p>
    <w:p w14:paraId="4D0D25F6" w14:textId="77777777" w:rsidR="00E77864" w:rsidRDefault="00000000" w:rsidP="00117D6C">
      <w:pPr>
        <w:pStyle w:val="Heading2"/>
        <w:spacing w:before="100" w:beforeAutospacing="1" w:after="100" w:afterAutospacing="1"/>
      </w:pPr>
      <w:r>
        <w:rPr>
          <w:b/>
          <w:bCs/>
          <w:color w:val="000000"/>
          <w:sz w:val="24"/>
          <w:szCs w:val="24"/>
        </w:rPr>
        <w:t>8.6 Intravesical Delivery</w:t>
      </w:r>
    </w:p>
    <w:p w14:paraId="0C763ED7" w14:textId="77777777" w:rsidR="00E77864" w:rsidRDefault="00000000" w:rsidP="00117D6C">
      <w:pPr>
        <w:spacing w:before="100" w:beforeAutospacing="1" w:after="100" w:afterAutospacing="1"/>
        <w:jc w:val="both"/>
      </w:pPr>
      <w:r>
        <w:t>The bladder is the site at which the mucoadhesive rationale is least contested. Instilled formulations are removed at voiding, therapeutic agents for non-muscle-invasive bladder cancer act locally, and any mechanism prolonging urothelial contact beyond voiding is of direct benefit. Mucoadhesive polymers and hydrogels have been reviewed for this indication (de Lima et al., 2022), and maleimide-functionalised liposomes and nanoparticles have demonstrated enhanced retention on bladder mucosa (</w:t>
      </w:r>
      <w:proofErr w:type="spellStart"/>
      <w:r>
        <w:t>Kaldybekov</w:t>
      </w:r>
      <w:proofErr w:type="spellEnd"/>
      <w:r>
        <w:t xml:space="preserve"> et al., 2018; </w:t>
      </w:r>
      <w:proofErr w:type="spellStart"/>
      <w:r>
        <w:t>Kaldybekov</w:t>
      </w:r>
      <w:proofErr w:type="spellEnd"/>
      <w:r>
        <w:t xml:space="preserve"> et al., 2019). More recent systems combine </w:t>
      </w:r>
      <w:proofErr w:type="spellStart"/>
      <w:r>
        <w:t>mucoadhesion</w:t>
      </w:r>
      <w:proofErr w:type="spellEnd"/>
      <w:r>
        <w:t xml:space="preserve"> with tumour penetration for chemo-immunotherapy (Zhao et al., 2026), and tumour-selective mucoadhesive hydrogels have been evaluated in murine models (Zheng, Chen, et al., 2025).</w:t>
      </w:r>
    </w:p>
    <w:p w14:paraId="2F5563DF" w14:textId="77777777" w:rsidR="00E77864" w:rsidRDefault="00000000" w:rsidP="00117D6C">
      <w:pPr>
        <w:spacing w:before="100" w:beforeAutospacing="1" w:after="100" w:afterAutospacing="1"/>
        <w:jc w:val="both"/>
      </w:pPr>
      <w:r>
        <w:t>The intravesical literature is nonetheless dominated by rodent studies, and the correspondence between murine and human bladder urothelium in respect of glycosaminoglycan composition, thiol availability and voiding frequency is not well established. Species differences in the substrate are particularly consequential for maleimide chemistry, whose efficacy depends on the availability of accessible thiol groups.</w:t>
      </w:r>
    </w:p>
    <w:p w14:paraId="79E52A77" w14:textId="77777777" w:rsidR="00E77864" w:rsidRDefault="00000000" w:rsidP="00117D6C">
      <w:pPr>
        <w:spacing w:before="100" w:beforeAutospacing="1" w:after="100" w:afterAutospacing="1"/>
        <w:jc w:val="both"/>
      </w:pPr>
      <w:r>
        <w:t>Table 5 compares the six principal routes on the maturity of the evidence, the strongest and weakest elements of the supporting data, and the specific unresolved question at each site. The comparison shows that evidential maturity tracks physiological favourability rather than research intensity: the nasal route has attracted extensive investigation but retains the weakest translational evidence, whereas the buccal route, with a less spectacular literature, has produced clinical evaluation. The final column identifies the question whose resolution would most improve the evidence at each site.</w:t>
      </w:r>
    </w:p>
    <w:p w14:paraId="679B09DE" w14:textId="77777777" w:rsidR="00E77864" w:rsidRDefault="00000000" w:rsidP="00117D6C">
      <w:pPr>
        <w:spacing w:before="100" w:beforeAutospacing="1" w:after="100" w:afterAutospacing="1"/>
      </w:pPr>
      <w:r>
        <w:rPr>
          <w:b/>
          <w:bCs/>
          <w:sz w:val="22"/>
          <w:szCs w:val="22"/>
        </w:rPr>
        <w:t>Table 5. Route-specific appraisal of the mucoadhesive evidence base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541"/>
        <w:gridCol w:w="1874"/>
        <w:gridCol w:w="1789"/>
        <w:gridCol w:w="1874"/>
        <w:gridCol w:w="1250"/>
      </w:tblGrid>
      <w:tr w:rsidR="00E77864" w14:paraId="1878A33E" w14:textId="77777777" w:rsidTr="00117D6C">
        <w:trPr>
          <w:tblHeader/>
        </w:trPr>
        <w:tc>
          <w:tcPr>
            <w:tcW w:w="675" w:type="pct"/>
            <w:shd w:val="clear" w:color="auto" w:fill="E8E8E8"/>
            <w:tcMar>
              <w:top w:w="60" w:type="dxa"/>
              <w:left w:w="80" w:type="dxa"/>
              <w:bottom w:w="60" w:type="dxa"/>
              <w:right w:w="80" w:type="dxa"/>
            </w:tcMar>
          </w:tcPr>
          <w:p w14:paraId="41D6868E" w14:textId="77777777" w:rsidR="00E77864" w:rsidRDefault="00000000" w:rsidP="00117D6C">
            <w:pPr>
              <w:spacing w:before="100" w:beforeAutospacing="1" w:after="100" w:afterAutospacing="1"/>
            </w:pPr>
            <w:r>
              <w:rPr>
                <w:b/>
                <w:bCs/>
                <w:sz w:val="18"/>
                <w:szCs w:val="18"/>
              </w:rPr>
              <w:t>Route</w:t>
            </w:r>
          </w:p>
        </w:tc>
        <w:tc>
          <w:tcPr>
            <w:tcW w:w="801" w:type="pct"/>
            <w:shd w:val="clear" w:color="auto" w:fill="E8E8E8"/>
            <w:tcMar>
              <w:top w:w="60" w:type="dxa"/>
              <w:left w:w="80" w:type="dxa"/>
              <w:bottom w:w="60" w:type="dxa"/>
              <w:right w:w="80" w:type="dxa"/>
            </w:tcMar>
          </w:tcPr>
          <w:p w14:paraId="5DF4C78E" w14:textId="77777777" w:rsidR="00E77864" w:rsidRDefault="00000000" w:rsidP="00117D6C">
            <w:pPr>
              <w:spacing w:before="100" w:beforeAutospacing="1" w:after="100" w:afterAutospacing="1"/>
            </w:pPr>
            <w:r>
              <w:rPr>
                <w:b/>
                <w:bCs/>
                <w:sz w:val="18"/>
                <w:szCs w:val="18"/>
              </w:rPr>
              <w:t>Maturity of evidence</w:t>
            </w:r>
          </w:p>
        </w:tc>
        <w:tc>
          <w:tcPr>
            <w:tcW w:w="973" w:type="pct"/>
            <w:shd w:val="clear" w:color="auto" w:fill="E8E8E8"/>
            <w:tcMar>
              <w:top w:w="60" w:type="dxa"/>
              <w:left w:w="80" w:type="dxa"/>
              <w:bottom w:w="60" w:type="dxa"/>
              <w:right w:w="80" w:type="dxa"/>
            </w:tcMar>
          </w:tcPr>
          <w:p w14:paraId="129887DA" w14:textId="77777777" w:rsidR="00E77864" w:rsidRDefault="00000000" w:rsidP="00117D6C">
            <w:pPr>
              <w:spacing w:before="100" w:beforeAutospacing="1" w:after="100" w:afterAutospacing="1"/>
            </w:pPr>
            <w:r>
              <w:rPr>
                <w:b/>
                <w:bCs/>
                <w:sz w:val="18"/>
                <w:szCs w:val="18"/>
              </w:rPr>
              <w:t>Strongest element of the evidence</w:t>
            </w:r>
          </w:p>
        </w:tc>
        <w:tc>
          <w:tcPr>
            <w:tcW w:w="929" w:type="pct"/>
            <w:shd w:val="clear" w:color="auto" w:fill="E8E8E8"/>
            <w:tcMar>
              <w:top w:w="60" w:type="dxa"/>
              <w:left w:w="80" w:type="dxa"/>
              <w:bottom w:w="60" w:type="dxa"/>
              <w:right w:w="80" w:type="dxa"/>
            </w:tcMar>
          </w:tcPr>
          <w:p w14:paraId="00A073F1" w14:textId="77777777" w:rsidR="00E77864" w:rsidRDefault="00000000" w:rsidP="00117D6C">
            <w:pPr>
              <w:spacing w:before="100" w:beforeAutospacing="1" w:after="100" w:afterAutospacing="1"/>
            </w:pPr>
            <w:r>
              <w:rPr>
                <w:b/>
                <w:bCs/>
                <w:sz w:val="18"/>
                <w:szCs w:val="18"/>
              </w:rPr>
              <w:t>Weakest element of the evidence</w:t>
            </w:r>
          </w:p>
        </w:tc>
        <w:tc>
          <w:tcPr>
            <w:tcW w:w="973" w:type="pct"/>
            <w:shd w:val="clear" w:color="auto" w:fill="E8E8E8"/>
            <w:tcMar>
              <w:top w:w="60" w:type="dxa"/>
              <w:left w:w="80" w:type="dxa"/>
              <w:bottom w:w="60" w:type="dxa"/>
              <w:right w:w="80" w:type="dxa"/>
            </w:tcMar>
          </w:tcPr>
          <w:p w14:paraId="268C8B71" w14:textId="77777777" w:rsidR="00E77864" w:rsidRDefault="00000000" w:rsidP="00117D6C">
            <w:pPr>
              <w:spacing w:before="100" w:beforeAutospacing="1" w:after="100" w:afterAutospacing="1"/>
            </w:pPr>
            <w:r>
              <w:rPr>
                <w:b/>
                <w:bCs/>
                <w:sz w:val="18"/>
                <w:szCs w:val="18"/>
              </w:rPr>
              <w:t>Most consequential unresolved question</w:t>
            </w:r>
          </w:p>
        </w:tc>
        <w:tc>
          <w:tcPr>
            <w:tcW w:w="649" w:type="pct"/>
            <w:shd w:val="clear" w:color="auto" w:fill="E8E8E8"/>
            <w:tcMar>
              <w:top w:w="60" w:type="dxa"/>
              <w:left w:w="80" w:type="dxa"/>
              <w:bottom w:w="60" w:type="dxa"/>
              <w:right w:w="80" w:type="dxa"/>
            </w:tcMar>
          </w:tcPr>
          <w:p w14:paraId="78CE2BF1" w14:textId="77777777" w:rsidR="00E77864" w:rsidRDefault="00000000" w:rsidP="00117D6C">
            <w:pPr>
              <w:spacing w:before="100" w:beforeAutospacing="1" w:after="100" w:afterAutospacing="1"/>
            </w:pPr>
            <w:r>
              <w:rPr>
                <w:b/>
                <w:bCs/>
                <w:sz w:val="18"/>
                <w:szCs w:val="18"/>
              </w:rPr>
              <w:t>Supporting references</w:t>
            </w:r>
          </w:p>
        </w:tc>
      </w:tr>
      <w:tr w:rsidR="00E77864" w14:paraId="09DCD828" w14:textId="77777777" w:rsidTr="00117D6C">
        <w:tc>
          <w:tcPr>
            <w:tcW w:w="675" w:type="pct"/>
            <w:tcMar>
              <w:top w:w="60" w:type="dxa"/>
              <w:left w:w="80" w:type="dxa"/>
              <w:bottom w:w="60" w:type="dxa"/>
              <w:right w:w="80" w:type="dxa"/>
            </w:tcMar>
          </w:tcPr>
          <w:p w14:paraId="671B45EE" w14:textId="77777777" w:rsidR="00E77864" w:rsidRDefault="00000000" w:rsidP="00117D6C">
            <w:pPr>
              <w:spacing w:before="100" w:beforeAutospacing="1" w:after="100" w:afterAutospacing="1"/>
            </w:pPr>
            <w:r>
              <w:rPr>
                <w:sz w:val="18"/>
                <w:szCs w:val="18"/>
              </w:rPr>
              <w:t>Buccal and sublingual</w:t>
            </w:r>
          </w:p>
        </w:tc>
        <w:tc>
          <w:tcPr>
            <w:tcW w:w="801" w:type="pct"/>
            <w:tcMar>
              <w:top w:w="60" w:type="dxa"/>
              <w:left w:w="80" w:type="dxa"/>
              <w:bottom w:w="60" w:type="dxa"/>
              <w:right w:w="80" w:type="dxa"/>
            </w:tcMar>
          </w:tcPr>
          <w:p w14:paraId="1C56B572" w14:textId="77777777" w:rsidR="00E77864" w:rsidRDefault="00000000" w:rsidP="00117D6C">
            <w:pPr>
              <w:spacing w:before="100" w:beforeAutospacing="1" w:after="100" w:afterAutospacing="1"/>
            </w:pPr>
            <w:r>
              <w:rPr>
                <w:sz w:val="18"/>
                <w:szCs w:val="18"/>
              </w:rPr>
              <w:t>Highest; includes marketed products and early clinical evaluation</w:t>
            </w:r>
          </w:p>
        </w:tc>
        <w:tc>
          <w:tcPr>
            <w:tcW w:w="973" w:type="pct"/>
            <w:tcMar>
              <w:top w:w="60" w:type="dxa"/>
              <w:left w:w="80" w:type="dxa"/>
              <w:bottom w:w="60" w:type="dxa"/>
              <w:right w:w="80" w:type="dxa"/>
            </w:tcMar>
          </w:tcPr>
          <w:p w14:paraId="457BA52A" w14:textId="77777777" w:rsidR="00E77864" w:rsidRDefault="00000000" w:rsidP="00117D6C">
            <w:pPr>
              <w:spacing w:before="100" w:beforeAutospacing="1" w:after="100" w:afterAutospacing="1"/>
            </w:pPr>
            <w:r>
              <w:rPr>
                <w:sz w:val="18"/>
                <w:szCs w:val="18"/>
              </w:rPr>
              <w:t>Manufacturable film platforms with dose accuracy and acceptable tolerance; emerging patient-level data</w:t>
            </w:r>
          </w:p>
        </w:tc>
        <w:tc>
          <w:tcPr>
            <w:tcW w:w="929" w:type="pct"/>
            <w:tcMar>
              <w:top w:w="60" w:type="dxa"/>
              <w:left w:w="80" w:type="dxa"/>
              <w:bottom w:w="60" w:type="dxa"/>
              <w:right w:w="80" w:type="dxa"/>
            </w:tcMar>
          </w:tcPr>
          <w:p w14:paraId="337C126D" w14:textId="77777777" w:rsidR="00E77864" w:rsidRDefault="00000000" w:rsidP="00117D6C">
            <w:pPr>
              <w:spacing w:before="100" w:beforeAutospacing="1" w:after="100" w:afterAutospacing="1"/>
            </w:pPr>
            <w:r>
              <w:rPr>
                <w:sz w:val="18"/>
                <w:szCs w:val="18"/>
              </w:rPr>
              <w:t>Adhesion is rarely isolated from permeation enhancement as the cause of observed absorption</w:t>
            </w:r>
          </w:p>
        </w:tc>
        <w:tc>
          <w:tcPr>
            <w:tcW w:w="973" w:type="pct"/>
            <w:tcMar>
              <w:top w:w="60" w:type="dxa"/>
              <w:left w:w="80" w:type="dxa"/>
              <w:bottom w:w="60" w:type="dxa"/>
              <w:right w:w="80" w:type="dxa"/>
            </w:tcMar>
          </w:tcPr>
          <w:p w14:paraId="39DBB517" w14:textId="77777777" w:rsidR="00E77864" w:rsidRDefault="00000000" w:rsidP="00117D6C">
            <w:pPr>
              <w:spacing w:before="100" w:beforeAutospacing="1" w:after="100" w:afterAutospacing="1"/>
            </w:pPr>
            <w:r>
              <w:rPr>
                <w:sz w:val="18"/>
                <w:szCs w:val="18"/>
              </w:rPr>
              <w:t>Whether adhesion or concurrent permeation enhancement accounts for improved bioavailability in peptide-containing films</w:t>
            </w:r>
          </w:p>
        </w:tc>
        <w:tc>
          <w:tcPr>
            <w:tcW w:w="649" w:type="pct"/>
            <w:tcMar>
              <w:top w:w="60" w:type="dxa"/>
              <w:left w:w="80" w:type="dxa"/>
              <w:bottom w:w="60" w:type="dxa"/>
              <w:right w:w="80" w:type="dxa"/>
            </w:tcMar>
          </w:tcPr>
          <w:p w14:paraId="3CBF16DC" w14:textId="77777777" w:rsidR="00E77864" w:rsidRDefault="00000000" w:rsidP="00117D6C">
            <w:pPr>
              <w:spacing w:before="100" w:beforeAutospacing="1" w:after="100" w:afterAutospacing="1"/>
            </w:pPr>
            <w:r>
              <w:rPr>
                <w:sz w:val="18"/>
                <w:szCs w:val="18"/>
              </w:rPr>
              <w:t>de Carvalho et al. (2023); Di Prima et al. (2026); Karki et al. (2026); Solanki &amp; Parmar (2025)</w:t>
            </w:r>
          </w:p>
        </w:tc>
      </w:tr>
      <w:tr w:rsidR="00E77864" w14:paraId="4726E44F" w14:textId="77777777" w:rsidTr="00117D6C">
        <w:tc>
          <w:tcPr>
            <w:tcW w:w="675" w:type="pct"/>
            <w:tcMar>
              <w:top w:w="60" w:type="dxa"/>
              <w:left w:w="80" w:type="dxa"/>
              <w:bottom w:w="60" w:type="dxa"/>
              <w:right w:w="80" w:type="dxa"/>
            </w:tcMar>
          </w:tcPr>
          <w:p w14:paraId="785D2F06" w14:textId="77777777" w:rsidR="00E77864" w:rsidRDefault="00000000" w:rsidP="00117D6C">
            <w:pPr>
              <w:spacing w:before="100" w:beforeAutospacing="1" w:after="100" w:afterAutospacing="1"/>
            </w:pPr>
            <w:r>
              <w:rPr>
                <w:sz w:val="18"/>
                <w:szCs w:val="18"/>
              </w:rPr>
              <w:t>Ocular</w:t>
            </w:r>
          </w:p>
        </w:tc>
        <w:tc>
          <w:tcPr>
            <w:tcW w:w="801" w:type="pct"/>
            <w:tcMar>
              <w:top w:w="60" w:type="dxa"/>
              <w:left w:w="80" w:type="dxa"/>
              <w:bottom w:w="60" w:type="dxa"/>
              <w:right w:w="80" w:type="dxa"/>
            </w:tcMar>
          </w:tcPr>
          <w:p w14:paraId="29E1F7BC" w14:textId="77777777" w:rsidR="00E77864" w:rsidRDefault="00000000" w:rsidP="00117D6C">
            <w:pPr>
              <w:spacing w:before="100" w:beforeAutospacing="1" w:after="100" w:afterAutospacing="1"/>
            </w:pPr>
            <w:r>
              <w:rPr>
                <w:sz w:val="18"/>
                <w:szCs w:val="18"/>
              </w:rPr>
              <w:t>Moderate; several established viscosity-enhancing and in situ gelling products</w:t>
            </w:r>
          </w:p>
        </w:tc>
        <w:tc>
          <w:tcPr>
            <w:tcW w:w="973" w:type="pct"/>
            <w:tcMar>
              <w:top w:w="60" w:type="dxa"/>
              <w:left w:w="80" w:type="dxa"/>
              <w:bottom w:w="60" w:type="dxa"/>
              <w:right w:w="80" w:type="dxa"/>
            </w:tcMar>
          </w:tcPr>
          <w:p w14:paraId="5CE9B931" w14:textId="77777777" w:rsidR="00E77864" w:rsidRDefault="00000000" w:rsidP="00117D6C">
            <w:pPr>
              <w:spacing w:before="100" w:beforeAutospacing="1" w:after="100" w:afterAutospacing="1"/>
            </w:pPr>
            <w:r>
              <w:rPr>
                <w:sz w:val="18"/>
                <w:szCs w:val="18"/>
              </w:rPr>
              <w:t>Well-characterised in situ gelling mechanisms responsive to tear composition</w:t>
            </w:r>
          </w:p>
        </w:tc>
        <w:tc>
          <w:tcPr>
            <w:tcW w:w="929" w:type="pct"/>
            <w:tcMar>
              <w:top w:w="60" w:type="dxa"/>
              <w:left w:w="80" w:type="dxa"/>
              <w:bottom w:w="60" w:type="dxa"/>
              <w:right w:w="80" w:type="dxa"/>
            </w:tcMar>
          </w:tcPr>
          <w:p w14:paraId="0D727B19" w14:textId="77777777" w:rsidR="00E77864" w:rsidRDefault="00000000" w:rsidP="00117D6C">
            <w:pPr>
              <w:spacing w:before="100" w:beforeAutospacing="1" w:after="100" w:afterAutospacing="1"/>
            </w:pPr>
            <w:r>
              <w:rPr>
                <w:sz w:val="18"/>
                <w:szCs w:val="18"/>
              </w:rPr>
              <w:t>Comparators are usually simple solutions rather than viscosity-matched controls</w:t>
            </w:r>
          </w:p>
        </w:tc>
        <w:tc>
          <w:tcPr>
            <w:tcW w:w="973" w:type="pct"/>
            <w:tcMar>
              <w:top w:w="60" w:type="dxa"/>
              <w:left w:w="80" w:type="dxa"/>
              <w:bottom w:w="60" w:type="dxa"/>
              <w:right w:w="80" w:type="dxa"/>
            </w:tcMar>
          </w:tcPr>
          <w:p w14:paraId="7BE92FF1" w14:textId="77777777" w:rsidR="00E77864" w:rsidRDefault="00000000" w:rsidP="00117D6C">
            <w:pPr>
              <w:spacing w:before="100" w:beforeAutospacing="1" w:after="100" w:afterAutospacing="1"/>
            </w:pPr>
            <w:r>
              <w:rPr>
                <w:sz w:val="18"/>
                <w:szCs w:val="18"/>
              </w:rPr>
              <w:t xml:space="preserve">Whether </w:t>
            </w:r>
            <w:proofErr w:type="spellStart"/>
            <w:r>
              <w:rPr>
                <w:sz w:val="18"/>
                <w:szCs w:val="18"/>
              </w:rPr>
              <w:t>mucoadhesion</w:t>
            </w:r>
            <w:proofErr w:type="spellEnd"/>
            <w:r>
              <w:rPr>
                <w:sz w:val="18"/>
                <w:szCs w:val="18"/>
              </w:rPr>
              <w:t xml:space="preserve"> contributes beyond viscosity-mediated resistance to drainage</w:t>
            </w:r>
          </w:p>
        </w:tc>
        <w:tc>
          <w:tcPr>
            <w:tcW w:w="649" w:type="pct"/>
            <w:tcMar>
              <w:top w:w="60" w:type="dxa"/>
              <w:left w:w="80" w:type="dxa"/>
              <w:bottom w:w="60" w:type="dxa"/>
              <w:right w:w="80" w:type="dxa"/>
            </w:tcMar>
          </w:tcPr>
          <w:p w14:paraId="3BE123CB" w14:textId="77777777" w:rsidR="00E77864" w:rsidRDefault="00000000" w:rsidP="00117D6C">
            <w:pPr>
              <w:spacing w:before="100" w:beforeAutospacing="1" w:after="100" w:afterAutospacing="1"/>
            </w:pPr>
            <w:r>
              <w:rPr>
                <w:sz w:val="18"/>
                <w:szCs w:val="18"/>
              </w:rPr>
              <w:t>Desai et al. (2026); Jumelle et al. (2020); Pandey et al. (2021); Popov (2020)</w:t>
            </w:r>
          </w:p>
        </w:tc>
      </w:tr>
      <w:tr w:rsidR="00E77864" w14:paraId="0944145F" w14:textId="77777777" w:rsidTr="00117D6C">
        <w:tc>
          <w:tcPr>
            <w:tcW w:w="675" w:type="pct"/>
            <w:tcMar>
              <w:top w:w="60" w:type="dxa"/>
              <w:left w:w="80" w:type="dxa"/>
              <w:bottom w:w="60" w:type="dxa"/>
              <w:right w:w="80" w:type="dxa"/>
            </w:tcMar>
          </w:tcPr>
          <w:p w14:paraId="3A118211" w14:textId="77777777" w:rsidR="00E77864" w:rsidRDefault="00000000" w:rsidP="00117D6C">
            <w:pPr>
              <w:spacing w:before="100" w:beforeAutospacing="1" w:after="100" w:afterAutospacing="1"/>
            </w:pPr>
            <w:r>
              <w:rPr>
                <w:sz w:val="18"/>
                <w:szCs w:val="18"/>
              </w:rPr>
              <w:lastRenderedPageBreak/>
              <w:t>Nasal</w:t>
            </w:r>
          </w:p>
        </w:tc>
        <w:tc>
          <w:tcPr>
            <w:tcW w:w="801" w:type="pct"/>
            <w:tcMar>
              <w:top w:w="60" w:type="dxa"/>
              <w:left w:w="80" w:type="dxa"/>
              <w:bottom w:w="60" w:type="dxa"/>
              <w:right w:w="80" w:type="dxa"/>
            </w:tcMar>
          </w:tcPr>
          <w:p w14:paraId="4CB79812" w14:textId="77777777" w:rsidR="00E77864" w:rsidRDefault="00000000" w:rsidP="00117D6C">
            <w:pPr>
              <w:spacing w:before="100" w:beforeAutospacing="1" w:after="100" w:afterAutospacing="1"/>
            </w:pPr>
            <w:r>
              <w:rPr>
                <w:sz w:val="18"/>
                <w:szCs w:val="18"/>
              </w:rPr>
              <w:t>Low to moderate despite high research intensity</w:t>
            </w:r>
          </w:p>
        </w:tc>
        <w:tc>
          <w:tcPr>
            <w:tcW w:w="973" w:type="pct"/>
            <w:tcMar>
              <w:top w:w="60" w:type="dxa"/>
              <w:left w:w="80" w:type="dxa"/>
              <w:bottom w:w="60" w:type="dxa"/>
              <w:right w:w="80" w:type="dxa"/>
            </w:tcMar>
          </w:tcPr>
          <w:p w14:paraId="3A51D8D6" w14:textId="77777777" w:rsidR="00E77864" w:rsidRDefault="00000000" w:rsidP="00117D6C">
            <w:pPr>
              <w:spacing w:before="100" w:beforeAutospacing="1" w:after="100" w:afterAutospacing="1"/>
            </w:pPr>
            <w:r>
              <w:rPr>
                <w:sz w:val="18"/>
                <w:szCs w:val="18"/>
              </w:rPr>
              <w:t>Diverse formulation platforms and well-described physiological constraints</w:t>
            </w:r>
          </w:p>
        </w:tc>
        <w:tc>
          <w:tcPr>
            <w:tcW w:w="929" w:type="pct"/>
            <w:tcMar>
              <w:top w:w="60" w:type="dxa"/>
              <w:left w:w="80" w:type="dxa"/>
              <w:bottom w:w="60" w:type="dxa"/>
              <w:right w:w="80" w:type="dxa"/>
            </w:tcMar>
          </w:tcPr>
          <w:p w14:paraId="70F84B9A" w14:textId="77777777" w:rsidR="00E77864" w:rsidRDefault="00000000" w:rsidP="00117D6C">
            <w:pPr>
              <w:spacing w:before="100" w:beforeAutospacing="1" w:after="100" w:afterAutospacing="1"/>
            </w:pPr>
            <w:r>
              <w:rPr>
                <w:sz w:val="18"/>
                <w:szCs w:val="18"/>
              </w:rPr>
              <w:t>Validation, repeated-dose safety and the basis of claimed nose-to-brain transport</w:t>
            </w:r>
          </w:p>
        </w:tc>
        <w:tc>
          <w:tcPr>
            <w:tcW w:w="973" w:type="pct"/>
            <w:tcMar>
              <w:top w:w="60" w:type="dxa"/>
              <w:left w:w="80" w:type="dxa"/>
              <w:bottom w:w="60" w:type="dxa"/>
              <w:right w:w="80" w:type="dxa"/>
            </w:tcMar>
          </w:tcPr>
          <w:p w14:paraId="00794630" w14:textId="77777777" w:rsidR="00E77864" w:rsidRDefault="00000000" w:rsidP="00117D6C">
            <w:pPr>
              <w:spacing w:before="100" w:beforeAutospacing="1" w:after="100" w:afterAutospacing="1"/>
            </w:pPr>
            <w:r>
              <w:rPr>
                <w:sz w:val="18"/>
                <w:szCs w:val="18"/>
              </w:rPr>
              <w:t>Whether achievable residence gains are large enough to matter against mucociliary clearance</w:t>
            </w:r>
          </w:p>
        </w:tc>
        <w:tc>
          <w:tcPr>
            <w:tcW w:w="649" w:type="pct"/>
            <w:tcMar>
              <w:top w:w="60" w:type="dxa"/>
              <w:left w:w="80" w:type="dxa"/>
              <w:bottom w:w="60" w:type="dxa"/>
              <w:right w:w="80" w:type="dxa"/>
            </w:tcMar>
          </w:tcPr>
          <w:p w14:paraId="47866100" w14:textId="77777777" w:rsidR="00E77864" w:rsidRDefault="00000000" w:rsidP="00117D6C">
            <w:pPr>
              <w:spacing w:before="100" w:beforeAutospacing="1" w:after="100" w:afterAutospacing="1"/>
            </w:pPr>
            <w:r>
              <w:rPr>
                <w:sz w:val="18"/>
                <w:szCs w:val="18"/>
              </w:rPr>
              <w:t xml:space="preserve">Jiang et al. (2026); </w:t>
            </w:r>
            <w:proofErr w:type="spellStart"/>
            <w:r>
              <w:rPr>
                <w:sz w:val="18"/>
                <w:szCs w:val="18"/>
              </w:rPr>
              <w:t>Porfiryeva</w:t>
            </w:r>
            <w:proofErr w:type="spellEnd"/>
            <w:r>
              <w:rPr>
                <w:sz w:val="18"/>
                <w:szCs w:val="18"/>
              </w:rPr>
              <w:t xml:space="preserve"> et al. (2026); </w:t>
            </w:r>
            <w:proofErr w:type="spellStart"/>
            <w:r>
              <w:rPr>
                <w:sz w:val="18"/>
                <w:szCs w:val="18"/>
              </w:rPr>
              <w:t>Trenkel</w:t>
            </w:r>
            <w:proofErr w:type="spellEnd"/>
            <w:r>
              <w:rPr>
                <w:sz w:val="18"/>
                <w:szCs w:val="18"/>
              </w:rPr>
              <w:t xml:space="preserve"> &amp; </w:t>
            </w:r>
            <w:proofErr w:type="spellStart"/>
            <w:r>
              <w:rPr>
                <w:sz w:val="18"/>
                <w:szCs w:val="18"/>
              </w:rPr>
              <w:t>Scherließ</w:t>
            </w:r>
            <w:proofErr w:type="spellEnd"/>
            <w:r>
              <w:rPr>
                <w:sz w:val="18"/>
                <w:szCs w:val="18"/>
              </w:rPr>
              <w:t xml:space="preserve"> (2021)</w:t>
            </w:r>
          </w:p>
        </w:tc>
      </w:tr>
      <w:tr w:rsidR="00E77864" w14:paraId="5C73F336" w14:textId="77777777" w:rsidTr="00117D6C">
        <w:tc>
          <w:tcPr>
            <w:tcW w:w="675" w:type="pct"/>
            <w:tcMar>
              <w:top w:w="60" w:type="dxa"/>
              <w:left w:w="80" w:type="dxa"/>
              <w:bottom w:w="60" w:type="dxa"/>
              <w:right w:w="80" w:type="dxa"/>
            </w:tcMar>
          </w:tcPr>
          <w:p w14:paraId="13CE3783" w14:textId="77777777" w:rsidR="00E77864" w:rsidRDefault="00000000" w:rsidP="00117D6C">
            <w:pPr>
              <w:spacing w:before="100" w:beforeAutospacing="1" w:after="100" w:afterAutospacing="1"/>
            </w:pPr>
            <w:r>
              <w:rPr>
                <w:sz w:val="18"/>
                <w:szCs w:val="18"/>
              </w:rPr>
              <w:t>Vaginal</w:t>
            </w:r>
          </w:p>
        </w:tc>
        <w:tc>
          <w:tcPr>
            <w:tcW w:w="801" w:type="pct"/>
            <w:tcMar>
              <w:top w:w="60" w:type="dxa"/>
              <w:left w:w="80" w:type="dxa"/>
              <w:bottom w:w="60" w:type="dxa"/>
              <w:right w:w="80" w:type="dxa"/>
            </w:tcMar>
          </w:tcPr>
          <w:p w14:paraId="69345C80" w14:textId="77777777" w:rsidR="00E77864" w:rsidRDefault="00000000" w:rsidP="00117D6C">
            <w:pPr>
              <w:spacing w:before="100" w:beforeAutospacing="1" w:after="100" w:afterAutospacing="1"/>
            </w:pPr>
            <w:r>
              <w:rPr>
                <w:sz w:val="18"/>
                <w:szCs w:val="18"/>
              </w:rPr>
              <w:t>Moderate; multiple dosage forms in clinical use</w:t>
            </w:r>
          </w:p>
        </w:tc>
        <w:tc>
          <w:tcPr>
            <w:tcW w:w="973" w:type="pct"/>
            <w:tcMar>
              <w:top w:w="60" w:type="dxa"/>
              <w:left w:w="80" w:type="dxa"/>
              <w:bottom w:w="60" w:type="dxa"/>
              <w:right w:w="80" w:type="dxa"/>
            </w:tcMar>
          </w:tcPr>
          <w:p w14:paraId="18CD9862" w14:textId="77777777" w:rsidR="00E77864" w:rsidRDefault="00000000" w:rsidP="00117D6C">
            <w:pPr>
              <w:spacing w:before="100" w:beforeAutospacing="1" w:after="100" w:afterAutospacing="1"/>
            </w:pPr>
            <w:r>
              <w:rPr>
                <w:sz w:val="18"/>
                <w:szCs w:val="18"/>
              </w:rPr>
              <w:t>Physiologically favourable clearance; established polymer platforms</w:t>
            </w:r>
          </w:p>
        </w:tc>
        <w:tc>
          <w:tcPr>
            <w:tcW w:w="929" w:type="pct"/>
            <w:tcMar>
              <w:top w:w="60" w:type="dxa"/>
              <w:left w:w="80" w:type="dxa"/>
              <w:bottom w:w="60" w:type="dxa"/>
              <w:right w:w="80" w:type="dxa"/>
            </w:tcMar>
          </w:tcPr>
          <w:p w14:paraId="225BA113" w14:textId="77777777" w:rsidR="00E77864" w:rsidRDefault="00000000" w:rsidP="00117D6C">
            <w:pPr>
              <w:spacing w:before="100" w:beforeAutospacing="1" w:after="100" w:afterAutospacing="1"/>
            </w:pPr>
            <w:r>
              <w:rPr>
                <w:sz w:val="18"/>
                <w:szCs w:val="18"/>
              </w:rPr>
              <w:t>Documented heterogeneity of testing methodology limits cross-study comparison</w:t>
            </w:r>
          </w:p>
        </w:tc>
        <w:tc>
          <w:tcPr>
            <w:tcW w:w="973" w:type="pct"/>
            <w:tcMar>
              <w:top w:w="60" w:type="dxa"/>
              <w:left w:w="80" w:type="dxa"/>
              <w:bottom w:w="60" w:type="dxa"/>
              <w:right w:w="80" w:type="dxa"/>
            </w:tcMar>
          </w:tcPr>
          <w:p w14:paraId="303F1598" w14:textId="77777777" w:rsidR="00E77864" w:rsidRDefault="00000000" w:rsidP="00117D6C">
            <w:pPr>
              <w:spacing w:before="100" w:beforeAutospacing="1" w:after="100" w:afterAutospacing="1"/>
            </w:pPr>
            <w:r>
              <w:rPr>
                <w:sz w:val="18"/>
                <w:szCs w:val="18"/>
              </w:rPr>
              <w:t>Whether standardised testing would alter the apparent ranking of established formulations</w:t>
            </w:r>
          </w:p>
        </w:tc>
        <w:tc>
          <w:tcPr>
            <w:tcW w:w="649" w:type="pct"/>
            <w:tcMar>
              <w:top w:w="60" w:type="dxa"/>
              <w:left w:w="80" w:type="dxa"/>
              <w:bottom w:w="60" w:type="dxa"/>
              <w:right w:w="80" w:type="dxa"/>
            </w:tcMar>
          </w:tcPr>
          <w:p w14:paraId="7F2C2AD4" w14:textId="77777777" w:rsidR="00E77864" w:rsidRDefault="00000000" w:rsidP="00117D6C">
            <w:pPr>
              <w:spacing w:before="100" w:beforeAutospacing="1" w:after="100" w:afterAutospacing="1"/>
            </w:pPr>
            <w:proofErr w:type="spellStart"/>
            <w:r>
              <w:rPr>
                <w:sz w:val="18"/>
                <w:szCs w:val="18"/>
              </w:rPr>
              <w:t>Osmałek</w:t>
            </w:r>
            <w:proofErr w:type="spellEnd"/>
            <w:r>
              <w:rPr>
                <w:sz w:val="18"/>
                <w:szCs w:val="18"/>
              </w:rPr>
              <w:t xml:space="preserve"> et al. (2021); Zainol Abidin et al. (2023)</w:t>
            </w:r>
          </w:p>
        </w:tc>
      </w:tr>
      <w:tr w:rsidR="00E77864" w14:paraId="0855B289" w14:textId="77777777" w:rsidTr="00117D6C">
        <w:tc>
          <w:tcPr>
            <w:tcW w:w="675" w:type="pct"/>
            <w:tcMar>
              <w:top w:w="60" w:type="dxa"/>
              <w:left w:w="80" w:type="dxa"/>
              <w:bottom w:w="60" w:type="dxa"/>
              <w:right w:w="80" w:type="dxa"/>
            </w:tcMar>
          </w:tcPr>
          <w:p w14:paraId="6746438B" w14:textId="77777777" w:rsidR="00E77864" w:rsidRDefault="00000000" w:rsidP="00117D6C">
            <w:pPr>
              <w:spacing w:before="100" w:beforeAutospacing="1" w:after="100" w:afterAutospacing="1"/>
            </w:pPr>
            <w:r>
              <w:rPr>
                <w:sz w:val="18"/>
                <w:szCs w:val="18"/>
              </w:rPr>
              <w:t>Gastrointestinal</w:t>
            </w:r>
          </w:p>
        </w:tc>
        <w:tc>
          <w:tcPr>
            <w:tcW w:w="801" w:type="pct"/>
            <w:tcMar>
              <w:top w:w="60" w:type="dxa"/>
              <w:left w:w="80" w:type="dxa"/>
              <w:bottom w:w="60" w:type="dxa"/>
              <w:right w:w="80" w:type="dxa"/>
            </w:tcMar>
          </w:tcPr>
          <w:p w14:paraId="0D9A1F0A" w14:textId="77777777" w:rsidR="00E77864" w:rsidRDefault="00000000" w:rsidP="00117D6C">
            <w:pPr>
              <w:spacing w:before="100" w:beforeAutospacing="1" w:after="100" w:afterAutospacing="1"/>
            </w:pPr>
            <w:r>
              <w:rPr>
                <w:sz w:val="18"/>
                <w:szCs w:val="18"/>
              </w:rPr>
              <w:t xml:space="preserve">Low for adhesion specifically; higher for </w:t>
            </w:r>
            <w:proofErr w:type="spellStart"/>
            <w:r>
              <w:rPr>
                <w:sz w:val="18"/>
                <w:szCs w:val="18"/>
              </w:rPr>
              <w:t>gastroretention</w:t>
            </w:r>
            <w:proofErr w:type="spellEnd"/>
            <w:r>
              <w:rPr>
                <w:sz w:val="18"/>
                <w:szCs w:val="18"/>
              </w:rPr>
              <w:t xml:space="preserve"> by other mechanisms</w:t>
            </w:r>
          </w:p>
        </w:tc>
        <w:tc>
          <w:tcPr>
            <w:tcW w:w="973" w:type="pct"/>
            <w:tcMar>
              <w:top w:w="60" w:type="dxa"/>
              <w:left w:w="80" w:type="dxa"/>
              <w:bottom w:w="60" w:type="dxa"/>
              <w:right w:w="80" w:type="dxa"/>
            </w:tcMar>
          </w:tcPr>
          <w:p w14:paraId="6CA5798E" w14:textId="77777777" w:rsidR="00E77864" w:rsidRDefault="00000000" w:rsidP="00117D6C">
            <w:pPr>
              <w:spacing w:before="100" w:beforeAutospacing="1" w:after="100" w:afterAutospacing="1"/>
            </w:pPr>
            <w:r>
              <w:rPr>
                <w:sz w:val="18"/>
                <w:szCs w:val="18"/>
              </w:rPr>
              <w:t>Clear physiological reasoning delimiting where adhesion can and cannot help</w:t>
            </w:r>
          </w:p>
        </w:tc>
        <w:tc>
          <w:tcPr>
            <w:tcW w:w="929" w:type="pct"/>
            <w:tcMar>
              <w:top w:w="60" w:type="dxa"/>
              <w:left w:w="80" w:type="dxa"/>
              <w:bottom w:w="60" w:type="dxa"/>
              <w:right w:w="80" w:type="dxa"/>
            </w:tcMar>
          </w:tcPr>
          <w:p w14:paraId="23351BE6" w14:textId="77777777" w:rsidR="00E77864" w:rsidRDefault="00000000" w:rsidP="00117D6C">
            <w:pPr>
              <w:spacing w:before="100" w:beforeAutospacing="1" w:after="100" w:afterAutospacing="1"/>
            </w:pPr>
            <w:r>
              <w:rPr>
                <w:sz w:val="18"/>
                <w:szCs w:val="18"/>
              </w:rPr>
              <w:t>Adhesion is frequently claimed where turnover precludes durable residence</w:t>
            </w:r>
          </w:p>
        </w:tc>
        <w:tc>
          <w:tcPr>
            <w:tcW w:w="973" w:type="pct"/>
            <w:tcMar>
              <w:top w:w="60" w:type="dxa"/>
              <w:left w:w="80" w:type="dxa"/>
              <w:bottom w:w="60" w:type="dxa"/>
              <w:right w:w="80" w:type="dxa"/>
            </w:tcMar>
          </w:tcPr>
          <w:p w14:paraId="477BFBD4" w14:textId="77777777" w:rsidR="00E77864" w:rsidRDefault="00000000" w:rsidP="00117D6C">
            <w:pPr>
              <w:spacing w:before="100" w:beforeAutospacing="1" w:after="100" w:afterAutospacing="1"/>
            </w:pPr>
            <w:r>
              <w:rPr>
                <w:sz w:val="18"/>
                <w:szCs w:val="18"/>
              </w:rPr>
              <w:t>Whether any gastrointestinal indication is better served by adhesion than by penetration or retention by other means</w:t>
            </w:r>
          </w:p>
        </w:tc>
        <w:tc>
          <w:tcPr>
            <w:tcW w:w="649" w:type="pct"/>
            <w:tcMar>
              <w:top w:w="60" w:type="dxa"/>
              <w:left w:w="80" w:type="dxa"/>
              <w:bottom w:w="60" w:type="dxa"/>
              <w:right w:w="80" w:type="dxa"/>
            </w:tcMar>
          </w:tcPr>
          <w:p w14:paraId="7A78D379" w14:textId="77777777" w:rsidR="00E77864" w:rsidRDefault="00000000" w:rsidP="00117D6C">
            <w:pPr>
              <w:spacing w:before="100" w:beforeAutospacing="1" w:after="100" w:afterAutospacing="1"/>
            </w:pPr>
            <w:r>
              <w:rPr>
                <w:sz w:val="18"/>
                <w:szCs w:val="18"/>
              </w:rPr>
              <w:t>Ensign et al. (2012); Iglesias et al. (2020); Li et al. (2025); Rubinstein &amp; Tirosh (1994)</w:t>
            </w:r>
          </w:p>
        </w:tc>
      </w:tr>
      <w:tr w:rsidR="00E77864" w14:paraId="54951294" w14:textId="77777777" w:rsidTr="00117D6C">
        <w:tc>
          <w:tcPr>
            <w:tcW w:w="675" w:type="pct"/>
            <w:tcMar>
              <w:top w:w="60" w:type="dxa"/>
              <w:left w:w="80" w:type="dxa"/>
              <w:bottom w:w="60" w:type="dxa"/>
              <w:right w:w="80" w:type="dxa"/>
            </w:tcMar>
          </w:tcPr>
          <w:p w14:paraId="5AAEE2B2" w14:textId="77777777" w:rsidR="00E77864" w:rsidRDefault="00000000" w:rsidP="00117D6C">
            <w:pPr>
              <w:spacing w:before="100" w:beforeAutospacing="1" w:after="100" w:afterAutospacing="1"/>
            </w:pPr>
            <w:r>
              <w:rPr>
                <w:sz w:val="18"/>
                <w:szCs w:val="18"/>
              </w:rPr>
              <w:t>Intravesical</w:t>
            </w:r>
          </w:p>
        </w:tc>
        <w:tc>
          <w:tcPr>
            <w:tcW w:w="801" w:type="pct"/>
            <w:tcMar>
              <w:top w:w="60" w:type="dxa"/>
              <w:left w:w="80" w:type="dxa"/>
              <w:bottom w:w="60" w:type="dxa"/>
              <w:right w:w="80" w:type="dxa"/>
            </w:tcMar>
          </w:tcPr>
          <w:p w14:paraId="023BB7F6" w14:textId="77777777" w:rsidR="00E77864" w:rsidRDefault="00000000" w:rsidP="00117D6C">
            <w:pPr>
              <w:spacing w:before="100" w:beforeAutospacing="1" w:after="100" w:afterAutospacing="1"/>
            </w:pPr>
            <w:r>
              <w:rPr>
                <w:sz w:val="18"/>
                <w:szCs w:val="18"/>
              </w:rPr>
              <w:t>Moderate; strong preclinical rationale and consistent retention data</w:t>
            </w:r>
          </w:p>
        </w:tc>
        <w:tc>
          <w:tcPr>
            <w:tcW w:w="973" w:type="pct"/>
            <w:tcMar>
              <w:top w:w="60" w:type="dxa"/>
              <w:left w:w="80" w:type="dxa"/>
              <w:bottom w:w="60" w:type="dxa"/>
              <w:right w:w="80" w:type="dxa"/>
            </w:tcMar>
          </w:tcPr>
          <w:p w14:paraId="480CFE0E" w14:textId="77777777" w:rsidR="00E77864" w:rsidRDefault="00000000" w:rsidP="00117D6C">
            <w:pPr>
              <w:spacing w:before="100" w:beforeAutospacing="1" w:after="100" w:afterAutospacing="1"/>
            </w:pPr>
            <w:r>
              <w:rPr>
                <w:sz w:val="18"/>
                <w:szCs w:val="18"/>
              </w:rPr>
              <w:t>Physiological rationale is unambiguous and retention effects are reproducible</w:t>
            </w:r>
          </w:p>
        </w:tc>
        <w:tc>
          <w:tcPr>
            <w:tcW w:w="929" w:type="pct"/>
            <w:tcMar>
              <w:top w:w="60" w:type="dxa"/>
              <w:left w:w="80" w:type="dxa"/>
              <w:bottom w:w="60" w:type="dxa"/>
              <w:right w:w="80" w:type="dxa"/>
            </w:tcMar>
          </w:tcPr>
          <w:p w14:paraId="357B46F1" w14:textId="77777777" w:rsidR="00E77864" w:rsidRDefault="00000000" w:rsidP="00117D6C">
            <w:pPr>
              <w:spacing w:before="100" w:beforeAutospacing="1" w:after="100" w:afterAutospacing="1"/>
            </w:pPr>
            <w:r>
              <w:rPr>
                <w:sz w:val="18"/>
                <w:szCs w:val="18"/>
              </w:rPr>
              <w:t>Evidence is predominantly murine; substrate chemistry differs between species</w:t>
            </w:r>
          </w:p>
        </w:tc>
        <w:tc>
          <w:tcPr>
            <w:tcW w:w="973" w:type="pct"/>
            <w:tcMar>
              <w:top w:w="60" w:type="dxa"/>
              <w:left w:w="80" w:type="dxa"/>
              <w:bottom w:w="60" w:type="dxa"/>
              <w:right w:w="80" w:type="dxa"/>
            </w:tcMar>
          </w:tcPr>
          <w:p w14:paraId="555D4C96" w14:textId="77777777" w:rsidR="00E77864" w:rsidRDefault="00000000" w:rsidP="00117D6C">
            <w:pPr>
              <w:spacing w:before="100" w:beforeAutospacing="1" w:after="100" w:afterAutospacing="1"/>
            </w:pPr>
            <w:r>
              <w:rPr>
                <w:sz w:val="18"/>
                <w:szCs w:val="18"/>
              </w:rPr>
              <w:t>Whether thiol availability on human urothelium supports the covalent chemistries validated in rodents</w:t>
            </w:r>
          </w:p>
        </w:tc>
        <w:tc>
          <w:tcPr>
            <w:tcW w:w="649" w:type="pct"/>
            <w:tcMar>
              <w:top w:w="60" w:type="dxa"/>
              <w:left w:w="80" w:type="dxa"/>
              <w:bottom w:w="60" w:type="dxa"/>
              <w:right w:w="80" w:type="dxa"/>
            </w:tcMar>
          </w:tcPr>
          <w:p w14:paraId="775009CE" w14:textId="77777777" w:rsidR="00E77864" w:rsidRDefault="00000000" w:rsidP="00117D6C">
            <w:pPr>
              <w:spacing w:before="100" w:beforeAutospacing="1" w:after="100" w:afterAutospacing="1"/>
            </w:pPr>
            <w:r>
              <w:rPr>
                <w:sz w:val="18"/>
                <w:szCs w:val="18"/>
              </w:rPr>
              <w:t xml:space="preserve">de Lima et al. (2022); </w:t>
            </w: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Zhao et al. (2026)</w:t>
            </w:r>
          </w:p>
        </w:tc>
      </w:tr>
    </w:tbl>
    <w:p w14:paraId="75F6A396" w14:textId="77777777" w:rsidR="00E77864" w:rsidRDefault="00E77864" w:rsidP="00117D6C">
      <w:pPr>
        <w:spacing w:before="100" w:beforeAutospacing="1" w:after="100" w:afterAutospacing="1"/>
      </w:pPr>
    </w:p>
    <w:p w14:paraId="11EE99F2" w14:textId="77777777" w:rsidR="00E77864" w:rsidRDefault="00000000" w:rsidP="00117D6C">
      <w:pPr>
        <w:spacing w:before="100" w:beforeAutospacing="1" w:after="100" w:afterAutospacing="1"/>
        <w:jc w:val="both"/>
      </w:pPr>
      <w:r>
        <w:rPr>
          <w:sz w:val="18"/>
          <w:szCs w:val="18"/>
        </w:rPr>
        <w:t>Note. Maturity of evidence is a qualitative judgement based on the presence of clinical data, the diversity of independent research groups contributing, and the availability of marketed products within the literature retrieved for this review.</w:t>
      </w:r>
    </w:p>
    <w:p w14:paraId="0994947C" w14:textId="77777777" w:rsidR="00E77864" w:rsidRDefault="00000000" w:rsidP="00117D6C">
      <w:pPr>
        <w:pStyle w:val="Heading1"/>
        <w:spacing w:before="100" w:beforeAutospacing="1" w:after="100" w:afterAutospacing="1"/>
      </w:pPr>
      <w:r>
        <w:rPr>
          <w:b/>
          <w:bCs/>
          <w:color w:val="000000"/>
          <w:sz w:val="26"/>
          <w:szCs w:val="26"/>
        </w:rPr>
        <w:t>9. Translational, Regulatory and Manufacturing Considerations</w:t>
      </w:r>
    </w:p>
    <w:p w14:paraId="24111C09" w14:textId="77777777" w:rsidR="00E77864" w:rsidRDefault="00000000" w:rsidP="00117D6C">
      <w:pPr>
        <w:pStyle w:val="Heading2"/>
        <w:spacing w:before="100" w:beforeAutospacing="1" w:after="100" w:afterAutospacing="1"/>
      </w:pPr>
      <w:r>
        <w:rPr>
          <w:b/>
          <w:bCs/>
          <w:color w:val="000000"/>
          <w:sz w:val="24"/>
          <w:szCs w:val="24"/>
        </w:rPr>
        <w:t>9.1 The Clinical Evidence Base</w:t>
      </w:r>
    </w:p>
    <w:p w14:paraId="3F6D4795" w14:textId="77777777" w:rsidR="00E77864" w:rsidRDefault="00000000" w:rsidP="00117D6C">
      <w:pPr>
        <w:spacing w:before="100" w:beforeAutospacing="1" w:after="100" w:afterAutospacing="1"/>
        <w:jc w:val="both"/>
      </w:pPr>
      <w:r>
        <w:t xml:space="preserve">Clinical evidence specifically attributing benefit to </w:t>
      </w:r>
      <w:proofErr w:type="spellStart"/>
      <w:r>
        <w:t>mucoadhesion</w:t>
      </w:r>
      <w:proofErr w:type="spellEnd"/>
      <w:r>
        <w:t xml:space="preserve"> is sparse. The systematic review and meta-analysis of mucoadhesive tablets in recurrent aphthous stomatitis identified four eligible randomised controlled trials and pooled three, finding statistically significant reductions in ulcer diameter at days five and seven and in pain intensity at several timepoints, but with substantial heterogeneity at some timepoints and with the authors characterising the findings as preliminary and variable across formulations (</w:t>
      </w:r>
      <w:proofErr w:type="spellStart"/>
      <w:r>
        <w:t>Alkabazi</w:t>
      </w:r>
      <w:proofErr w:type="spellEnd"/>
      <w:r>
        <w:t xml:space="preserve"> et al., 2026). The trials compared mucoadhesive tablets against placebo rather than against a non-mucoadhesive formulation of the same drug, so the design cannot attribute benefit to adhesion as distinct from local drug delivery generally.</w:t>
      </w:r>
    </w:p>
    <w:p w14:paraId="5E5FEF73" w14:textId="77777777" w:rsidR="00E77864" w:rsidRDefault="00000000" w:rsidP="00117D6C">
      <w:pPr>
        <w:spacing w:before="100" w:beforeAutospacing="1" w:after="100" w:afterAutospacing="1"/>
        <w:jc w:val="both"/>
      </w:pPr>
      <w:r>
        <w:t>This design limitation is pervasive. Demonstrating that a mucoadhesive formulation outperforms placebo establishes that the product works; it does not establish that adhesion is the reason. The comparison required is against a matched formulation lacking the adhesive component or possessing it at reduced level, with residence measured concurrently. Such designs are uncommon, and their absence means that the causal claim central to the field remains largely untested in humans.</w:t>
      </w:r>
    </w:p>
    <w:p w14:paraId="21720431" w14:textId="77777777" w:rsidR="00E77864" w:rsidRDefault="00000000" w:rsidP="00117D6C">
      <w:pPr>
        <w:pStyle w:val="Heading2"/>
        <w:spacing w:before="100" w:beforeAutospacing="1" w:after="100" w:afterAutospacing="1"/>
      </w:pPr>
      <w:r>
        <w:rPr>
          <w:b/>
          <w:bCs/>
          <w:color w:val="000000"/>
          <w:sz w:val="24"/>
          <w:szCs w:val="24"/>
        </w:rPr>
        <w:t>9.2 Regulatory Classification and Its Consequences</w:t>
      </w:r>
    </w:p>
    <w:p w14:paraId="2E17977B" w14:textId="77777777" w:rsidR="00E77864" w:rsidRDefault="00000000" w:rsidP="00117D6C">
      <w:pPr>
        <w:spacing w:before="100" w:beforeAutospacing="1" w:after="100" w:afterAutospacing="1"/>
        <w:jc w:val="both"/>
      </w:pPr>
      <w:r>
        <w:lastRenderedPageBreak/>
        <w:t xml:space="preserve">Mucoadhesive polymers occupy an unusual regulatory position. Many products exploiting </w:t>
      </w:r>
      <w:proofErr w:type="spellStart"/>
      <w:r>
        <w:t>mucoadhesion</w:t>
      </w:r>
      <w:proofErr w:type="spellEnd"/>
      <w:r>
        <w:t xml:space="preserve"> are placed on the European market as substance-based medical devices rather than as medicinal products, on the basis that their principal intended action is physical rather than pharmacological. The regulatory status of this product family has been examined explicitly, with the observation that although the physicochemical properties of mucoadhesive polymers are generally well characterised, uncertainty persists regarding the mechanisms by which they exert their intended effect, and that correct understanding of the mechanism of action is pivotal to successful regulatory assessment; hyaluronic acid was presented as a representative case (</w:t>
      </w:r>
      <w:proofErr w:type="spellStart"/>
      <w:r>
        <w:t>Vigani</w:t>
      </w:r>
      <w:proofErr w:type="spellEnd"/>
      <w:r>
        <w:t xml:space="preserve"> et al., 2023).</w:t>
      </w:r>
    </w:p>
    <w:p w14:paraId="5A1B0EB1" w14:textId="77777777" w:rsidR="00E77864" w:rsidRDefault="00000000" w:rsidP="00117D6C">
      <w:pPr>
        <w:spacing w:before="100" w:beforeAutospacing="1" w:after="100" w:afterAutospacing="1"/>
        <w:jc w:val="both"/>
      </w:pPr>
      <w:r>
        <w:t>This creates a specific incentive problem. Classification as a device requires demonstration that the mode of action is not pharmacological, which discourages sponsors from characterising mechanisms that might be construed as pharmacological, and conformity assessment for devices does not require the comparative efficacy evidence expected of medicinal products. The consequence is that a substantial portion of commercially successful mucoadhesive product development generates neither mechanistic data nor comparative clinical evidence of the kind that would advance the scientific field. The regulatory pathway that has enabled commercial application has therefore contributed to the evidential thinness described in Section 9.1.</w:t>
      </w:r>
    </w:p>
    <w:p w14:paraId="5B0F814E" w14:textId="77777777" w:rsidR="00E77864" w:rsidRDefault="00000000" w:rsidP="00117D6C">
      <w:pPr>
        <w:pStyle w:val="Heading2"/>
        <w:spacing w:before="100" w:beforeAutospacing="1" w:after="100" w:afterAutospacing="1"/>
      </w:pPr>
      <w:r>
        <w:rPr>
          <w:b/>
          <w:bCs/>
          <w:color w:val="000000"/>
          <w:sz w:val="24"/>
          <w:szCs w:val="24"/>
        </w:rPr>
        <w:t>9.3 Manufacturing, Quality and Excipient Considerations</w:t>
      </w:r>
    </w:p>
    <w:p w14:paraId="7CE0617A" w14:textId="77777777" w:rsidR="00E77864" w:rsidRDefault="00000000" w:rsidP="00117D6C">
      <w:pPr>
        <w:spacing w:before="100" w:beforeAutospacing="1" w:after="100" w:afterAutospacing="1"/>
        <w:jc w:val="both"/>
      </w:pPr>
      <w:r>
        <w:t xml:space="preserve">Translation also depends on manufacturability. First-generation polymers succeed partly because they are available in </w:t>
      </w:r>
      <w:proofErr w:type="spellStart"/>
      <w:r>
        <w:t>pharmacopoeial</w:t>
      </w:r>
      <w:proofErr w:type="spellEnd"/>
      <w:r>
        <w:t xml:space="preserve"> grades with established specifications and can be processed by conventional operations. Functionalised polymers introduce requirements that are seldom addressed in the discovery literature. </w:t>
      </w:r>
      <w:proofErr w:type="spellStart"/>
      <w:r>
        <w:t>Thiolated</w:t>
      </w:r>
      <w:proofErr w:type="spellEnd"/>
      <w:r>
        <w:t xml:space="preserve"> polymers require control of thiol content as a critical quality attribute and protection against oxidation during processing and storage, and the degree of thiolation directly determines performance (Puri et al., 2020). S-protected </w:t>
      </w:r>
      <w:proofErr w:type="spellStart"/>
      <w:r>
        <w:t>thiomers</w:t>
      </w:r>
      <w:proofErr w:type="spellEnd"/>
      <w:r>
        <w:t xml:space="preserve"> additionally require characterisation of the released protecting ligand, which becomes a degradation product with its own toxicological requirements (Knoll et al., 2021; Shahzadi et al., 2020). Maleimide-functionalised materials require control of hydrolytic ring opening. Catechol-functionalised materials require control of oxidative crosslinking during storage (Hu et al., 2021).</w:t>
      </w:r>
    </w:p>
    <w:p w14:paraId="470884D9" w14:textId="77777777" w:rsidR="00E77864" w:rsidRDefault="00000000" w:rsidP="00117D6C">
      <w:pPr>
        <w:spacing w:before="100" w:beforeAutospacing="1" w:after="100" w:afterAutospacing="1"/>
        <w:jc w:val="both"/>
      </w:pPr>
      <w:r>
        <w:t xml:space="preserve">None of these is insuperable, and none is unusual by the standards of modern pharmaceutical development. The point is that they are rarely discussed in the publications reporting the materials, with the result that the developability gap between a promising ex vivo result and a manufacturable product is systematically understated. Reviews of transmucosal delivery increasingly note this gap (van Staden et al., 2026), and the absence of </w:t>
      </w:r>
      <w:proofErr w:type="spellStart"/>
      <w:r>
        <w:t>pharmacopoeial</w:t>
      </w:r>
      <w:proofErr w:type="spellEnd"/>
      <w:r>
        <w:t xml:space="preserve"> monographs for second-generation mucoadhesive excipients is a concrete obstacle that could be addressed by coordinated action.</w:t>
      </w:r>
    </w:p>
    <w:p w14:paraId="2CDD58AB" w14:textId="77777777" w:rsidR="00E77864" w:rsidRDefault="00000000" w:rsidP="00117D6C">
      <w:pPr>
        <w:spacing w:before="100" w:beforeAutospacing="1" w:after="100" w:afterAutospacing="1"/>
        <w:jc w:val="both"/>
      </w:pPr>
      <w:r>
        <w:t>A related consideration is that novel excipients face a regulatory pathway in which they cannot ordinarily be qualified independently of a drug product application. This raises the threshold for a sponsor adopting a functionalised mucoadhesive polymer, since the excipient risk is added to the drug development risk without an independent route to de-risking. The persistence of first-generation materials in clinical products is explicable in these terms without any assumption that they perform better.</w:t>
      </w:r>
    </w:p>
    <w:p w14:paraId="429F57CF" w14:textId="77777777" w:rsidR="00E77864" w:rsidRDefault="00000000" w:rsidP="00117D6C">
      <w:pPr>
        <w:pStyle w:val="Heading1"/>
        <w:spacing w:before="100" w:beforeAutospacing="1" w:after="100" w:afterAutospacing="1"/>
      </w:pPr>
      <w:r>
        <w:rPr>
          <w:b/>
          <w:bCs/>
          <w:color w:val="000000"/>
          <w:sz w:val="26"/>
          <w:szCs w:val="26"/>
        </w:rPr>
        <w:t>10. Future Directions</w:t>
      </w:r>
    </w:p>
    <w:p w14:paraId="75F8892C" w14:textId="77777777" w:rsidR="00E77864" w:rsidRDefault="00000000" w:rsidP="00117D6C">
      <w:pPr>
        <w:pStyle w:val="Heading2"/>
        <w:spacing w:before="100" w:beforeAutospacing="1" w:after="100" w:afterAutospacing="1"/>
      </w:pPr>
      <w:r>
        <w:rPr>
          <w:b/>
          <w:bCs/>
          <w:color w:val="000000"/>
          <w:sz w:val="24"/>
          <w:szCs w:val="24"/>
        </w:rPr>
        <w:t>10.1 Immediate Priority: Reference Substrates and Benchmark Materials</w:t>
      </w:r>
    </w:p>
    <w:p w14:paraId="5AB3492E" w14:textId="77777777" w:rsidR="00E77864" w:rsidRDefault="00000000" w:rsidP="00117D6C">
      <w:pPr>
        <w:spacing w:before="100" w:beforeAutospacing="1" w:after="100" w:afterAutospacing="1"/>
        <w:jc w:val="both"/>
      </w:pPr>
      <w:r>
        <w:t xml:space="preserve">The unresolved problem is that </w:t>
      </w:r>
      <w:proofErr w:type="spellStart"/>
      <w:r>
        <w:t>mucoadhesion</w:t>
      </w:r>
      <w:proofErr w:type="spellEnd"/>
      <w:r>
        <w:t xml:space="preserve"> measurements are not comparable between laboratories, which prevents the accumulation of individual studies into cumulative knowledge and blocks the development of predictive design rules. Current evidence is inadequate because substrate </w:t>
      </w:r>
      <w:r>
        <w:lastRenderedPageBreak/>
        <w:t>selection alters measured polymer interaction to an extent capable of reversing rankings (Stie et al., 2024), and because no agreed positive or negative control materials exist against which laboratories can calibrate.</w:t>
      </w:r>
    </w:p>
    <w:p w14:paraId="2B0B4EA4" w14:textId="77777777" w:rsidR="00E77864" w:rsidRDefault="00000000" w:rsidP="00117D6C">
      <w:pPr>
        <w:spacing w:before="100" w:beforeAutospacing="1" w:after="100" w:afterAutospacing="1"/>
        <w:jc w:val="both"/>
      </w:pPr>
      <w:r>
        <w:t>The appropriate response is a coordinated interlaboratory study rather than further single-laboratory characterisation. A small set of candidate substrates, comprising at least one artificial mucus formulation with characterised zeta potential, viscosity and mesh size (</w:t>
      </w:r>
      <w:proofErr w:type="spellStart"/>
      <w:r>
        <w:t>Tjakra</w:t>
      </w:r>
      <w:proofErr w:type="spellEnd"/>
      <w:r>
        <w:t xml:space="preserve">, </w:t>
      </w:r>
      <w:proofErr w:type="spellStart"/>
      <w:r>
        <w:t>Chakrapeesirisuk</w:t>
      </w:r>
      <w:proofErr w:type="spellEnd"/>
      <w:r>
        <w:t xml:space="preserve">, et al., 2025) and at least one standardised ex vivo tissue preparation, should be distributed to participating laboratories together with a defined set of benchmark polymers and particles spanning weak, intermediate and strong adhesion. </w:t>
      </w:r>
      <w:proofErr w:type="gramStart"/>
      <w:r>
        <w:t>Poly(</w:t>
      </w:r>
      <w:proofErr w:type="gramEnd"/>
      <w:r>
        <w:t>ethylene oxide) has established utility as a weakly interacting reference (Stie et al., 2024), and the proposal for a nanoparticle test set with defined surface charge and hydrophobicity provides a template for the particulate equivalent (</w:t>
      </w:r>
      <w:proofErr w:type="spellStart"/>
      <w:r>
        <w:t>Tollemeto</w:t>
      </w:r>
      <w:proofErr w:type="spellEnd"/>
      <w:r>
        <w:t xml:space="preserve"> et al., 2025). Outcome measures should include detachment force, rheological synergism and particle diffusion coefficients determined on the same materials, permitting the relationships between these quantities to be established empirically rather than assumed.</w:t>
      </w:r>
    </w:p>
    <w:p w14:paraId="6BD4B6C0" w14:textId="77777777" w:rsidR="00E77864" w:rsidRDefault="00000000" w:rsidP="00117D6C">
      <w:pPr>
        <w:spacing w:before="100" w:beforeAutospacing="1" w:after="100" w:afterAutospacing="1"/>
        <w:jc w:val="both"/>
      </w:pPr>
      <w:r>
        <w:t>The scale required is modest by the standards of the field, perhaps eight to twelve laboratories across two to three years. The implementation consequence would be substantial: a published reference dataset would allow subsequent studies to report performance relative to shared benchmarks, making cross-study comparison possible for the first time. This is the single intervention most likely to accelerate progress, and it is a prerequisite for several of the priorities below.</w:t>
      </w:r>
    </w:p>
    <w:p w14:paraId="5A73E766" w14:textId="77777777" w:rsidR="00E77864" w:rsidRDefault="00000000" w:rsidP="00117D6C">
      <w:pPr>
        <w:pStyle w:val="Heading2"/>
        <w:spacing w:before="100" w:beforeAutospacing="1" w:after="100" w:afterAutospacing="1"/>
      </w:pPr>
      <w:r>
        <w:rPr>
          <w:b/>
          <w:bCs/>
          <w:color w:val="000000"/>
          <w:sz w:val="24"/>
          <w:szCs w:val="24"/>
        </w:rPr>
        <w:t>10.2 Immediate Priority: Minimum Reporting Standards</w:t>
      </w:r>
    </w:p>
    <w:p w14:paraId="2B811371" w14:textId="77777777" w:rsidR="00E77864" w:rsidRDefault="00000000" w:rsidP="00117D6C">
      <w:pPr>
        <w:spacing w:before="100" w:beforeAutospacing="1" w:after="100" w:afterAutospacing="1"/>
        <w:jc w:val="both"/>
      </w:pPr>
      <w:r>
        <w:t>Closely related, and achievable more quickly, is agreement on the experimental parameters that must accompany any reported adhesion measurement. Current reporting frequently omits contact time, preload, separation rate, probe geometry, substrate hydration state and storage history, all of which materially affect detachment measurements (Pollini et al., 2025; Takeuchi et al., 2005; Zainol Abidin et al., 2023). For particle-level work, routine reporting of diffusion coefficients and mean squared displacement has been advocated explicitly (</w:t>
      </w:r>
      <w:proofErr w:type="spellStart"/>
      <w:r>
        <w:t>Tollemeto</w:t>
      </w:r>
      <w:proofErr w:type="spellEnd"/>
      <w:r>
        <w:t xml:space="preserve"> et al., 2025).</w:t>
      </w:r>
    </w:p>
    <w:p w14:paraId="11D3924C" w14:textId="77777777" w:rsidR="00E77864" w:rsidRDefault="00000000" w:rsidP="00117D6C">
      <w:pPr>
        <w:spacing w:before="100" w:beforeAutospacing="1" w:after="100" w:afterAutospacing="1"/>
        <w:jc w:val="both"/>
      </w:pPr>
      <w:r>
        <w:t>A reporting checklist developed by journal editors and learned societies, modelled on the reporting guidelines adopted in other experimental fields, would require no new infrastructure and could be implemented within a single publication cycle. Its effect would be to make retrospective reanalysis of the existing literature partially feasible, which is otherwise impossible.</w:t>
      </w:r>
    </w:p>
    <w:p w14:paraId="7CA02295" w14:textId="77777777" w:rsidR="00E77864" w:rsidRDefault="00000000" w:rsidP="00117D6C">
      <w:pPr>
        <w:pStyle w:val="Heading2"/>
        <w:spacing w:before="100" w:beforeAutospacing="1" w:after="100" w:afterAutospacing="1"/>
      </w:pPr>
      <w:r>
        <w:rPr>
          <w:b/>
          <w:bCs/>
          <w:color w:val="000000"/>
          <w:sz w:val="24"/>
          <w:szCs w:val="24"/>
        </w:rPr>
        <w:t>10.3 Medium-Term Priority: Trials Designed to Isolate the Contribution of Adhesion</w:t>
      </w:r>
    </w:p>
    <w:p w14:paraId="265B9814" w14:textId="77777777" w:rsidR="00E77864" w:rsidRDefault="00000000" w:rsidP="00117D6C">
      <w:pPr>
        <w:spacing w:before="100" w:beforeAutospacing="1" w:after="100" w:afterAutospacing="1"/>
        <w:jc w:val="both"/>
      </w:pPr>
      <w:r>
        <w:t>The causal claim on which the field depends, that adhesion improves therapeutic outcome, has not been tested directly in humans. Existing clinical evidence compares mucoadhesive formulations against placebo or against conventional vehicles differing in multiple respects, which cannot attribute benefit to adhesion (</w:t>
      </w:r>
      <w:proofErr w:type="spellStart"/>
      <w:r>
        <w:t>Alkabazi</w:t>
      </w:r>
      <w:proofErr w:type="spellEnd"/>
      <w:r>
        <w:t xml:space="preserve"> et al., 2026). The design required is a comparison between formulations matched for drug, dose, vehicle and, so far as possible, viscosity, differing only in the presence or degree of the adhesive functionality, with residence measured concurrently by imaging and with a clinically meaningful primary endpoint.</w:t>
      </w:r>
    </w:p>
    <w:p w14:paraId="22E60B1D" w14:textId="77777777" w:rsidR="00E77864" w:rsidRDefault="00000000" w:rsidP="00117D6C">
      <w:pPr>
        <w:spacing w:before="100" w:beforeAutospacing="1" w:after="100" w:afterAutospacing="1"/>
        <w:jc w:val="both"/>
      </w:pPr>
      <w:r>
        <w:t xml:space="preserve">The buccal and vaginal routes are the appropriate settings for such trials, because clearance is slow enough for a residence difference to be detectable, tissue is accessible for imaging, and existing products provide comparators. Local inflammatory conditions of the oral mucosa offer suitable indications with objective endpoints, and pilot clinical work in oral lichen planus indicates that such studies are feasible within academic settings (Di Prima et al., 2026). Sample sizes should be powered </w:t>
      </w:r>
      <w:r>
        <w:lastRenderedPageBreak/>
        <w:t>on the clinical endpoint rather than on the residence surrogate. A single well-designed trial of this type would be more informative than a further decade of formulation optimisation.</w:t>
      </w:r>
    </w:p>
    <w:p w14:paraId="6E4514D3" w14:textId="77777777" w:rsidR="00E77864" w:rsidRDefault="00000000" w:rsidP="00117D6C">
      <w:pPr>
        <w:pStyle w:val="Heading2"/>
        <w:spacing w:before="100" w:beforeAutospacing="1" w:after="100" w:afterAutospacing="1"/>
      </w:pPr>
      <w:r>
        <w:rPr>
          <w:b/>
          <w:bCs/>
          <w:color w:val="000000"/>
          <w:sz w:val="24"/>
          <w:szCs w:val="24"/>
        </w:rPr>
        <w:t>10.4 Medium-Term Priority: Mechanistically Discriminating Measurement</w:t>
      </w:r>
    </w:p>
    <w:p w14:paraId="6B3CD2D1" w14:textId="77777777" w:rsidR="00E77864" w:rsidRDefault="00000000" w:rsidP="00117D6C">
      <w:pPr>
        <w:spacing w:before="100" w:beforeAutospacing="1" w:after="100" w:afterAutospacing="1"/>
        <w:jc w:val="both"/>
      </w:pPr>
      <w:r>
        <w:t>Progress on mechanism requires methods that measure the postulated physical processes rather than their aggregate consequence. Interpenetration depth, which is central to the dominant mechanistic account, is almost never measured directly. Techniques capable of resolving the interphase, including neutron and X-ray scattering, confocal and super-resolution imaging of labelled polymer and mucin, and diffusion nuclear magnetic resonance spectroscopy applied with explicit binding models (Nguyen &amp; Ba, 2025), should be applied systematically across a series of materials of graded molecular weight and functionality so that predicted and measured interphase depth can be compared.</w:t>
      </w:r>
    </w:p>
    <w:p w14:paraId="177098FC" w14:textId="77777777" w:rsidR="00E77864" w:rsidRDefault="00000000" w:rsidP="00117D6C">
      <w:pPr>
        <w:spacing w:before="100" w:beforeAutospacing="1" w:after="100" w:afterAutospacing="1"/>
        <w:jc w:val="both"/>
      </w:pPr>
      <w:r>
        <w:t>For covalent systems, the specific requirement is quantification of substrate reactive-group availability. Maleimide and thiol chemistries depend on accessible thiols in mucin, yet the density of such groups at different mucosal sites and in different species is rarely reported, and studies claiming covalent adhesion seldom include the control of thiol blockade that would demonstrate mechanism. Combining functional adhesion measurement with quantification of substrate thiol content, across species and sites, would establish whether the retention advantages demonstrated in rodent bladder (</w:t>
      </w:r>
      <w:proofErr w:type="spellStart"/>
      <w:r>
        <w:t>Kaldybekov</w:t>
      </w:r>
      <w:proofErr w:type="spellEnd"/>
      <w:r>
        <w:t xml:space="preserve"> et al., 2018; </w:t>
      </w:r>
      <w:proofErr w:type="spellStart"/>
      <w:r>
        <w:t>Kaldybekov</w:t>
      </w:r>
      <w:proofErr w:type="spellEnd"/>
      <w:r>
        <w:t xml:space="preserve"> et al., 2019) can be expected in human tissue.</w:t>
      </w:r>
    </w:p>
    <w:p w14:paraId="55A9B52A" w14:textId="77777777" w:rsidR="00E77864" w:rsidRDefault="00000000" w:rsidP="00117D6C">
      <w:pPr>
        <w:pStyle w:val="Heading2"/>
        <w:spacing w:before="100" w:beforeAutospacing="1" w:after="100" w:afterAutospacing="1"/>
      </w:pPr>
      <w:r>
        <w:rPr>
          <w:b/>
          <w:bCs/>
          <w:color w:val="000000"/>
          <w:sz w:val="24"/>
          <w:szCs w:val="24"/>
        </w:rPr>
        <w:t>10.5 Medium-Term Priority: Resolving the Site-Specific Optimum Between Adhesion and Penetration</w:t>
      </w:r>
    </w:p>
    <w:p w14:paraId="6A98003F" w14:textId="77777777" w:rsidR="00E77864" w:rsidRDefault="00000000" w:rsidP="00117D6C">
      <w:pPr>
        <w:spacing w:before="100" w:beforeAutospacing="1" w:after="100" w:afterAutospacing="1"/>
        <w:jc w:val="both"/>
      </w:pPr>
      <w:r>
        <w:t>The evidence indicates that neither adhesion nor penetration is universally preferable and that the optimum depends on mucus turnover and on the location of the therapeutic target (</w:t>
      </w:r>
      <w:proofErr w:type="spellStart"/>
      <w:r>
        <w:t>Netsomboon</w:t>
      </w:r>
      <w:proofErr w:type="spellEnd"/>
      <w:r>
        <w:t xml:space="preserve"> &amp; </w:t>
      </w:r>
      <w:proofErr w:type="spellStart"/>
      <w:r>
        <w:t>Bernkop-Schnürch</w:t>
      </w:r>
      <w:proofErr w:type="spellEnd"/>
      <w:r>
        <w:t xml:space="preserve">, 2016), but the relationship has not been characterised quantitatively. What is required is systematic evaluation of a graded series of carriers, varying continuously from strongly mucoadhesive to strongly mucus-penetrating through controlled variation of surface </w:t>
      </w:r>
      <w:proofErr w:type="gramStart"/>
      <w:r>
        <w:t>poly(</w:t>
      </w:r>
      <w:proofErr w:type="gramEnd"/>
      <w:r>
        <w:t>ethylene glycol) density or equivalent, tested at multiple anatomical sites with the same drug and the same outcome measures.</w:t>
      </w:r>
    </w:p>
    <w:p w14:paraId="644E519E" w14:textId="77777777" w:rsidR="00E77864" w:rsidRDefault="00000000" w:rsidP="00117D6C">
      <w:pPr>
        <w:spacing w:before="100" w:beforeAutospacing="1" w:after="100" w:afterAutospacing="1"/>
        <w:jc w:val="both"/>
      </w:pPr>
      <w:r>
        <w:t xml:space="preserve">Such a study would establish whether an optimum exists at each site and where it lies, converting a qualitative design principle into a quantitative one. The observation that maximal </w:t>
      </w:r>
      <w:proofErr w:type="spellStart"/>
      <w:r>
        <w:t>mucoadhesion</w:t>
      </w:r>
      <w:proofErr w:type="spellEnd"/>
      <w:r>
        <w:t xml:space="preserve"> coincided with the weakest immunological response in sublingual vaccination (Yousif et al., 2025) indicates that the relationship may be non-monotonic, which cannot be established by studies comparing two discrete formulations. Outcome measures must include the therapeutic endpoint rather than residence alone, precisely because the two may diverge.</w:t>
      </w:r>
    </w:p>
    <w:p w14:paraId="2B9E0759" w14:textId="77777777" w:rsidR="00E77864" w:rsidRDefault="00000000" w:rsidP="00117D6C">
      <w:pPr>
        <w:pStyle w:val="Heading2"/>
        <w:spacing w:before="100" w:beforeAutospacing="1" w:after="100" w:afterAutospacing="1"/>
      </w:pPr>
      <w:r>
        <w:rPr>
          <w:b/>
          <w:bCs/>
          <w:color w:val="000000"/>
          <w:sz w:val="24"/>
          <w:szCs w:val="24"/>
        </w:rPr>
        <w:t>10.6 Longer-Term Priority: Predictive Design and Excipient Qualification</w:t>
      </w:r>
    </w:p>
    <w:p w14:paraId="688C98DA" w14:textId="77777777" w:rsidR="00E77864" w:rsidRDefault="00000000" w:rsidP="00117D6C">
      <w:pPr>
        <w:spacing w:before="100" w:beforeAutospacing="1" w:after="100" w:afterAutospacing="1"/>
        <w:jc w:val="both"/>
      </w:pPr>
      <w:r>
        <w:t>Once comparable data exist, quantitative structure-property modelling becomes tractable. The objective should be prediction of adhesion behaviour at a specified site from molecular descriptors of the polymer and characterised properties of the substrate, validated prospectively on materials withheld from model development. Machine-learning approaches to particle diffusion analysis in mucus indicate that computational methods can extract structure from complex mucosal transport data when sufficient standardised input is available (</w:t>
      </w:r>
      <w:proofErr w:type="spellStart"/>
      <w:r>
        <w:t>Tjakra</w:t>
      </w:r>
      <w:proofErr w:type="spellEnd"/>
      <w:r>
        <w:t xml:space="preserve">, </w:t>
      </w:r>
      <w:proofErr w:type="spellStart"/>
      <w:r>
        <w:t>Lidayová</w:t>
      </w:r>
      <w:proofErr w:type="spellEnd"/>
      <w:r>
        <w:t>, et al., 2025). The limiting factor is data comparability rather than analytical method, which is why this priority is contingent on the first.</w:t>
      </w:r>
    </w:p>
    <w:p w14:paraId="74D0D3E2" w14:textId="77777777" w:rsidR="00E77864" w:rsidRDefault="00000000" w:rsidP="00117D6C">
      <w:pPr>
        <w:spacing w:before="100" w:beforeAutospacing="1" w:after="100" w:afterAutospacing="1"/>
        <w:jc w:val="both"/>
      </w:pPr>
      <w:r>
        <w:t xml:space="preserve">In parallel, the developability of second-generation mucoadhesive excipients requires attention that the discovery literature does not provide. Thiol content, protecting-ligand release, hydrolytic stability </w:t>
      </w:r>
      <w:r>
        <w:lastRenderedPageBreak/>
        <w:t xml:space="preserve">and oxidative crosslinking are quality attributes requiring specification and control (Hu et al., 2021; Knoll et al., 2021; Puri et al., 2020). Progression of the most promising functionalised polymers towards </w:t>
      </w:r>
      <w:proofErr w:type="spellStart"/>
      <w:r>
        <w:t>pharmacopoeial</w:t>
      </w:r>
      <w:proofErr w:type="spellEnd"/>
      <w:r>
        <w:t xml:space="preserve"> monograph status, supported by the toxicological packages that such status requires, would reduce the risk borne by individual sponsors and is a plausible route out of the situation in which clinical products continue to rely on materials selected sixty years ago.</w:t>
      </w:r>
    </w:p>
    <w:p w14:paraId="0A5D8C80" w14:textId="77777777" w:rsidR="00E77864" w:rsidRDefault="00000000" w:rsidP="00117D6C">
      <w:pPr>
        <w:pStyle w:val="Heading2"/>
        <w:spacing w:before="100" w:beforeAutospacing="1" w:after="100" w:afterAutospacing="1"/>
      </w:pPr>
      <w:r>
        <w:rPr>
          <w:b/>
          <w:bCs/>
          <w:color w:val="000000"/>
          <w:sz w:val="24"/>
          <w:szCs w:val="24"/>
        </w:rPr>
        <w:t>10.7 Longer-Term Priority: Aligning Regulatory Pathways with Scientific Need</w:t>
      </w:r>
    </w:p>
    <w:p w14:paraId="41E3C6AB" w14:textId="77777777" w:rsidR="00E77864" w:rsidRDefault="00000000" w:rsidP="00117D6C">
      <w:pPr>
        <w:spacing w:before="100" w:beforeAutospacing="1" w:after="100" w:afterAutospacing="1"/>
        <w:jc w:val="both"/>
      </w:pPr>
      <w:r>
        <w:t>The classification of many mucoadhesive products as substance-based medical devices has commercial advantages but generates neither the mechanistic characterisation nor the comparative efficacy evidence that the field requires (</w:t>
      </w:r>
      <w:proofErr w:type="spellStart"/>
      <w:r>
        <w:t>Vigani</w:t>
      </w:r>
      <w:proofErr w:type="spellEnd"/>
      <w:r>
        <w:t xml:space="preserve"> et al., 2023). Engagement between formulation scientists and regulators to establish what mechanistic evidence is expected for products whose action depends on a physicochemical interaction with mucus would benefit both parties, </w:t>
      </w:r>
      <w:proofErr w:type="gramStart"/>
      <w:r>
        <w:t>clarifying</w:t>
      </w:r>
      <w:proofErr w:type="gramEnd"/>
      <w:r>
        <w:t xml:space="preserve"> the classification boundary and creating an incentive for the mechanistic work that is currently discouraged. The practical output should be guidance specifying the characterisation expected to substantiate a claimed mucoadhesive mode of action, including the substrate and method requirements addressed in Sections 10.1 and 10.2.</w:t>
      </w:r>
    </w:p>
    <w:p w14:paraId="5A49627D" w14:textId="77777777" w:rsidR="00E77864" w:rsidRDefault="00000000" w:rsidP="00117D6C">
      <w:pPr>
        <w:pStyle w:val="Heading1"/>
        <w:spacing w:before="100" w:beforeAutospacing="1" w:after="100" w:afterAutospacing="1"/>
      </w:pPr>
      <w:r>
        <w:rPr>
          <w:b/>
          <w:bCs/>
          <w:color w:val="000000"/>
          <w:sz w:val="26"/>
          <w:szCs w:val="26"/>
        </w:rPr>
        <w:t>11. Conclusions</w:t>
      </w:r>
    </w:p>
    <w:p w14:paraId="4C54437B" w14:textId="77777777" w:rsidR="00E77864" w:rsidRDefault="00000000" w:rsidP="00117D6C">
      <w:pPr>
        <w:spacing w:before="100" w:beforeAutospacing="1" w:after="100" w:afterAutospacing="1"/>
        <w:jc w:val="both"/>
      </w:pPr>
      <w:proofErr w:type="spellStart"/>
      <w:r>
        <w:t>Mucoadhesion</w:t>
      </w:r>
      <w:proofErr w:type="spellEnd"/>
      <w:r>
        <w:t xml:space="preserve"> remains a sound pharmaceutical principle that has been unevenly served by the evidence generated to support it. The physical basis of adhesion between hydrophilic macromolecules and mucus is understood in outline, and the two-stage account of contact followed by consolidation continues to organise the field usefully. That account is nevertheless descriptive rather than predictive, it does not accommodate the covalent chemistries that now dominate materials development, and its individual components are seldom measured directly. The strongest conclusions available concern the physiological constraints on what adhesion can achieve rather than the mechanisms by which it operates.</w:t>
      </w:r>
    </w:p>
    <w:p w14:paraId="57AD9901" w14:textId="77777777" w:rsidR="00E77864" w:rsidRDefault="00000000" w:rsidP="00117D6C">
      <w:pPr>
        <w:spacing w:before="100" w:beforeAutospacing="1" w:after="100" w:afterAutospacing="1"/>
        <w:jc w:val="both"/>
      </w:pPr>
      <w:r>
        <w:t>Those constraints are well established and should discipline expectation more than they currently do. Achievable residence is bounded by the turnover of the layer to which a formulation adheres, and this bound differs by an order of magnitude between mucosal sites. Clinical success has accordingly concentrated at sites where clearance is slow, principally the oral cavity, the vagina and the bladder, and has been elusive at the nose and the ocular surface where clearance is rapid, notwithstanding intensive research at those sites. The correspondence between physiological favourability and translational outcome is one of the clearest signals in the reviewed literature.</w:t>
      </w:r>
    </w:p>
    <w:p w14:paraId="39D3949B" w14:textId="77777777" w:rsidR="00E77864" w:rsidRDefault="00000000" w:rsidP="00117D6C">
      <w:pPr>
        <w:spacing w:before="100" w:beforeAutospacing="1" w:after="100" w:afterAutospacing="1"/>
        <w:jc w:val="both"/>
      </w:pPr>
      <w:r>
        <w:t xml:space="preserve">The opposition between </w:t>
      </w:r>
      <w:proofErr w:type="spellStart"/>
      <w:r>
        <w:t>mucoadhesion</w:t>
      </w:r>
      <w:proofErr w:type="spellEnd"/>
      <w:r>
        <w:t xml:space="preserve"> and </w:t>
      </w:r>
      <w:proofErr w:type="spellStart"/>
      <w:r>
        <w:t>mucopenetration</w:t>
      </w:r>
      <w:proofErr w:type="spellEnd"/>
      <w:r>
        <w:t xml:space="preserve"> should be regarded as settled in favour of neither. The evidence supports a site-specific and target-specific optimisation in which the appropriate degree of mucin interaction depends on mucus turnover and on whether the therapeutic target lies within the mucus layer, at the epithelial surface or beneath it. Evidence that maximal adhesion can coincide with reduced therapeutic effect, although presently confined to a small number of studies, is sufficient to reject the assumption that greater measured adhesion is intrinsically desirable. Sequential and switchable systems address the problem coherently but have not yet been shown to outperform well-optimised single-mechanism alternatives in comparative in vivo testing.</w:t>
      </w:r>
    </w:p>
    <w:p w14:paraId="04F8BE9A" w14:textId="77777777" w:rsidR="00E77864" w:rsidRDefault="00000000" w:rsidP="00117D6C">
      <w:pPr>
        <w:spacing w:before="100" w:beforeAutospacing="1" w:after="100" w:afterAutospacing="1"/>
        <w:jc w:val="both"/>
      </w:pPr>
      <w:r>
        <w:t xml:space="preserve">Confidence in most quantitative comparisons between materials is limited, and this is the review's principal negative finding. Measured adhesion depends on the substrate chosen, and commercially purified mucins from different sources yield materially different results with the same polymers. It depends on the method chosen, since detachment testing, rheological synergism, interfacial adsorption and particle tracking measure different physical properties that are not interconvertible. It depends on experimental parameters that are frequently unreported. In consequence, the large </w:t>
      </w:r>
      <w:r>
        <w:lastRenderedPageBreak/>
        <w:t>adhesion enhancements reported for second-generation functionalised polymers are internally credible but externally uncalibrated, and their translation into proportionate clinical benefit has not been demonstrated.</w:t>
      </w:r>
    </w:p>
    <w:p w14:paraId="55B4C793" w14:textId="77777777" w:rsidR="00E77864" w:rsidRDefault="00000000" w:rsidP="00117D6C">
      <w:pPr>
        <w:spacing w:before="100" w:beforeAutospacing="1" w:after="100" w:afterAutospacing="1"/>
        <w:jc w:val="both"/>
      </w:pPr>
      <w:r>
        <w:t>Clinical evidence attributing benefit specifically to adhesion is correspondingly scarce. Available trials compare mucoadhesive products against placebo rather than against matched non-adhesive formulations, a design that establishes product efficacy without testing the field's central causal claim. The regulatory route through which many mucoadhesive products reach the market reinforces this position by requiring neither mechanistic characterisation nor comparative efficacy data, so commercial success and scientific evidence have advanced in partial independence of one another.</w:t>
      </w:r>
    </w:p>
    <w:p w14:paraId="135943FF" w14:textId="77777777" w:rsidR="00E77864" w:rsidRDefault="00000000" w:rsidP="00117D6C">
      <w:pPr>
        <w:spacing w:before="100" w:beforeAutospacing="1" w:after="100" w:afterAutospacing="1"/>
        <w:jc w:val="both"/>
      </w:pPr>
      <w:r>
        <w:t>The broader significance of this synthesis is that the obstacle to progress is methodological and organisational rather than conceptual or synthetic. The chemistry available to the field is more than adequate; what is missing is the shared measurement infrastructure that would allow that chemistry to be evaluated comparably, and the trial designs that would allow adhesion to be credited or discredited as a cause of clinical benefit. Both deficiencies are remediable through coordination rather than discovery. Until they are remedied, further accumulation of individual formulation studies is likely to expand the literature without proportionately advancing knowledge.</w:t>
      </w:r>
    </w:p>
    <w:p w14:paraId="62924F32" w14:textId="77777777" w:rsidR="00E77864" w:rsidRDefault="00000000" w:rsidP="00117D6C">
      <w:pPr>
        <w:pStyle w:val="Heading1"/>
        <w:spacing w:before="100" w:beforeAutospacing="1" w:after="100" w:afterAutospacing="1"/>
      </w:pPr>
      <w:r>
        <w:rPr>
          <w:b/>
          <w:bCs/>
          <w:color w:val="000000"/>
          <w:sz w:val="26"/>
          <w:szCs w:val="26"/>
        </w:rPr>
        <w:t>12. Limitations</w:t>
      </w:r>
    </w:p>
    <w:p w14:paraId="21F52EE5" w14:textId="77777777" w:rsidR="00E77864" w:rsidRDefault="00000000" w:rsidP="00117D6C">
      <w:pPr>
        <w:spacing w:before="100" w:beforeAutospacing="1" w:after="100" w:afterAutospacing="1"/>
        <w:jc w:val="both"/>
      </w:pPr>
      <w:r>
        <w:t>This article is a narrative review and carries the limitations intrinsic to that design. Study selection reflected judgements about relevance and evidential value that another reviewer might have made differently, screening was not conducted in duplicate, and no formal protocol was registered in advance. The synthesis is therefore susceptible to selection bias in the choice of included sources and to interpretive bias in the weight assigned to them, notwithstanding the transparent description of search strategy, sources, eligibility criteria and appraisal domains provided in the Methods. Readers should treat the conclusions as a reasoned interpretation of an accessible portion of the literature rather than as an exhaustive account.</w:t>
      </w:r>
    </w:p>
    <w:p w14:paraId="5614D916" w14:textId="77777777" w:rsidR="00E77864" w:rsidRDefault="00000000" w:rsidP="00117D6C">
      <w:pPr>
        <w:spacing w:before="100" w:beforeAutospacing="1" w:after="100" w:afterAutospacing="1"/>
        <w:jc w:val="both"/>
      </w:pPr>
      <w:r>
        <w:t>Access to the literature was incomplete in a specific and consequential way. No subscription database was available during preparation, and the evidence base was assembled from freely accessible bibliographic resources supplemented by citation tracking. Coverage of materials-science, chemical-engineering, polymer-science and veterinary literature is uneven in biomedical resources, and relevant work published in venues indexed only in licensed databases will have been missed. The literature search was restricted to publications in English, which will have excluded relevant work published in other languages and is likely to have contributed to the uneven geographical representation apparent in the reviewed evidence, which is concentrated in a limited number of European, North American and Asian research centres.</w:t>
      </w:r>
    </w:p>
    <w:p w14:paraId="78D90F49" w14:textId="77777777" w:rsidR="00E77864" w:rsidRDefault="00000000" w:rsidP="00117D6C">
      <w:pPr>
        <w:spacing w:before="100" w:beforeAutospacing="1" w:after="100" w:afterAutospacing="1"/>
        <w:jc w:val="both"/>
      </w:pPr>
      <w:r>
        <w:t>Heterogeneity in the underlying evidence constrains what could be concluded. Study designs, adhesion substrates, characterisation methods, outcome measures and reporting conventions differ so widely that quantitative synthesis was not attempted and would not have been defensible. Reported effect magnitudes are not comparable across studies, and the appraisal of relative material performance presented here is necessarily qualitative. For the same reason, no attempt was made to assess publication bias formally, although the strong predominance of positive findings in a literature reporting formulation performance suggests that unfavourable results are underreported, and this possibility should be borne in mind when reading any account of comparative material performance including this one.</w:t>
      </w:r>
    </w:p>
    <w:p w14:paraId="3A2C4BBF" w14:textId="77777777" w:rsidR="00E77864" w:rsidRDefault="00000000" w:rsidP="00117D6C">
      <w:pPr>
        <w:spacing w:before="100" w:beforeAutospacing="1" w:after="100" w:afterAutospacing="1"/>
        <w:jc w:val="both"/>
      </w:pPr>
      <w:r>
        <w:t xml:space="preserve">Several specific evidential weaknesses limit confidence in individual conclusions. Substantial portions of the second-generation polymer literature originate from a small number of closely </w:t>
      </w:r>
      <w:r>
        <w:lastRenderedPageBreak/>
        <w:t>associated research groups, so internal consistency within that body of work should not be mistaken for independent replication. Much of the in vivo evidence derives from rodent models whose mucosal biology differs from human biology in respects directly relevant to adhesion chemistry, and species differences in substrate composition were rarely quantified in the studies reviewed. Long-term and repeated-dose evidence is scarce across all routes, so conclusions about durability of effect and chronic tolerability are tentative. Clinical evidence is limited to small trials of heterogeneous formulations, and the judgements offered here about translational maturity rest on a thin base.</w:t>
      </w:r>
    </w:p>
    <w:p w14:paraId="5062AB56" w14:textId="77777777" w:rsidR="00E77864" w:rsidRDefault="00000000" w:rsidP="00117D6C">
      <w:pPr>
        <w:spacing w:before="100" w:beforeAutospacing="1" w:after="100" w:afterAutospacing="1"/>
        <w:jc w:val="both"/>
      </w:pPr>
      <w:r>
        <w:t>The field is also developing rapidly, particularly in relation to switchable systems, engineered tissue models and computational analysis of mucosal transport. Any synthesis with a defined search end date will omit subsequent developments, and readers should expect the assessment of the newest material classes to date more quickly than the assessment of established platforms. Finally, the appraisal domains used here were selected for their relevance to the review question rather than derived from a validated instrument, and the judgements of evidential maturity and breadth presented in the tables are qualitative and should be read as reasoned assessments rather than as measurements.</w:t>
      </w:r>
    </w:p>
    <w:p w14:paraId="786237CC" w14:textId="77777777" w:rsidR="00F35357" w:rsidRPr="000839CE" w:rsidRDefault="00F35357" w:rsidP="00F35357">
      <w:pPr>
        <w:rPr>
          <w:b/>
        </w:rPr>
      </w:pPr>
      <w:r w:rsidRPr="000839CE">
        <w:rPr>
          <w:b/>
        </w:rPr>
        <w:t>Declaration of AI Use</w:t>
      </w:r>
    </w:p>
    <w:p w14:paraId="6B038A89" w14:textId="77777777" w:rsidR="00F35357" w:rsidRPr="000839CE" w:rsidRDefault="00F35357" w:rsidP="00F35357"/>
    <w:p w14:paraId="01E6ACAC" w14:textId="77777777" w:rsidR="00F35357" w:rsidRPr="000839CE" w:rsidRDefault="00F35357" w:rsidP="00F35357">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D20DA5" w14:textId="77777777" w:rsidR="00F35357" w:rsidRDefault="00F35357" w:rsidP="00117D6C">
      <w:pPr>
        <w:spacing w:before="100" w:beforeAutospacing="1" w:after="100" w:afterAutospacing="1"/>
        <w:jc w:val="both"/>
      </w:pPr>
    </w:p>
    <w:p w14:paraId="7453F0FC" w14:textId="77777777" w:rsidR="00E77864" w:rsidRDefault="00000000" w:rsidP="00117D6C">
      <w:pPr>
        <w:pStyle w:val="Heading1"/>
        <w:spacing w:before="100" w:beforeAutospacing="1" w:after="100" w:afterAutospacing="1"/>
      </w:pPr>
      <w:r>
        <w:rPr>
          <w:b/>
          <w:bCs/>
          <w:color w:val="000000"/>
          <w:sz w:val="26"/>
          <w:szCs w:val="26"/>
        </w:rPr>
        <w:t>References</w:t>
      </w:r>
    </w:p>
    <w:p w14:paraId="5350DF38" w14:textId="77777777" w:rsidR="00E77864" w:rsidRDefault="00000000" w:rsidP="00117D6C">
      <w:pPr>
        <w:spacing w:before="100" w:beforeAutospacing="1" w:after="100" w:afterAutospacing="1"/>
        <w:ind w:left="720" w:hanging="720"/>
      </w:pPr>
      <w:r>
        <w:t xml:space="preserve">Alkabazi, M., </w:t>
      </w:r>
      <w:proofErr w:type="spellStart"/>
      <w:r>
        <w:t>Alatefi</w:t>
      </w:r>
      <w:proofErr w:type="spellEnd"/>
      <w:r>
        <w:t xml:space="preserve">, D., </w:t>
      </w:r>
      <w:proofErr w:type="spellStart"/>
      <w:r>
        <w:t>Alanzi</w:t>
      </w:r>
      <w:proofErr w:type="spellEnd"/>
      <w:r>
        <w:t xml:space="preserve">, A., </w:t>
      </w:r>
      <w:proofErr w:type="spellStart"/>
      <w:r>
        <w:t>Alshokri</w:t>
      </w:r>
      <w:proofErr w:type="spellEnd"/>
      <w:r>
        <w:t xml:space="preserve">, M., &amp; </w:t>
      </w:r>
      <w:proofErr w:type="spellStart"/>
      <w:r>
        <w:t>Aldieb</w:t>
      </w:r>
      <w:proofErr w:type="spellEnd"/>
      <w:r>
        <w:t>, E. (2026). Impact of mucoadhesive tablets on pain reduction and ulcer healing in recurrent aphthous stomatitis: A systematic review and meta-analysis of randomized controlled trials. Odontology. Advance online publication. https://doi.org/10.1007/s10266-026-01345-z</w:t>
      </w:r>
    </w:p>
    <w:p w14:paraId="609041EE" w14:textId="77777777" w:rsidR="00E77864" w:rsidRDefault="00000000" w:rsidP="00117D6C">
      <w:pPr>
        <w:spacing w:before="100" w:beforeAutospacing="1" w:after="100" w:afterAutospacing="1"/>
        <w:ind w:left="720" w:hanging="720"/>
      </w:pPr>
      <w:proofErr w:type="spellStart"/>
      <w:r>
        <w:t>Baethge</w:t>
      </w:r>
      <w:proofErr w:type="spellEnd"/>
      <w:r>
        <w:t>, C., Goldbeck-Wood, S., &amp; Mertens, S. (2019). SANRA—A scale for the quality assessment of narrative review articles. Research Integrity and Peer Review, 4(1), 5. https://doi.org/10.1186/s41073-019-0064-8</w:t>
      </w:r>
    </w:p>
    <w:p w14:paraId="193E3875" w14:textId="77777777" w:rsidR="00E77864" w:rsidRDefault="00000000" w:rsidP="00117D6C">
      <w:pPr>
        <w:spacing w:before="100" w:beforeAutospacing="1" w:after="100" w:afterAutospacing="1"/>
        <w:ind w:left="720" w:hanging="720"/>
      </w:pPr>
      <w:r>
        <w:t>Bansil, R., &amp; Turner, B. S. (2018). The biology of mucus: Composition, synthesis and organization. Advanced Drug Delivery Reviews, 124, 3–15. https://doi.org/10.1016/j.addr.2017.09.023</w:t>
      </w:r>
    </w:p>
    <w:p w14:paraId="030890B0" w14:textId="77777777" w:rsidR="00E77864" w:rsidRDefault="00000000" w:rsidP="00117D6C">
      <w:pPr>
        <w:spacing w:before="100" w:beforeAutospacing="1" w:after="100" w:afterAutospacing="1"/>
        <w:ind w:left="720" w:hanging="720"/>
      </w:pPr>
      <w:r>
        <w:t>Boegh, M., &amp; Nielsen, H. M. (2015). Mucus as a barrier to drug delivery – Understanding and mimicking the barrier properties. Basic &amp; Clinical Pharmacology &amp; Toxicology, 116(3), 179–186. https://doi.org/10.1111/bcpt.12342</w:t>
      </w:r>
    </w:p>
    <w:p w14:paraId="7AA35B8B" w14:textId="77777777" w:rsidR="00E77864" w:rsidRDefault="00000000" w:rsidP="00117D6C">
      <w:pPr>
        <w:spacing w:before="100" w:beforeAutospacing="1" w:after="100" w:afterAutospacing="1"/>
        <w:ind w:left="720" w:hanging="720"/>
      </w:pPr>
      <w:r>
        <w:t xml:space="preserve">Buang, F., Fu, M., </w:t>
      </w:r>
      <w:proofErr w:type="spellStart"/>
      <w:r>
        <w:t>Chatzifragkou</w:t>
      </w:r>
      <w:proofErr w:type="spellEnd"/>
      <w:r>
        <w:t xml:space="preserve">, A., Amin, M. C. I. M., &amp; </w:t>
      </w:r>
      <w:proofErr w:type="spellStart"/>
      <w:r>
        <w:t>Khutoryanskiy</w:t>
      </w:r>
      <w:proofErr w:type="spellEnd"/>
      <w:r>
        <w:t>, V. V. (2023). Hydroxyethyl cellulose functionalised with maleimide groups as a new excipient with enhanced mucoadhesive properties. International Journal of Pharmaceutics, 642, 123113. https://doi.org/10.1016/j.ijpharm.2023.123113</w:t>
      </w:r>
    </w:p>
    <w:p w14:paraId="67FBD8C2" w14:textId="77777777" w:rsidR="00E77864" w:rsidRDefault="00000000" w:rsidP="00117D6C">
      <w:pPr>
        <w:spacing w:before="100" w:beforeAutospacing="1" w:after="100" w:afterAutospacing="1"/>
        <w:ind w:left="720" w:hanging="720"/>
      </w:pPr>
      <w:r>
        <w:lastRenderedPageBreak/>
        <w:t xml:space="preserve">Chen, X., Zeng, Q., Chen, J., Zhang, H., Chen, X., Jin, L., Wang, Q., &amp; Tang, Z. (2025). Ion-activated </w:t>
      </w:r>
      <w:proofErr w:type="spellStart"/>
      <w:r>
        <w:t>gellan</w:t>
      </w:r>
      <w:proofErr w:type="spellEnd"/>
      <w:r>
        <w:t xml:space="preserve"> gum in situ gel for prolonged ocular administration of tofacitinib citrate: An innovative treatment approach for dry eye disease. International Journal of Pharmaceutics, 685, 126279. https://doi.org/10.1016/j.ijpharm.2025.126279</w:t>
      </w:r>
    </w:p>
    <w:p w14:paraId="43B78595" w14:textId="77777777" w:rsidR="00E77864" w:rsidRDefault="00000000" w:rsidP="00117D6C">
      <w:pPr>
        <w:spacing w:before="100" w:beforeAutospacing="1" w:after="100" w:afterAutospacing="1"/>
        <w:ind w:left="720" w:hanging="720"/>
      </w:pPr>
      <w:r>
        <w:t>Cone, R. A. (2009). Barrier properties of mucus. Advanced Drug Delivery Reviews, 61(2), 75–85. https://doi.org/10.1016/j.addr.2008.09.008</w:t>
      </w:r>
    </w:p>
    <w:p w14:paraId="728C8FAD" w14:textId="77777777" w:rsidR="00E77864" w:rsidRDefault="00000000" w:rsidP="00117D6C">
      <w:pPr>
        <w:spacing w:before="100" w:beforeAutospacing="1" w:after="100" w:afterAutospacing="1"/>
        <w:ind w:left="720" w:hanging="720"/>
      </w:pPr>
      <w:r>
        <w:t xml:space="preserve">Davoudi, Z., Kali, G., Braun, D., Azizi, M. H., &amp; </w:t>
      </w:r>
      <w:proofErr w:type="spellStart"/>
      <w:r>
        <w:t>Bernkop-Schnürch</w:t>
      </w:r>
      <w:proofErr w:type="spellEnd"/>
      <w:r>
        <w:t xml:space="preserve">, A. (2025). Highly </w:t>
      </w:r>
      <w:proofErr w:type="spellStart"/>
      <w:r>
        <w:t>thiolated</w:t>
      </w:r>
      <w:proofErr w:type="spellEnd"/>
      <w:r>
        <w:t xml:space="preserve"> corn starch for enhanced </w:t>
      </w:r>
      <w:proofErr w:type="spellStart"/>
      <w:r>
        <w:t>mucoadhesion</w:t>
      </w:r>
      <w:proofErr w:type="spellEnd"/>
      <w:r>
        <w:t xml:space="preserve"> and permeation. International Journal of Pharmaceutics, 680, 125798. https://doi.org/10.1016/j.ijpharm.2025.125798</w:t>
      </w:r>
    </w:p>
    <w:p w14:paraId="1570C4EE" w14:textId="77777777" w:rsidR="00E77864" w:rsidRDefault="00000000" w:rsidP="00117D6C">
      <w:pPr>
        <w:spacing w:before="100" w:beforeAutospacing="1" w:after="100" w:afterAutospacing="1"/>
        <w:ind w:left="720" w:hanging="720"/>
      </w:pPr>
      <w:r>
        <w:t xml:space="preserve">de Carvalho, A. C. W., Paiva, N. F., </w:t>
      </w:r>
      <w:proofErr w:type="spellStart"/>
      <w:r>
        <w:t>Demonari</w:t>
      </w:r>
      <w:proofErr w:type="spellEnd"/>
      <w:r>
        <w:t xml:space="preserve">, I. K., Duarte, M. P. F., do Couto, R. O., de Freitas, O., &amp; </w:t>
      </w:r>
      <w:proofErr w:type="spellStart"/>
      <w:r>
        <w:t>Vicentini</w:t>
      </w:r>
      <w:proofErr w:type="spellEnd"/>
      <w:r>
        <w:t>, F. T. M. de C. (2023). The potential of films as transmucosal drug delivery systems. Pharmaceutics, 15(11), 2583. https://doi.org/10.3390/pharmaceutics15112583</w:t>
      </w:r>
    </w:p>
    <w:p w14:paraId="223F934A" w14:textId="77777777" w:rsidR="00E77864" w:rsidRDefault="00000000" w:rsidP="00117D6C">
      <w:pPr>
        <w:spacing w:before="100" w:beforeAutospacing="1" w:after="100" w:afterAutospacing="1"/>
        <w:ind w:left="720" w:hanging="720"/>
      </w:pPr>
      <w:r>
        <w:t xml:space="preserve">de Lima, C. S. A., Varca, J. P. R. O., Alves, V. M., Nogueira, K. M., Cruz, C. P. C., Rial-Hermida, M. I., </w:t>
      </w:r>
      <w:proofErr w:type="spellStart"/>
      <w:r>
        <w:t>Kadłubowski</w:t>
      </w:r>
      <w:proofErr w:type="spellEnd"/>
      <w:r>
        <w:t xml:space="preserve">, S. S., Varca, G. H. C., &amp; </w:t>
      </w:r>
      <w:proofErr w:type="spellStart"/>
      <w:r>
        <w:t>Lugão</w:t>
      </w:r>
      <w:proofErr w:type="spellEnd"/>
      <w:r>
        <w:t>, A. B. (2022). Mucoadhesive polymers and their applications in drug delivery systems for the treatment of bladder cancer. Gels, 8(9), 587. https://doi.org/10.3390/gels8090587</w:t>
      </w:r>
    </w:p>
    <w:p w14:paraId="7C023387" w14:textId="77777777" w:rsidR="00E77864" w:rsidRDefault="00000000" w:rsidP="00117D6C">
      <w:pPr>
        <w:spacing w:before="100" w:beforeAutospacing="1" w:after="100" w:afterAutospacing="1"/>
        <w:ind w:left="720" w:hanging="720"/>
      </w:pPr>
      <w:r>
        <w:t>Desai, N., Colley, H. E., Krishna, Y., Bosworth, L. A., &amp; Kearns, V. R. (2026). Mucoadhesive nanofibers for ocular drug delivery: Mechanisms, design strategies, and applications. Drug Delivery and Translational Research, 16(4), 1096–1135. https://doi.org/10.1007/s13346-025-01894-w</w:t>
      </w:r>
    </w:p>
    <w:p w14:paraId="7B7FC457" w14:textId="77777777" w:rsidR="00E77864" w:rsidRDefault="00000000" w:rsidP="00117D6C">
      <w:pPr>
        <w:spacing w:before="100" w:beforeAutospacing="1" w:after="100" w:afterAutospacing="1"/>
        <w:ind w:left="720" w:hanging="720"/>
      </w:pPr>
      <w:r>
        <w:t>Di Prima, G., Mauceri, M. E., Coppini, M., La Mantia, C., Mauceri, R., Campisi, G., &amp; De Caro, V. (2026). Solid lipid microparticles-into-film delivering clobetasol: From buccal formulation design to pilot clinical study in patients with oral lichen planus. Drug Delivery and Translational Research. Advance online publication. https://doi.org/10.1007/s13346-026-02122-9</w:t>
      </w:r>
    </w:p>
    <w:p w14:paraId="6F9C3903" w14:textId="77777777" w:rsidR="00E77864" w:rsidRDefault="00000000" w:rsidP="00117D6C">
      <w:pPr>
        <w:spacing w:before="100" w:beforeAutospacing="1" w:after="100" w:afterAutospacing="1"/>
        <w:ind w:left="720" w:hanging="720"/>
      </w:pPr>
      <w:r>
        <w:t xml:space="preserve">Engle, E. M., Yang, S., Boboltz, A., Kumar, S., Stern, A., &amp; Duncan, G. A. (2025). </w:t>
      </w:r>
      <w:proofErr w:type="spellStart"/>
      <w:r>
        <w:t>Microrheology</w:t>
      </w:r>
      <w:proofErr w:type="spellEnd"/>
      <w:r>
        <w:t xml:space="preserve"> of gel-forming airway mucins isolated from porcine trachea. Soft Matter, 21(25), 4999–5004. https://doi.org/10.1039/D4SM01343C</w:t>
      </w:r>
    </w:p>
    <w:p w14:paraId="57440839" w14:textId="77777777" w:rsidR="00E77864" w:rsidRDefault="00000000" w:rsidP="00117D6C">
      <w:pPr>
        <w:spacing w:before="100" w:beforeAutospacing="1" w:after="100" w:afterAutospacing="1"/>
        <w:ind w:left="720" w:hanging="720"/>
      </w:pPr>
      <w:r>
        <w:t>Ensign, L. M., Cone, R., &amp; Hanes, J. (2012). Oral drug delivery with polymeric nanoparticles: The gastrointestinal mucus barriers. Advanced Drug Delivery Reviews, 64(6), 557–570. https://doi.org/10.1016/j.addr.2011.12.009</w:t>
      </w:r>
    </w:p>
    <w:p w14:paraId="67FC4E58" w14:textId="77777777" w:rsidR="00E77864" w:rsidRDefault="00000000" w:rsidP="00117D6C">
      <w:pPr>
        <w:spacing w:before="100" w:beforeAutospacing="1" w:after="100" w:afterAutospacing="1"/>
        <w:ind w:left="720" w:hanging="720"/>
      </w:pPr>
      <w:r>
        <w:t>Ferrari, R. (2015). Writing narrative style literature reviews. Medical Writing, 24(4), 230–235. https://doi.org/10.1179/2047480615Z.000000000329</w:t>
      </w:r>
    </w:p>
    <w:p w14:paraId="5556656D" w14:textId="77777777" w:rsidR="00E77864" w:rsidRDefault="00000000" w:rsidP="00117D6C">
      <w:pPr>
        <w:spacing w:before="100" w:beforeAutospacing="1" w:after="100" w:afterAutospacing="1"/>
        <w:ind w:left="720" w:hanging="720"/>
      </w:pPr>
      <w:r>
        <w:t>Haberman, M., Kamyshinsky, R., Reznik, N., Yeshaya, N., Khmelnitsky, L., Plender, E. G., Eichler, E. E., &amp; Fass, D. (2025). MUC5AC filaments illuminate the structural diversification of respiratory and intestinal mucins. Proceedings of the National Academy of Sciences, 122(10), e2419717122. https://doi.org/10.1073/pnas.2419717122</w:t>
      </w:r>
    </w:p>
    <w:p w14:paraId="6E7DF02B" w14:textId="77777777" w:rsidR="00E77864" w:rsidRDefault="00000000" w:rsidP="00117D6C">
      <w:pPr>
        <w:spacing w:before="100" w:beforeAutospacing="1" w:after="100" w:afterAutospacing="1"/>
        <w:ind w:left="720" w:hanging="720"/>
      </w:pPr>
      <w:proofErr w:type="spellStart"/>
      <w:r>
        <w:t>Hazt</w:t>
      </w:r>
      <w:proofErr w:type="spellEnd"/>
      <w:r>
        <w:t xml:space="preserve">, B., Read, D. J., Harlen, O. G., Poon, W. C. K., O’Connell, A., Connell, S. D., &amp; Sarkar, A. (2025). Heat-induced structural changes in lactoferrin for enhanced </w:t>
      </w:r>
      <w:proofErr w:type="spellStart"/>
      <w:r>
        <w:t>mucoadhesion</w:t>
      </w:r>
      <w:proofErr w:type="spellEnd"/>
      <w:r>
        <w:t>. ACS Applied Bio Materials, 8(11), 10255–10271. https://doi.org/10.1021/acsabm.5c01534</w:t>
      </w:r>
    </w:p>
    <w:p w14:paraId="70739F33" w14:textId="77777777" w:rsidR="00E77864" w:rsidRDefault="00000000" w:rsidP="00117D6C">
      <w:pPr>
        <w:spacing w:before="100" w:beforeAutospacing="1" w:after="100" w:afterAutospacing="1"/>
        <w:ind w:left="720" w:hanging="720"/>
      </w:pPr>
      <w:r>
        <w:lastRenderedPageBreak/>
        <w:t xml:space="preserve">Henkel, F., &amp; </w:t>
      </w:r>
      <w:proofErr w:type="spellStart"/>
      <w:r>
        <w:t>Lieleg</w:t>
      </w:r>
      <w:proofErr w:type="spellEnd"/>
      <w:r>
        <w:t>, O. (2025). Foreign mucins alter the properties of reconstituted gastric mucus. Biomacromolecules, 26(4), 2293–2303. https://doi.org/10.1021/acs.biomac.4c01629</w:t>
      </w:r>
    </w:p>
    <w:p w14:paraId="1EAF51DA" w14:textId="77777777" w:rsidR="00E77864" w:rsidRDefault="00000000" w:rsidP="00117D6C">
      <w:pPr>
        <w:spacing w:before="100" w:beforeAutospacing="1" w:after="100" w:afterAutospacing="1"/>
        <w:ind w:left="720" w:hanging="720"/>
      </w:pPr>
      <w:r>
        <w:t xml:space="preserve">Hock, N., Racaniello, G. F., Aspinall, S., Denora, N., </w:t>
      </w:r>
      <w:proofErr w:type="spellStart"/>
      <w:r>
        <w:t>Khutoryanskiy</w:t>
      </w:r>
      <w:proofErr w:type="spellEnd"/>
      <w:r>
        <w:t xml:space="preserve">, V. V., &amp; </w:t>
      </w:r>
      <w:proofErr w:type="spellStart"/>
      <w:r>
        <w:t>Bernkop-Schnürch</w:t>
      </w:r>
      <w:proofErr w:type="spellEnd"/>
      <w:r>
        <w:t xml:space="preserve">, A. (2022). </w:t>
      </w:r>
      <w:proofErr w:type="spellStart"/>
      <w:r>
        <w:t>Thiolated</w:t>
      </w:r>
      <w:proofErr w:type="spellEnd"/>
      <w:r>
        <w:t xml:space="preserve"> nanoparticles for biomedical applications: Mimicking the workhorses of our body. Advanced Science, 9(1), 2102451. https://doi.org/10.1002/advs.202102451</w:t>
      </w:r>
    </w:p>
    <w:p w14:paraId="46E3E872" w14:textId="77777777" w:rsidR="00E77864" w:rsidRDefault="00000000" w:rsidP="00117D6C">
      <w:pPr>
        <w:spacing w:before="100" w:beforeAutospacing="1" w:after="100" w:afterAutospacing="1"/>
        <w:ind w:left="720" w:hanging="720"/>
      </w:pPr>
      <w:r>
        <w:t>Hu, S., Pei, X., Duan, L., Zhu, Z., Liu, Y., Chen, J., Chen, T., Ji, P., Wan, Q., &amp; Wang, J. (2021). A mussel-inspired film for adhesion to wet buccal tissue and efficient buccal drug delivery. Nature Communications, 12(1), 1689. https://doi.org/10.1038/s41467-021-21989-5</w:t>
      </w:r>
    </w:p>
    <w:p w14:paraId="3059257F" w14:textId="77777777" w:rsidR="00E77864" w:rsidRDefault="00000000" w:rsidP="00117D6C">
      <w:pPr>
        <w:spacing w:before="100" w:beforeAutospacing="1" w:after="100" w:afterAutospacing="1"/>
        <w:ind w:left="720" w:hanging="720"/>
      </w:pPr>
      <w:r>
        <w:t xml:space="preserve">Iglesias, N., </w:t>
      </w:r>
      <w:proofErr w:type="spellStart"/>
      <w:r>
        <w:t>Galbis</w:t>
      </w:r>
      <w:proofErr w:type="spellEnd"/>
      <w:r>
        <w:t xml:space="preserve">, E., Romero-Azogíl, L., Benito, E., Lucas, R., García-Martín, M. G., &amp; de-Paz, M. V. (2020). In-depth study into polymeric materials in low-density </w:t>
      </w:r>
      <w:proofErr w:type="spellStart"/>
      <w:r>
        <w:t>gastroretentive</w:t>
      </w:r>
      <w:proofErr w:type="spellEnd"/>
      <w:r>
        <w:t xml:space="preserve"> formulations. Pharmaceutics, 12(7), 636. https://doi.org/10.3390/pharmaceutics12070636</w:t>
      </w:r>
    </w:p>
    <w:p w14:paraId="670048EF" w14:textId="77777777" w:rsidR="00E77864" w:rsidRDefault="00000000" w:rsidP="00117D6C">
      <w:pPr>
        <w:spacing w:before="100" w:beforeAutospacing="1" w:after="100" w:afterAutospacing="1"/>
        <w:ind w:left="720" w:hanging="720"/>
      </w:pPr>
      <w:r>
        <w:t xml:space="preserve">Jiang, M., Yuan, H., Zhang, W., Dong, Y., Zhang, Y., Yin, T., He, H., Gou, J., Wang, Y., &amp; Tang, X. (2026). Quaternized chitosan-coated liposomes enable pH-independent nasal </w:t>
      </w:r>
      <w:proofErr w:type="spellStart"/>
      <w:r>
        <w:t>mucoadhesion</w:t>
      </w:r>
      <w:proofErr w:type="spellEnd"/>
      <w:r>
        <w:t xml:space="preserve"> and a sustained local depot for mometasone furoate. European Journal of Pharmaceutics and Biopharmaceutics, 222, 115033. https://doi.org/10.1016/j.ejpb.2026.115033</w:t>
      </w:r>
    </w:p>
    <w:p w14:paraId="10FAE3D3" w14:textId="77777777" w:rsidR="00E77864" w:rsidRDefault="00000000" w:rsidP="00117D6C">
      <w:pPr>
        <w:spacing w:before="100" w:beforeAutospacing="1" w:after="100" w:afterAutospacing="1"/>
        <w:ind w:left="720" w:hanging="720"/>
      </w:pPr>
      <w:r>
        <w:t xml:space="preserve">Jumelle, C., Gholizadeh, S., </w:t>
      </w:r>
      <w:proofErr w:type="spellStart"/>
      <w:r>
        <w:t>Annabi</w:t>
      </w:r>
      <w:proofErr w:type="spellEnd"/>
      <w:r>
        <w:t>, N., &amp; Dana, R. (2020). Advances and limitations of drug delivery systems formulated as eye drops. Journal of Controlled Release, 321, 1–22. https://doi.org/10.1016/j.jconrel.2020.01.057</w:t>
      </w:r>
    </w:p>
    <w:p w14:paraId="0402D7D1" w14:textId="77777777" w:rsidR="00E77864" w:rsidRDefault="00000000" w:rsidP="00117D6C">
      <w:pPr>
        <w:spacing w:before="100" w:beforeAutospacing="1" w:after="100" w:afterAutospacing="1"/>
        <w:ind w:left="720" w:hanging="720"/>
      </w:pPr>
      <w:r>
        <w:t xml:space="preserve">Kaldybekov, D. B., Filippov, S. K., Radulescu, A., &amp; </w:t>
      </w:r>
      <w:proofErr w:type="spellStart"/>
      <w:r>
        <w:t>Khutoryanskiy</w:t>
      </w:r>
      <w:proofErr w:type="spellEnd"/>
      <w:r>
        <w:t>, V. V. (2019). Maleimide-functionalised PLGA-PEG nanoparticles as mucoadhesive carriers for intravesical drug delivery. European Journal of Pharmaceutics and Biopharmaceutics, 143, 24–34. https://doi.org/10.1016/j.ejpb.2019.08.007</w:t>
      </w:r>
    </w:p>
    <w:p w14:paraId="7C1E2F4F" w14:textId="77777777" w:rsidR="00E77864" w:rsidRDefault="00000000" w:rsidP="00117D6C">
      <w:pPr>
        <w:spacing w:before="100" w:beforeAutospacing="1" w:after="100" w:afterAutospacing="1"/>
        <w:ind w:left="720" w:hanging="720"/>
      </w:pPr>
      <w:r>
        <w:t xml:space="preserve">Kaldybekov, D. B., </w:t>
      </w:r>
      <w:proofErr w:type="spellStart"/>
      <w:r>
        <w:t>Tonglairoum</w:t>
      </w:r>
      <w:proofErr w:type="spellEnd"/>
      <w:r>
        <w:t xml:space="preserve">, P., </w:t>
      </w:r>
      <w:proofErr w:type="spellStart"/>
      <w:r>
        <w:t>Opanasopit</w:t>
      </w:r>
      <w:proofErr w:type="spellEnd"/>
      <w:r>
        <w:t xml:space="preserve">, P., &amp; </w:t>
      </w:r>
      <w:proofErr w:type="spellStart"/>
      <w:r>
        <w:t>Khutoryanskiy</w:t>
      </w:r>
      <w:proofErr w:type="spellEnd"/>
      <w:r>
        <w:t>, V. V. (2018). Mucoadhesive maleimide-functionalised liposomes for drug delivery to urinary bladder. European Journal of Pharmaceutical Sciences, 111, 83–90. https://doi.org/10.1016/j.ejps.2017.09.039</w:t>
      </w:r>
    </w:p>
    <w:p w14:paraId="2D09E75B" w14:textId="77777777" w:rsidR="00E77864" w:rsidRDefault="00000000" w:rsidP="00117D6C">
      <w:pPr>
        <w:spacing w:before="100" w:beforeAutospacing="1" w:after="100" w:afterAutospacing="1"/>
        <w:ind w:left="720" w:hanging="720"/>
      </w:pPr>
      <w:r>
        <w:t xml:space="preserve">Kali, G., Özkahraman, B., Laffleur, F., Knoll, P., Wibel, R., Zöller, K., &amp; </w:t>
      </w:r>
      <w:proofErr w:type="spellStart"/>
      <w:r>
        <w:t>Bernkop-Schnürch</w:t>
      </w:r>
      <w:proofErr w:type="spellEnd"/>
      <w:r>
        <w:t xml:space="preserve">, A. (2023). </w:t>
      </w:r>
      <w:proofErr w:type="spellStart"/>
      <w:r>
        <w:t>Thiolated</w:t>
      </w:r>
      <w:proofErr w:type="spellEnd"/>
      <w:r>
        <w:t xml:space="preserve"> cellulose: A dual-acting mucoadhesive and permeation-enhancing polymer. Biomacromolecules, 24(11), 4880–4889. https://doi.org/10.1021/acs.biomac.3c00577</w:t>
      </w:r>
    </w:p>
    <w:p w14:paraId="6FFD590F" w14:textId="77777777" w:rsidR="00E77864" w:rsidRDefault="00000000" w:rsidP="00117D6C">
      <w:pPr>
        <w:spacing w:before="100" w:beforeAutospacing="1" w:after="100" w:afterAutospacing="1"/>
        <w:ind w:left="720" w:hanging="720"/>
      </w:pPr>
      <w:r>
        <w:t xml:space="preserve">Karki, S., Malhotra, S., Ijaz, M., Rollet, N., </w:t>
      </w:r>
      <w:proofErr w:type="spellStart"/>
      <w:r>
        <w:t>O’Cearbhaill</w:t>
      </w:r>
      <w:proofErr w:type="spellEnd"/>
      <w:r>
        <w:t>, E. D., Bini, E., &amp; Brayden, D. J. (2026). A pullulan-based bilayer film for buccal delivery of a GLP-1 peptide analogue. Carbohydrate Polymers, 380, 125064. https://doi.org/10.1016/j.carbpol.2026.125064</w:t>
      </w:r>
    </w:p>
    <w:p w14:paraId="654E8DD5" w14:textId="77777777" w:rsidR="00E77864" w:rsidRDefault="00000000" w:rsidP="00117D6C">
      <w:pPr>
        <w:spacing w:before="100" w:beforeAutospacing="1" w:after="100" w:afterAutospacing="1"/>
        <w:ind w:left="720" w:hanging="720"/>
      </w:pPr>
      <w:r>
        <w:t xml:space="preserve">Khutoryanskiy, V. V. (2011). Advances in </w:t>
      </w:r>
      <w:proofErr w:type="spellStart"/>
      <w:r>
        <w:t>mucoadhesion</w:t>
      </w:r>
      <w:proofErr w:type="spellEnd"/>
      <w:r>
        <w:t xml:space="preserve"> and mucoadhesive polymers. Macromolecular Bioscience, 11(6), 748–764. https://doi.org/10.1002/mabi.201000388</w:t>
      </w:r>
    </w:p>
    <w:p w14:paraId="11A4081D" w14:textId="77777777" w:rsidR="00E77864" w:rsidRDefault="00000000" w:rsidP="00117D6C">
      <w:pPr>
        <w:spacing w:before="100" w:beforeAutospacing="1" w:after="100" w:afterAutospacing="1"/>
        <w:ind w:left="720" w:hanging="720"/>
      </w:pPr>
      <w:r>
        <w:t xml:space="preserve">Knoll, P., Le, N. M. N., Wibel, R., Baus, R. A., Kali, G., Asim, M. H., &amp; </w:t>
      </w:r>
      <w:proofErr w:type="spellStart"/>
      <w:r>
        <w:t>Bernkop-Schnürch</w:t>
      </w:r>
      <w:proofErr w:type="spellEnd"/>
      <w:r>
        <w:t xml:space="preserve">, A. (2021). </w:t>
      </w:r>
      <w:proofErr w:type="spellStart"/>
      <w:r>
        <w:t>Thiolated</w:t>
      </w:r>
      <w:proofErr w:type="spellEnd"/>
      <w:r>
        <w:t xml:space="preserve"> </w:t>
      </w:r>
      <w:proofErr w:type="spellStart"/>
      <w:r>
        <w:t>pectins</w:t>
      </w:r>
      <w:proofErr w:type="spellEnd"/>
      <w:r>
        <w:t xml:space="preserve">: In vitro and ex vivo evaluation of three generations of </w:t>
      </w:r>
      <w:proofErr w:type="spellStart"/>
      <w:r>
        <w:t>thiomers</w:t>
      </w:r>
      <w:proofErr w:type="spellEnd"/>
      <w:r>
        <w:t xml:space="preserve">. Acta </w:t>
      </w:r>
      <w:proofErr w:type="spellStart"/>
      <w:r>
        <w:t>Biomaterialia</w:t>
      </w:r>
      <w:proofErr w:type="spellEnd"/>
      <w:r>
        <w:t>, 135, 139–149. https://doi.org/10.1016/j.actbio.2021.08.016</w:t>
      </w:r>
    </w:p>
    <w:p w14:paraId="5CD7EAF1" w14:textId="77777777" w:rsidR="00E77864" w:rsidRDefault="00000000" w:rsidP="00117D6C">
      <w:pPr>
        <w:spacing w:before="100" w:beforeAutospacing="1" w:after="100" w:afterAutospacing="1"/>
        <w:ind w:left="720" w:hanging="720"/>
      </w:pPr>
      <w:r>
        <w:lastRenderedPageBreak/>
        <w:t xml:space="preserve">Kumar, A., Shivakumar, H., </w:t>
      </w:r>
      <w:proofErr w:type="spellStart"/>
      <w:r>
        <w:t>Avlani</w:t>
      </w:r>
      <w:proofErr w:type="spellEnd"/>
      <w:r>
        <w:t>, D., &amp; Dhiman, S. (2025). Thermo-responsive mucoadhesive in-situ gelling system loaded with surface-engineered PLGA nanoparticles for sustained intravaginal delivery of efavirenz in HIV pre-exposure prophylaxis. International Journal of Pharmaceutics, 685, 126262. https://doi.org/10.1016/j.ijpharm.2025.126262</w:t>
      </w:r>
    </w:p>
    <w:p w14:paraId="625D1869" w14:textId="77777777" w:rsidR="00E77864" w:rsidRDefault="00000000" w:rsidP="00117D6C">
      <w:pPr>
        <w:spacing w:before="100" w:beforeAutospacing="1" w:after="100" w:afterAutospacing="1"/>
        <w:ind w:left="720" w:hanging="720"/>
      </w:pPr>
      <w:r>
        <w:t>Kumar, T., Bhardwaj, R., Singh, R., Kumar, M., &amp; Rajput, S. K. (2026). Applications of starch-based mucoadhesive drug delivery systems in cancer management. International Journal of Biological Macromolecules, 335, 148650. https://doi.org/10.1016/j.ijbiomac.2025.148650</w:t>
      </w:r>
    </w:p>
    <w:p w14:paraId="287E4D76" w14:textId="77777777" w:rsidR="00E77864" w:rsidRDefault="00000000" w:rsidP="00117D6C">
      <w:pPr>
        <w:spacing w:before="100" w:beforeAutospacing="1" w:after="100" w:afterAutospacing="1"/>
        <w:ind w:left="720" w:hanging="720"/>
      </w:pPr>
      <w:r>
        <w:t>Lai, S. K., Wang, Y. Y., &amp; Hanes, J. (2009). Mucus-penetrating nanoparticles for drug and gene delivery to mucosal tissues. Advanced Drug Delivery Reviews, 61(2), 158–171. https://doi.org/10.1016/j.addr.2008.11.002</w:t>
      </w:r>
    </w:p>
    <w:p w14:paraId="106E6F21" w14:textId="77777777" w:rsidR="00E77864" w:rsidRDefault="00000000" w:rsidP="00117D6C">
      <w:pPr>
        <w:spacing w:before="100" w:beforeAutospacing="1" w:after="100" w:afterAutospacing="1"/>
        <w:ind w:left="720" w:hanging="720"/>
      </w:pPr>
      <w:r>
        <w:t xml:space="preserve">Li, X., Zhang, J., Liu, X., Wu, Z., Yu, Z., Zhang, W., Wang, Y., Li, Z., Cohen Stuart, M. A., Sagis, L. M., </w:t>
      </w:r>
      <w:proofErr w:type="spellStart"/>
      <w:r>
        <w:t>Lv</w:t>
      </w:r>
      <w:proofErr w:type="spellEnd"/>
      <w:r>
        <w:t>, M., Xiao, J., &amp; Li, Y. (2025). Gastric-mucus penetrating and responsive microgels for alleviating Helicobacter pylori-induced gastritis. Journal of Controlled Release, 383, 113741. https://doi.org/10.1016/j.jconrel.2025.113741</w:t>
      </w:r>
    </w:p>
    <w:p w14:paraId="77A9EE7F" w14:textId="77777777" w:rsidR="00E77864" w:rsidRDefault="00000000" w:rsidP="00117D6C">
      <w:pPr>
        <w:spacing w:before="100" w:beforeAutospacing="1" w:after="100" w:afterAutospacing="1"/>
        <w:ind w:left="720" w:hanging="720"/>
      </w:pPr>
      <w:r>
        <w:t xml:space="preserve">Macartney, R. A., Das, A., </w:t>
      </w:r>
      <w:proofErr w:type="spellStart"/>
      <w:r>
        <w:t>Imaniyyah</w:t>
      </w:r>
      <w:proofErr w:type="spellEnd"/>
      <w:r>
        <w:t>, A. G., Fricker, A. T., Smith, A. M., Fedele, S., Roy, I., Kim, H. W., Lee, D., &amp; Knowles, J. C. (2025). In vitro and ex vivo models of the oral mucosa as platforms for the validation of novel drug delivery systems. Journal of Tissue Engineering, 16, 20417314241313458. https://doi.org/10.1177/20417314241313458</w:t>
      </w:r>
    </w:p>
    <w:p w14:paraId="4D2F701A" w14:textId="77777777" w:rsidR="00E77864" w:rsidRDefault="00000000" w:rsidP="00117D6C">
      <w:pPr>
        <w:spacing w:before="100" w:beforeAutospacing="1" w:after="100" w:afterAutospacing="1"/>
        <w:ind w:left="720" w:hanging="720"/>
      </w:pPr>
      <w:r>
        <w:t xml:space="preserve">Nazir, I., Fürst, A., Lupo, N., Hupfauf, A., Gust, R., &amp; </w:t>
      </w:r>
      <w:proofErr w:type="spellStart"/>
      <w:r>
        <w:t>Bernkop-Schnürch</w:t>
      </w:r>
      <w:proofErr w:type="spellEnd"/>
      <w:r>
        <w:t>, A. (2019). Zeta potential changing self-emulsifying drug delivery systems: A promising strategy to sequentially overcome mucus and epithelial barrier. European Journal of Pharmaceutics and Biopharmaceutics, 144, 40–49. https://doi.org/10.1016/j.ejpb.2019.09.007</w:t>
      </w:r>
    </w:p>
    <w:p w14:paraId="2FEC79ED" w14:textId="77777777" w:rsidR="00E77864" w:rsidRDefault="00000000" w:rsidP="00117D6C">
      <w:pPr>
        <w:spacing w:before="100" w:beforeAutospacing="1" w:after="100" w:afterAutospacing="1"/>
        <w:ind w:left="720" w:hanging="720"/>
      </w:pPr>
      <w:proofErr w:type="spellStart"/>
      <w:r>
        <w:t>Netsomboon</w:t>
      </w:r>
      <w:proofErr w:type="spellEnd"/>
      <w:r>
        <w:t xml:space="preserve">, K., &amp; </w:t>
      </w:r>
      <w:proofErr w:type="spellStart"/>
      <w:r>
        <w:t>Bernkop-Schnürch</w:t>
      </w:r>
      <w:proofErr w:type="spellEnd"/>
      <w:r>
        <w:t xml:space="preserve">, A. (2016). Mucoadhesive vs. </w:t>
      </w:r>
      <w:proofErr w:type="spellStart"/>
      <w:r>
        <w:t>mucopenetrating</w:t>
      </w:r>
      <w:proofErr w:type="spellEnd"/>
      <w:r>
        <w:t xml:space="preserve"> particulate drug delivery. European Journal of Pharmaceutics and Biopharmaceutics, 98, 76–89. https://doi.org/10.1016/j.ejpb.2015.11.003</w:t>
      </w:r>
    </w:p>
    <w:p w14:paraId="1E0E42D4" w14:textId="77777777" w:rsidR="00E77864" w:rsidRDefault="00000000" w:rsidP="00117D6C">
      <w:pPr>
        <w:spacing w:before="100" w:beforeAutospacing="1" w:after="100" w:afterAutospacing="1"/>
        <w:ind w:left="720" w:hanging="720"/>
      </w:pPr>
      <w:r>
        <w:t xml:space="preserve">Nguyen, K. T. H., &amp; Ba, Y. (2025). Mitigating </w:t>
      </w:r>
      <w:proofErr w:type="spellStart"/>
      <w:r>
        <w:t>mucoadhesion</w:t>
      </w:r>
      <w:proofErr w:type="spellEnd"/>
      <w:r>
        <w:t xml:space="preserve"> of β-cyclodextrins via PEGylation: Insights from 19F diffusion NMR analysis. International Journal of Molecular Sciences, 26(23), 11690. https://doi.org/10.3390/ijms262311690</w:t>
      </w:r>
    </w:p>
    <w:p w14:paraId="24268EAB" w14:textId="77777777" w:rsidR="00E77864" w:rsidRDefault="00000000" w:rsidP="00117D6C">
      <w:pPr>
        <w:spacing w:before="100" w:beforeAutospacing="1" w:after="100" w:afterAutospacing="1"/>
        <w:ind w:left="720" w:hanging="720"/>
      </w:pPr>
      <w:proofErr w:type="spellStart"/>
      <w:r>
        <w:t>Olechno</w:t>
      </w:r>
      <w:proofErr w:type="spellEnd"/>
      <w:r>
        <w:t xml:space="preserve">, K., Higuchi, J., &amp; Winnicka, K. (2026). Why does </w:t>
      </w:r>
      <w:proofErr w:type="spellStart"/>
      <w:r>
        <w:t>mucoadhesion</w:t>
      </w:r>
      <w:proofErr w:type="spellEnd"/>
      <w:r>
        <w:t xml:space="preserve"> matter? Mucoadhesive drug delivery systems with antifungal activity in the local treatment of oral cavity candidiasis. Materials, 19(1), 33. https://doi.org/10.3390/ma19010033</w:t>
      </w:r>
    </w:p>
    <w:p w14:paraId="763BECD1" w14:textId="77777777" w:rsidR="00E77864" w:rsidRDefault="00000000" w:rsidP="00117D6C">
      <w:pPr>
        <w:spacing w:before="100" w:beforeAutospacing="1" w:after="100" w:afterAutospacing="1"/>
        <w:ind w:left="720" w:hanging="720"/>
      </w:pPr>
      <w:r>
        <w:t xml:space="preserve">Omar, W. M., Shalaby, R. A., Saher, O., Nemr, A. A., &amp; </w:t>
      </w:r>
      <w:proofErr w:type="spellStart"/>
      <w:r>
        <w:t>Fatouh</w:t>
      </w:r>
      <w:proofErr w:type="spellEnd"/>
      <w:r>
        <w:t xml:space="preserve">, A. M. (2026). Engineered brimonidine tartrate </w:t>
      </w:r>
      <w:proofErr w:type="spellStart"/>
      <w:r>
        <w:t>aminosomes</w:t>
      </w:r>
      <w:proofErr w:type="spellEnd"/>
      <w:r>
        <w:t xml:space="preserve"> as a mucoadhesive platform for sustained glaucoma management: Optimization, in vitro characterization, and in vivo evaluation. Pharmaceutics, 18(4), 422. https://doi.org/10.3390/pharmaceutics18040422</w:t>
      </w:r>
    </w:p>
    <w:p w14:paraId="73F8FEB1" w14:textId="77777777" w:rsidR="00E77864" w:rsidRDefault="00000000" w:rsidP="00117D6C">
      <w:pPr>
        <w:spacing w:before="100" w:beforeAutospacing="1" w:after="100" w:afterAutospacing="1"/>
        <w:ind w:left="720" w:hanging="720"/>
      </w:pPr>
      <w:proofErr w:type="spellStart"/>
      <w:r>
        <w:t>Osmałek</w:t>
      </w:r>
      <w:proofErr w:type="spellEnd"/>
      <w:r>
        <w:t xml:space="preserve">, T., Froelich, A., Jadach, B., Tatarek, A., Gadziński, P., Falana, A., </w:t>
      </w:r>
      <w:proofErr w:type="spellStart"/>
      <w:r>
        <w:t>Gralińska</w:t>
      </w:r>
      <w:proofErr w:type="spellEnd"/>
      <w:r>
        <w:t xml:space="preserve">, K., Ekert, M., Puri, V., </w:t>
      </w:r>
      <w:proofErr w:type="spellStart"/>
      <w:r>
        <w:t>Wrotyńska-Barczyńska</w:t>
      </w:r>
      <w:proofErr w:type="spellEnd"/>
      <w:r>
        <w:t>, J., &amp; Michniak-Kohn, B. (2021). Recent advances in polymer-based vaginal drug delivery systems. Pharmaceutics, 13(6), 884. https://doi.org/10.3390/pharmaceutics13060884</w:t>
      </w:r>
    </w:p>
    <w:p w14:paraId="324FB461" w14:textId="77777777" w:rsidR="00E77864" w:rsidRDefault="00000000" w:rsidP="00117D6C">
      <w:pPr>
        <w:spacing w:before="100" w:beforeAutospacing="1" w:after="100" w:afterAutospacing="1"/>
        <w:ind w:left="720" w:hanging="720"/>
      </w:pPr>
      <w:r>
        <w:t xml:space="preserve">Pandey, M., Choudhury, H., binti Abd Aziz, A., </w:t>
      </w:r>
      <w:proofErr w:type="spellStart"/>
      <w:r>
        <w:t>Bhattamisra</w:t>
      </w:r>
      <w:proofErr w:type="spellEnd"/>
      <w:r>
        <w:t xml:space="preserve">, S. K., </w:t>
      </w:r>
      <w:proofErr w:type="spellStart"/>
      <w:r>
        <w:t>Gorain</w:t>
      </w:r>
      <w:proofErr w:type="spellEnd"/>
      <w:r>
        <w:t xml:space="preserve">, B., Su, J. S. T., Tan, C. L., Chin, W. Y., &amp; Yip, K. Y. (2021). Potential of stimuli-responsive in situ gel system for </w:t>
      </w:r>
      <w:r>
        <w:lastRenderedPageBreak/>
        <w:t>sustained ocular drug delivery: Recent progress and contemporary research. Polymers, 13(8), 1340. https://doi.org/10.3390/polym13081340</w:t>
      </w:r>
    </w:p>
    <w:p w14:paraId="36C7AC41" w14:textId="77777777" w:rsidR="00E77864" w:rsidRDefault="00000000" w:rsidP="00117D6C">
      <w:pPr>
        <w:spacing w:before="100" w:beforeAutospacing="1" w:after="100" w:afterAutospacing="1"/>
        <w:ind w:left="720" w:hanging="720"/>
      </w:pPr>
      <w:r>
        <w:t xml:space="preserve">Pollini, M., Bianchi, E., Ruggeri, M., Vigani, B., Rossi, S., &amp; Sandri, G. (2025). Exploring </w:t>
      </w:r>
      <w:proofErr w:type="spellStart"/>
      <w:r>
        <w:t>bioadhesion</w:t>
      </w:r>
      <w:proofErr w:type="spellEnd"/>
      <w:r>
        <w:t xml:space="preserve">: Insight on innovative strategies to investigate </w:t>
      </w:r>
      <w:proofErr w:type="spellStart"/>
      <w:r>
        <w:t>bioadhesive</w:t>
      </w:r>
      <w:proofErr w:type="spellEnd"/>
      <w:r>
        <w:t xml:space="preserve"> scaffolds. International Journal of Pharmaceutics: X, 10, 100359. https://doi.org/10.1016/j.ijpx.2025.100359</w:t>
      </w:r>
    </w:p>
    <w:p w14:paraId="25280A3D" w14:textId="77777777" w:rsidR="00E77864" w:rsidRDefault="00000000" w:rsidP="00117D6C">
      <w:pPr>
        <w:spacing w:before="100" w:beforeAutospacing="1" w:after="100" w:afterAutospacing="1"/>
        <w:ind w:left="720" w:hanging="720"/>
      </w:pPr>
      <w:r>
        <w:t>Popov, A. (2020). Mucus-penetrating particles and the role of ocular mucus as a barrier to micro- and nanosuspensions. Journal of Ocular Pharmacology and Therapeutics, 36(6), 366–375. https://doi.org/10.1089/jop.2020.0022</w:t>
      </w:r>
    </w:p>
    <w:p w14:paraId="0C1D8AB9" w14:textId="77777777" w:rsidR="00E77864" w:rsidRDefault="00000000" w:rsidP="00117D6C">
      <w:pPr>
        <w:spacing w:before="100" w:beforeAutospacing="1" w:after="100" w:afterAutospacing="1"/>
        <w:ind w:left="720" w:hanging="720"/>
      </w:pPr>
      <w:proofErr w:type="spellStart"/>
      <w:r>
        <w:t>Porfiryeva</w:t>
      </w:r>
      <w:proofErr w:type="spellEnd"/>
      <w:r>
        <w:t xml:space="preserve">, N. N., </w:t>
      </w:r>
      <w:proofErr w:type="spellStart"/>
      <w:r>
        <w:t>Moustafine</w:t>
      </w:r>
      <w:proofErr w:type="spellEnd"/>
      <w:r>
        <w:t xml:space="preserve">, R. I., &amp; </w:t>
      </w:r>
      <w:proofErr w:type="spellStart"/>
      <w:r>
        <w:t>Khutoryanskiy</w:t>
      </w:r>
      <w:proofErr w:type="spellEnd"/>
      <w:r>
        <w:t>, V. V. (2026). Advances in mucoadhesive and mucus-penetrating materials, nano-formulations, and in situ gelling systems for nasal drug delivery. Expert Opinion on Drug Delivery, 23(5), 797–822. https://doi.org/10.1080/17425247.2026.2628612</w:t>
      </w:r>
    </w:p>
    <w:p w14:paraId="645F9666" w14:textId="77777777" w:rsidR="00E77864" w:rsidRDefault="00000000" w:rsidP="00117D6C">
      <w:pPr>
        <w:spacing w:before="100" w:beforeAutospacing="1" w:after="100" w:afterAutospacing="1"/>
        <w:ind w:left="720" w:hanging="720"/>
      </w:pPr>
      <w:r>
        <w:t>Puri, V., Sharma, A., Kumar, P., &amp; Singh, I. (2020). Thiolation of biopolymers for developing drug delivery systems with enhanced mechanical and mucoadhesive properties: A review. Polymers, 12(8), 1803. https://doi.org/10.3390/polym12081803</w:t>
      </w:r>
    </w:p>
    <w:p w14:paraId="4219B3ED" w14:textId="77777777" w:rsidR="00E77864" w:rsidRDefault="00000000" w:rsidP="00117D6C">
      <w:pPr>
        <w:spacing w:before="100" w:beforeAutospacing="1" w:after="100" w:afterAutospacing="1"/>
        <w:ind w:left="720" w:hanging="720"/>
      </w:pPr>
      <w:r>
        <w:t xml:space="preserve">Rojewska, M., Jakubowska, E., </w:t>
      </w:r>
      <w:proofErr w:type="spellStart"/>
      <w:r>
        <w:t>Szelejewska</w:t>
      </w:r>
      <w:proofErr w:type="spellEnd"/>
      <w:r>
        <w:t xml:space="preserve">, K., Nowaczyk, M., Froelich, A., Prochaska, K., &amp; </w:t>
      </w:r>
      <w:proofErr w:type="spellStart"/>
      <w:r>
        <w:t>Osmałek</w:t>
      </w:r>
      <w:proofErr w:type="spellEnd"/>
      <w:r>
        <w:t xml:space="preserve">, T. (2026). Cellulose-based polymer blends for oral </w:t>
      </w:r>
      <w:proofErr w:type="spellStart"/>
      <w:r>
        <w:t>mucoadhesion</w:t>
      </w:r>
      <w:proofErr w:type="spellEnd"/>
      <w:r>
        <w:t>: Impact of hydration and surface interactions. Polymers, 18(10), 1227. https://doi.org/10.3390/polym18101227</w:t>
      </w:r>
    </w:p>
    <w:p w14:paraId="6F186203" w14:textId="77777777" w:rsidR="00E77864" w:rsidRDefault="00000000" w:rsidP="00117D6C">
      <w:pPr>
        <w:spacing w:before="100" w:beforeAutospacing="1" w:after="100" w:afterAutospacing="1"/>
        <w:ind w:left="720" w:hanging="720"/>
      </w:pPr>
      <w:r>
        <w:t xml:space="preserve">Rubinstein, A., &amp; Tirosh, B. (1994). Mucus gel thickness and turnover in the gastrointestinal tract of the rat: Response to cholinergic stimulus and implication for </w:t>
      </w:r>
      <w:proofErr w:type="spellStart"/>
      <w:r>
        <w:t>mucoadhesion</w:t>
      </w:r>
      <w:proofErr w:type="spellEnd"/>
      <w:r>
        <w:t>. Pharmaceutical Research, 11(6), 794–799. https://doi.org/10.1023/A:1018961204325</w:t>
      </w:r>
    </w:p>
    <w:p w14:paraId="157501E8" w14:textId="77777777" w:rsidR="00E77864" w:rsidRDefault="00000000" w:rsidP="00117D6C">
      <w:pPr>
        <w:spacing w:before="100" w:beforeAutospacing="1" w:after="100" w:afterAutospacing="1"/>
        <w:ind w:left="720" w:hanging="720"/>
      </w:pPr>
      <w:r>
        <w:t xml:space="preserve">Sangavi, R., </w:t>
      </w:r>
      <w:proofErr w:type="spellStart"/>
      <w:r>
        <w:t>Khute</w:t>
      </w:r>
      <w:proofErr w:type="spellEnd"/>
      <w:r>
        <w:t>, S., &amp; Subash, P. (2025). Advances in novel drug delivery systems: A focus on nanoparticles and mucoadhesive technologies. Drug Development and Industrial Pharmacy, 51(12), 1673–1688. https://doi.org/10.1080/03639045.2025.2564364</w:t>
      </w:r>
    </w:p>
    <w:p w14:paraId="44D6DBA7" w14:textId="77777777" w:rsidR="00E77864" w:rsidRDefault="00000000" w:rsidP="00117D6C">
      <w:pPr>
        <w:spacing w:before="100" w:beforeAutospacing="1" w:after="100" w:afterAutospacing="1"/>
        <w:ind w:left="720" w:hanging="720"/>
      </w:pPr>
      <w:r>
        <w:t xml:space="preserve">Shahzadi, I., Fürst, A., </w:t>
      </w:r>
      <w:proofErr w:type="spellStart"/>
      <w:r>
        <w:t>Akkus</w:t>
      </w:r>
      <w:proofErr w:type="spellEnd"/>
      <w:r>
        <w:t xml:space="preserve">-Dagdeviren, Z. B., Arshad, S., </w:t>
      </w:r>
      <w:proofErr w:type="spellStart"/>
      <w:r>
        <w:t>Kurpiers</w:t>
      </w:r>
      <w:proofErr w:type="spellEnd"/>
      <w:r>
        <w:t xml:space="preserve">, M., Matuszczak, B., &amp; </w:t>
      </w:r>
      <w:proofErr w:type="spellStart"/>
      <w:r>
        <w:t>Bernkop-Schnürch</w:t>
      </w:r>
      <w:proofErr w:type="spellEnd"/>
      <w:r>
        <w:t>, A. (2020). Less reactive thiol ligands: Key towards highly mucoadhesive drug delivery systems. Polymers, 12(6), 1259. https://doi.org/10.3390/polym12061259</w:t>
      </w:r>
    </w:p>
    <w:p w14:paraId="01B55C41" w14:textId="77777777" w:rsidR="00E77864" w:rsidRDefault="00000000" w:rsidP="00117D6C">
      <w:pPr>
        <w:spacing w:before="100" w:beforeAutospacing="1" w:after="100" w:afterAutospacing="1"/>
        <w:ind w:left="720" w:hanging="720"/>
      </w:pPr>
      <w:proofErr w:type="spellStart"/>
      <w:r>
        <w:t>Shtenberg</w:t>
      </w:r>
      <w:proofErr w:type="spellEnd"/>
      <w:r>
        <w:t xml:space="preserve">, Y., Goldfeder, M., Schroeder, A., &amp; Bianco-Peled, H. (2017). Alginate modified with maleimide-terminated PEG as drug carriers with enhanced </w:t>
      </w:r>
      <w:proofErr w:type="spellStart"/>
      <w:r>
        <w:t>mucoadhesion</w:t>
      </w:r>
      <w:proofErr w:type="spellEnd"/>
      <w:r>
        <w:t>. Carbohydrate Polymers, 175, 337–346. https://doi.org/10.1016/j.carbpol.2017.07.076</w:t>
      </w:r>
    </w:p>
    <w:p w14:paraId="25A0E123" w14:textId="77777777" w:rsidR="00E77864" w:rsidRDefault="00000000" w:rsidP="00117D6C">
      <w:pPr>
        <w:spacing w:before="100" w:beforeAutospacing="1" w:after="100" w:afterAutospacing="1"/>
        <w:ind w:left="720" w:hanging="720"/>
      </w:pPr>
      <w:r>
        <w:t xml:space="preserve">Singh, M., Kumar, S., Vinayagam, R., &amp; </w:t>
      </w:r>
      <w:proofErr w:type="spellStart"/>
      <w:r>
        <w:t>Samivel</w:t>
      </w:r>
      <w:proofErr w:type="spellEnd"/>
      <w:r>
        <w:t>, R. (2025). Thermosensitive mucoadhesive intranasal in situ gel of risperidone for nose-to-brain targeting: Physiochemical and pharmacokinetics study. Pharmaceuticals, 18(6), 871. https://doi.org/10.3390/ph18060871</w:t>
      </w:r>
    </w:p>
    <w:p w14:paraId="27E9C60C" w14:textId="77777777" w:rsidR="00E77864" w:rsidRDefault="00000000" w:rsidP="00117D6C">
      <w:pPr>
        <w:spacing w:before="100" w:beforeAutospacing="1" w:after="100" w:afterAutospacing="1"/>
        <w:ind w:left="720" w:hanging="720"/>
      </w:pPr>
      <w:r>
        <w:t xml:space="preserve">Smart, J. D. (2005). The basics and underlying mechanisms of </w:t>
      </w:r>
      <w:proofErr w:type="spellStart"/>
      <w:r>
        <w:t>mucoadhesion</w:t>
      </w:r>
      <w:proofErr w:type="spellEnd"/>
      <w:r>
        <w:t>. Advanced Drug Delivery Reviews, 57(11), 1556–1568. https://doi.org/10.1016/j.addr.2005.07.001</w:t>
      </w:r>
    </w:p>
    <w:p w14:paraId="4E5F8C08" w14:textId="77777777" w:rsidR="00E77864" w:rsidRDefault="00000000" w:rsidP="00117D6C">
      <w:pPr>
        <w:spacing w:before="100" w:beforeAutospacing="1" w:after="100" w:afterAutospacing="1"/>
        <w:ind w:left="720" w:hanging="720"/>
      </w:pPr>
      <w:r>
        <w:lastRenderedPageBreak/>
        <w:t xml:space="preserve">Solanki, V. R., &amp; Parmar, V. K. (2025). Recent advances in development of buccal formulations: From small to macromolecules. AAPS </w:t>
      </w:r>
      <w:proofErr w:type="spellStart"/>
      <w:r>
        <w:t>PharmSciTech</w:t>
      </w:r>
      <w:proofErr w:type="spellEnd"/>
      <w:r>
        <w:t>, 26(5), 156. https://doi.org/10.1208/s12249-025-03154-z</w:t>
      </w:r>
    </w:p>
    <w:p w14:paraId="428BE84C" w14:textId="77777777" w:rsidR="00E77864" w:rsidRDefault="00000000" w:rsidP="00117D6C">
      <w:pPr>
        <w:spacing w:before="100" w:beforeAutospacing="1" w:after="100" w:afterAutospacing="1"/>
        <w:ind w:left="720" w:hanging="720"/>
      </w:pPr>
      <w:proofErr w:type="spellStart"/>
      <w:r>
        <w:t>Sonaje</w:t>
      </w:r>
      <w:proofErr w:type="spellEnd"/>
      <w:r>
        <w:t>, K., Chuang, E. Y., Lin, K. J., Yen, T. C., Su, F. Y., Tseng, M. T., &amp; Sung, H. W. (2012). Opening of epithelial tight junctions and enhancement of paracellular permeation by chitosan: Microscopic, ultrastructural, and computed-tomographic observations. Molecular Pharmaceutics, 9(5), 1271–1279. https://doi.org/10.1021/mp200572t</w:t>
      </w:r>
    </w:p>
    <w:p w14:paraId="0C5B79D7" w14:textId="77777777" w:rsidR="00E77864" w:rsidRDefault="00000000" w:rsidP="00117D6C">
      <w:pPr>
        <w:spacing w:before="100" w:beforeAutospacing="1" w:after="100" w:afterAutospacing="1"/>
        <w:ind w:left="720" w:hanging="720"/>
      </w:pPr>
      <w:r>
        <w:t>Sosnik, A., das Neves, J., &amp; Sarmento, B. (2014). Mucoadhesive polymers in the design of nano-drug delivery systems for administration by non-parenteral routes: A review. Progress in Polymer Science, 39(12), 2030–2075. https://doi.org/10.1016/j.progpolymsci.2014.07.010</w:t>
      </w:r>
    </w:p>
    <w:p w14:paraId="2C5DD27F" w14:textId="77777777" w:rsidR="00E77864" w:rsidRDefault="00000000" w:rsidP="00117D6C">
      <w:pPr>
        <w:spacing w:before="100" w:beforeAutospacing="1" w:after="100" w:afterAutospacing="1"/>
        <w:ind w:left="720" w:hanging="720"/>
      </w:pPr>
      <w:r>
        <w:t xml:space="preserve">Stie, M. B., Cunha, C., Huang, Z., Kirkensgaard, J. J. K., Tuelung, P. S., Wan, F., Nielsen, H. M., </w:t>
      </w:r>
      <w:proofErr w:type="spellStart"/>
      <w:r>
        <w:t>Foderà</w:t>
      </w:r>
      <w:proofErr w:type="spellEnd"/>
      <w:r>
        <w:t>, V., &amp; Rønholt, S. (2024). A head-to-head comparison of polymer interaction with mucin from porcine stomach and bovine submaxillary glands. Scientific Reports, 14(1), 21350. https://doi.org/10.1038/s41598-024-72233-1</w:t>
      </w:r>
    </w:p>
    <w:p w14:paraId="26611E1E" w14:textId="77777777" w:rsidR="00E77864" w:rsidRDefault="00000000" w:rsidP="00117D6C">
      <w:pPr>
        <w:spacing w:before="100" w:beforeAutospacing="1" w:after="100" w:afterAutospacing="1"/>
        <w:ind w:left="720" w:hanging="720"/>
      </w:pPr>
      <w:r>
        <w:t>Sukhera, J. (2022). Narrative reviews: Flexible, rigorous, and practical. Journal of Graduate Medical Education, 14(4), 414–417. https://doi.org/10.4300/JGME-D-22-00480.1</w:t>
      </w:r>
    </w:p>
    <w:p w14:paraId="76CD1F6A" w14:textId="77777777" w:rsidR="00E77864" w:rsidRDefault="00000000" w:rsidP="00117D6C">
      <w:pPr>
        <w:spacing w:before="100" w:beforeAutospacing="1" w:after="100" w:afterAutospacing="1"/>
        <w:ind w:left="720" w:hanging="720"/>
      </w:pPr>
      <w:r>
        <w:t xml:space="preserve">Suryani, S., </w:t>
      </w:r>
      <w:proofErr w:type="spellStart"/>
      <w:r>
        <w:t>Chaerunisaa</w:t>
      </w:r>
      <w:proofErr w:type="spellEnd"/>
      <w:r>
        <w:t xml:space="preserve">, A., Joni, I. M., </w:t>
      </w:r>
      <w:proofErr w:type="spellStart"/>
      <w:r>
        <w:t>Ruslin</w:t>
      </w:r>
      <w:proofErr w:type="spellEnd"/>
      <w:r>
        <w:t xml:space="preserve">, R., </w:t>
      </w:r>
      <w:proofErr w:type="spellStart"/>
      <w:r>
        <w:t>Aspadiah</w:t>
      </w:r>
      <w:proofErr w:type="spellEnd"/>
      <w:r>
        <w:t xml:space="preserve">, V., Anton, A., </w:t>
      </w:r>
      <w:proofErr w:type="spellStart"/>
      <w:r>
        <w:t>Sartinah</w:t>
      </w:r>
      <w:proofErr w:type="spellEnd"/>
      <w:r>
        <w:t xml:space="preserve">, A., &amp; Ramadhan, L. O. A. (2024). The chemical modification to improve solubility of chitosan and its derivatives application, preparation method, toxicity as a </w:t>
      </w:r>
      <w:proofErr w:type="gramStart"/>
      <w:r>
        <w:t>nanoparticles</w:t>
      </w:r>
      <w:proofErr w:type="gramEnd"/>
      <w:r>
        <w:t>. Nanotechnology, Science and Applications, 17, 41–57. https://doi.org/10.2147/NSA.S450026</w:t>
      </w:r>
    </w:p>
    <w:p w14:paraId="363B2064" w14:textId="77777777" w:rsidR="00E77864" w:rsidRDefault="00000000" w:rsidP="00117D6C">
      <w:pPr>
        <w:spacing w:before="100" w:beforeAutospacing="1" w:after="100" w:afterAutospacing="1"/>
        <w:ind w:left="720" w:hanging="720"/>
      </w:pPr>
      <w:r>
        <w:t xml:space="preserve">Takeuchi, H., </w:t>
      </w:r>
      <w:proofErr w:type="spellStart"/>
      <w:r>
        <w:t>Thongborisute</w:t>
      </w:r>
      <w:proofErr w:type="spellEnd"/>
      <w:r>
        <w:t xml:space="preserve">, J., Matsui, Y., Sugihara, H., Yamamoto, H., &amp; Kawashima, Y. (2005). Novel </w:t>
      </w:r>
      <w:proofErr w:type="spellStart"/>
      <w:r>
        <w:t>mucoadhesion</w:t>
      </w:r>
      <w:proofErr w:type="spellEnd"/>
      <w:r>
        <w:t xml:space="preserve"> tests for polymers and polymer-coated particles to design optimal mucoadhesive drug delivery systems. Advanced Drug Delivery Reviews, 57(11), 1583–1594. https://doi.org/10.1016/j.addr.2005.07.008</w:t>
      </w:r>
    </w:p>
    <w:p w14:paraId="155671F9" w14:textId="77777777" w:rsidR="00E77864" w:rsidRDefault="00000000" w:rsidP="00117D6C">
      <w:pPr>
        <w:spacing w:before="100" w:beforeAutospacing="1" w:after="100" w:afterAutospacing="1"/>
        <w:ind w:left="720" w:hanging="720"/>
      </w:pPr>
      <w:proofErr w:type="spellStart"/>
      <w:r>
        <w:t>Tjakra</w:t>
      </w:r>
      <w:proofErr w:type="spellEnd"/>
      <w:r>
        <w:t xml:space="preserve">, M., </w:t>
      </w:r>
      <w:proofErr w:type="spellStart"/>
      <w:r>
        <w:t>Chakrapeesirisuk</w:t>
      </w:r>
      <w:proofErr w:type="spellEnd"/>
      <w:r>
        <w:t>, N., Jacobson, M., Sellin, M. E., Eriksson, J., Teleki, A., &amp; Bergström, C. A. S. (2025). Optimized artificial colonic mucus enabling physiologically relevant diffusion studies of drugs, particles, and delivery systems. Molecular Pharmaceutics, 22(7), 4032–4045. https://doi.org/10.1021/acs.molpharmaceut.5c00298</w:t>
      </w:r>
    </w:p>
    <w:p w14:paraId="305F2889" w14:textId="77777777" w:rsidR="00E77864" w:rsidRDefault="00000000" w:rsidP="00117D6C">
      <w:pPr>
        <w:spacing w:before="100" w:beforeAutospacing="1" w:after="100" w:afterAutospacing="1"/>
        <w:ind w:left="720" w:hanging="720"/>
      </w:pPr>
      <w:proofErr w:type="spellStart"/>
      <w:r>
        <w:t>Tjakra</w:t>
      </w:r>
      <w:proofErr w:type="spellEnd"/>
      <w:r>
        <w:t>, M., Lidayová, K., Avenel, C., Bergström, C. A., &amp; Hossain, S. (2025). Machine learning framework for investigating nano- and micro-scale particle diffusion in colonic mucus. Journal of Nanobiotechnology, 23(1), 583. https://doi.org/10.1186/s12951-025-03659-6</w:t>
      </w:r>
    </w:p>
    <w:p w14:paraId="4DA2E9C2" w14:textId="77777777" w:rsidR="00E77864" w:rsidRDefault="00000000" w:rsidP="00117D6C">
      <w:pPr>
        <w:spacing w:before="100" w:beforeAutospacing="1" w:after="100" w:afterAutospacing="1"/>
        <w:ind w:left="720" w:hanging="720"/>
      </w:pPr>
      <w:proofErr w:type="spellStart"/>
      <w:r>
        <w:t>Tollemeto</w:t>
      </w:r>
      <w:proofErr w:type="spellEnd"/>
      <w:r>
        <w:t xml:space="preserve">, M., Thamdrup, L. H., </w:t>
      </w:r>
      <w:proofErr w:type="spellStart"/>
      <w:r>
        <w:t>Hatzakis</w:t>
      </w:r>
      <w:proofErr w:type="spellEnd"/>
      <w:r>
        <w:t xml:space="preserve">, N. S., Lehr, C. M., van </w:t>
      </w:r>
      <w:proofErr w:type="spellStart"/>
      <w:r>
        <w:t>Hest</w:t>
      </w:r>
      <w:proofErr w:type="spellEnd"/>
      <w:r>
        <w:t xml:space="preserve">, J., &amp; Boisen, A. (2025). Nanoparticles across mucosal barriers: Differentiating </w:t>
      </w:r>
      <w:proofErr w:type="spellStart"/>
      <w:r>
        <w:t>mucoadhesion</w:t>
      </w:r>
      <w:proofErr w:type="spellEnd"/>
      <w:r>
        <w:t xml:space="preserve"> from </w:t>
      </w:r>
      <w:proofErr w:type="spellStart"/>
      <w:r>
        <w:t>mucopenetration</w:t>
      </w:r>
      <w:proofErr w:type="spellEnd"/>
      <w:r>
        <w:t xml:space="preserve"> using single particle tracking. Journal of Controlled Release, 388, 114268. https://doi.org/10.1016/j.jconrel.2025.114268</w:t>
      </w:r>
    </w:p>
    <w:p w14:paraId="7DEE9715" w14:textId="77777777" w:rsidR="00E77864" w:rsidRDefault="00000000" w:rsidP="00117D6C">
      <w:pPr>
        <w:spacing w:before="100" w:beforeAutospacing="1" w:after="100" w:afterAutospacing="1"/>
        <w:ind w:left="720" w:hanging="720"/>
      </w:pPr>
      <w:proofErr w:type="spellStart"/>
      <w:r>
        <w:t>Trenkel</w:t>
      </w:r>
      <w:proofErr w:type="spellEnd"/>
      <w:r>
        <w:t xml:space="preserve">, M., &amp; </w:t>
      </w:r>
      <w:proofErr w:type="spellStart"/>
      <w:r>
        <w:t>Scherließ</w:t>
      </w:r>
      <w:proofErr w:type="spellEnd"/>
      <w:r>
        <w:t>, R. (2021). Nasal powder formulations: In-vitro characterisation of the impact of powders on nasal residence time and sensory effects. Pharmaceutics, 13(3), 385. https://doi.org/10.3390/pharmaceutics13030385</w:t>
      </w:r>
    </w:p>
    <w:p w14:paraId="4526F824" w14:textId="77777777" w:rsidR="00E77864" w:rsidRDefault="00000000" w:rsidP="00117D6C">
      <w:pPr>
        <w:spacing w:before="100" w:beforeAutospacing="1" w:after="100" w:afterAutospacing="1"/>
        <w:ind w:left="720" w:hanging="720"/>
      </w:pPr>
      <w:r>
        <w:lastRenderedPageBreak/>
        <w:t>van Staden, D., Lemmer, H. J., Liebenberg, W., &amp; Hamman, J. H. (2026). Novel liquid-based approaches for transmucosal drug delivery. Acta Pharmaceutica Sinica B, 16(4), 2119–2152. https://doi.org/10.1016/j.apsb.2025.12.042</w:t>
      </w:r>
    </w:p>
    <w:p w14:paraId="030A4C22" w14:textId="77777777" w:rsidR="00E77864" w:rsidRDefault="00000000" w:rsidP="00117D6C">
      <w:pPr>
        <w:spacing w:before="100" w:beforeAutospacing="1" w:after="100" w:afterAutospacing="1"/>
        <w:ind w:left="720" w:hanging="720"/>
      </w:pPr>
      <w:r>
        <w:t xml:space="preserve">Vasquez-Martínez, N., Guillen, D., Moreno-Mendieta, S. A., Sanchez, S., &amp; Rodríguez-Sanoja, R. (2023). The role of </w:t>
      </w:r>
      <w:proofErr w:type="spellStart"/>
      <w:r>
        <w:t>mucoadhesion</w:t>
      </w:r>
      <w:proofErr w:type="spellEnd"/>
      <w:r>
        <w:t xml:space="preserve"> and </w:t>
      </w:r>
      <w:proofErr w:type="spellStart"/>
      <w:r>
        <w:t>mucopenetration</w:t>
      </w:r>
      <w:proofErr w:type="spellEnd"/>
      <w:r>
        <w:t xml:space="preserve"> in the immune response induced by polymer-based mucosal adjuvants. Polymers, 15(7), 1615. https://doi.org/10.3390/polym15071615</w:t>
      </w:r>
    </w:p>
    <w:p w14:paraId="3D1759AB" w14:textId="77777777" w:rsidR="00E77864" w:rsidRDefault="00000000" w:rsidP="00117D6C">
      <w:pPr>
        <w:spacing w:before="100" w:beforeAutospacing="1" w:after="100" w:afterAutospacing="1"/>
        <w:ind w:left="720" w:hanging="720"/>
      </w:pPr>
      <w:proofErr w:type="spellStart"/>
      <w:r>
        <w:t>Vigani</w:t>
      </w:r>
      <w:proofErr w:type="spellEnd"/>
      <w:r>
        <w:t>, B., Rossi, S., Sandri, G., Bonferoni, M. C., &amp; Caramella, C. M. (2023). Mucoadhesive polymers in substance-based medical devices: Functional ingredients or what else? Frontiers in Drug Safety and Regulation, 3, 1227763. https://doi.org/10.3389/fdsfr.2023.1227763</w:t>
      </w:r>
    </w:p>
    <w:p w14:paraId="43D7BA22" w14:textId="77777777" w:rsidR="00E77864" w:rsidRDefault="00000000" w:rsidP="00117D6C">
      <w:pPr>
        <w:spacing w:before="100" w:beforeAutospacing="1" w:after="100" w:afterAutospacing="1"/>
        <w:ind w:left="720" w:hanging="720"/>
      </w:pPr>
      <w:proofErr w:type="spellStart"/>
      <w:r>
        <w:t>Vigani</w:t>
      </w:r>
      <w:proofErr w:type="spellEnd"/>
      <w:r>
        <w:t>, B., Rossi, S., Sandri, G., Bonferoni, M. C., Caramella, C. M., &amp; Ferrari, F. (2020). Recent advances in the development of in situ gelling drug delivery systems for non-parenteral administration routes. Pharmaceutics, 12(9), 859. https://doi.org/10.3390/pharmaceutics12090859</w:t>
      </w:r>
    </w:p>
    <w:p w14:paraId="460C7FFF" w14:textId="77777777" w:rsidR="00E77864" w:rsidRDefault="00000000" w:rsidP="00117D6C">
      <w:pPr>
        <w:spacing w:before="100" w:beforeAutospacing="1" w:after="100" w:afterAutospacing="1"/>
        <w:ind w:left="720" w:hanging="720"/>
      </w:pPr>
      <w:r>
        <w:t xml:space="preserve">Watchorn, J., </w:t>
      </w:r>
      <w:proofErr w:type="spellStart"/>
      <w:r>
        <w:t>Clasky</w:t>
      </w:r>
      <w:proofErr w:type="spellEnd"/>
      <w:r>
        <w:t>, A. J., Prakash, G., Johnston, I. A. E., Chen, P. Z., &amp; Gu, F. X. (2022). Untangling mucosal drug delivery: Engineering, designing, and testing nanoparticles to overcome the mucus barrier. ACS Biomaterials Science &amp; Engineering, 8(4), 1396–1426. https://doi.org/10.1021/acsbiomaterials.2c00047</w:t>
      </w:r>
    </w:p>
    <w:p w14:paraId="689724B6" w14:textId="77777777" w:rsidR="00E77864" w:rsidRDefault="00000000" w:rsidP="00117D6C">
      <w:pPr>
        <w:spacing w:before="100" w:beforeAutospacing="1" w:after="100" w:afterAutospacing="1"/>
        <w:ind w:left="720" w:hanging="720"/>
      </w:pPr>
      <w:r>
        <w:t xml:space="preserve">Yeh, T. H., Hsu, L. W., Tseng, M. T., Lee, P. L., </w:t>
      </w:r>
      <w:proofErr w:type="spellStart"/>
      <w:r>
        <w:t>Sonjae</w:t>
      </w:r>
      <w:proofErr w:type="spellEnd"/>
      <w:r>
        <w:t>, K., Ho, Y. C., &amp; Sung, H. W. (2011). Mechanism and consequence of chitosan-mediated reversible epithelial tight junction opening. Biomaterials, 32(26), 6164–6173. https://doi.org/10.1016/j.biomaterials.2011.03.056</w:t>
      </w:r>
    </w:p>
    <w:p w14:paraId="09685A79" w14:textId="77777777" w:rsidR="00E77864" w:rsidRDefault="00000000" w:rsidP="00117D6C">
      <w:pPr>
        <w:spacing w:before="100" w:beforeAutospacing="1" w:after="100" w:afterAutospacing="1"/>
        <w:ind w:left="720" w:hanging="720"/>
      </w:pPr>
      <w:r>
        <w:t xml:space="preserve">Yousif, M. D., </w:t>
      </w:r>
      <w:proofErr w:type="spellStart"/>
      <w:r>
        <w:t>Kubajewska</w:t>
      </w:r>
      <w:proofErr w:type="spellEnd"/>
      <w:r>
        <w:t xml:space="preserve">, I., Mawas, F., &amp; </w:t>
      </w:r>
      <w:proofErr w:type="spellStart"/>
      <w:r>
        <w:t>Murdan</w:t>
      </w:r>
      <w:proofErr w:type="spellEnd"/>
      <w:r>
        <w:t>, S. (2025). Correlations between rheology, in situ mucosal retention and in vivo immunogenicity reveal the potential and limitations of mucoadhesive excipients for sublingual vaccine delivery. Pharmaceutics, 17(11), 1456. https://doi.org/10.3390/pharmaceutics17111456</w:t>
      </w:r>
    </w:p>
    <w:p w14:paraId="03638D35" w14:textId="77777777" w:rsidR="00E77864" w:rsidRDefault="00000000" w:rsidP="00117D6C">
      <w:pPr>
        <w:spacing w:before="100" w:beforeAutospacing="1" w:after="100" w:afterAutospacing="1"/>
        <w:ind w:left="720" w:hanging="720"/>
      </w:pPr>
      <w:r>
        <w:t>Zainol Abidin, I., Murphy, E., Fehrenbach, G. W., Rezoagli, E., Gately, N., &amp; Major, I. (2023). A systematic review of mucoadhesive vaginal tablet testing. Drug Target Insights, 17, 5–30. https://doi.org/10.33393/dti.2023.2477</w:t>
      </w:r>
    </w:p>
    <w:p w14:paraId="1D2CD50A" w14:textId="77777777" w:rsidR="00E77864" w:rsidRDefault="00000000" w:rsidP="00117D6C">
      <w:pPr>
        <w:spacing w:before="100" w:beforeAutospacing="1" w:after="100" w:afterAutospacing="1"/>
        <w:ind w:left="720" w:hanging="720"/>
      </w:pPr>
      <w:r>
        <w:t>Zhang, Z., Feng, S., El-</w:t>
      </w:r>
      <w:proofErr w:type="spellStart"/>
      <w:r>
        <w:t>Kanayati</w:t>
      </w:r>
      <w:proofErr w:type="spellEnd"/>
      <w:r>
        <w:t>, R., Karnik, I., Vemula, S. K., &amp; Repka, M. A. (2025). Novel development of poly(2-ethyl-2-oxazoline)-based mucoadhesive buccal film for poorly water-soluble drug delivery via hot-melt extrusion. European Journal of Pharmaceutics and Biopharmaceutics, 210, 114686. https://doi.org/10.1016/j.ejpb.2025.114686</w:t>
      </w:r>
    </w:p>
    <w:p w14:paraId="5BF5AF9B" w14:textId="77777777" w:rsidR="00E77864" w:rsidRDefault="00000000" w:rsidP="00117D6C">
      <w:pPr>
        <w:spacing w:before="100" w:beforeAutospacing="1" w:after="100" w:afterAutospacing="1"/>
        <w:ind w:left="720" w:hanging="720"/>
      </w:pPr>
      <w:r>
        <w:t xml:space="preserve">Zhao, C., Hou, D., Wang, K., Chen, J., Wu, Y., Liu, N., Wang, Z., Liu, Y., Li, Y., Zhang, Z., Liu, Y., Hou, Z., Yang, X., Liu, X., Xu, W., Wang, Z., Zhang, H., &amp; Liu, Z. (2026). Mucoadhesive </w:t>
      </w:r>
      <w:proofErr w:type="spellStart"/>
      <w:r>
        <w:t>tumor</w:t>
      </w:r>
      <w:proofErr w:type="spellEnd"/>
      <w:r>
        <w:t>-penetrating nanomedicine for intravesical chemo-immunotherapy against bladder cancer. Science Advances, 12(16), eaeb9764. https://doi.org/10.1126/sciadv.aeb9764</w:t>
      </w:r>
    </w:p>
    <w:p w14:paraId="7B5EB861" w14:textId="77777777" w:rsidR="00E77864" w:rsidRDefault="00000000" w:rsidP="00117D6C">
      <w:pPr>
        <w:spacing w:before="100" w:beforeAutospacing="1" w:after="100" w:afterAutospacing="1"/>
        <w:ind w:left="720" w:hanging="720"/>
      </w:pPr>
      <w:r>
        <w:t xml:space="preserve">Zheng, B., Chen, Z., Sun, L., Quan, J., Wei, J., Huang, B., Zhang, D., Zhang, P., &amp; Zhuo, Y. (2025). Intravesical </w:t>
      </w:r>
      <w:proofErr w:type="spellStart"/>
      <w:r>
        <w:t>tumor</w:t>
      </w:r>
      <w:proofErr w:type="spellEnd"/>
      <w:r>
        <w:t>-selective mucoadhesive hydrogel for effective chemotherapy in murine model. International Journal of Nanomedicine, 20, 7169–7183. https://doi.org/10.2147/IJN.S522421</w:t>
      </w:r>
    </w:p>
    <w:p w14:paraId="7BD450BA" w14:textId="77777777" w:rsidR="00E77864" w:rsidRDefault="00000000" w:rsidP="00117D6C">
      <w:pPr>
        <w:spacing w:before="100" w:beforeAutospacing="1" w:after="100" w:afterAutospacing="1"/>
        <w:ind w:left="720" w:hanging="720"/>
      </w:pPr>
      <w:r>
        <w:lastRenderedPageBreak/>
        <w:t>Zheng, B., Liu, D., Qin, X., Zhang, D., &amp; Zhang, P. (2025). Mucoadhesive-to-</w:t>
      </w:r>
      <w:proofErr w:type="spellStart"/>
      <w:r>
        <w:t>mucopenetrating</w:t>
      </w:r>
      <w:proofErr w:type="spellEnd"/>
      <w:r>
        <w:t xml:space="preserve"> nanoparticles for mucosal drug delivery: A mini review. International Journal of Nanomedicine, 20, 2241–2252. https://doi.org/10.2147/IJN.S505427</w:t>
      </w:r>
    </w:p>
    <w:sectPr w:rsidR="00E7786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65E3E" w14:textId="77777777" w:rsidR="00325346" w:rsidRDefault="00325346" w:rsidP="009C388D">
      <w:r>
        <w:separator/>
      </w:r>
    </w:p>
  </w:endnote>
  <w:endnote w:type="continuationSeparator" w:id="0">
    <w:p w14:paraId="1858644B" w14:textId="77777777" w:rsidR="00325346" w:rsidRDefault="00325346" w:rsidP="009C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B75A" w14:textId="77777777" w:rsidR="009C388D" w:rsidRDefault="009C3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E0D3" w14:textId="77777777" w:rsidR="009C388D" w:rsidRDefault="009C3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3BEC" w14:textId="77777777" w:rsidR="009C388D" w:rsidRDefault="009C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9646" w14:textId="77777777" w:rsidR="00325346" w:rsidRDefault="00325346" w:rsidP="009C388D">
      <w:r>
        <w:separator/>
      </w:r>
    </w:p>
  </w:footnote>
  <w:footnote w:type="continuationSeparator" w:id="0">
    <w:p w14:paraId="7EAF7F64" w14:textId="77777777" w:rsidR="00325346" w:rsidRDefault="00325346" w:rsidP="009C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C245" w14:textId="5800FA51" w:rsidR="009C388D" w:rsidRDefault="009C388D">
    <w:pPr>
      <w:pStyle w:val="Header"/>
    </w:pPr>
    <w:r>
      <w:rPr>
        <w:noProof/>
      </w:rPr>
      <w:pict w14:anchorId="77AA36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333797" o:spid="_x0000_s1026" type="#_x0000_t136" style="position:absolute;margin-left:0;margin-top:0;width:611.4pt;height:67.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D33F" w14:textId="50E91057" w:rsidR="009C388D" w:rsidRDefault="009C388D">
    <w:pPr>
      <w:pStyle w:val="Header"/>
    </w:pPr>
    <w:r>
      <w:rPr>
        <w:noProof/>
      </w:rPr>
      <w:pict w14:anchorId="159D5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333798" o:spid="_x0000_s1027" type="#_x0000_t136" style="position:absolute;margin-left:0;margin-top:0;width:611.4pt;height:67.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71EA" w14:textId="6C4A27FA" w:rsidR="009C388D" w:rsidRDefault="009C388D">
    <w:pPr>
      <w:pStyle w:val="Header"/>
    </w:pPr>
    <w:r>
      <w:rPr>
        <w:noProof/>
      </w:rPr>
      <w:pict w14:anchorId="6AEB9F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333796" o:spid="_x0000_s1025" type="#_x0000_t136" style="position:absolute;margin-left:0;margin-top:0;width:611.4pt;height:67.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F46F4"/>
    <w:multiLevelType w:val="hybridMultilevel"/>
    <w:tmpl w:val="2DC65080"/>
    <w:lvl w:ilvl="0" w:tplc="B2C009F0">
      <w:start w:val="1"/>
      <w:numFmt w:val="bullet"/>
      <w:lvlText w:val="●"/>
      <w:lvlJc w:val="left"/>
      <w:pPr>
        <w:ind w:left="720" w:hanging="360"/>
      </w:pPr>
    </w:lvl>
    <w:lvl w:ilvl="1" w:tplc="8ABA94A8">
      <w:start w:val="1"/>
      <w:numFmt w:val="bullet"/>
      <w:lvlText w:val="○"/>
      <w:lvlJc w:val="left"/>
      <w:pPr>
        <w:ind w:left="1440" w:hanging="360"/>
      </w:pPr>
    </w:lvl>
    <w:lvl w:ilvl="2" w:tplc="55C247B4">
      <w:start w:val="1"/>
      <w:numFmt w:val="bullet"/>
      <w:lvlText w:val="■"/>
      <w:lvlJc w:val="left"/>
      <w:pPr>
        <w:ind w:left="2160" w:hanging="360"/>
      </w:pPr>
    </w:lvl>
    <w:lvl w:ilvl="3" w:tplc="42FE86DE">
      <w:start w:val="1"/>
      <w:numFmt w:val="bullet"/>
      <w:lvlText w:val="●"/>
      <w:lvlJc w:val="left"/>
      <w:pPr>
        <w:ind w:left="2880" w:hanging="360"/>
      </w:pPr>
    </w:lvl>
    <w:lvl w:ilvl="4" w:tplc="8BC0BC70">
      <w:start w:val="1"/>
      <w:numFmt w:val="bullet"/>
      <w:lvlText w:val="○"/>
      <w:lvlJc w:val="left"/>
      <w:pPr>
        <w:ind w:left="3600" w:hanging="360"/>
      </w:pPr>
    </w:lvl>
    <w:lvl w:ilvl="5" w:tplc="C3982412">
      <w:start w:val="1"/>
      <w:numFmt w:val="bullet"/>
      <w:lvlText w:val="■"/>
      <w:lvlJc w:val="left"/>
      <w:pPr>
        <w:ind w:left="4320" w:hanging="360"/>
      </w:pPr>
    </w:lvl>
    <w:lvl w:ilvl="6" w:tplc="366C4E58">
      <w:start w:val="1"/>
      <w:numFmt w:val="bullet"/>
      <w:lvlText w:val="●"/>
      <w:lvlJc w:val="left"/>
      <w:pPr>
        <w:ind w:left="5040" w:hanging="360"/>
      </w:pPr>
    </w:lvl>
    <w:lvl w:ilvl="7" w:tplc="193691A2">
      <w:start w:val="1"/>
      <w:numFmt w:val="bullet"/>
      <w:lvlText w:val="●"/>
      <w:lvlJc w:val="left"/>
      <w:pPr>
        <w:ind w:left="5760" w:hanging="360"/>
      </w:pPr>
    </w:lvl>
    <w:lvl w:ilvl="8" w:tplc="62D28A1C">
      <w:start w:val="1"/>
      <w:numFmt w:val="bullet"/>
      <w:lvlText w:val="●"/>
      <w:lvlJc w:val="left"/>
      <w:pPr>
        <w:ind w:left="6480" w:hanging="360"/>
      </w:pPr>
    </w:lvl>
  </w:abstractNum>
  <w:num w:numId="1" w16cid:durableId="2021357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864"/>
    <w:rsid w:val="00117D6C"/>
    <w:rsid w:val="00325346"/>
    <w:rsid w:val="009C388D"/>
    <w:rsid w:val="00B4471F"/>
    <w:rsid w:val="00B86B7A"/>
    <w:rsid w:val="00E40205"/>
    <w:rsid w:val="00E77864"/>
    <w:rsid w:val="00F3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7218E"/>
  <w15:docId w15:val="{4ABCCEAA-8416-4085-8417-53C3285E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C388D"/>
    <w:pPr>
      <w:tabs>
        <w:tab w:val="center" w:pos="4680"/>
        <w:tab w:val="right" w:pos="9360"/>
      </w:tabs>
    </w:pPr>
  </w:style>
  <w:style w:type="character" w:customStyle="1" w:styleId="HeaderChar">
    <w:name w:val="Header Char"/>
    <w:basedOn w:val="DefaultParagraphFont"/>
    <w:link w:val="Header"/>
    <w:uiPriority w:val="99"/>
    <w:rsid w:val="009C388D"/>
  </w:style>
  <w:style w:type="paragraph" w:styleId="Footer">
    <w:name w:val="footer"/>
    <w:basedOn w:val="Normal"/>
    <w:link w:val="FooterChar"/>
    <w:uiPriority w:val="99"/>
    <w:unhideWhenUsed/>
    <w:rsid w:val="009C388D"/>
    <w:pPr>
      <w:tabs>
        <w:tab w:val="center" w:pos="4680"/>
        <w:tab w:val="right" w:pos="9360"/>
      </w:tabs>
    </w:pPr>
  </w:style>
  <w:style w:type="character" w:customStyle="1" w:styleId="FooterChar">
    <w:name w:val="Footer Char"/>
    <w:basedOn w:val="DefaultParagraphFont"/>
    <w:link w:val="Footer"/>
    <w:uiPriority w:val="99"/>
    <w:rsid w:val="009C3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19040</Words>
  <Characters>108534</Characters>
  <Application>Microsoft Office Word</Application>
  <DocSecurity>0</DocSecurity>
  <Lines>904</Lines>
  <Paragraphs>254</Paragraphs>
  <ScaleCrop>false</ScaleCrop>
  <Company>HP</Company>
  <LinksUpToDate>false</LinksUpToDate>
  <CharactersWithSpaces>127320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Mucoadhesive Drug Delivery Systems</dc:title>
  <dc:creator>Manuscript</dc:creator>
  <cp:lastModifiedBy>SDI 1084</cp:lastModifiedBy>
  <cp:revision>5</cp:revision>
  <dcterms:created xsi:type="dcterms:W3CDTF">2026-07-24T17:19:00Z</dcterms:created>
  <dcterms:modified xsi:type="dcterms:W3CDTF">2026-07-25T12:09:00Z</dcterms:modified>
</cp:coreProperties>
</file>