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A1BBF" w:rsidRPr="00715A13" w14:paraId="53B55D12" w14:textId="77777777">
        <w:trPr>
          <w:trHeight w:val="20"/>
          <w:jc w:val="center"/>
        </w:trPr>
        <w:tc>
          <w:tcPr>
            <w:tcW w:w="1186" w:type="pct"/>
          </w:tcPr>
          <w:p w14:paraId="17CD968B" w14:textId="77777777" w:rsidR="009A1BBF" w:rsidRPr="00715A13" w:rsidRDefault="004230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150D8B" w14:textId="77777777" w:rsidR="009A1BBF" w:rsidRPr="00715A13" w:rsidRDefault="009A1BB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15A1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Economics, Management and Business Research</w:t>
              </w:r>
            </w:hyperlink>
          </w:p>
        </w:tc>
      </w:tr>
      <w:tr w:rsidR="009A1BBF" w:rsidRPr="00715A13" w14:paraId="217E8481" w14:textId="77777777">
        <w:trPr>
          <w:trHeight w:val="20"/>
          <w:jc w:val="center"/>
        </w:trPr>
        <w:tc>
          <w:tcPr>
            <w:tcW w:w="1186" w:type="pct"/>
          </w:tcPr>
          <w:p w14:paraId="6FC051A1" w14:textId="77777777" w:rsidR="009A1BBF" w:rsidRPr="00715A13" w:rsidRDefault="004230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088260" w14:textId="4F33FB5C" w:rsidR="009A1BBF" w:rsidRPr="00715A13" w:rsidRDefault="004D53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Ms_JGEMBR_15454</w:t>
            </w:r>
          </w:p>
        </w:tc>
      </w:tr>
      <w:tr w:rsidR="009A1BBF" w:rsidRPr="00715A13" w14:paraId="16132A7C" w14:textId="77777777">
        <w:trPr>
          <w:trHeight w:val="20"/>
          <w:jc w:val="center"/>
        </w:trPr>
        <w:tc>
          <w:tcPr>
            <w:tcW w:w="1186" w:type="pct"/>
          </w:tcPr>
          <w:p w14:paraId="0DAE045C" w14:textId="77777777" w:rsidR="009A1BBF" w:rsidRPr="00715A13" w:rsidRDefault="004230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7E9F970" w14:textId="4F83C747" w:rsidR="009A1BBF" w:rsidRPr="00715A13" w:rsidRDefault="004D53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sz w:val="20"/>
                <w:szCs w:val="20"/>
                <w:lang w:val="en-GB"/>
              </w:rPr>
              <w:t>The Coordination Compression Trap: A Dynamic Model of AI-Enabled Productivity, Verification Debt, and Organisational Resilience in Global Knowledge Firms</w:t>
            </w:r>
          </w:p>
        </w:tc>
      </w:tr>
      <w:tr w:rsidR="009A1BBF" w:rsidRPr="00715A13" w14:paraId="3DBC6D16" w14:textId="77777777">
        <w:trPr>
          <w:trHeight w:val="20"/>
          <w:jc w:val="center"/>
        </w:trPr>
        <w:tc>
          <w:tcPr>
            <w:tcW w:w="1186" w:type="pct"/>
          </w:tcPr>
          <w:p w14:paraId="7851A6FE" w14:textId="77777777" w:rsidR="009A1BBF" w:rsidRPr="00715A13" w:rsidRDefault="004230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9E6CB0" w14:textId="2CB2EF8A" w:rsidR="009A1BBF" w:rsidRPr="00715A13" w:rsidRDefault="00AF0B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936072D" w14:textId="77777777" w:rsidR="009A1BBF" w:rsidRPr="00715A13" w:rsidRDefault="009A1BB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8BE0C30" w14:textId="77777777" w:rsidR="009A1BBF" w:rsidRPr="00715A13" w:rsidRDefault="0042301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15A1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15A13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DE641D0" w14:textId="77777777" w:rsidR="009A1BBF" w:rsidRPr="00715A13" w:rsidRDefault="009A1BB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A1BBF" w:rsidRPr="00715A13" w14:paraId="010908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77A121" w14:textId="77777777" w:rsidR="009A1BBF" w:rsidRPr="00715A13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96D3D4A" w14:textId="77777777" w:rsidR="009A1BBF" w:rsidRPr="00715A13" w:rsidRDefault="004230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ED5129A" w14:textId="77777777" w:rsidR="009A1BBF" w:rsidRPr="00715A13" w:rsidRDefault="0042301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15A1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378C2B" w14:textId="77777777" w:rsidR="009A1BBF" w:rsidRPr="00715A13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1BBF" w:rsidRPr="00715A13" w14:paraId="6F1F7E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80F3" w14:textId="77777777" w:rsidR="009A1BBF" w:rsidRPr="00715A13" w:rsidRDefault="00423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97D1AE" w14:textId="77777777" w:rsidR="009A1BBF" w:rsidRPr="00715A13" w:rsidRDefault="0042301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E53D8A0" w14:textId="2F0428E0" w:rsidR="009A1BBF" w:rsidRPr="00715A13" w:rsidRDefault="008A6DC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addresses a question of growing consequence for management and information systems research: why measurable task-level gains from generative and agentic AI so often fail to translate into durable enterprise value. Its central contribution is conceptual rather than empirical — it names and formalises verification debt as an accumulating organisational stock, and it separates coordination compression (time saved) from realised net value, a distinction that is largely absent from the current productivity literature and that helps reconcile positive experimental findings with weak firm-level and macroeconomic returns.</w:t>
            </w:r>
          </w:p>
        </w:tc>
        <w:tc>
          <w:tcPr>
            <w:tcW w:w="1667" w:type="pct"/>
          </w:tcPr>
          <w:p w14:paraId="31AA58DA" w14:textId="77777777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sz w:val="20"/>
                <w:szCs w:val="20"/>
              </w:rPr>
              <w:t>Thank you for identifying the manuscript's conceptual contribution and for providing detailed technical criticism. The revision treats the five named regimes as illustrative rather than optimal, adds an independent three-dimensional policy search, introduces structural heterogeneity and paired comparisons, diagnoses boundary saturation, strengthens both propositions, and expands the literature and reproducibility materials.</w:t>
            </w:r>
          </w:p>
        </w:tc>
      </w:tr>
    </w:tbl>
    <w:p w14:paraId="41B49260" w14:textId="77777777" w:rsidR="009A1BBF" w:rsidRPr="00715A13" w:rsidRDefault="009A1BBF">
      <w:pPr>
        <w:rPr>
          <w:rFonts w:ascii="Arial" w:hAnsi="Arial" w:cs="Arial"/>
          <w:sz w:val="20"/>
          <w:szCs w:val="20"/>
          <w:lang w:val="en-GB"/>
        </w:rPr>
      </w:pPr>
    </w:p>
    <w:p w14:paraId="476047B0" w14:textId="77777777" w:rsidR="009A1BBF" w:rsidRPr="00715A13" w:rsidRDefault="0042301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15A1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3AB0A78" w14:textId="77777777" w:rsidR="009A1BBF" w:rsidRPr="00715A13" w:rsidRDefault="009A1B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1BBF" w:rsidRPr="00715A13" w14:paraId="59FF36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BD8E22" w14:textId="77777777" w:rsidR="009A1BBF" w:rsidRPr="00715A13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A02A7CF" w14:textId="77777777" w:rsidR="009A1BBF" w:rsidRPr="00715A13" w:rsidRDefault="004230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2EC9AE5" w14:textId="4CDC30FE" w:rsidR="009A1BBF" w:rsidRPr="00715A13" w:rsidRDefault="0042301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15A1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4B5572" w:rsidRPr="00715A13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4B5572" w:rsidRPr="00715A13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A1BBF" w:rsidRPr="00715A13" w14:paraId="3DB791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CF6220" w14:textId="77777777" w:rsidR="009A1BBF" w:rsidRPr="00715A13" w:rsidRDefault="004230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F43B6A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9850E4" w14:textId="77777777" w:rsidR="009A1BBF" w:rsidRPr="00715A13" w:rsidRDefault="0042301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63E636" w14:textId="06FBB238" w:rsidR="009A1BBF" w:rsidRPr="00715A13" w:rsidRDefault="008A6D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8385F9" w14:textId="77777777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sz w:val="20"/>
                <w:szCs w:val="20"/>
              </w:rPr>
              <w:t>Thank you. The title has been retained.</w:t>
            </w:r>
          </w:p>
        </w:tc>
      </w:tr>
      <w:tr w:rsidR="009A1BBF" w:rsidRPr="00715A13" w14:paraId="17E561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65FD3A" w14:textId="77777777" w:rsidR="009A1BBF" w:rsidRPr="00715A13" w:rsidRDefault="004230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B06286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0A151" w14:textId="77777777" w:rsidR="009A1BBF" w:rsidRPr="00715A13" w:rsidRDefault="004230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F99D2E" w14:textId="0B5DD2E2" w:rsidR="009A1BBF" w:rsidRPr="00715A13" w:rsidRDefault="00BC5F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0FD82F" w14:textId="32770074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sz w:val="20"/>
                <w:szCs w:val="20"/>
              </w:rPr>
              <w:t>Addressed.</w:t>
            </w:r>
            <w:r w:rsidRPr="00715A13">
              <w:rPr>
                <w:rFonts w:ascii="Arial" w:eastAsia="Arial" w:hAnsi="Arial" w:cs="Arial"/>
                <w:sz w:val="20"/>
                <w:szCs w:val="20"/>
              </w:rPr>
              <w:t xml:space="preserve"> The abstract now reports the study gap, expanded methodology, policy-grid result, heterogeneity result, conditional conclusion, and limitation that numerical optima require empirical calibration.</w:t>
            </w:r>
          </w:p>
        </w:tc>
      </w:tr>
      <w:tr w:rsidR="009A1BBF" w:rsidRPr="00715A13" w14:paraId="01E803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CE274F" w14:textId="77777777" w:rsidR="009A1BBF" w:rsidRPr="00715A13" w:rsidRDefault="004230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15A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0C6D65E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AB7BA" w14:textId="77777777" w:rsidR="009A1BBF" w:rsidRPr="00715A13" w:rsidRDefault="004230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0743C4" w14:textId="55C39073" w:rsidR="009A1BBF" w:rsidRPr="00715A13" w:rsidRDefault="00BC5F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BFB74F" w14:textId="77777777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sz w:val="20"/>
                <w:szCs w:val="20"/>
              </w:rPr>
              <w:t>Addressed.</w:t>
            </w:r>
            <w:r w:rsidRPr="00715A13">
              <w:rPr>
                <w:rFonts w:ascii="Arial" w:eastAsia="Arial" w:hAnsi="Arial" w:cs="Arial"/>
                <w:sz w:val="20"/>
                <w:szCs w:val="20"/>
              </w:rPr>
              <w:t xml:space="preserve"> Keywords are retained and consistently capitalised.</w:t>
            </w:r>
          </w:p>
        </w:tc>
      </w:tr>
      <w:tr w:rsidR="009A1BBF" w:rsidRPr="00715A13" w14:paraId="343485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A8338" w14:textId="77777777" w:rsidR="009A1BBF" w:rsidRPr="00715A13" w:rsidRDefault="004230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15A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BB8CE12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64109" w14:textId="77777777" w:rsidR="009A1BBF" w:rsidRPr="00715A13" w:rsidRDefault="004230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CE77" w14:textId="1397B230" w:rsidR="009A1BBF" w:rsidRPr="00715A13" w:rsidRDefault="00BC5F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3256B0" w14:textId="1A59225B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sz w:val="20"/>
                <w:szCs w:val="20"/>
              </w:rPr>
              <w:t>Addressed.</w:t>
            </w:r>
            <w:r w:rsidRPr="00715A13">
              <w:rPr>
                <w:rFonts w:ascii="Arial" w:eastAsia="Arial" w:hAnsi="Arial" w:cs="Arial"/>
                <w:sz w:val="20"/>
                <w:szCs w:val="20"/>
              </w:rPr>
              <w:t xml:space="preserve"> The background has been expanded through a standalone Literature Review that positions the model against productivity, capability-trap, quality-erosion, resilience, and governance research.</w:t>
            </w:r>
          </w:p>
        </w:tc>
      </w:tr>
      <w:tr w:rsidR="009A1BBF" w:rsidRPr="00715A13" w14:paraId="3F3E86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E947AF" w14:textId="77777777" w:rsidR="009A1BBF" w:rsidRPr="00715A13" w:rsidRDefault="004230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15A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96FF770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46EFC" w14:textId="77777777" w:rsidR="009A1BBF" w:rsidRPr="00715A13" w:rsidRDefault="004230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29796" w14:textId="3D9BA864" w:rsidR="009A1BBF" w:rsidRPr="00715A13" w:rsidRDefault="00BC5F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0E0766" w14:textId="77777777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sz w:val="20"/>
                <w:szCs w:val="20"/>
              </w:rPr>
              <w:t>Addressed.</w:t>
            </w:r>
            <w:r w:rsidRPr="00715A13">
              <w:rPr>
                <w:rFonts w:ascii="Arial" w:eastAsia="Arial" w:hAnsi="Arial" w:cs="Arial"/>
                <w:sz w:val="20"/>
                <w:szCs w:val="20"/>
              </w:rPr>
              <w:t xml:space="preserve"> Five research questions now include structural heterogeneity and a full independent policy-space search.</w:t>
            </w:r>
          </w:p>
        </w:tc>
      </w:tr>
      <w:tr w:rsidR="009A1BBF" w:rsidRPr="00715A13" w14:paraId="359242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B9FFE3" w14:textId="77777777" w:rsidR="009A1BBF" w:rsidRPr="00715A13" w:rsidRDefault="004230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15A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69A942F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3BE6B" w14:textId="77777777" w:rsidR="009A1BBF" w:rsidRPr="00715A13" w:rsidRDefault="004230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1CE591" w14:textId="1797CCB6" w:rsidR="009A1BBF" w:rsidRPr="00715A13" w:rsidRDefault="00BC5F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69FA539" w14:textId="6887CA15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sz w:val="20"/>
                <w:szCs w:val="20"/>
              </w:rPr>
              <w:t>Addressed.</w:t>
            </w:r>
            <w:r w:rsidRPr="00715A13">
              <w:rPr>
                <w:rFonts w:ascii="Arial" w:eastAsia="Arial" w:hAnsi="Arial" w:cs="Arial"/>
                <w:sz w:val="20"/>
                <w:szCs w:val="20"/>
              </w:rPr>
              <w:t xml:space="preserve"> Section 2 incorporates relevant recent and foundational sources, including capability traps, service-quality erosion, data cascades, dynamic-capability erosion, AI capability, organisational learning, resilience, and lifecycle governance.</w:t>
            </w:r>
          </w:p>
        </w:tc>
      </w:tr>
      <w:tr w:rsidR="009A1BBF" w:rsidRPr="00715A13" w14:paraId="40B41E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08E5A2" w14:textId="77777777" w:rsidR="009A1BBF" w:rsidRPr="00715A13" w:rsidRDefault="004230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15A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B5E4C12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92EAC" w14:textId="77777777" w:rsidR="009A1BBF" w:rsidRPr="00715A13" w:rsidRDefault="004230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A0580C" w14:textId="03474857" w:rsidR="009A1BBF" w:rsidRPr="00715A13" w:rsidRDefault="00BC5F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85E9CD9" w14:textId="3C607D57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sz w:val="20"/>
                <w:szCs w:val="20"/>
              </w:rPr>
              <w:t>Addressed.</w:t>
            </w:r>
            <w:r w:rsidRPr="00715A13">
              <w:rPr>
                <w:rFonts w:ascii="Arial" w:eastAsia="Arial" w:hAnsi="Arial" w:cs="Arial"/>
                <w:sz w:val="20"/>
                <w:szCs w:val="20"/>
              </w:rPr>
              <w:t xml:space="preserve"> Section 3 now distinguishes assumptions, parameters, stochastic inputs, named-regime comparison, grid search, boundary refinement, heterogeneity, paired contrasts, and sensitivity analysis. Table 3 contains the complete parameterisation.</w:t>
            </w:r>
          </w:p>
        </w:tc>
      </w:tr>
      <w:tr w:rsidR="009A1BBF" w:rsidRPr="00715A13" w14:paraId="49EABB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03F7E2" w14:textId="77777777" w:rsidR="009A1BBF" w:rsidRPr="00715A13" w:rsidRDefault="004230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15A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4986F3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AD6B2" w14:textId="77777777" w:rsidR="009A1BBF" w:rsidRPr="00715A13" w:rsidRDefault="004230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B29E8" w14:textId="4AF11B02" w:rsidR="009A1BBF" w:rsidRPr="00715A13" w:rsidRDefault="00BC5F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AA36872" w14:textId="77777777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sz w:val="20"/>
                <w:szCs w:val="20"/>
              </w:rPr>
              <w:t>Agreed. The study uses synthetic data and has no human-participant, animal, patient, or privacy issue. This is stated explicitly.</w:t>
            </w:r>
          </w:p>
        </w:tc>
      </w:tr>
      <w:tr w:rsidR="009A1BBF" w:rsidRPr="00715A13" w14:paraId="638407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A2223" w14:textId="77777777" w:rsidR="009A1BBF" w:rsidRPr="00715A13" w:rsidRDefault="004230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3C7B05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854A6" w14:textId="77777777" w:rsidR="009A1BBF" w:rsidRPr="00715A13" w:rsidRDefault="00423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41203" w14:textId="1EA60202" w:rsidR="009A1BBF" w:rsidRPr="00715A13" w:rsidRDefault="00BC5F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93CF4A" w14:textId="5CB55A28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sz w:val="20"/>
                <w:szCs w:val="20"/>
              </w:rPr>
              <w:t>Addressed.</w:t>
            </w:r>
            <w:r w:rsidRPr="00715A13">
              <w:rPr>
                <w:rFonts w:ascii="Arial" w:eastAsia="Arial" w:hAnsi="Arial" w:cs="Arial"/>
                <w:sz w:val="20"/>
                <w:szCs w:val="20"/>
              </w:rPr>
              <w:t xml:space="preserve"> Results have been reorganised and expanded with Tables 4A to 7 and Figure 4. Comparative claims are now conditional on the model, parameters, and evaluated domain.</w:t>
            </w:r>
          </w:p>
        </w:tc>
      </w:tr>
      <w:tr w:rsidR="009A1BBF" w:rsidRPr="00715A13" w14:paraId="43121E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19D2E4" w14:textId="77777777" w:rsidR="009A1BBF" w:rsidRPr="00715A13" w:rsidRDefault="004230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08BC6992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AB95E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160EE2" w14:textId="77777777" w:rsidR="009A1BBF" w:rsidRPr="00715A13" w:rsidRDefault="009A1B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A45D5BC" w14:textId="77777777" w:rsidR="009A1BBF" w:rsidRPr="00715A13" w:rsidRDefault="009A1B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255AC7" w14:textId="3054ACC3" w:rsidR="009A1BBF" w:rsidRPr="00715A13" w:rsidRDefault="00BC5F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1830BA" w14:textId="34508B6C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sz w:val="20"/>
                <w:szCs w:val="20"/>
              </w:rPr>
              <w:t>Addressed.</w:t>
            </w:r>
            <w:r w:rsidRPr="00715A13">
              <w:rPr>
                <w:rFonts w:ascii="Arial" w:eastAsia="Arial" w:hAnsi="Arial" w:cs="Arial"/>
                <w:sz w:val="20"/>
                <w:szCs w:val="20"/>
              </w:rPr>
              <w:t xml:space="preserve"> Wide tables were divided and reformatted. Figures and captions were standardised and the policy-space figure was replaced by a full profiled search.</w:t>
            </w:r>
          </w:p>
        </w:tc>
      </w:tr>
      <w:tr w:rsidR="009A1BBF" w:rsidRPr="00715A13" w14:paraId="7CE10C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4E5D4" w14:textId="77777777" w:rsidR="009A1BBF" w:rsidRPr="00715A13" w:rsidRDefault="004230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91C764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B04D7" w14:textId="77777777" w:rsidR="009A1BBF" w:rsidRPr="00715A13" w:rsidRDefault="004230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15B12E" w14:textId="53947A23" w:rsidR="009A1BBF" w:rsidRPr="00715A13" w:rsidRDefault="00BC5F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3AFBF8" w14:textId="11016E60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sz w:val="20"/>
                <w:szCs w:val="20"/>
              </w:rPr>
              <w:t>Addressed.</w:t>
            </w:r>
            <w:r w:rsidRPr="00715A13">
              <w:rPr>
                <w:rFonts w:ascii="Arial" w:eastAsia="Arial" w:hAnsi="Arial" w:cs="Arial"/>
                <w:sz w:val="20"/>
                <w:szCs w:val="20"/>
              </w:rPr>
              <w:t xml:space="preserve"> Findings are now related more directly to capability traps, quality erosion, technical debt, human-AI complementarity, resilience, and governance literatures.</w:t>
            </w:r>
          </w:p>
        </w:tc>
      </w:tr>
      <w:tr w:rsidR="009A1BBF" w:rsidRPr="00715A13" w14:paraId="0FBCFA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B4AE52" w14:textId="77777777" w:rsidR="009A1BBF" w:rsidRPr="00715A13" w:rsidRDefault="004230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907342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25AEE" w14:textId="77777777" w:rsidR="009A1BBF" w:rsidRPr="00715A13" w:rsidRDefault="004230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873FE4" w14:textId="29480271" w:rsidR="009A1BBF" w:rsidRPr="00715A13" w:rsidRDefault="00BC5F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8AAE917" w14:textId="7EF41EEE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sz w:val="20"/>
                <w:szCs w:val="20"/>
              </w:rPr>
              <w:t>Addressed.</w:t>
            </w:r>
            <w:r w:rsidRPr="00715A13">
              <w:rPr>
                <w:rFonts w:ascii="Arial" w:eastAsia="Arial" w:hAnsi="Arial" w:cs="Arial"/>
                <w:sz w:val="20"/>
                <w:szCs w:val="20"/>
              </w:rPr>
              <w:t xml:space="preserve"> The original conclusion was materially corrected. Verified autonomy is now described only as the strongest of five named regimes. The revised conclusion reports the higher-value grid policy and rejects any universal claim that maximal automation is intrinsically inefficient.</w:t>
            </w:r>
          </w:p>
        </w:tc>
      </w:tr>
      <w:tr w:rsidR="009A1BBF" w:rsidRPr="00715A13" w14:paraId="081FA8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DC8D0E" w14:textId="77777777" w:rsidR="009A1BBF" w:rsidRPr="00715A13" w:rsidRDefault="004230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B1C4DCB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13A50" w14:textId="77777777" w:rsidR="009A1BBF" w:rsidRPr="00715A13" w:rsidRDefault="004230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6F98A" w14:textId="690EA0B7" w:rsidR="009A1BBF" w:rsidRPr="00715A13" w:rsidRDefault="00BC5F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1FDAF4" w14:textId="77777777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sz w:val="20"/>
                <w:szCs w:val="20"/>
              </w:rPr>
              <w:t>Addressed.</w:t>
            </w:r>
            <w:r w:rsidRPr="00715A13">
              <w:rPr>
                <w:rFonts w:ascii="Arial" w:eastAsia="Arial" w:hAnsi="Arial" w:cs="Arial"/>
                <w:sz w:val="20"/>
                <w:szCs w:val="20"/>
              </w:rPr>
              <w:t xml:space="preserve"> Section 6 now contains eight explicit limitations, including synthetic calibration, boundary optimum, hard state bounds, stylised named regimes, synthetic heterogeneity, scalar assurance variables, aggregate firm states, and omitted correlated shocks and competition.</w:t>
            </w:r>
          </w:p>
        </w:tc>
      </w:tr>
      <w:tr w:rsidR="009A1BBF" w:rsidRPr="00715A13" w14:paraId="176C6C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9D3704" w14:textId="77777777" w:rsidR="009A1BBF" w:rsidRPr="00715A13" w:rsidRDefault="004230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547868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C1376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A35C01" w14:textId="77777777" w:rsidR="009A1BBF" w:rsidRPr="00715A13" w:rsidRDefault="004230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0D4670" w14:textId="7138704F" w:rsidR="009A1BBF" w:rsidRPr="00715A13" w:rsidRDefault="00BC5F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5419BE" w14:textId="76538A4B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sz w:val="20"/>
                <w:szCs w:val="20"/>
              </w:rPr>
              <w:t>Addressed.</w:t>
            </w:r>
            <w:r w:rsidRPr="00715A13">
              <w:rPr>
                <w:rFonts w:ascii="Arial" w:eastAsia="Arial" w:hAnsi="Arial" w:cs="Arial"/>
                <w:sz w:val="20"/>
                <w:szCs w:val="20"/>
              </w:rPr>
              <w:t xml:space="preserve"> All references and in-text citations were audited, previously uncited items were integrated, and additional literature on capability traps, quality erosion, and capability erosion was added.</w:t>
            </w:r>
          </w:p>
        </w:tc>
      </w:tr>
      <w:tr w:rsidR="009A1BBF" w:rsidRPr="00715A13" w14:paraId="6E051A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97126C" w14:textId="77777777" w:rsidR="009A1BBF" w:rsidRPr="00715A13" w:rsidRDefault="004230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AA8F2C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3984C" w14:textId="77777777" w:rsidR="009A1BBF" w:rsidRPr="00715A13" w:rsidRDefault="004230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368BA1" w14:textId="77777777" w:rsidR="009A1BBF" w:rsidRPr="00715A13" w:rsidRDefault="004230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897682C" w14:textId="16DE7091" w:rsidR="009A1BBF" w:rsidRPr="00715A13" w:rsidRDefault="00BC5F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3841ACE" w14:textId="77777777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sz w:val="20"/>
                <w:szCs w:val="20"/>
              </w:rPr>
              <w:t>Thank you. The manuscript was further proofread for clarity and consistency.</w:t>
            </w:r>
          </w:p>
        </w:tc>
      </w:tr>
    </w:tbl>
    <w:p w14:paraId="54E47BCE" w14:textId="77777777" w:rsidR="009A1BBF" w:rsidRPr="00715A13" w:rsidRDefault="009A1BB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651FE12" w14:textId="77777777" w:rsidR="009A1BBF" w:rsidRPr="00715A13" w:rsidRDefault="0042301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15A1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8CA7F8" w14:textId="77777777" w:rsidR="009A1BBF" w:rsidRPr="00715A13" w:rsidRDefault="009A1B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1BBF" w:rsidRPr="00715A13" w14:paraId="2F096C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14AE1C" w14:textId="77777777" w:rsidR="009A1BBF" w:rsidRPr="00715A13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6839EB" w14:textId="77777777" w:rsidR="009A1BBF" w:rsidRPr="00715A13" w:rsidRDefault="004230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82CCBA" w14:textId="77777777" w:rsidR="009A1BBF" w:rsidRPr="00715A13" w:rsidRDefault="009A1B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F4EC0A" w14:textId="77777777" w:rsidR="009A1BBF" w:rsidRPr="00715A13" w:rsidRDefault="0042301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15A13">
              <w:rPr>
                <w:rFonts w:ascii="Arial" w:eastAsia="Arial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15A1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715A13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11007D7" w14:textId="77777777" w:rsidR="009A1BBF" w:rsidRPr="00715A13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1BBF" w:rsidRPr="00715A13" w14:paraId="074BFE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8775C8" w14:textId="77777777" w:rsidR="009A1BBF" w:rsidRPr="00715A13" w:rsidRDefault="004230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BE2A0F" w14:textId="77777777" w:rsidR="009A1BBF" w:rsidRPr="00715A13" w:rsidRDefault="009A1B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606854" w14:textId="77777777" w:rsidR="009A1BBF" w:rsidRPr="00715A13" w:rsidRDefault="00423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8F210D" w14:textId="77777777" w:rsidR="009A1BBF" w:rsidRPr="00715A13" w:rsidRDefault="009A1BB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AF3D4F3" w14:textId="3E1644AB" w:rsidR="009A1BBF" w:rsidRPr="00715A13" w:rsidRDefault="00BC5F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73D5753" w14:textId="77777777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sz w:val="20"/>
                <w:szCs w:val="20"/>
              </w:rPr>
              <w:t>Thank you. The title remains unchanged.</w:t>
            </w:r>
          </w:p>
        </w:tc>
      </w:tr>
      <w:tr w:rsidR="009A1BBF" w:rsidRPr="00715A13" w14:paraId="37BAC2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6E0A0E" w14:textId="77777777" w:rsidR="009A1BBF" w:rsidRPr="00715A13" w:rsidRDefault="004230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846100" w14:textId="77777777" w:rsidR="009A1BBF" w:rsidRPr="00715A13" w:rsidRDefault="00423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A8A1365" w14:textId="77777777" w:rsidR="009A1BBF" w:rsidRPr="00715A13" w:rsidRDefault="00423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16CDBA" w14:textId="77777777" w:rsidR="009A1BBF" w:rsidRPr="00715A13" w:rsidRDefault="009A1B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DF2FB7" w14:textId="18023CDD" w:rsidR="009A1BBF" w:rsidRPr="00715A13" w:rsidRDefault="00BC5F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C363C79" w14:textId="61BD33BF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sz w:val="20"/>
                <w:szCs w:val="20"/>
              </w:rPr>
              <w:t>Addressed.</w:t>
            </w:r>
            <w:r w:rsidRPr="00715A13">
              <w:rPr>
                <w:rFonts w:ascii="Arial" w:eastAsia="Arial" w:hAnsi="Arial" w:cs="Arial"/>
                <w:sz w:val="20"/>
                <w:szCs w:val="20"/>
              </w:rPr>
              <w:t xml:space="preserve"> The abstract now reports the methodological extensions, corrected comparative claim, grid optimum, heterogeneity result, and model-dependent limitation.</w:t>
            </w:r>
          </w:p>
        </w:tc>
      </w:tr>
      <w:tr w:rsidR="009A1BBF" w:rsidRPr="00715A13" w14:paraId="2862BF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BAF85B" w14:textId="77777777" w:rsidR="009A1BBF" w:rsidRPr="00715A13" w:rsidRDefault="004230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15A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9D66C23" w14:textId="77777777" w:rsidR="009A1BBF" w:rsidRPr="00715A13" w:rsidRDefault="00423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1FF5395" w14:textId="77777777" w:rsidR="009A1BBF" w:rsidRPr="00715A13" w:rsidRDefault="004230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B363EF0" w14:textId="7CAE292D" w:rsidR="009A1BBF" w:rsidRPr="00715A13" w:rsidRDefault="00BC5F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B1965C9" w14:textId="77777777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sz w:val="20"/>
                <w:szCs w:val="20"/>
              </w:rPr>
              <w:t>Addressed.</w:t>
            </w:r>
            <w:r w:rsidRPr="00715A13">
              <w:rPr>
                <w:rFonts w:ascii="Arial" w:eastAsia="Arial" w:hAnsi="Arial" w:cs="Arial"/>
                <w:sz w:val="20"/>
                <w:szCs w:val="20"/>
              </w:rPr>
              <w:t xml:space="preserve"> The scientific presentation has been substantially revised. The five-regime comparison is explicitly conditional; the full policy space is searched; structural heterogeneity and paired contrasts are added; boundary saturation is diagnosed; and the propositions are reformulated with stated conditions.</w:t>
            </w:r>
          </w:p>
        </w:tc>
      </w:tr>
      <w:tr w:rsidR="009A1BBF" w:rsidRPr="00715A13" w14:paraId="574197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6288D4" w14:textId="77777777" w:rsidR="009A1BBF" w:rsidRPr="00715A13" w:rsidRDefault="004230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281EAF" w14:textId="77777777" w:rsidR="009A1BBF" w:rsidRPr="00715A13" w:rsidRDefault="00423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82DE82E" w14:textId="77777777" w:rsidR="009A1BBF" w:rsidRPr="00715A13" w:rsidRDefault="009A1B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3106ED" w14:textId="77777777" w:rsidR="009A1BBF" w:rsidRPr="00715A13" w:rsidRDefault="00423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7E38040" w14:textId="77777777" w:rsidR="009A1BBF" w:rsidRPr="00715A13" w:rsidRDefault="009A1B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BBDC09" w14:textId="4FE3743B" w:rsidR="009A1BBF" w:rsidRPr="00715A13" w:rsidRDefault="00BC5F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AF5155E" w14:textId="77777777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b/>
                <w:sz w:val="20"/>
                <w:szCs w:val="20"/>
              </w:rPr>
              <w:t>Addressed.</w:t>
            </w:r>
            <w:r w:rsidRPr="00715A13">
              <w:rPr>
                <w:rFonts w:ascii="Arial" w:eastAsia="Arial" w:hAnsi="Arial" w:cs="Arial"/>
                <w:sz w:val="20"/>
                <w:szCs w:val="20"/>
              </w:rPr>
              <w:t xml:space="preserve"> The reference list has been audited and expanded with the missing capability-trap, quality-erosion, data-cascade, organisational-learning, resilience, and capability-erosion literatures.</w:t>
            </w:r>
          </w:p>
        </w:tc>
      </w:tr>
      <w:tr w:rsidR="009A1BBF" w:rsidRPr="00715A13" w14:paraId="23DD4F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63E013" w14:textId="77777777" w:rsidR="009A1BBF" w:rsidRPr="00715A13" w:rsidRDefault="004230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97FCCA" w14:textId="77777777" w:rsidR="009A1BBF" w:rsidRPr="00715A13" w:rsidRDefault="00423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C99A96" w14:textId="77777777" w:rsidR="009A1BBF" w:rsidRPr="00715A13" w:rsidRDefault="009A1B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3C5816" w14:textId="77777777" w:rsidR="009A1BBF" w:rsidRPr="00715A13" w:rsidRDefault="004230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0C3DE7" w14:textId="77777777" w:rsidR="009A1BBF" w:rsidRPr="00715A13" w:rsidRDefault="009A1B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AF8EB3" w14:textId="5E363C0E" w:rsidR="009A1BBF" w:rsidRPr="00715A13" w:rsidRDefault="00BC5F6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A024351" w14:textId="77777777" w:rsidR="009A1BBF" w:rsidRPr="00715A13" w:rsidRDefault="009A1BBF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13">
              <w:rPr>
                <w:rFonts w:ascii="Arial" w:eastAsia="Arial" w:hAnsi="Arial" w:cs="Arial"/>
                <w:sz w:val="20"/>
                <w:szCs w:val="20"/>
              </w:rPr>
              <w:t>Agreed. No ethical issues arise because the analysis uses synthetic computational data only.</w:t>
            </w:r>
          </w:p>
        </w:tc>
      </w:tr>
    </w:tbl>
    <w:p w14:paraId="11C1F933" w14:textId="77777777" w:rsidR="00C40057" w:rsidRPr="00715A13" w:rsidRDefault="00C40057" w:rsidP="00C40057">
      <w:pPr>
        <w:shd w:val="clear" w:color="auto" w:fill="FFFFFF"/>
        <w:jc w:val="both"/>
        <w:rPr>
          <w:rFonts w:ascii="Arial" w:eastAsia="Calibri" w:hAnsi="Arial" w:cs="Arial"/>
          <w:sz w:val="20"/>
          <w:szCs w:val="20"/>
          <w:lang w:val="en-GB"/>
        </w:rPr>
      </w:pPr>
    </w:p>
    <w:p w14:paraId="7C416E85" w14:textId="77777777" w:rsidR="009A1BBF" w:rsidRPr="00715A13" w:rsidRDefault="009A1BB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9A1BBF" w:rsidRPr="00715A1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73A40" w14:textId="77777777" w:rsidR="001F4DF6" w:rsidRDefault="001F4DF6">
      <w:r>
        <w:separator/>
      </w:r>
    </w:p>
  </w:endnote>
  <w:endnote w:type="continuationSeparator" w:id="0">
    <w:p w14:paraId="1946170A" w14:textId="77777777" w:rsidR="001F4DF6" w:rsidRDefault="001F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93931" w14:textId="77777777" w:rsidR="009A1BBF" w:rsidRDefault="009A1BBF">
    <w:pPr>
      <w:pStyle w:val="Footer"/>
      <w:jc w:val="right"/>
    </w:pPr>
  </w:p>
  <w:p w14:paraId="36A3D02A" w14:textId="77777777" w:rsidR="009A1BBF" w:rsidRDefault="0042301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5759A0C" w14:textId="77777777" w:rsidR="009A1BBF" w:rsidRDefault="0042301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A3A071" w14:textId="77777777" w:rsidR="009A1BBF" w:rsidRDefault="009A1BBF">
    <w:pPr>
      <w:pStyle w:val="Footer"/>
      <w:jc w:val="right"/>
    </w:pPr>
  </w:p>
  <w:p w14:paraId="5F4EDFF9" w14:textId="77777777" w:rsidR="009A1BBF" w:rsidRDefault="009A1BB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0643F" w14:textId="77777777" w:rsidR="001F4DF6" w:rsidRDefault="001F4DF6">
      <w:r>
        <w:separator/>
      </w:r>
    </w:p>
  </w:footnote>
  <w:footnote w:type="continuationSeparator" w:id="0">
    <w:p w14:paraId="4B5EB2A9" w14:textId="77777777" w:rsidR="001F4DF6" w:rsidRDefault="001F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4ADE" w14:textId="77777777" w:rsidR="009A1BBF" w:rsidRDefault="009A1BB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756FE50" w14:textId="77777777" w:rsidR="009A1BBF" w:rsidRDefault="0042301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152FB6"/>
    <w:multiLevelType w:val="hybridMultilevel"/>
    <w:tmpl w:val="F97EFD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1101713">
    <w:abstractNumId w:val="4"/>
  </w:num>
  <w:num w:numId="2" w16cid:durableId="1223175257">
    <w:abstractNumId w:val="8"/>
  </w:num>
  <w:num w:numId="3" w16cid:durableId="187836291">
    <w:abstractNumId w:val="7"/>
  </w:num>
  <w:num w:numId="4" w16cid:durableId="853765559">
    <w:abstractNumId w:val="9"/>
  </w:num>
  <w:num w:numId="5" w16cid:durableId="1477455077">
    <w:abstractNumId w:val="6"/>
  </w:num>
  <w:num w:numId="6" w16cid:durableId="1231647717">
    <w:abstractNumId w:val="0"/>
  </w:num>
  <w:num w:numId="7" w16cid:durableId="1755279948">
    <w:abstractNumId w:val="3"/>
  </w:num>
  <w:num w:numId="8" w16cid:durableId="1339455741">
    <w:abstractNumId w:val="12"/>
  </w:num>
  <w:num w:numId="9" w16cid:durableId="1861963980">
    <w:abstractNumId w:val="10"/>
  </w:num>
  <w:num w:numId="10" w16cid:durableId="409547338">
    <w:abstractNumId w:val="2"/>
  </w:num>
  <w:num w:numId="11" w16cid:durableId="2042051906">
    <w:abstractNumId w:val="1"/>
  </w:num>
  <w:num w:numId="12" w16cid:durableId="1730228268">
    <w:abstractNumId w:val="5"/>
  </w:num>
  <w:num w:numId="13" w16cid:durableId="19382445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1BBF"/>
    <w:rsid w:val="00074600"/>
    <w:rsid w:val="00116979"/>
    <w:rsid w:val="001B315A"/>
    <w:rsid w:val="001F4DF6"/>
    <w:rsid w:val="00215679"/>
    <w:rsid w:val="002969EC"/>
    <w:rsid w:val="002C7FE4"/>
    <w:rsid w:val="002F41F2"/>
    <w:rsid w:val="003402D0"/>
    <w:rsid w:val="00423012"/>
    <w:rsid w:val="004B5572"/>
    <w:rsid w:val="004C07BA"/>
    <w:rsid w:val="004D539D"/>
    <w:rsid w:val="005271DE"/>
    <w:rsid w:val="00534C47"/>
    <w:rsid w:val="00586676"/>
    <w:rsid w:val="005F2310"/>
    <w:rsid w:val="0068730E"/>
    <w:rsid w:val="007003B1"/>
    <w:rsid w:val="00715A13"/>
    <w:rsid w:val="008600D0"/>
    <w:rsid w:val="008A6DC1"/>
    <w:rsid w:val="00906BD3"/>
    <w:rsid w:val="009A1BBF"/>
    <w:rsid w:val="009F5BB6"/>
    <w:rsid w:val="00AF0B92"/>
    <w:rsid w:val="00B059FF"/>
    <w:rsid w:val="00B364FF"/>
    <w:rsid w:val="00BB742D"/>
    <w:rsid w:val="00BC5F62"/>
    <w:rsid w:val="00BD3422"/>
    <w:rsid w:val="00BE4224"/>
    <w:rsid w:val="00BF3A34"/>
    <w:rsid w:val="00C40057"/>
    <w:rsid w:val="00D43EF6"/>
    <w:rsid w:val="00D766A3"/>
    <w:rsid w:val="00DE7606"/>
    <w:rsid w:val="00E00419"/>
    <w:rsid w:val="00E91ED1"/>
    <w:rsid w:val="00EC1217"/>
    <w:rsid w:val="00F6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5CFA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mb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1287</Words>
  <Characters>7339</Characters>
  <Application>Microsoft Office Word</Application>
  <DocSecurity>0</DocSecurity>
  <Lines>61</Lines>
  <Paragraphs>17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8609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 Hong Tan</dc:creator>
  <cp:keywords/>
  <dc:description>Author feedback completed in response to peer review.</dc:description>
  <cp:lastModifiedBy>SDI 1022</cp:lastModifiedBy>
  <cp:revision>57</cp:revision>
  <dcterms:created xsi:type="dcterms:W3CDTF">2026-03-24T06:15:00Z</dcterms:created>
  <dcterms:modified xsi:type="dcterms:W3CDTF">2026-08-01T08:25:00Z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