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19C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F610B0F" w14:textId="1A29E8FA" w:rsidR="009344FF" w:rsidRDefault="00561664" w:rsidP="00561664">
      <w:r>
        <w:t>All the comments have been addressed as per the review comments.</w:t>
      </w:r>
      <w:r w:rsidR="00D4131D">
        <w:t xml:space="preserve"> </w:t>
      </w:r>
      <w:r>
        <w:t>Therefore, this paper can be accepted for publication.</w:t>
      </w:r>
    </w:p>
    <w:p w14:paraId="18F2014A" w14:textId="77777777" w:rsidR="0075177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5E8F911" w14:textId="04A14867" w:rsidR="00D84E08" w:rsidRPr="00D84E08" w:rsidRDefault="00D84E08" w:rsidP="00D84E0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84E08">
        <w:rPr>
          <w:rFonts w:ascii="Cambria" w:eastAsia="Times New Roman" w:hAnsi="Cambria" w:cs="Arial"/>
          <w:sz w:val="24"/>
          <w:szCs w:val="24"/>
          <w:lang w:val="en-US"/>
        </w:rPr>
        <w:t>Dr. Anjaneyulu Vinukonda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84E08">
        <w:rPr>
          <w:rFonts w:ascii="Cambria" w:eastAsia="Times New Roman" w:hAnsi="Cambria" w:cs="Arial"/>
          <w:sz w:val="24"/>
          <w:szCs w:val="24"/>
          <w:lang w:val="en-US"/>
        </w:rPr>
        <w:t>Strides Pharma Inc., USA</w:t>
      </w:r>
    </w:p>
    <w:p w14:paraId="296F42D4" w14:textId="1C96FD7E" w:rsidR="000C0509" w:rsidRPr="009344FF" w:rsidRDefault="000C0509" w:rsidP="00D84E08">
      <w:pPr>
        <w:rPr>
          <w:b/>
          <w:u w:val="single"/>
        </w:rPr>
      </w:pPr>
    </w:p>
    <w:sectPr w:rsidR="000C050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C0509"/>
    <w:rsid w:val="002C0B2C"/>
    <w:rsid w:val="00561664"/>
    <w:rsid w:val="0075177C"/>
    <w:rsid w:val="009344FF"/>
    <w:rsid w:val="009F328F"/>
    <w:rsid w:val="00A43377"/>
    <w:rsid w:val="00A72896"/>
    <w:rsid w:val="00D4131D"/>
    <w:rsid w:val="00D84E08"/>
    <w:rsid w:val="00D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DA2E9"/>
  <w15:docId w15:val="{F877119A-8804-433A-BBA3-D5876F18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2026-08-19T08:06:00Z</dcterms:modified>
</cp:coreProperties>
</file>