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B2DAC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77CDC5F" w14:textId="649B5874" w:rsidR="006B6287" w:rsidRDefault="006B6287" w:rsidP="006B6287">
      <w:pPr>
        <w:pStyle w:val="NormalWeb"/>
        <w:shd w:val="clear" w:color="auto" w:fill="FFFFFF"/>
        <w:rPr>
          <w:rFonts w:ascii="Verdana" w:hAnsi="Verdana"/>
          <w:color w:val="222222"/>
          <w:sz w:val="20"/>
          <w:szCs w:val="20"/>
        </w:rPr>
      </w:pPr>
      <w:r>
        <w:rPr>
          <w:rFonts w:ascii="Verdana" w:hAnsi="Verdana"/>
          <w:color w:val="222222"/>
          <w:sz w:val="20"/>
          <w:szCs w:val="20"/>
        </w:rPr>
        <w:t>This is an interesting and relevant study highlighting the potential of </w:t>
      </w:r>
      <w:proofErr w:type="spellStart"/>
      <w:r>
        <w:rPr>
          <w:rStyle w:val="Emphasis"/>
          <w:rFonts w:ascii="Verdana" w:hAnsi="Verdana"/>
          <w:color w:val="222222"/>
          <w:sz w:val="20"/>
          <w:szCs w:val="20"/>
        </w:rPr>
        <w:t>Syzygium</w:t>
      </w:r>
      <w:proofErr w:type="spellEnd"/>
      <w:r>
        <w:rPr>
          <w:rStyle w:val="Emphasis"/>
          <w:rFonts w:ascii="Verdana" w:hAnsi="Verdana"/>
          <w:color w:val="222222"/>
          <w:sz w:val="20"/>
          <w:szCs w:val="20"/>
        </w:rPr>
        <w:t xml:space="preserve"> aromaticum</w:t>
      </w:r>
      <w:r>
        <w:rPr>
          <w:rFonts w:ascii="Verdana" w:hAnsi="Verdana"/>
          <w:color w:val="222222"/>
          <w:sz w:val="20"/>
          <w:szCs w:val="20"/>
        </w:rPr>
        <w:t xml:space="preserve"> as a natural antioxidant against combined environmental toxicant exposure. The finding that the highest dose showed efficacy comparable to that of ascorbic acid is particularly noteworthy. Overall, the study </w:t>
      </w:r>
      <w:r w:rsidRPr="00307463">
        <w:rPr>
          <w:rFonts w:ascii="Verdana" w:hAnsi="Verdana"/>
          <w:color w:val="222222"/>
          <w:sz w:val="20"/>
          <w:szCs w:val="20"/>
          <w:highlight w:val="yellow"/>
        </w:rPr>
        <w:t>is worthy of publication</w:t>
      </w:r>
      <w:r>
        <w:rPr>
          <w:rFonts w:ascii="Verdana" w:hAnsi="Verdana"/>
          <w:color w:val="222222"/>
          <w:sz w:val="20"/>
          <w:szCs w:val="20"/>
        </w:rPr>
        <w:t xml:space="preserve"> </w:t>
      </w:r>
    </w:p>
    <w:p w14:paraId="2C1ED5C5" w14:textId="77777777" w:rsidR="006B6287" w:rsidRDefault="006B6287" w:rsidP="006B6287">
      <w:pPr>
        <w:pStyle w:val="NormalWeb"/>
        <w:shd w:val="clear" w:color="auto" w:fill="FFFFFF"/>
        <w:rPr>
          <w:rFonts w:ascii="Verdana" w:hAnsi="Verdana"/>
          <w:color w:val="222222"/>
          <w:sz w:val="20"/>
          <w:szCs w:val="20"/>
        </w:rPr>
      </w:pPr>
      <w:r>
        <w:rPr>
          <w:rFonts w:ascii="Verdana" w:hAnsi="Verdana"/>
          <w:color w:val="222222"/>
          <w:sz w:val="20"/>
          <w:szCs w:val="20"/>
        </w:rPr>
        <w:t xml:space="preserve">Only one minor concern needs to be addressed: </w:t>
      </w:r>
      <w:r w:rsidRPr="0090471D">
        <w:rPr>
          <w:rFonts w:ascii="Verdana" w:hAnsi="Verdana"/>
          <w:color w:val="222222"/>
          <w:sz w:val="20"/>
          <w:szCs w:val="20"/>
          <w:highlight w:val="yellow"/>
        </w:rPr>
        <w:t>the authors should cite the reference or explain the method used to determine the dose of ascorbic acid (100 mg/kg body weight) administered to Group IX as the reference antioxidant, as described in the Materials and Methods section</w:t>
      </w:r>
      <w:r>
        <w:rPr>
          <w:rFonts w:ascii="Verdana" w:hAnsi="Verdana"/>
          <w:color w:val="222222"/>
          <w:sz w:val="20"/>
          <w:szCs w:val="20"/>
        </w:rPr>
        <w:t>. Further studies should also explore the long-term safety of the extract</w:t>
      </w:r>
    </w:p>
    <w:p w14:paraId="4DF3D283" w14:textId="77777777" w:rsidR="009344FF" w:rsidRDefault="009344FF" w:rsidP="009344FF"/>
    <w:p w14:paraId="1DDFB9D1" w14:textId="77777777" w:rsidR="009B25C8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2EB4879" w14:textId="20283858" w:rsidR="00DC052E" w:rsidRPr="00DC052E" w:rsidRDefault="00DC052E" w:rsidP="00DC052E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DC052E">
        <w:rPr>
          <w:rFonts w:ascii="Cambria" w:eastAsia="Times New Roman" w:hAnsi="Cambria" w:cs="Arial"/>
          <w:sz w:val="24"/>
          <w:szCs w:val="24"/>
          <w:lang w:val="en-US"/>
        </w:rPr>
        <w:t>Dr. Yi-Ren Hong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DC052E">
        <w:rPr>
          <w:rFonts w:ascii="Cambria" w:eastAsia="Times New Roman" w:hAnsi="Cambria" w:cs="Arial"/>
          <w:sz w:val="24"/>
          <w:szCs w:val="24"/>
          <w:lang w:val="en-US"/>
        </w:rPr>
        <w:t>Kaohsiung Medical University, Taiwan</w:t>
      </w:r>
    </w:p>
    <w:p w14:paraId="0E22C1E8" w14:textId="77777777" w:rsidR="00DC052E" w:rsidRPr="009344FF" w:rsidRDefault="00DC052E" w:rsidP="009344FF">
      <w:pPr>
        <w:rPr>
          <w:b/>
          <w:u w:val="single"/>
        </w:rPr>
      </w:pPr>
    </w:p>
    <w:sectPr w:rsidR="00DC052E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903AE"/>
    <w:rsid w:val="002C0B2C"/>
    <w:rsid w:val="00307463"/>
    <w:rsid w:val="006B6287"/>
    <w:rsid w:val="0090471D"/>
    <w:rsid w:val="009344FF"/>
    <w:rsid w:val="009B25C8"/>
    <w:rsid w:val="009E399A"/>
    <w:rsid w:val="009F328F"/>
    <w:rsid w:val="00A43377"/>
    <w:rsid w:val="00A72896"/>
    <w:rsid w:val="00DC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1594F"/>
  <w15:docId w15:val="{F877119A-8804-433A-BBA3-D5876F184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6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6B62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8</cp:revision>
  <dcterms:created xsi:type="dcterms:W3CDTF">2025-02-19T08:37:00Z</dcterms:created>
  <dcterms:modified xsi:type="dcterms:W3CDTF">2026-08-19T08:51:00Z</dcterms:modified>
</cp:coreProperties>
</file>