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5A565" w14:textId="77777777" w:rsidR="003A4D9F" w:rsidRPr="00AA4DFA" w:rsidRDefault="00DC0309" w:rsidP="00DC0309">
      <w:pPr>
        <w:tabs>
          <w:tab w:val="left" w:pos="5580"/>
        </w:tabs>
        <w:spacing w:after="240"/>
        <w:jc w:val="center"/>
        <w:rPr>
          <w:b/>
          <w:bCs/>
          <w:color w:val="000000" w:themeColor="text1"/>
          <w:sz w:val="28"/>
          <w:szCs w:val="28"/>
        </w:rPr>
      </w:pPr>
      <w:r w:rsidRPr="00AA4DFA">
        <w:rPr>
          <w:b/>
          <w:bCs/>
          <w:color w:val="000000" w:themeColor="text1"/>
          <w:sz w:val="28"/>
          <w:szCs w:val="28"/>
        </w:rPr>
        <w:t>Impact of integrated use of organic and chemical fertilizers on growth, flowering, yield and quality parameters of brinjal (</w:t>
      </w:r>
      <w:r w:rsidRPr="00AA4DFA">
        <w:rPr>
          <w:b/>
          <w:bCs/>
          <w:i/>
          <w:iCs/>
          <w:color w:val="000000" w:themeColor="text1"/>
          <w:sz w:val="28"/>
          <w:szCs w:val="28"/>
        </w:rPr>
        <w:t xml:space="preserve">Solanum melongena </w:t>
      </w:r>
      <w:r w:rsidRPr="00AA4DFA">
        <w:rPr>
          <w:b/>
          <w:bCs/>
          <w:color w:val="000000" w:themeColor="text1"/>
          <w:sz w:val="28"/>
          <w:szCs w:val="28"/>
        </w:rPr>
        <w:t>L.) cv. Azad Gol type-3</w:t>
      </w:r>
    </w:p>
    <w:p w14:paraId="7BC6F6D1" w14:textId="77777777" w:rsidR="0078471C" w:rsidRDefault="00000000">
      <w:pPr>
        <w:rPr>
          <w:sz w:val="18"/>
          <w:szCs w:val="18"/>
        </w:rPr>
      </w:pPr>
      <w:r w:rsidRPr="00AA4DFA">
        <w:rPr>
          <w:sz w:val="18"/>
          <w:szCs w:val="18"/>
        </w:rPr>
        <w:t>Type of Article: Original Research Article</w:t>
      </w:r>
    </w:p>
    <w:p w14:paraId="0CE9FFF1" w14:textId="77777777" w:rsidR="00BB5C55" w:rsidRPr="00AA4DFA" w:rsidRDefault="00BB5C55">
      <w:pPr>
        <w:rPr>
          <w:sz w:val="18"/>
          <w:szCs w:val="18"/>
        </w:rPr>
      </w:pPr>
    </w:p>
    <w:p w14:paraId="1AF7BC0B" w14:textId="77777777" w:rsidR="00DC0309" w:rsidRPr="00AA4DFA" w:rsidRDefault="00DC0309" w:rsidP="00DC0309">
      <w:pPr>
        <w:pStyle w:val="Heading3"/>
        <w:spacing w:before="0" w:after="0" w:line="360" w:lineRule="auto"/>
        <w:ind w:right="418"/>
        <w:rPr>
          <w:rFonts w:eastAsia="Times New Roman" w:hAnsi="Calibri" w:cs="Mangal"/>
          <w:b/>
          <w:bCs/>
          <w:color w:val="000000"/>
          <w:sz w:val="24"/>
          <w:szCs w:val="24"/>
          <w:u w:val="single"/>
          <w:lang w:val="en-US"/>
        </w:rPr>
      </w:pPr>
      <w:r w:rsidRPr="00AA4DFA">
        <w:rPr>
          <w:rFonts w:hAnsi="Calibri" w:cs="Mangal"/>
          <w:b/>
          <w:bCs/>
          <w:color w:val="000000"/>
          <w:spacing w:val="-2"/>
          <w:sz w:val="24"/>
          <w:szCs w:val="24"/>
          <w:u w:val="single"/>
          <w:lang w:val="en-US"/>
        </w:rPr>
        <w:t>ABSTRACT</w:t>
      </w:r>
    </w:p>
    <w:p w14:paraId="2CF5BF40" w14:textId="77777777" w:rsidR="006B1B2D" w:rsidRDefault="00177049" w:rsidP="000C6BD7">
      <w:pPr>
        <w:spacing w:line="360" w:lineRule="auto"/>
        <w:ind w:right="8" w:firstLine="720"/>
        <w:jc w:val="both"/>
      </w:pPr>
      <w:r w:rsidRPr="00AA4DFA">
        <w:t>The present investigation was conducted at the Department of Horticulture, Chhatrapati Shahu Ji Maharaj University, Kanpur, during 2025-26 to evaluate the influence of integrated nutrient management on the growth, flowering, yield and quality attributes of brinjal (</w:t>
      </w:r>
      <w:r w:rsidRPr="00AA4DFA">
        <w:rPr>
          <w:i/>
        </w:rPr>
        <w:t>Solanum melongena</w:t>
      </w:r>
      <w:r w:rsidRPr="00AA4DFA">
        <w:t xml:space="preserve"> L.) cv. Azad Gol Type-3. The experiment comprised nine treatments, </w:t>
      </w:r>
      <w:r w:rsidRPr="00AA4DFA">
        <w:rPr>
          <w:i/>
        </w:rPr>
        <w:t>viz.</w:t>
      </w:r>
      <w:r w:rsidRPr="00AA4DFA">
        <w:t>, T₁ (absolute control), T₂ (100% RDF; NPK 120:85:50 kg/ha), T₃ (vermicompost @ 6 t/ha), T₄ (FYM @ 25 t/ha), T₅ (FYM @ 12.5 t/ha + 50% RDF), T₆ (vermicompost @ 3 t/ha + 50% RDF), T₇ (FYM @ 18.75 t/ha + 25% RDF), T₈ (vermicompost @ 4.5 t/ha + 25% RDF) and T₉ (vermicompost @ 3 t/ha + FYM @ 6.25 t/ha + 50% RDF), with three replications. Treatment T₉ was the most effective for most traits, recording maximum plant height (62.59 cm at 90 DAT), number of leaves (54.10), branches (12.93), stem girth (3.18 cm), flowers per plant (46.55), fruits per plant (10.33), fruit length (8.24 cm), fruit yield per plant (1661.71 g), yield per hectare (615.45 q/ha) and TSS (4.63 °Brix), along with minimum days to first flowering (47.33 days). Treatment T₆ recorded the highest individual fruit weight (174.60 g), fruit diameter (7.45 cm), ascorbic acid (12.62 mg/100 g) and anthocyanin content (22.35 mg/100 g). The control produced the lowest values for most parameters. Overall, the integrated use of vermicompost, FYM and reduced RDF improved the physical and biochemical quality of brinjal fruits under the tested conditions.</w:t>
      </w:r>
    </w:p>
    <w:p w14:paraId="5EC6997E" w14:textId="77777777" w:rsidR="00BB5C55" w:rsidRPr="00AA4DFA" w:rsidRDefault="00BB5C55" w:rsidP="000C6BD7">
      <w:pPr>
        <w:spacing w:line="360" w:lineRule="auto"/>
        <w:ind w:right="8" w:firstLine="720"/>
        <w:jc w:val="both"/>
        <w:rPr>
          <w:rFonts w:eastAsia="Calibri" w:cs="Mangal"/>
          <w:szCs w:val="21"/>
          <w14:ligatures w14:val="standardContextual"/>
        </w:rPr>
      </w:pPr>
    </w:p>
    <w:p w14:paraId="6BB35DDC" w14:textId="77777777" w:rsidR="00BB5C55" w:rsidRDefault="0022715B" w:rsidP="00BB5C55">
      <w:pPr>
        <w:pStyle w:val="pdq2pgselectionanchorcontainer"/>
      </w:pPr>
      <w:r w:rsidRPr="00AA4DFA">
        <w:t xml:space="preserve">Keywords: </w:t>
      </w:r>
      <w:r w:rsidR="00BB5C55">
        <w:t xml:space="preserve">Brinjal; chemical </w:t>
      </w:r>
      <w:proofErr w:type="spellStart"/>
      <w:r w:rsidR="00BB5C55">
        <w:t>fertilisers</w:t>
      </w:r>
      <w:proofErr w:type="spellEnd"/>
      <w:r w:rsidR="00BB5C55">
        <w:t xml:space="preserve">; farmyard manure; fruit quality; integrated nutrient management; organic manure; RDF; </w:t>
      </w:r>
      <w:r w:rsidR="00BB5C55">
        <w:rPr>
          <w:rStyle w:val="Emphasis"/>
        </w:rPr>
        <w:t>Solanum melongena</w:t>
      </w:r>
      <w:r w:rsidR="00BB5C55">
        <w:t>; vermicompost; yield.</w:t>
      </w:r>
    </w:p>
    <w:p w14:paraId="7EC31843" w14:textId="5B24BCB4" w:rsidR="00731DF4" w:rsidRPr="00AA4DFA" w:rsidRDefault="00731DF4" w:rsidP="00BB5C55">
      <w:pPr>
        <w:spacing w:line="360" w:lineRule="auto"/>
        <w:ind w:right="8"/>
        <w:jc w:val="both"/>
        <w:rPr>
          <w:i/>
          <w:iCs/>
          <w:color w:val="000000" w:themeColor="text1"/>
        </w:rPr>
      </w:pPr>
    </w:p>
    <w:p w14:paraId="1D86C4B8" w14:textId="77777777" w:rsidR="001C6FE5" w:rsidRPr="00AA4DFA" w:rsidRDefault="001C6FE5" w:rsidP="005F7857">
      <w:pPr>
        <w:spacing w:afterLines="60" w:after="144" w:line="360" w:lineRule="auto"/>
        <w:jc w:val="both"/>
        <w:rPr>
          <w:b/>
          <w:bCs/>
          <w:color w:val="000000" w:themeColor="text1"/>
        </w:rPr>
      </w:pPr>
      <w:r w:rsidRPr="00AA4DFA">
        <w:rPr>
          <w:b/>
          <w:bCs/>
          <w:color w:val="000000" w:themeColor="text1"/>
        </w:rPr>
        <w:t>1. Introduction</w:t>
      </w:r>
    </w:p>
    <w:p w14:paraId="56357C6B" w14:textId="682FFBFF" w:rsidR="002D638B" w:rsidRPr="00AA4DFA" w:rsidRDefault="006B1B2D" w:rsidP="005F7857">
      <w:pPr>
        <w:spacing w:afterLines="60" w:after="144" w:line="360" w:lineRule="auto"/>
        <w:ind w:firstLine="720"/>
        <w:jc w:val="both"/>
        <w:rPr>
          <w:rFonts w:eastAsia="Calibri"/>
          <w:lang w:val="en-US"/>
          <w14:ligatures w14:val="standardContextual"/>
        </w:rPr>
      </w:pPr>
      <w:r w:rsidRPr="00AA4DFA">
        <w:t>Brinjal (</w:t>
      </w:r>
      <w:r w:rsidRPr="00AA4DFA">
        <w:rPr>
          <w:i/>
        </w:rPr>
        <w:t>Solanum melongena</w:t>
      </w:r>
      <w:r w:rsidRPr="00AA4DFA">
        <w:t xml:space="preserve"> L.) is an important vegetable crop belonging to the genus </w:t>
      </w:r>
      <w:r w:rsidRPr="00AA4DFA">
        <w:rPr>
          <w:i/>
        </w:rPr>
        <w:t>Solanum</w:t>
      </w:r>
      <w:r w:rsidRPr="00AA4DFA">
        <w:t xml:space="preserve"> in the family Solanaceae (</w:t>
      </w:r>
      <w:proofErr w:type="spellStart"/>
      <w:r w:rsidRPr="00AA4DFA">
        <w:t>Kantharajah</w:t>
      </w:r>
      <w:proofErr w:type="spellEnd"/>
      <w:r w:rsidRPr="00AA4DFA">
        <w:t xml:space="preserve"> &amp; </w:t>
      </w:r>
      <w:proofErr w:type="spellStart"/>
      <w:r w:rsidRPr="00AA4DFA">
        <w:t>Golegaonkar</w:t>
      </w:r>
      <w:proofErr w:type="spellEnd"/>
      <w:r w:rsidRPr="00AA4DFA">
        <w:t>, 200</w:t>
      </w:r>
      <w:r w:rsidR="006A4655">
        <w:t>4</w:t>
      </w:r>
      <w:r w:rsidRPr="00AA4DFA">
        <w:t xml:space="preserve">). It is widely cultivated in tropical and subtropical regions and is valued for its versatility and adaptability. The crop is believed to have originated in the Indo-Burma region, including parts of India and Southeast Asia </w:t>
      </w:r>
      <w:r w:rsidRPr="00AA4DFA">
        <w:lastRenderedPageBreak/>
        <w:t xml:space="preserve">(Vavilov, 1929). China produces the largest quantity of brinjal, and India is also a significant global producer. In India, brinjal production is about 12-13 lakh metric tonnes per year, with West Bengal being the leading brinjal-growing state (Anonymous, 2024). Cytological studies have shown that brinjal has a relatively stable chromosome number (2n = 24) in most species and cultivated varieties. On the basis of fruit and plant characteristics, </w:t>
      </w:r>
      <w:r w:rsidRPr="00AA4DFA">
        <w:rPr>
          <w:i/>
        </w:rPr>
        <w:t>Solanum melongena</w:t>
      </w:r>
      <w:r w:rsidRPr="00AA4DFA">
        <w:t xml:space="preserve"> has been divided into three major botanical varieties: var. esculentum, with large, round to egg-shaped fruits; var. </w:t>
      </w:r>
      <w:proofErr w:type="spellStart"/>
      <w:r w:rsidRPr="00AA4DFA">
        <w:t>serpentinum</w:t>
      </w:r>
      <w:proofErr w:type="spellEnd"/>
      <w:r w:rsidRPr="00AA4DFA">
        <w:t xml:space="preserve">, with long, slender fruits; and var. </w:t>
      </w:r>
      <w:proofErr w:type="spellStart"/>
      <w:r w:rsidRPr="00AA4DFA">
        <w:t>depressum</w:t>
      </w:r>
      <w:proofErr w:type="spellEnd"/>
      <w:r w:rsidRPr="00AA4DFA">
        <w:t>, with dwarf plant types (Choudhury, 1976). Although these groups differ in morphological characteristics, they collectively contribute to the rich diversity of brinjal cultivation.</w:t>
      </w:r>
    </w:p>
    <w:p w14:paraId="5CF2E9D7" w14:textId="77777777" w:rsidR="002D638B" w:rsidRPr="00AA4DFA" w:rsidRDefault="002D638B" w:rsidP="005F7857">
      <w:pPr>
        <w:spacing w:afterLines="60" w:after="144" w:line="360" w:lineRule="auto"/>
        <w:ind w:right="14" w:firstLine="720"/>
        <w:jc w:val="both"/>
        <w:rPr>
          <w:rFonts w:eastAsia="Calibri"/>
          <w:lang w:val="en-US"/>
          <w14:ligatures w14:val="standardContextual"/>
        </w:rPr>
      </w:pPr>
      <w:r w:rsidRPr="00AA4DFA">
        <w:t xml:space="preserve">Brinjal is a nutritious vegetable and has dietary importance in several regions. It contains vitamins A, B-complex and C, as well as minerals such as phosphorus, iron, calcium and potassium. The fruit also contains several bioactive compounds, including anthocyanins in the skin. </w:t>
      </w:r>
      <w:proofErr w:type="spellStart"/>
      <w:r w:rsidRPr="00AA4DFA">
        <w:t>Nasunin</w:t>
      </w:r>
      <w:proofErr w:type="spellEnd"/>
      <w:r w:rsidRPr="00AA4DFA">
        <w:t xml:space="preserve">, one of the anthocyanins, has been reported to have strong antioxidant properties and to protect cell membranes from oxidative damage (Noda </w:t>
      </w:r>
      <w:r w:rsidRPr="00AA4DFA">
        <w:rPr>
          <w:i/>
        </w:rPr>
        <w:t>et al.</w:t>
      </w:r>
      <w:r w:rsidRPr="00AA4DFA">
        <w:t xml:space="preserve">, 2000). Brinjal also contains glycoalkaloids, which contribute slight bitterness and may possess some medicinal properties. In traditional diets, white-fruited brinjal types are considered beneficial for diabetic individuals. Significant differences among brinjal genotypes have been observed for nutritional parameters, including vitamin C and TSS contents, indicating considerable potential for selection and breeding to improve nutritional attributes. The crop is also important because of its adaptability to a wide range of </w:t>
      </w:r>
      <w:proofErr w:type="spellStart"/>
      <w:r w:rsidRPr="00AA4DFA">
        <w:t>agro</w:t>
      </w:r>
      <w:proofErr w:type="spellEnd"/>
      <w:r w:rsidRPr="00AA4DFA">
        <w:t xml:space="preserve">-climatic conditions, high yield potential and extended harvest duration. Brinjal fruits are edible, digestible and low in calories, with appreciable water, protein, carbohydrate, dietary fibre and mineral contents that are essential in a balanced human diet (Dutta </w:t>
      </w:r>
      <w:r w:rsidRPr="00AA4DFA">
        <w:rPr>
          <w:i/>
        </w:rPr>
        <w:t>et al.</w:t>
      </w:r>
      <w:r w:rsidRPr="00AA4DFA">
        <w:t>, 2022). Integrated nutrient management (INM) involves the judicious and efficient use of organic, inorganic and biological nutrient sources to maintain optimum nutrient availability in plants and soil, while supporting soil health and ecological balance (Mahajan &amp; Gupta, 2009).</w:t>
      </w:r>
    </w:p>
    <w:p w14:paraId="6E01B631" w14:textId="77777777" w:rsidR="002D638B" w:rsidRPr="00AA4DFA" w:rsidRDefault="002D638B" w:rsidP="005F7857">
      <w:pPr>
        <w:spacing w:afterLines="60" w:after="144" w:line="360" w:lineRule="auto"/>
        <w:ind w:right="14" w:firstLine="720"/>
        <w:jc w:val="both"/>
        <w:rPr>
          <w:rFonts w:eastAsia="Calibri"/>
          <w14:ligatures w14:val="standardContextual"/>
        </w:rPr>
      </w:pPr>
      <w:r w:rsidRPr="00AA4DFA">
        <w:t xml:space="preserve">Chemical and biological reactions in the rhizosphere are important for nutrient mobilisation and uptake, and they also regulate microbial activity, which affects nutrient-use efficiency, crop productivity and sustainability (Zhang </w:t>
      </w:r>
      <w:r w:rsidRPr="00AA4DFA">
        <w:rPr>
          <w:i/>
        </w:rPr>
        <w:t>et al.</w:t>
      </w:r>
      <w:r w:rsidRPr="00AA4DFA">
        <w:t xml:space="preserve">, 2014). When chemical fertilisers are applied with organic manures, they improve the physical, chemical and biological properties of soil and crop productivity by increasing soil organic matter and maintaining soil nutrient status. </w:t>
      </w:r>
      <w:r w:rsidRPr="00AA4DFA">
        <w:lastRenderedPageBreak/>
        <w:t xml:space="preserve">Therefore, INM is important for sustaining high production levels while maintaining soil health (Kaushal, 2002). INM emphasises the optimised management of biological inputs in crop production systems while reducing the excessive use of inorganic nutrients to support a more sustainable and environmentally friendly agricultural system (Samanta &amp; Sengupta, 2024). Several studies have reported that INM enhances brinjal fruit quality by improving biochemical constituents and nutrient-use efficiency compared with the use of a single nutrient source. However, the continuous and excessive use of chemical fertilisers has adversely affected soil fertility, soil health and production sustainability. It is therefore important to identify appropriate combinations of organic and inorganic nutrient inputs for specific cultivars and </w:t>
      </w:r>
      <w:proofErr w:type="spellStart"/>
      <w:r w:rsidRPr="00AA4DFA">
        <w:t>agro</w:t>
      </w:r>
      <w:proofErr w:type="spellEnd"/>
      <w:r w:rsidRPr="00AA4DFA">
        <w:t>-climatic conditions.</w:t>
      </w:r>
    </w:p>
    <w:p w14:paraId="52B774E1" w14:textId="77777777" w:rsidR="00453784" w:rsidRPr="00AA4DFA" w:rsidRDefault="00000000">
      <w:pPr>
        <w:spacing w:after="144" w:line="360" w:lineRule="auto"/>
        <w:ind w:right="14" w:firstLine="720"/>
        <w:jc w:val="both"/>
      </w:pPr>
      <w:r w:rsidRPr="00AA4DFA">
        <w:t xml:space="preserve">Recent brinjal studies have indicated that combinations of inorganic fertilisers, organic manures and </w:t>
      </w:r>
      <w:proofErr w:type="spellStart"/>
      <w:r w:rsidRPr="00AA4DFA">
        <w:t>biofertilisers</w:t>
      </w:r>
      <w:proofErr w:type="spellEnd"/>
      <w:r w:rsidRPr="00AA4DFA">
        <w:t xml:space="preserve"> can improve growth, flowering and yield attributes compared with untreated controls (Kumari </w:t>
      </w:r>
      <w:r w:rsidRPr="00AA4DFA">
        <w:rPr>
          <w:i/>
        </w:rPr>
        <w:t>et al.</w:t>
      </w:r>
      <w:r w:rsidRPr="00AA4DFA">
        <w:t xml:space="preserve">, 2025). Broader systematic evidence also suggests that vermicompost-based organic inputs combined with inorganic fertilisers can support crop yield and soil-health outcomes when nutrient supply is balanced and site-specific (Sande </w:t>
      </w:r>
      <w:r w:rsidRPr="00AA4DFA">
        <w:rPr>
          <w:i/>
        </w:rPr>
        <w:t>et al.</w:t>
      </w:r>
      <w:r w:rsidRPr="00AA4DFA">
        <w:t>, 2024).</w:t>
      </w:r>
    </w:p>
    <w:p w14:paraId="630BB7F9" w14:textId="77777777" w:rsidR="00453784" w:rsidRPr="00AA4DFA" w:rsidRDefault="00000000">
      <w:pPr>
        <w:spacing w:after="144" w:line="360" w:lineRule="auto"/>
        <w:ind w:right="14" w:firstLine="720"/>
        <w:jc w:val="both"/>
      </w:pPr>
      <w:r w:rsidRPr="00AA4DFA">
        <w:t>Evidence from vegetable systems further suggests that responses to organic manures depend on soil type and application rate (</w:t>
      </w:r>
      <w:proofErr w:type="spellStart"/>
      <w:r w:rsidRPr="00AA4DFA">
        <w:t>Elgali</w:t>
      </w:r>
      <w:proofErr w:type="spellEnd"/>
      <w:r w:rsidRPr="00AA4DFA">
        <w:t xml:space="preserve"> </w:t>
      </w:r>
      <w:r w:rsidRPr="00AA4DFA">
        <w:rPr>
          <w:i/>
        </w:rPr>
        <w:t>et al.</w:t>
      </w:r>
      <w:r w:rsidRPr="00AA4DFA">
        <w:t>, 2025). Recent eggplant studies have also reported that fertilisation source may influence nutrient uptake, biomass accumulation and fruit-quality attributes under controlled or field conditions (</w:t>
      </w:r>
      <w:proofErr w:type="spellStart"/>
      <w:r w:rsidRPr="00AA4DFA">
        <w:t>Chatzistathis</w:t>
      </w:r>
      <w:proofErr w:type="spellEnd"/>
      <w:r w:rsidRPr="00AA4DFA">
        <w:t xml:space="preserve"> </w:t>
      </w:r>
      <w:r w:rsidRPr="00AA4DFA">
        <w:rPr>
          <w:i/>
        </w:rPr>
        <w:t>et al.</w:t>
      </w:r>
      <w:r w:rsidRPr="00AA4DFA">
        <w:t xml:space="preserve">, 2025; </w:t>
      </w:r>
      <w:proofErr w:type="spellStart"/>
      <w:r w:rsidRPr="00AA4DFA">
        <w:t>Warghane</w:t>
      </w:r>
      <w:proofErr w:type="spellEnd"/>
      <w:r w:rsidRPr="00AA4DFA">
        <w:t xml:space="preserve"> </w:t>
      </w:r>
      <w:r w:rsidRPr="00AA4DFA">
        <w:rPr>
          <w:i/>
        </w:rPr>
        <w:t>et al.</w:t>
      </w:r>
      <w:r w:rsidRPr="00AA4DFA">
        <w:t>, 2025).</w:t>
      </w:r>
    </w:p>
    <w:p w14:paraId="539DBC4C" w14:textId="77777777" w:rsidR="00453784" w:rsidRPr="00AA4DFA" w:rsidRDefault="00000000">
      <w:pPr>
        <w:spacing w:after="144" w:line="360" w:lineRule="auto"/>
        <w:ind w:right="14" w:firstLine="720"/>
        <w:jc w:val="both"/>
      </w:pPr>
      <w:r w:rsidRPr="00AA4DFA">
        <w:t>However, comparatively limited information is available on the combined use of FYM, vermicompost and reduced RDF for cv. Azad Gol Type-3 under the open-field conditions of Kanpur, particularly with concurrent assessment of growth, flowering, yield and fruit-quality traits.</w:t>
      </w:r>
    </w:p>
    <w:p w14:paraId="654D9E94" w14:textId="77777777" w:rsidR="00453784" w:rsidRPr="00AA4DFA" w:rsidRDefault="00000000">
      <w:pPr>
        <w:spacing w:after="144" w:line="360" w:lineRule="auto"/>
        <w:ind w:right="14" w:firstLine="720"/>
        <w:jc w:val="both"/>
      </w:pPr>
      <w:r w:rsidRPr="00AA4DFA">
        <w:t>In view of this, the present investigation was undertaken to assess the effects of FYM, vermicompost and recommended doses of fertilisers (RDF) on different growth, flowering, yield and quality parameters of brinjal (</w:t>
      </w:r>
      <w:r w:rsidRPr="00AA4DFA">
        <w:rPr>
          <w:i/>
        </w:rPr>
        <w:t>Solanum melongena</w:t>
      </w:r>
      <w:r w:rsidRPr="00AA4DFA">
        <w:t xml:space="preserve"> L.) cv. Azad Gol Type-3.</w:t>
      </w:r>
    </w:p>
    <w:p w14:paraId="6DC96DFA" w14:textId="77777777" w:rsidR="002D638B" w:rsidRPr="00AA4DFA" w:rsidRDefault="002D638B" w:rsidP="000F25D4">
      <w:pPr>
        <w:spacing w:line="360" w:lineRule="auto"/>
        <w:ind w:right="14"/>
        <w:jc w:val="both"/>
        <w:rPr>
          <w:b/>
          <w:bCs/>
          <w:color w:val="000000" w:themeColor="text1"/>
        </w:rPr>
      </w:pPr>
    </w:p>
    <w:p w14:paraId="638D0455" w14:textId="77777777" w:rsidR="005240EA" w:rsidRPr="00AA4DFA" w:rsidRDefault="005240EA" w:rsidP="000F25D4">
      <w:pPr>
        <w:spacing w:line="360" w:lineRule="auto"/>
        <w:ind w:right="14"/>
        <w:jc w:val="both"/>
        <w:rPr>
          <w:b/>
          <w:bCs/>
          <w:color w:val="000000" w:themeColor="text1"/>
        </w:rPr>
      </w:pPr>
    </w:p>
    <w:p w14:paraId="33EC1C1A" w14:textId="77777777" w:rsidR="002F1CDD" w:rsidRPr="00AA4DFA" w:rsidRDefault="002F1CDD" w:rsidP="000F25D4">
      <w:pPr>
        <w:spacing w:line="360" w:lineRule="auto"/>
        <w:ind w:right="14"/>
        <w:jc w:val="both"/>
        <w:rPr>
          <w:b/>
          <w:bCs/>
          <w:color w:val="000000" w:themeColor="text1"/>
        </w:rPr>
      </w:pPr>
      <w:r w:rsidRPr="00AA4DFA">
        <w:rPr>
          <w:b/>
          <w:bCs/>
          <w:color w:val="000000" w:themeColor="text1"/>
        </w:rPr>
        <w:lastRenderedPageBreak/>
        <w:t>2. Materials and Methods</w:t>
      </w:r>
    </w:p>
    <w:p w14:paraId="03FEE884" w14:textId="77777777" w:rsidR="00E816B4" w:rsidRPr="00AA4DFA" w:rsidRDefault="00E816B4" w:rsidP="00E816B4">
      <w:pPr>
        <w:spacing w:line="360" w:lineRule="auto"/>
        <w:ind w:right="14" w:firstLine="720"/>
        <w:jc w:val="both"/>
        <w:rPr>
          <w:rFonts w:eastAsia="Calibri"/>
          <w:szCs w:val="20"/>
          <w:lang w:val="en-US"/>
          <w14:ligatures w14:val="standardContextual"/>
        </w:rPr>
      </w:pPr>
      <w:r w:rsidRPr="00AA4DFA">
        <w:t>The field experiment was conducted during the rabi season of 2025-26 at the Horticultural Experimental Field, School of Advanced Agriculture Sciences and Technology, Chhatrapati Shahu Ji Maharaj University, Kanpur-208024, to evaluate the effect of integrated nutrient management practices on different attributes of brinjal. The experiment was laid out in a Randomised Block Design (RBD) with three replications and nine treatments. The treatment combinations were T₁-absolute control, T₂-100% RDF (NPK @ 120:85:50 kg/ha), T₃-vermicompost @ 6 t/ha, T₄-FYM @ 25 t/ha, T₅-FYM @ 12.5 t/ha + 50% RDF, T₆-vermicompost @ 3 t/ha + 50% RDF, T₇-FYM @ 18.75 t/ha + 25% RDF, T₈-vermicompost @ 4.5 t/ha + 25% RDF and T₉-vermicompost @ 3 t/ha + FYM @ 6.25 t/ha + 50% RDF.</w:t>
      </w:r>
    </w:p>
    <w:p w14:paraId="652AC5F9" w14:textId="77777777" w:rsidR="002D638B" w:rsidRPr="00AA4DFA" w:rsidRDefault="002D638B" w:rsidP="009A096D">
      <w:pPr>
        <w:spacing w:line="360" w:lineRule="auto"/>
        <w:ind w:right="14" w:firstLine="720"/>
        <w:jc w:val="both"/>
        <w:rPr>
          <w:rFonts w:eastAsia="Calibri"/>
          <w:szCs w:val="20"/>
          <w14:ligatures w14:val="standardContextual"/>
        </w:rPr>
      </w:pPr>
      <w:r w:rsidRPr="00AA4DFA">
        <w:t>The experiment comprised 27 plots, with each treatment replicated three times. Azad Gol Type-3 was planted on 15 October 2025, with a plant density of eight plants per plot and spacing of 60 x 45 cm. There were 24 plants per treatment, and 216 plants were maintained during the experiment. The plot size was 2.52 m². The experimental field was prepared before transplanting through repeated ploughing and tillage to obtain a fine tilth suitable for crop establishment and uniform plant growth. Proper maintenance of bunds and irrigation channels was ensured throughout the experiment. Intercultural operations, such as gap filling, irrigation and weeding, were performed according to crop requirements.</w:t>
      </w:r>
    </w:p>
    <w:p w14:paraId="34F9E03D" w14:textId="77777777" w:rsidR="002D638B" w:rsidRPr="00AA4DFA" w:rsidRDefault="002D638B" w:rsidP="00F93268">
      <w:pPr>
        <w:spacing w:before="120" w:after="120" w:line="360" w:lineRule="auto"/>
        <w:ind w:right="14" w:firstLine="720"/>
        <w:jc w:val="both"/>
        <w:rPr>
          <w:rFonts w:eastAsia="Calibri"/>
          <w:szCs w:val="20"/>
          <w14:ligatures w14:val="standardContextual"/>
        </w:rPr>
      </w:pPr>
      <w:r w:rsidRPr="00AA4DFA">
        <w:t xml:space="preserve">The following observations were recorded to assess the effect of different treatments on the growth, flowering and yield parameters of brinjal. Growth parameters, including plant height and number of leaves per plant, were recorded at 30, 60 and 90 days after transplanting (DAT), while the number of branches per plant and stem girth were measured at the final stage of crop growth. Plant height was measured from the base to the apical tip using a metre scale, leaves and branches were counted manually, and stem girth was measured using a thread and ruler by recording the circumference of the stem. Days to first flowering, days to 50% flowering and number of flowers per plant were recorded by observing tagged plants and calculating the mean values. Yield parameters included number of fruits per plant, fruit weight, fruit length, fruit diameter, fruit yield per plant and fruit yield per hectare. Fruits per plant were determined by recording the number of fruits harvested from each tagged plant during the cropping period. Five fruits were randomly sampled from each tagged plant to determine individual fruit weight, fruit length and fruit diameter. Fruit weight was measured using an electronic balance, fruit length using </w:t>
      </w:r>
      <w:r w:rsidRPr="00AA4DFA">
        <w:lastRenderedPageBreak/>
        <w:t>a measuring scale, and fruit diameter as the circumference divided by pi (3.14). Yield per plant was determined from the total fruit weight of each tagged plant, and yield per hectare was calculated from the total fruit weight per plot and expressed as quintals per hectare (q/ha).</w:t>
      </w:r>
    </w:p>
    <w:p w14:paraId="711C4485" w14:textId="77777777" w:rsidR="00E816B4" w:rsidRPr="00AA4DFA" w:rsidRDefault="00E816B4" w:rsidP="00F93268">
      <w:pPr>
        <w:spacing w:before="120" w:after="120" w:line="360" w:lineRule="auto"/>
        <w:ind w:right="14" w:firstLine="720"/>
        <w:jc w:val="both"/>
        <w:rPr>
          <w:rFonts w:eastAsia="Calibri"/>
          <w:b/>
          <w:bCs/>
          <w:szCs w:val="20"/>
          <w14:ligatures w14:val="standardContextual"/>
        </w:rPr>
      </w:pPr>
      <w:r w:rsidRPr="00AA4DFA">
        <w:t xml:space="preserve">Total soluble solids (TSS) of fruits were determined using a hand refractometer. Five randomly selected fruits at harvestable maturity from each treatment were collected and brought to the laboratory for analysis. Fresh pulp was extracted, and a few drops were placed on the refractometer prism. Three readings were recorded and averaged, and TSS was expressed as °Brix. Total sugars were estimated following the method of Dubois </w:t>
      </w:r>
      <w:r w:rsidRPr="00AA4DFA">
        <w:rPr>
          <w:i/>
        </w:rPr>
        <w:t>et al.</w:t>
      </w:r>
      <w:r w:rsidRPr="00AA4DFA">
        <w:t xml:space="preserve"> (1956).</w:t>
      </w:r>
    </w:p>
    <w:p w14:paraId="647DA3A4" w14:textId="77777777" w:rsidR="00E816B4" w:rsidRPr="00AA4DFA" w:rsidRDefault="00E816B4" w:rsidP="00F93268">
      <w:pPr>
        <w:spacing w:before="120" w:after="120" w:line="360" w:lineRule="auto"/>
        <w:ind w:right="14" w:firstLine="720"/>
        <w:jc w:val="both"/>
        <w:rPr>
          <w:rFonts w:eastAsia="Calibri"/>
          <w:szCs w:val="20"/>
          <w14:ligatures w14:val="standardContextual"/>
        </w:rPr>
      </w:pPr>
      <w:r w:rsidRPr="00AA4DFA">
        <w:t>Ascorbic acid (vitamin C) content was estimated following the method of Sadasivam and Balasubramanian (1987). Five fruits at harvestable maturity were collected from each treatment during the third harvest. A 5 g fresh sample was homogenised with 3% metaphosphoric acid, and the volume was made up to 30 ml. For standardisation, 1 ml of standard ascorbic acid solution was mixed with 9 ml of 3% metaphosphoric acid, and 5 ml of this solution was titrated against 2,6-dichlorophenol indophenol dye to determine the dye factor value (DFV).</w:t>
      </w:r>
    </w:p>
    <w:p w14:paraId="42FBB833" w14:textId="77777777" w:rsidR="00E816B4" w:rsidRPr="00AA4DFA" w:rsidRDefault="00E816B4" w:rsidP="00E816B4">
      <w:pPr>
        <w:spacing w:after="100" w:afterAutospacing="1" w:line="360" w:lineRule="auto"/>
        <w:ind w:right="14" w:firstLine="720"/>
        <w:jc w:val="both"/>
        <w:rPr>
          <w:rFonts w:eastAsia="Calibri"/>
          <w:iCs/>
          <w14:ligatures w14:val="standardContextual"/>
        </w:rPr>
      </w:pPr>
      <m:oMathPara>
        <m:oMath>
          <m:r>
            <m:rPr>
              <m:sty m:val="p"/>
            </m:rPr>
            <w:rPr>
              <w:rFonts w:ascii="Cambria Math" w:eastAsia="Calibri" w:hAnsi="Cambria Math"/>
              <w14:ligatures w14:val="standardContextual"/>
            </w:rPr>
            <m:t>Vitamin C (mg/100 g) =</m:t>
          </m:r>
          <m:f>
            <m:fPr>
              <m:ctrlPr>
                <w:rPr>
                  <w:rFonts w:ascii="Cambria Math" w:eastAsia="Calibri" w:hAnsi="Cambria Math"/>
                  <w:iCs/>
                  <w14:ligatures w14:val="standardContextual"/>
                </w:rPr>
              </m:ctrlPr>
            </m:fPr>
            <m:num>
              <m:r>
                <m:rPr>
                  <m:sty m:val="p"/>
                </m:rPr>
                <w:rPr>
                  <w:rFonts w:ascii="Cambria Math" w:eastAsia="Calibri" w:hAnsi="Cambria Math"/>
                  <w14:ligatures w14:val="standardContextual"/>
                </w:rPr>
                <m:t xml:space="preserve">(DFV × Titre value × Volume made up × 100) </m:t>
              </m:r>
              <m:ctrlPr>
                <w:rPr>
                  <w:rFonts w:ascii="Cambria Math" w:eastAsia="Calibri" w:hAnsi="Cambria Math" w:cs="Mangal"/>
                  <w:iCs/>
                  <w:szCs w:val="20"/>
                  <w14:ligatures w14:val="standardContextual"/>
                </w:rPr>
              </m:ctrlPr>
            </m:num>
            <m:den>
              <m:r>
                <m:rPr>
                  <m:sty m:val="p"/>
                </m:rPr>
                <w:rPr>
                  <w:rFonts w:ascii="Cambria Math" w:eastAsia="Calibri" w:hAnsi="Cambria Math"/>
                  <w14:ligatures w14:val="standardContextual"/>
                </w:rPr>
                <m:t xml:space="preserve">(Aliquot taken × Weight of sample) </m:t>
              </m:r>
              <m:ctrlPr>
                <w:rPr>
                  <w:rFonts w:ascii="Cambria Math" w:eastAsia="Calibri" w:hAnsi="Cambria Math" w:cs="Mangal"/>
                  <w:iCs/>
                  <w:szCs w:val="20"/>
                  <w14:ligatures w14:val="standardContextual"/>
                </w:rPr>
              </m:ctrlPr>
            </m:den>
          </m:f>
        </m:oMath>
      </m:oMathPara>
    </w:p>
    <w:p w14:paraId="4DD64C66" w14:textId="77777777" w:rsidR="00E816B4" w:rsidRPr="00AA4DFA" w:rsidRDefault="009A096D" w:rsidP="00E816B4">
      <w:pPr>
        <w:spacing w:line="360" w:lineRule="auto"/>
        <w:ind w:right="14" w:firstLine="720"/>
        <w:jc w:val="both"/>
        <w:rPr>
          <w:rFonts w:eastAsia="Calibri"/>
          <w:szCs w:val="20"/>
          <w14:ligatures w14:val="standardContextual"/>
        </w:rPr>
      </w:pPr>
      <w:r w:rsidRPr="00AA4DFA">
        <w:t>Anthocyanin content in the fruit peel was estimated spectrophotometrically following Srivastava and Kumar (2002). Five fruits at harvestable maturity were collected from each treatment during the third harvest. A 10 g peel sample was homogenised with ethanolic HCl, diluted to 100 ml and kept overnight at 4 °C. The extract was filtered, and absorbance was recorded at 535 nm using a spectrophotometer. Total anthocyanin content was calculated using the prescribed formula.</w:t>
      </w:r>
    </w:p>
    <w:p w14:paraId="313DD706" w14:textId="77777777" w:rsidR="009A096D" w:rsidRPr="00AA4DFA" w:rsidRDefault="009A096D" w:rsidP="009A096D">
      <w:pPr>
        <w:spacing w:before="100" w:beforeAutospacing="1" w:after="100" w:afterAutospacing="1" w:line="360" w:lineRule="auto"/>
        <w:ind w:right="8" w:firstLine="720"/>
        <w:jc w:val="both"/>
        <w:rPr>
          <w:iCs/>
          <w14:ligatures w14:val="standardContextual"/>
        </w:rPr>
      </w:pPr>
      <m:oMathPara>
        <m:oMath>
          <m:r>
            <m:rPr>
              <m:sty m:val="p"/>
            </m:rPr>
            <w:rPr>
              <w:rFonts w:ascii="Cambria Math" w:eastAsia="Calibri" w:hAnsi="Cambria Math"/>
              <w14:ligatures w14:val="standardContextual"/>
            </w:rPr>
            <m:t>Anthocyanin (mg/100 g)=</m:t>
          </m:r>
          <m:f>
            <m:fPr>
              <m:ctrlPr>
                <w:rPr>
                  <w:rFonts w:ascii="Cambria Math" w:eastAsia="Calibri" w:hAnsi="Cambria Math"/>
                  <w:iCs/>
                  <w14:ligatures w14:val="standardContextual"/>
                </w:rPr>
              </m:ctrlPr>
            </m:fPr>
            <m:num>
              <m:r>
                <m:rPr>
                  <m:sty m:val="p"/>
                </m:rPr>
                <w:rPr>
                  <w:rFonts w:ascii="Cambria Math" w:eastAsia="Calibri" w:hAnsi="Cambria Math"/>
                  <w14:ligatures w14:val="standardContextual"/>
                </w:rPr>
                <m:t xml:space="preserve">(O.D. × Total volume × 100) </m:t>
              </m:r>
              <m:ctrlPr>
                <w:rPr>
                  <w:rFonts w:ascii="Cambria Math" w:eastAsia="Calibri" w:hAnsi="Cambria Math" w:cs="Mangal"/>
                  <w:iCs/>
                  <w:szCs w:val="20"/>
                  <w14:ligatures w14:val="standardContextual"/>
                </w:rPr>
              </m:ctrlPr>
            </m:num>
            <m:den>
              <m:r>
                <m:rPr>
                  <m:sty m:val="p"/>
                </m:rPr>
                <w:rPr>
                  <w:rFonts w:ascii="Cambria Math" w:eastAsia="Calibri" w:hAnsi="Cambria Math"/>
                  <w14:ligatures w14:val="standardContextual"/>
                </w:rPr>
                <m:t>(Weight of sample × 98.2)</m:t>
              </m:r>
              <m:ctrlPr>
                <w:rPr>
                  <w:rFonts w:ascii="Cambria Math" w:eastAsia="Calibri" w:hAnsi="Cambria Math" w:cs="Mangal"/>
                  <w:iCs/>
                  <w:szCs w:val="20"/>
                  <w14:ligatures w14:val="standardContextual"/>
                </w:rPr>
              </m:ctrlPr>
            </m:den>
          </m:f>
        </m:oMath>
      </m:oMathPara>
    </w:p>
    <w:p w14:paraId="2C6EBF39" w14:textId="77777777" w:rsidR="002D638B" w:rsidRPr="00AA4DFA" w:rsidRDefault="009A096D" w:rsidP="005240EA">
      <w:pPr>
        <w:spacing w:line="360" w:lineRule="auto"/>
        <w:ind w:right="14" w:firstLine="720"/>
        <w:jc w:val="both"/>
        <w:rPr>
          <w:rFonts w:eastAsia="Calibri"/>
          <w:b/>
          <w:bCs/>
          <w:szCs w:val="20"/>
          <w14:ligatures w14:val="standardContextual"/>
        </w:rPr>
      </w:pPr>
      <w:r w:rsidRPr="00AA4DFA">
        <w:t xml:space="preserve">Plants in each plot were randomly selected and tagged for recording observations. Data on different parameters were collected during the investigation and subjected to analysis of variance (ANOVA) under a Randomised Block Design (RBD) using OPSTAT software, following the method of Panse and </w:t>
      </w:r>
      <w:proofErr w:type="spellStart"/>
      <w:r w:rsidRPr="00AA4DFA">
        <w:t>Sukhatme</w:t>
      </w:r>
      <w:proofErr w:type="spellEnd"/>
      <w:r w:rsidRPr="00AA4DFA">
        <w:t xml:space="preserve"> (1961).</w:t>
      </w:r>
    </w:p>
    <w:p w14:paraId="2FAAB078" w14:textId="77777777" w:rsidR="000A0568" w:rsidRPr="00AA4DFA" w:rsidRDefault="000A0568" w:rsidP="000A0568">
      <w:pPr>
        <w:tabs>
          <w:tab w:val="left" w:pos="1025"/>
        </w:tabs>
        <w:spacing w:before="140"/>
        <w:ind w:left="360"/>
        <w:rPr>
          <w:rFonts w:eastAsia="Calibri"/>
          <w:b/>
          <w:bCs/>
          <w14:ligatures w14:val="standardContextual"/>
        </w:rPr>
      </w:pPr>
      <w:r w:rsidRPr="00AA4DFA">
        <w:rPr>
          <w:rFonts w:eastAsia="Calibri"/>
          <w:b/>
          <w:bCs/>
          <w14:ligatures w14:val="standardContextual"/>
        </w:rPr>
        <w:lastRenderedPageBreak/>
        <w:t>Measurement of plant height of brinjal plants during the course of investigation.</w:t>
      </w:r>
    </w:p>
    <w:p w14:paraId="4240BF5D" w14:textId="4F095159" w:rsidR="000A0568" w:rsidRPr="00AA4DFA" w:rsidRDefault="000A0568" w:rsidP="000A0568">
      <w:pPr>
        <w:tabs>
          <w:tab w:val="left" w:pos="1025"/>
        </w:tabs>
        <w:spacing w:before="140"/>
        <w:ind w:left="360"/>
        <w:rPr>
          <w:rFonts w:ascii="Calibri" w:eastAsia="Calibri" w:hAnsi="Calibri" w:cs="Mangal"/>
          <w:b/>
          <w:szCs w:val="20"/>
          <w14:ligatures w14:val="standardContextual"/>
        </w:rPr>
      </w:pPr>
      <w:r w:rsidRPr="00AA4DFA">
        <w:rPr>
          <w:rFonts w:ascii="Calibri" w:eastAsia="Calibri" w:hAnsi="Calibri" w:cs="Mangal"/>
          <w:noProof/>
          <w:szCs w:val="20"/>
          <w14:ligatures w14:val="standardContextual"/>
        </w:rPr>
        <w:drawing>
          <wp:anchor distT="0" distB="0" distL="114300" distR="114300" simplePos="0" relativeHeight="251662336" behindDoc="0" locked="0" layoutInCell="1" allowOverlap="1" wp14:anchorId="1413860F" wp14:editId="5FAD4DBA">
            <wp:simplePos x="0" y="0"/>
            <wp:positionH relativeFrom="column">
              <wp:posOffset>750556</wp:posOffset>
            </wp:positionH>
            <wp:positionV relativeFrom="paragraph">
              <wp:posOffset>95920</wp:posOffset>
            </wp:positionV>
            <wp:extent cx="1627833" cy="2170505"/>
            <wp:effectExtent l="0" t="0" r="0" b="1270"/>
            <wp:wrapNone/>
            <wp:docPr id="1543672371"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672371" name="Picture 154367237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27833" cy="2170505"/>
                    </a:xfrm>
                    <a:prstGeom prst="rect">
                      <a:avLst/>
                    </a:prstGeom>
                  </pic:spPr>
                </pic:pic>
              </a:graphicData>
            </a:graphic>
          </wp:anchor>
        </w:drawing>
      </w:r>
      <w:r w:rsidRPr="00AA4DFA">
        <w:rPr>
          <w:rFonts w:ascii="Calibri" w:eastAsia="Calibri" w:hAnsi="Calibri" w:cs="Mangal"/>
          <w:noProof/>
          <w:szCs w:val="20"/>
          <w14:ligatures w14:val="standardContextual"/>
        </w:rPr>
        <w:drawing>
          <wp:anchor distT="0" distB="0" distL="114300" distR="114300" simplePos="0" relativeHeight="251661312" behindDoc="0" locked="0" layoutInCell="1" allowOverlap="1" wp14:anchorId="516757C4" wp14:editId="049ED698">
            <wp:simplePos x="0" y="0"/>
            <wp:positionH relativeFrom="column">
              <wp:posOffset>3635117</wp:posOffset>
            </wp:positionH>
            <wp:positionV relativeFrom="paragraph">
              <wp:posOffset>95906</wp:posOffset>
            </wp:positionV>
            <wp:extent cx="1597660" cy="2129790"/>
            <wp:effectExtent l="0" t="0" r="2540" b="3810"/>
            <wp:wrapNone/>
            <wp:docPr id="1584051327"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051327" name="Picture 1584051327"/>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97660" cy="2129790"/>
                    </a:xfrm>
                    <a:prstGeom prst="rect">
                      <a:avLst/>
                    </a:prstGeom>
                  </pic:spPr>
                </pic:pic>
              </a:graphicData>
            </a:graphic>
          </wp:anchor>
        </w:drawing>
      </w:r>
    </w:p>
    <w:p w14:paraId="48FA2F79" w14:textId="1AAE75C7" w:rsidR="000A0568" w:rsidRPr="00AA4DFA" w:rsidRDefault="000A0568" w:rsidP="000A0568">
      <w:pPr>
        <w:tabs>
          <w:tab w:val="left" w:pos="1025"/>
        </w:tabs>
        <w:spacing w:before="140"/>
        <w:ind w:left="360"/>
        <w:rPr>
          <w:rFonts w:ascii="Calibri" w:eastAsia="Calibri" w:hAnsi="Calibri" w:cs="Mangal"/>
          <w:b/>
          <w:szCs w:val="20"/>
          <w14:ligatures w14:val="standardContextual"/>
        </w:rPr>
      </w:pPr>
    </w:p>
    <w:p w14:paraId="40FC02E2" w14:textId="1B0E6A63" w:rsidR="000A0568" w:rsidRPr="00AA4DFA" w:rsidRDefault="00457AE6" w:rsidP="000A0568">
      <w:pPr>
        <w:tabs>
          <w:tab w:val="left" w:pos="1025"/>
        </w:tabs>
        <w:spacing w:before="140"/>
        <w:ind w:left="360"/>
        <w:rPr>
          <w:rFonts w:ascii="Calibri" w:eastAsia="Calibri" w:hAnsi="Calibri" w:cs="Mangal"/>
          <w:b/>
          <w:szCs w:val="20"/>
          <w14:ligatures w14:val="standardContextual"/>
        </w:rPr>
      </w:pPr>
      <w:r>
        <w:rPr>
          <w:rFonts w:ascii="Calibri" w:eastAsia="Calibri" w:hAnsi="Calibri" w:cs="Mangal"/>
          <w:b/>
          <w:noProof/>
          <w:szCs w:val="20"/>
          <w14:ligatures w14:val="standardContextual"/>
        </w:rPr>
        <mc:AlternateContent>
          <mc:Choice Requires="wps">
            <w:drawing>
              <wp:anchor distT="0" distB="0" distL="114300" distR="114300" simplePos="0" relativeHeight="251665408" behindDoc="0" locked="0" layoutInCell="1" allowOverlap="1" wp14:anchorId="79F0F1B5" wp14:editId="05F5FDF9">
                <wp:simplePos x="0" y="0"/>
                <wp:positionH relativeFrom="column">
                  <wp:posOffset>1233377</wp:posOffset>
                </wp:positionH>
                <wp:positionV relativeFrom="paragraph">
                  <wp:posOffset>19109</wp:posOffset>
                </wp:positionV>
                <wp:extent cx="552893" cy="116958"/>
                <wp:effectExtent l="0" t="0" r="19050" b="16510"/>
                <wp:wrapNone/>
                <wp:docPr id="1824902902" name="Rectangle 1"/>
                <wp:cNvGraphicFramePr/>
                <a:graphic xmlns:a="http://schemas.openxmlformats.org/drawingml/2006/main">
                  <a:graphicData uri="http://schemas.microsoft.com/office/word/2010/wordprocessingShape">
                    <wps:wsp>
                      <wps:cNvSpPr/>
                      <wps:spPr>
                        <a:xfrm>
                          <a:off x="0" y="0"/>
                          <a:ext cx="552893" cy="116958"/>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20280C" id="Rectangle 1" o:spid="_x0000_s1026" style="position:absolute;margin-left:97.1pt;margin-top:1.5pt;width:43.55pt;height:9.2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" fillcolor="#4472c4 [3204]" strokecolor="#09101d [484]" strokeweight="1pt"/>
            </w:pict>
          </mc:Fallback>
        </mc:AlternateContent>
      </w:r>
    </w:p>
    <w:p w14:paraId="1F076E59" w14:textId="3382A304" w:rsidR="000A0568" w:rsidRPr="00AA4DFA" w:rsidRDefault="00457AE6" w:rsidP="000A0568">
      <w:pPr>
        <w:tabs>
          <w:tab w:val="left" w:pos="1025"/>
        </w:tabs>
        <w:spacing w:before="140"/>
        <w:ind w:left="360"/>
        <w:rPr>
          <w:rFonts w:ascii="Calibri" w:eastAsia="Calibri" w:hAnsi="Calibri" w:cs="Mangal"/>
          <w:b/>
          <w:szCs w:val="20"/>
          <w14:ligatures w14:val="standardContextual"/>
        </w:rPr>
      </w:pPr>
      <w:r>
        <w:rPr>
          <w:rFonts w:ascii="Calibri" w:eastAsia="Calibri" w:hAnsi="Calibri" w:cs="Mangal"/>
          <w:b/>
          <w:noProof/>
          <w:szCs w:val="20"/>
          <w14:ligatures w14:val="standardContextual"/>
        </w:rPr>
        <mc:AlternateContent>
          <mc:Choice Requires="wps">
            <w:drawing>
              <wp:anchor distT="0" distB="0" distL="114300" distR="114300" simplePos="0" relativeHeight="251667456" behindDoc="0" locked="0" layoutInCell="1" allowOverlap="1" wp14:anchorId="272FE68E" wp14:editId="7CF4C044">
                <wp:simplePos x="0" y="0"/>
                <wp:positionH relativeFrom="column">
                  <wp:posOffset>4061637</wp:posOffset>
                </wp:positionH>
                <wp:positionV relativeFrom="paragraph">
                  <wp:posOffset>95028</wp:posOffset>
                </wp:positionV>
                <wp:extent cx="552893" cy="116958"/>
                <wp:effectExtent l="0" t="0" r="19050" b="16510"/>
                <wp:wrapNone/>
                <wp:docPr id="182208199" name="Rectangle 1"/>
                <wp:cNvGraphicFramePr/>
                <a:graphic xmlns:a="http://schemas.openxmlformats.org/drawingml/2006/main">
                  <a:graphicData uri="http://schemas.microsoft.com/office/word/2010/wordprocessingShape">
                    <wps:wsp>
                      <wps:cNvSpPr/>
                      <wps:spPr>
                        <a:xfrm>
                          <a:off x="0" y="0"/>
                          <a:ext cx="552893" cy="116958"/>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41B0C5" id="Rectangle 1" o:spid="_x0000_s1026" style="position:absolute;margin-left:319.8pt;margin-top:7.5pt;width:43.55pt;height:9.2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" fillcolor="#4472c4 [3204]" strokecolor="#09101d [484]" strokeweight="1pt"/>
            </w:pict>
          </mc:Fallback>
        </mc:AlternateContent>
      </w:r>
    </w:p>
    <w:p w14:paraId="7B21026D" w14:textId="4D045E55" w:rsidR="000A0568" w:rsidRPr="00AA4DFA" w:rsidRDefault="000A0568" w:rsidP="000A0568">
      <w:pPr>
        <w:tabs>
          <w:tab w:val="left" w:pos="1025"/>
        </w:tabs>
        <w:spacing w:before="140"/>
        <w:ind w:left="360"/>
        <w:rPr>
          <w:rFonts w:ascii="Calibri" w:eastAsia="Calibri" w:hAnsi="Calibri" w:cs="Mangal"/>
          <w:b/>
          <w:szCs w:val="20"/>
          <w14:ligatures w14:val="standardContextual"/>
        </w:rPr>
      </w:pPr>
    </w:p>
    <w:p w14:paraId="3C671558" w14:textId="77777777" w:rsidR="002D638B" w:rsidRPr="00AA4DFA" w:rsidRDefault="002D638B" w:rsidP="000A0568">
      <w:pPr>
        <w:tabs>
          <w:tab w:val="left" w:pos="1025"/>
        </w:tabs>
        <w:spacing w:before="140"/>
        <w:ind w:left="360"/>
        <w:rPr>
          <w:rFonts w:ascii="Calibri" w:eastAsia="Calibri" w:hAnsi="Calibri" w:cs="Mangal"/>
          <w:b/>
          <w:szCs w:val="20"/>
          <w14:ligatures w14:val="standardContextual"/>
        </w:rPr>
      </w:pPr>
    </w:p>
    <w:p w14:paraId="59AAB3A6" w14:textId="77777777" w:rsidR="002D638B" w:rsidRPr="00AA4DFA" w:rsidRDefault="002D638B" w:rsidP="000A0568">
      <w:pPr>
        <w:tabs>
          <w:tab w:val="left" w:pos="1025"/>
        </w:tabs>
        <w:spacing w:before="140"/>
        <w:ind w:left="360"/>
        <w:rPr>
          <w:rFonts w:ascii="Calibri" w:eastAsia="Calibri" w:hAnsi="Calibri" w:cs="Mangal"/>
          <w:b/>
          <w:szCs w:val="20"/>
          <w14:ligatures w14:val="standardContextual"/>
        </w:rPr>
      </w:pPr>
    </w:p>
    <w:p w14:paraId="04BAC99D" w14:textId="77777777" w:rsidR="000A0568" w:rsidRPr="00AA4DFA" w:rsidRDefault="000A0568" w:rsidP="000A0568">
      <w:pPr>
        <w:tabs>
          <w:tab w:val="left" w:pos="1025"/>
        </w:tabs>
        <w:spacing w:before="140"/>
        <w:rPr>
          <w:rFonts w:ascii="Calibri" w:eastAsia="Calibri" w:hAnsi="Calibri" w:cs="Mangal"/>
          <w:b/>
          <w:szCs w:val="20"/>
          <w14:ligatures w14:val="standardContextual"/>
        </w:rPr>
      </w:pPr>
    </w:p>
    <w:p w14:paraId="0CD54B81" w14:textId="77777777" w:rsidR="000A0568" w:rsidRPr="00AA4DFA" w:rsidRDefault="000A0568" w:rsidP="000A0568">
      <w:pPr>
        <w:tabs>
          <w:tab w:val="left" w:pos="1025"/>
        </w:tabs>
        <w:spacing w:before="140"/>
        <w:ind w:left="360"/>
        <w:jc w:val="center"/>
        <w:rPr>
          <w:rFonts w:eastAsia="Calibri"/>
          <w:b/>
          <w:bCs/>
          <w:noProof/>
          <w14:ligatures w14:val="standardContextual"/>
        </w:rPr>
      </w:pPr>
      <w:r w:rsidRPr="00AA4DFA">
        <w:rPr>
          <w:rFonts w:eastAsia="Calibri"/>
          <w:b/>
          <w:bCs/>
          <w:noProof/>
          <w14:ligatures w14:val="standardContextual"/>
        </w:rPr>
        <w:t>Plant protection measures adopted in brinjal during the course of investigation.</w:t>
      </w:r>
    </w:p>
    <w:p w14:paraId="6DBE4191" w14:textId="77777777" w:rsidR="000A0568" w:rsidRPr="00AA4DFA" w:rsidRDefault="000A0568" w:rsidP="000A0568">
      <w:pPr>
        <w:tabs>
          <w:tab w:val="left" w:pos="1025"/>
        </w:tabs>
        <w:spacing w:before="140"/>
        <w:ind w:left="360"/>
        <w:rPr>
          <w:rFonts w:ascii="Calibri" w:eastAsia="Calibri" w:hAnsi="Calibri" w:cs="Mangal"/>
          <w:noProof/>
          <w:szCs w:val="20"/>
          <w14:ligatures w14:val="standardContextual"/>
        </w:rPr>
      </w:pPr>
      <w:r w:rsidRPr="00AA4DFA">
        <w:rPr>
          <w:rFonts w:ascii="Calibri" w:eastAsia="Calibri" w:hAnsi="Calibri" w:cs="Mangal"/>
          <w:noProof/>
          <w:szCs w:val="20"/>
          <w14:ligatures w14:val="standardContextual"/>
        </w:rPr>
        <w:drawing>
          <wp:anchor distT="0" distB="0" distL="114300" distR="114300" simplePos="0" relativeHeight="251663360" behindDoc="0" locked="0" layoutInCell="1" allowOverlap="1" wp14:anchorId="5C9B3745" wp14:editId="49A438CB">
            <wp:simplePos x="0" y="0"/>
            <wp:positionH relativeFrom="column">
              <wp:posOffset>3705832</wp:posOffset>
            </wp:positionH>
            <wp:positionV relativeFrom="paragraph">
              <wp:posOffset>101573</wp:posOffset>
            </wp:positionV>
            <wp:extent cx="1608455" cy="2136140"/>
            <wp:effectExtent l="0" t="0" r="0" b="0"/>
            <wp:wrapNone/>
            <wp:docPr id="710114685"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114685" name="Picture 710114685"/>
                    <pic:cNvPicPr/>
                  </pic:nvPicPr>
                  <pic:blipFill rotWithShape="1">
                    <a:blip r:embed="rId10" cstate="print">
                      <a:extLst>
                        <a:ext uri="{28A0092B-C50C-407E-A947-70E740481C1C}">
                          <a14:useLocalDpi xmlns:a14="http://schemas.microsoft.com/office/drawing/2010/main" val="0"/>
                        </a:ext>
                      </a:extLst>
                    </a:blip>
                    <a:srcRect t="23267"/>
                    <a:stretch>
                      <a:fillRect/>
                    </a:stretch>
                  </pic:blipFill>
                  <pic:spPr bwMode="auto">
                    <a:xfrm>
                      <a:off x="0" y="0"/>
                      <a:ext cx="1609818" cy="2137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A4DFA">
        <w:rPr>
          <w:rFonts w:ascii="Calibri" w:eastAsia="Calibri" w:hAnsi="Calibri" w:cs="Mangal"/>
          <w:noProof/>
          <w:szCs w:val="20"/>
          <w14:ligatures w14:val="standardContextual"/>
        </w:rPr>
        <w:drawing>
          <wp:anchor distT="0" distB="0" distL="114300" distR="114300" simplePos="0" relativeHeight="251664384" behindDoc="0" locked="0" layoutInCell="1" allowOverlap="1" wp14:anchorId="3C239EB6" wp14:editId="3D8C733A">
            <wp:simplePos x="0" y="0"/>
            <wp:positionH relativeFrom="column">
              <wp:posOffset>710118</wp:posOffset>
            </wp:positionH>
            <wp:positionV relativeFrom="paragraph">
              <wp:posOffset>96967</wp:posOffset>
            </wp:positionV>
            <wp:extent cx="1645920" cy="2136349"/>
            <wp:effectExtent l="0" t="0" r="0" b="0"/>
            <wp:wrapNone/>
            <wp:docPr id="197302851"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02851" name="Picture 197302851"/>
                    <pic:cNvPicPr/>
                  </pic:nvPicPr>
                  <pic:blipFill rotWithShape="1">
                    <a:blip r:embed="rId11" cstate="print">
                      <a:extLst>
                        <a:ext uri="{28A0092B-C50C-407E-A947-70E740481C1C}">
                          <a14:useLocalDpi xmlns:a14="http://schemas.microsoft.com/office/drawing/2010/main" val="0"/>
                        </a:ext>
                      </a:extLst>
                    </a:blip>
                    <a:srcRect t="26993"/>
                    <a:stretch>
                      <a:fillRect/>
                    </a:stretch>
                  </pic:blipFill>
                  <pic:spPr bwMode="auto">
                    <a:xfrm>
                      <a:off x="0" y="0"/>
                      <a:ext cx="1645920" cy="21363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6E6503C" w14:textId="77777777" w:rsidR="000A0568" w:rsidRPr="00AA4DFA" w:rsidRDefault="000A0568" w:rsidP="000A0568">
      <w:pPr>
        <w:tabs>
          <w:tab w:val="left" w:pos="1025"/>
        </w:tabs>
        <w:spacing w:before="140"/>
        <w:ind w:left="360"/>
        <w:rPr>
          <w:rFonts w:ascii="Calibri" w:eastAsia="Calibri" w:hAnsi="Calibri" w:cs="Mangal"/>
          <w:noProof/>
          <w:szCs w:val="20"/>
          <w14:ligatures w14:val="standardContextual"/>
        </w:rPr>
      </w:pPr>
    </w:p>
    <w:p w14:paraId="3CA0F1AD" w14:textId="77777777" w:rsidR="000A0568" w:rsidRPr="00AA4DFA" w:rsidRDefault="000A0568" w:rsidP="000A0568">
      <w:pPr>
        <w:tabs>
          <w:tab w:val="left" w:pos="1025"/>
        </w:tabs>
        <w:spacing w:before="140"/>
        <w:ind w:left="360"/>
        <w:rPr>
          <w:rFonts w:ascii="Calibri" w:eastAsia="Calibri" w:hAnsi="Calibri" w:cs="Mangal"/>
          <w:noProof/>
          <w:szCs w:val="20"/>
          <w14:ligatures w14:val="standardContextual"/>
        </w:rPr>
      </w:pPr>
    </w:p>
    <w:p w14:paraId="05645890" w14:textId="77777777" w:rsidR="000A0568" w:rsidRPr="00AA4DFA" w:rsidRDefault="000A0568" w:rsidP="000A0568">
      <w:pPr>
        <w:tabs>
          <w:tab w:val="left" w:pos="1025"/>
        </w:tabs>
        <w:spacing w:before="140"/>
        <w:ind w:left="360"/>
        <w:rPr>
          <w:rFonts w:ascii="Calibri" w:eastAsia="Calibri" w:hAnsi="Calibri" w:cs="Mangal"/>
          <w:b/>
          <w:szCs w:val="20"/>
          <w14:ligatures w14:val="standardContextual"/>
        </w:rPr>
      </w:pPr>
    </w:p>
    <w:p w14:paraId="75A63033" w14:textId="77777777" w:rsidR="000A0568" w:rsidRPr="00AA4DFA" w:rsidRDefault="000A0568" w:rsidP="000A0568">
      <w:pPr>
        <w:tabs>
          <w:tab w:val="left" w:pos="1025"/>
        </w:tabs>
        <w:spacing w:before="140"/>
        <w:ind w:left="360"/>
        <w:rPr>
          <w:rFonts w:ascii="Calibri" w:eastAsia="Calibri" w:hAnsi="Calibri" w:cs="Mangal"/>
          <w:b/>
          <w:szCs w:val="20"/>
          <w14:ligatures w14:val="standardContextual"/>
        </w:rPr>
      </w:pPr>
    </w:p>
    <w:p w14:paraId="039414F5" w14:textId="77777777" w:rsidR="000A0568" w:rsidRPr="00AA4DFA" w:rsidRDefault="000A0568" w:rsidP="000A0568">
      <w:pPr>
        <w:tabs>
          <w:tab w:val="left" w:pos="1025"/>
        </w:tabs>
        <w:spacing w:before="140"/>
        <w:ind w:left="360"/>
        <w:rPr>
          <w:rFonts w:ascii="Calibri" w:eastAsia="Calibri" w:hAnsi="Calibri" w:cs="Mangal"/>
          <w:b/>
          <w:szCs w:val="20"/>
          <w14:ligatures w14:val="standardContextual"/>
        </w:rPr>
      </w:pPr>
    </w:p>
    <w:p w14:paraId="62F4BB5E" w14:textId="77777777" w:rsidR="000A0568" w:rsidRPr="00AA4DFA" w:rsidRDefault="000A0568" w:rsidP="000A0568">
      <w:pPr>
        <w:tabs>
          <w:tab w:val="left" w:pos="1025"/>
        </w:tabs>
        <w:spacing w:before="140"/>
        <w:ind w:left="360"/>
        <w:rPr>
          <w:rFonts w:ascii="Calibri" w:eastAsia="Calibri" w:hAnsi="Calibri" w:cs="Mangal"/>
          <w:b/>
          <w:szCs w:val="20"/>
          <w14:ligatures w14:val="standardContextual"/>
        </w:rPr>
      </w:pPr>
    </w:p>
    <w:p w14:paraId="61C4E01C" w14:textId="77777777" w:rsidR="000A0568" w:rsidRPr="00AA4DFA" w:rsidRDefault="000A0568" w:rsidP="000A0568">
      <w:pPr>
        <w:tabs>
          <w:tab w:val="left" w:pos="1025"/>
        </w:tabs>
        <w:spacing w:before="140"/>
        <w:ind w:left="360"/>
        <w:rPr>
          <w:rFonts w:ascii="Calibri" w:eastAsia="Calibri" w:hAnsi="Calibri" w:cs="Mangal"/>
          <w:b/>
          <w:szCs w:val="20"/>
          <w14:ligatures w14:val="standardContextual"/>
        </w:rPr>
      </w:pPr>
    </w:p>
    <w:p w14:paraId="58D67FA4" w14:textId="77777777" w:rsidR="000A0568" w:rsidRPr="00AA4DFA" w:rsidRDefault="000A0568" w:rsidP="009A096D">
      <w:pPr>
        <w:spacing w:line="360" w:lineRule="auto"/>
        <w:ind w:right="14" w:firstLine="720"/>
        <w:jc w:val="both"/>
        <w:rPr>
          <w:rFonts w:eastAsia="Calibri"/>
          <w:b/>
          <w:bCs/>
          <w:szCs w:val="20"/>
          <w14:ligatures w14:val="standardContextual"/>
        </w:rPr>
      </w:pPr>
    </w:p>
    <w:p w14:paraId="37EB9EE1" w14:textId="77777777" w:rsidR="009A096D" w:rsidRPr="00AA4DFA" w:rsidRDefault="009A096D" w:rsidP="00B2387E">
      <w:pPr>
        <w:pStyle w:val="Heading1"/>
        <w:spacing w:before="0" w:after="0" w:line="360" w:lineRule="auto"/>
        <w:rPr>
          <w:rFonts w:ascii="Times New Roman" w:hAnsi="Times New Roman" w:cs="Times New Roman"/>
          <w:b/>
          <w:bCs/>
          <w:color w:val="000000" w:themeColor="text1"/>
          <w:sz w:val="24"/>
          <w:szCs w:val="24"/>
        </w:rPr>
      </w:pPr>
      <w:r w:rsidRPr="00AA4DFA">
        <w:rPr>
          <w:rFonts w:ascii="Times New Roman" w:hAnsi="Times New Roman" w:cs="Times New Roman"/>
          <w:b/>
          <w:bCs/>
          <w:color w:val="000000" w:themeColor="text1"/>
          <w:sz w:val="24"/>
          <w:szCs w:val="24"/>
        </w:rPr>
        <w:t>3. Results and Discussion</w:t>
      </w:r>
    </w:p>
    <w:p w14:paraId="653AF195" w14:textId="77777777" w:rsidR="008B4833" w:rsidRPr="00AA4DFA" w:rsidRDefault="008B4833" w:rsidP="008B4833">
      <w:pPr>
        <w:rPr>
          <w:b/>
          <w:bCs/>
        </w:rPr>
      </w:pPr>
      <w:r w:rsidRPr="00AA4DFA">
        <w:rPr>
          <w:b/>
          <w:bCs/>
        </w:rPr>
        <w:t>3.1 Growth parameters</w:t>
      </w:r>
    </w:p>
    <w:p w14:paraId="2152C4C9" w14:textId="77777777" w:rsidR="008B4833" w:rsidRPr="00AA4DFA" w:rsidRDefault="008B4833" w:rsidP="008B4833">
      <w:pPr>
        <w:rPr>
          <w:b/>
          <w:bCs/>
        </w:rPr>
      </w:pPr>
    </w:p>
    <w:p w14:paraId="7F541CD2" w14:textId="450DFF49" w:rsidR="00D061EA" w:rsidRPr="00AA4DFA" w:rsidRDefault="005F7857" w:rsidP="005F7857">
      <w:pPr>
        <w:spacing w:line="360" w:lineRule="auto"/>
        <w:ind w:right="14" w:firstLine="720"/>
        <w:jc w:val="both"/>
        <w:rPr>
          <w:rFonts w:eastAsia="Calibri"/>
          <w:b/>
          <w:bCs/>
          <w:szCs w:val="20"/>
          <w14:ligatures w14:val="standardContextual"/>
        </w:rPr>
      </w:pPr>
      <w:r w:rsidRPr="00AA4DFA">
        <w:t xml:space="preserve">Data presented in Table 1 and Figs. 1 and 2 indicated significant differences among the organic and chemical fertiliser treatments for plant height at all stages of crop growth. Treatment T₉ (vermicompost @ 3 t/ha + FYM @ 6.25 t/ha + 50% RDF) recorded the maximum plant height (28.40, 42.59 and 62.59 cm) and number of leaves per plant (18.60, 33.43 and 54.10) at 30, 60 and 90 DAT, respectively. This was followed by T₆ (vermicompost @ 3 t/ha + 50% RDF), which recorded plant heights of 26.47, 38.89 and 57.89 cm and 17.50, 30.27 and 52.93 leaves per plant at the respective stages. Treatment T₅ (FYM @ 12.5 t/ha + 50% RDF) also recorded higher values than the control. In contrast, the minimum plant height (11.78, 18.97 and 30.64 cm) and number of leaves (9.57, 15.33 and 28.63) at 30, 60 and 90 DAT, respectively, were observed under T₁ </w:t>
      </w:r>
      <w:r w:rsidRPr="00AA4DFA">
        <w:lastRenderedPageBreak/>
        <w:t xml:space="preserve">(absolute control). The improved plant height and number of leaves per plant in T₉ may be attributed to a balanced and sustained nutrient supply through the combined application of vermicompost, FYM and inorganic fertilisers, which may have supported nutrient uptake, photosynthetic activity, cell division and cell elongation, thereby improving overall vegetative growth. The organic manures may also have improved soil physical properties, microbial activity and nutrient availability. These results are in accordance with the findings of Kumar (2016), Khan </w:t>
      </w:r>
      <w:r w:rsidRPr="00AA4DFA">
        <w:rPr>
          <w:i/>
        </w:rPr>
        <w:t>et al.</w:t>
      </w:r>
      <w:r w:rsidRPr="00AA4DFA">
        <w:t xml:space="preserve"> </w:t>
      </w:r>
      <w:r w:rsidRPr="006A4655">
        <w:rPr>
          <w:lang w:val="nl-BE"/>
        </w:rPr>
        <w:t xml:space="preserve">(2017), Singh and Thakur (2018), </w:t>
      </w:r>
      <w:r w:rsidR="006A4655" w:rsidRPr="006A4655">
        <w:rPr>
          <w:lang w:val="nl-BE"/>
        </w:rPr>
        <w:t>Guedes</w:t>
      </w:r>
      <w:r w:rsidRPr="006A4655">
        <w:rPr>
          <w:lang w:val="nl-BE"/>
        </w:rPr>
        <w:t xml:space="preserve"> </w:t>
      </w:r>
      <w:r w:rsidRPr="006A4655">
        <w:rPr>
          <w:i/>
          <w:lang w:val="nl-BE"/>
        </w:rPr>
        <w:t>et al.</w:t>
      </w:r>
      <w:r w:rsidRPr="006A4655">
        <w:rPr>
          <w:lang w:val="nl-BE"/>
        </w:rPr>
        <w:t xml:space="preserve"> (2018), Singh </w:t>
      </w:r>
      <w:r w:rsidRPr="006A4655">
        <w:rPr>
          <w:i/>
          <w:lang w:val="nl-BE"/>
        </w:rPr>
        <w:t>et al.</w:t>
      </w:r>
      <w:r w:rsidRPr="006A4655">
        <w:rPr>
          <w:lang w:val="nl-BE"/>
        </w:rPr>
        <w:t xml:space="preserve"> (2017), Arivazhagan </w:t>
      </w:r>
      <w:r w:rsidRPr="006A4655">
        <w:rPr>
          <w:i/>
          <w:lang w:val="nl-BE"/>
        </w:rPr>
        <w:t>et al.</w:t>
      </w:r>
      <w:r w:rsidRPr="006A4655">
        <w:rPr>
          <w:lang w:val="nl-BE"/>
        </w:rPr>
        <w:t xml:space="preserve"> (2019), Mohit </w:t>
      </w:r>
      <w:r w:rsidRPr="006A4655">
        <w:rPr>
          <w:i/>
          <w:lang w:val="nl-BE"/>
        </w:rPr>
        <w:t>et al.</w:t>
      </w:r>
      <w:r w:rsidRPr="006A4655">
        <w:rPr>
          <w:lang w:val="nl-BE"/>
        </w:rPr>
        <w:t xml:space="preserve"> (2019), Kumar </w:t>
      </w:r>
      <w:r w:rsidRPr="006A4655">
        <w:rPr>
          <w:i/>
          <w:lang w:val="nl-BE"/>
        </w:rPr>
        <w:t>et al.</w:t>
      </w:r>
      <w:r w:rsidRPr="006A4655">
        <w:rPr>
          <w:lang w:val="nl-BE"/>
        </w:rPr>
        <w:t xml:space="preserve"> </w:t>
      </w:r>
      <w:r w:rsidRPr="00AA4DFA">
        <w:t xml:space="preserve">(2020), Palia </w:t>
      </w:r>
      <w:r w:rsidRPr="00AA4DFA">
        <w:rPr>
          <w:i/>
        </w:rPr>
        <w:t>et al.</w:t>
      </w:r>
      <w:r w:rsidRPr="00AA4DFA">
        <w:t xml:space="preserve"> (2021), and Devi and </w:t>
      </w:r>
      <w:proofErr w:type="spellStart"/>
      <w:r w:rsidRPr="00AA4DFA">
        <w:t>Kanaujia</w:t>
      </w:r>
      <w:proofErr w:type="spellEnd"/>
      <w:r w:rsidRPr="00AA4DFA">
        <w:t xml:space="preserve"> (2020).</w:t>
      </w:r>
    </w:p>
    <w:p w14:paraId="58E2A145" w14:textId="77777777" w:rsidR="00383EBB" w:rsidRPr="00AA4DFA" w:rsidRDefault="00383EBB" w:rsidP="005F7857">
      <w:pPr>
        <w:spacing w:line="360" w:lineRule="auto"/>
        <w:ind w:right="14" w:firstLine="720"/>
        <w:jc w:val="both"/>
        <w:rPr>
          <w:rFonts w:eastAsia="Calibri"/>
          <w:szCs w:val="20"/>
          <w:lang w:val="en-US"/>
          <w14:ligatures w14:val="standardContextual"/>
        </w:rPr>
      </w:pPr>
    </w:p>
    <w:p w14:paraId="0951AD03" w14:textId="77777777" w:rsidR="00D061EA" w:rsidRPr="00AA4DFA" w:rsidRDefault="00D061EA" w:rsidP="00B2387E">
      <w:pPr>
        <w:spacing w:line="276" w:lineRule="auto"/>
        <w:ind w:right="14"/>
        <w:jc w:val="center"/>
        <w:rPr>
          <w:rFonts w:eastAsia="Calibri"/>
          <w:b/>
          <w:bCs/>
          <w:szCs w:val="20"/>
          <w14:ligatures w14:val="standardContextual"/>
        </w:rPr>
      </w:pPr>
      <w:r w:rsidRPr="00AA4DFA">
        <w:rPr>
          <w:b/>
          <w:bCs/>
          <w:color w:val="000000" w:themeColor="text1"/>
          <w:lang w:val="en-US"/>
        </w:rPr>
        <w:t>Fig. 1. Effect of different organic and chemical fertilizer treatments on plant height (cm) of brinjal at 30, 60 and 90 DAT.</w:t>
      </w:r>
    </w:p>
    <w:p w14:paraId="1D66F082" w14:textId="77777777" w:rsidR="00D061EA" w:rsidRPr="00AA4DFA" w:rsidRDefault="00D061EA" w:rsidP="00B2387E">
      <w:pPr>
        <w:spacing w:line="360" w:lineRule="auto"/>
        <w:ind w:right="14"/>
        <w:jc w:val="both"/>
        <w:rPr>
          <w:rFonts w:eastAsia="Calibri"/>
          <w:szCs w:val="20"/>
          <w14:ligatures w14:val="standardContextual"/>
        </w:rPr>
      </w:pPr>
      <w:r w:rsidRPr="00AA4DFA">
        <w:rPr>
          <w:noProof/>
          <w:lang w:val="en-US" w:bidi="ar-SA"/>
        </w:rPr>
        <w:drawing>
          <wp:inline distT="0" distB="0" distL="0" distR="0" wp14:anchorId="79DD5177" wp14:editId="6E3E31A4">
            <wp:extent cx="5943600" cy="2019300"/>
            <wp:effectExtent l="0" t="0" r="0" b="0"/>
            <wp:docPr id="812501347" name="Chart 1">
              <a:extLst xmlns:a="http://schemas.openxmlformats.org/drawingml/2006/main">
                <a:ext uri="{FF2B5EF4-FFF2-40B4-BE49-F238E27FC236}">
                  <a16:creationId xmlns:a16="http://schemas.microsoft.com/office/drawing/2014/main" id="{BE2DF66E-91F8-AEB5-1743-DEF13BABBA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1256958" w14:textId="77777777" w:rsidR="00D061EA" w:rsidRPr="00AA4DFA" w:rsidRDefault="00D061EA" w:rsidP="00B2387E">
      <w:pPr>
        <w:spacing w:line="276" w:lineRule="auto"/>
        <w:ind w:right="14"/>
        <w:jc w:val="center"/>
        <w:rPr>
          <w:rFonts w:eastAsia="Calibri"/>
          <w:szCs w:val="20"/>
          <w:lang w:val="en-US"/>
          <w14:ligatures w14:val="standardContextual"/>
        </w:rPr>
      </w:pPr>
      <w:r w:rsidRPr="00AA4DFA">
        <w:rPr>
          <w:b/>
          <w:bCs/>
          <w:color w:val="000000" w:themeColor="text1"/>
          <w:lang w:val="en-US"/>
        </w:rPr>
        <w:t>Fig. 2. Effect of different organic and chemical fertilizer treatments on number of leaves per plant of brinjal at 30, 60 and 90 DAT</w:t>
      </w:r>
    </w:p>
    <w:p w14:paraId="63471EB2" w14:textId="77777777" w:rsidR="00D061EA" w:rsidRPr="00AA4DFA" w:rsidRDefault="00D061EA" w:rsidP="00D061EA">
      <w:pPr>
        <w:spacing w:line="360" w:lineRule="auto"/>
        <w:ind w:right="14"/>
        <w:jc w:val="both"/>
        <w:rPr>
          <w:rFonts w:eastAsia="Calibri"/>
          <w:szCs w:val="20"/>
          <w:lang w:val="en-US"/>
          <w14:ligatures w14:val="standardContextual"/>
        </w:rPr>
      </w:pPr>
      <w:r w:rsidRPr="00AA4DFA">
        <w:rPr>
          <w:noProof/>
        </w:rPr>
        <w:drawing>
          <wp:inline distT="0" distB="0" distL="0" distR="0" wp14:anchorId="7412AEC8" wp14:editId="641159F0">
            <wp:extent cx="5943600" cy="2038350"/>
            <wp:effectExtent l="0" t="0" r="0" b="0"/>
            <wp:docPr id="1546276203" name="Chart 1">
              <a:extLst xmlns:a="http://schemas.openxmlformats.org/drawingml/2006/main">
                <a:ext uri="{FF2B5EF4-FFF2-40B4-BE49-F238E27FC236}">
                  <a16:creationId xmlns:a16="http://schemas.microsoft.com/office/drawing/2014/main" id="{08E74563-F4C0-4F89-B692-C162400B08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A7188AD" w14:textId="77777777" w:rsidR="00B2387E" w:rsidRPr="00AA4DFA" w:rsidRDefault="001E7385" w:rsidP="00B2387E">
      <w:pPr>
        <w:spacing w:line="360" w:lineRule="auto"/>
        <w:ind w:right="14" w:firstLine="720"/>
        <w:jc w:val="both"/>
        <w:rPr>
          <w:rFonts w:eastAsia="Calibri"/>
          <w:b/>
          <w:bCs/>
          <w:szCs w:val="20"/>
          <w14:ligatures w14:val="standardContextual"/>
        </w:rPr>
      </w:pPr>
      <w:r w:rsidRPr="00AA4DFA">
        <w:t xml:space="preserve">Data presented in Table 1 and Fig. 3 showed that different organic and chemical fertiliser treatments had a significant effect on the number of branches per plant and stem girth. Among the </w:t>
      </w:r>
      <w:r w:rsidRPr="00AA4DFA">
        <w:lastRenderedPageBreak/>
        <w:t xml:space="preserve">treatments, the maximum number of branches per plant (12.93) was recorded under T₉ (vermicompost @ 3 t/ha + FYM @ 6.25 t/ha + 50% RDF), followed by T₇ (11.40) and T₆ (11.33), while the minimum (7.47) was observed under T₁ (absolute control). Similarly, the highest stem girth (3.18 cm) was recorded in T₉, followed by T₆ (3.12 cm), T₅ (3.04 cm) and T₈ (2.95 cm), whereas the lowest stem girth (2.30 cm) was observed in T₁ (absolute control). The enhanced branching and stem girth under T₉ may be attributed to a balanced and sustained nutrient supply, which promoted vegetative growth and physiological activities. Adequate nutrient availability stimulates cell division, axillary bud development and active cambial growth, resulting in increased branching and stem thickening. The present findings are in close conformity with those of Raj </w:t>
      </w:r>
      <w:r w:rsidRPr="00AA4DFA">
        <w:rPr>
          <w:i/>
        </w:rPr>
        <w:t>et al.</w:t>
      </w:r>
      <w:r w:rsidRPr="00AA4DFA">
        <w:t xml:space="preserve"> </w:t>
      </w:r>
      <w:r w:rsidRPr="006A4655">
        <w:rPr>
          <w:lang w:val="nl-BE"/>
        </w:rPr>
        <w:t xml:space="preserve">(2019), Sharma </w:t>
      </w:r>
      <w:r w:rsidRPr="006A4655">
        <w:rPr>
          <w:i/>
          <w:lang w:val="nl-BE"/>
        </w:rPr>
        <w:t>et al.</w:t>
      </w:r>
      <w:r w:rsidRPr="006A4655">
        <w:rPr>
          <w:lang w:val="nl-BE"/>
        </w:rPr>
        <w:t xml:space="preserve"> (2024), Kaur </w:t>
      </w:r>
      <w:r w:rsidRPr="006A4655">
        <w:rPr>
          <w:i/>
          <w:lang w:val="nl-BE"/>
        </w:rPr>
        <w:t>et al.</w:t>
      </w:r>
      <w:r w:rsidRPr="006A4655">
        <w:rPr>
          <w:lang w:val="nl-BE"/>
        </w:rPr>
        <w:t xml:space="preserve"> (2025), Shivran </w:t>
      </w:r>
      <w:r w:rsidRPr="006A4655">
        <w:rPr>
          <w:i/>
          <w:lang w:val="nl-BE"/>
        </w:rPr>
        <w:t>et al.</w:t>
      </w:r>
      <w:r w:rsidRPr="006A4655">
        <w:rPr>
          <w:lang w:val="nl-BE"/>
        </w:rPr>
        <w:t xml:space="preserve"> (2024), and Padhiary </w:t>
      </w:r>
      <w:r w:rsidRPr="006A4655">
        <w:rPr>
          <w:i/>
          <w:lang w:val="nl-BE"/>
        </w:rPr>
        <w:t>et al.</w:t>
      </w:r>
      <w:r w:rsidRPr="006A4655">
        <w:rPr>
          <w:lang w:val="nl-BE"/>
        </w:rPr>
        <w:t xml:space="preserve"> </w:t>
      </w:r>
      <w:r w:rsidRPr="00AA4DFA">
        <w:t>(2022).</w:t>
      </w:r>
    </w:p>
    <w:p w14:paraId="309531E9" w14:textId="77777777" w:rsidR="00B2387E" w:rsidRPr="00AA4DFA" w:rsidRDefault="00B2387E" w:rsidP="00B2387E">
      <w:pPr>
        <w:spacing w:line="360" w:lineRule="auto"/>
        <w:ind w:right="14" w:firstLine="720"/>
        <w:jc w:val="both"/>
        <w:rPr>
          <w:rFonts w:eastAsia="Calibri"/>
          <w:b/>
          <w:bCs/>
          <w:szCs w:val="20"/>
          <w14:ligatures w14:val="standardContextual"/>
        </w:rPr>
      </w:pPr>
    </w:p>
    <w:p w14:paraId="66A8820C" w14:textId="77777777" w:rsidR="00D061EA" w:rsidRPr="00AA4DFA" w:rsidRDefault="00D061EA" w:rsidP="00D061EA">
      <w:pPr>
        <w:spacing w:line="360" w:lineRule="auto"/>
        <w:ind w:right="14"/>
        <w:jc w:val="center"/>
        <w:rPr>
          <w:rFonts w:eastAsia="Calibri"/>
          <w:b/>
          <w:bCs/>
          <w:szCs w:val="20"/>
          <w14:ligatures w14:val="standardContextual"/>
        </w:rPr>
      </w:pPr>
      <w:r w:rsidRPr="00AA4DFA">
        <w:rPr>
          <w:rFonts w:eastAsia="Calibri"/>
          <w:b/>
          <w:bCs/>
          <w14:ligatures w14:val="standardContextual"/>
        </w:rPr>
        <w:t>Fig. 3. Effect of different organic and chemical fertilizer treatments on number of branches per plant and stem girth (cm) of brinjal</w:t>
      </w:r>
    </w:p>
    <w:p w14:paraId="6991EE5C" w14:textId="77777777" w:rsidR="00D061EA" w:rsidRPr="00AA4DFA" w:rsidRDefault="00D061EA" w:rsidP="00D061EA">
      <w:pPr>
        <w:spacing w:line="360" w:lineRule="auto"/>
        <w:ind w:right="14"/>
        <w:jc w:val="both"/>
        <w:rPr>
          <w:rFonts w:eastAsia="Calibri"/>
          <w:b/>
          <w:bCs/>
          <w:szCs w:val="20"/>
          <w14:ligatures w14:val="standardContextual"/>
        </w:rPr>
      </w:pPr>
      <w:r w:rsidRPr="00AA4DFA">
        <w:rPr>
          <w:noProof/>
        </w:rPr>
        <w:drawing>
          <wp:inline distT="0" distB="0" distL="0" distR="0" wp14:anchorId="3EAA4BDC" wp14:editId="693132FD">
            <wp:extent cx="5943600" cy="2843353"/>
            <wp:effectExtent l="0" t="0" r="0" b="14605"/>
            <wp:docPr id="1732917340" name="Chart 1">
              <a:extLst xmlns:a="http://schemas.openxmlformats.org/drawingml/2006/main">
                <a:ext uri="{FF2B5EF4-FFF2-40B4-BE49-F238E27FC236}">
                  <a16:creationId xmlns:a16="http://schemas.microsoft.com/office/drawing/2014/main" id="{AB666117-9039-41C8-A30B-3D027F8A91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E721DC2" w14:textId="77777777" w:rsidR="00B2387E" w:rsidRPr="00AA4DFA" w:rsidRDefault="00B2387E" w:rsidP="00B2387E">
      <w:pPr>
        <w:spacing w:line="360" w:lineRule="auto"/>
        <w:ind w:right="14"/>
        <w:jc w:val="both"/>
        <w:rPr>
          <w:rFonts w:eastAsia="Calibri"/>
          <w:b/>
          <w:bCs/>
          <w:szCs w:val="20"/>
          <w14:ligatures w14:val="standardContextual"/>
        </w:rPr>
      </w:pPr>
    </w:p>
    <w:p w14:paraId="1AEC6941" w14:textId="77777777" w:rsidR="00A03164" w:rsidRPr="00AA4DFA" w:rsidRDefault="00A03164" w:rsidP="00A03164">
      <w:pPr>
        <w:spacing w:line="360" w:lineRule="auto"/>
        <w:rPr>
          <w:b/>
          <w:bCs/>
        </w:rPr>
      </w:pPr>
      <w:r w:rsidRPr="00AA4DFA">
        <w:rPr>
          <w:b/>
          <w:bCs/>
        </w:rPr>
        <w:t>3.2 Flowering parameters</w:t>
      </w:r>
    </w:p>
    <w:p w14:paraId="7A8EAAEA" w14:textId="77777777" w:rsidR="005948C9" w:rsidRPr="00AA4DFA" w:rsidRDefault="005948C9" w:rsidP="00A03164">
      <w:pPr>
        <w:spacing w:line="360" w:lineRule="auto"/>
        <w:ind w:right="14" w:firstLine="720"/>
        <w:jc w:val="both"/>
        <w:rPr>
          <w:rFonts w:eastAsia="Calibri"/>
          <w:b/>
          <w:bCs/>
          <w:szCs w:val="20"/>
          <w14:ligatures w14:val="standardContextual"/>
        </w:rPr>
      </w:pPr>
      <w:r w:rsidRPr="00AA4DFA">
        <w:t xml:space="preserve">The data presented in Table 1 and Fig. 4 revealed that different organic and chemical fertiliser treatments significantly influenced flowering parameters of brinjal, including days to first flowering, days to 50% flowering and number of flowers per plant. Among the treatments, T₉ (vermicompost @ 3 t/ha + FYM @ 6.25 t/ha + 50% RDF) recorded the minimum days to first </w:t>
      </w:r>
      <w:r w:rsidRPr="00AA4DFA">
        <w:lastRenderedPageBreak/>
        <w:t xml:space="preserve">flowering (47.33 days) and 50% flowering (52.00 days), followed by T₅ and T₆ for first flowering (47.67 days) and T₆ for 50% flowering (53.33 days). The maximum days to first flowering (53.33 days) and 50% flowering (59.00 days) were observed under T₁ (absolute control). Similarly, the highest number of flowers per plant (46.55) was recorded in T₉, followed by T₆ (43.44), whereas the lowest number of flowers per plant (30.66) was recorded under T₁ (absolute control). The better performance of T₉ in reducing days to first flowering and days to 50% flowering, and in increasing the number of flowers per plant, may be due to the steady and balanced availability of nutrients through the combined application of vermicompost, FYM and inorganic fertilisers, which improved overall plant vigour and reproductive efficiency. Improved nutrient availability may promote photosynthetic efficiency and assimilate production, resulting in greater allocation of resources towards flower initiation and development. These results are in accordance with the findings of Hossain and Akter (2020), Kumar </w:t>
      </w:r>
      <w:r w:rsidRPr="00AA4DFA">
        <w:rPr>
          <w:i/>
        </w:rPr>
        <w:t>et al.</w:t>
      </w:r>
      <w:r w:rsidRPr="00AA4DFA">
        <w:t xml:space="preserve"> </w:t>
      </w:r>
      <w:r w:rsidRPr="006A4655">
        <w:rPr>
          <w:lang w:val="nl-BE"/>
        </w:rPr>
        <w:t xml:space="preserve">(2020), Shivran </w:t>
      </w:r>
      <w:r w:rsidRPr="006A4655">
        <w:rPr>
          <w:i/>
          <w:lang w:val="nl-BE"/>
        </w:rPr>
        <w:t>et al.</w:t>
      </w:r>
      <w:r w:rsidRPr="006A4655">
        <w:rPr>
          <w:lang w:val="nl-BE"/>
        </w:rPr>
        <w:t xml:space="preserve"> (2024), Singh </w:t>
      </w:r>
      <w:r w:rsidRPr="006A4655">
        <w:rPr>
          <w:i/>
          <w:lang w:val="nl-BE"/>
        </w:rPr>
        <w:t>et al.</w:t>
      </w:r>
      <w:r w:rsidRPr="006A4655">
        <w:rPr>
          <w:lang w:val="nl-BE"/>
        </w:rPr>
        <w:t xml:space="preserve"> (2025), Ajmeri </w:t>
      </w:r>
      <w:r w:rsidRPr="006A4655">
        <w:rPr>
          <w:i/>
          <w:lang w:val="nl-BE"/>
        </w:rPr>
        <w:t>et al.</w:t>
      </w:r>
      <w:r w:rsidRPr="006A4655">
        <w:rPr>
          <w:lang w:val="nl-BE"/>
        </w:rPr>
        <w:t xml:space="preserve"> (2024), and Thanh </w:t>
      </w:r>
      <w:r w:rsidRPr="006A4655">
        <w:rPr>
          <w:i/>
          <w:lang w:val="nl-BE"/>
        </w:rPr>
        <w:t>et al.</w:t>
      </w:r>
      <w:r w:rsidRPr="006A4655">
        <w:rPr>
          <w:lang w:val="nl-BE"/>
        </w:rPr>
        <w:t xml:space="preserve"> </w:t>
      </w:r>
      <w:r w:rsidRPr="00AA4DFA">
        <w:t>(2023).</w:t>
      </w:r>
    </w:p>
    <w:p w14:paraId="4E3FDE13" w14:textId="77777777" w:rsidR="00D061EA" w:rsidRPr="00AA4DFA" w:rsidRDefault="00D061EA" w:rsidP="00A03164">
      <w:pPr>
        <w:spacing w:line="360" w:lineRule="auto"/>
        <w:ind w:right="14" w:firstLine="720"/>
        <w:jc w:val="both"/>
        <w:rPr>
          <w:rFonts w:eastAsia="Calibri"/>
          <w:b/>
          <w:bCs/>
          <w:szCs w:val="20"/>
          <w14:ligatures w14:val="standardContextual"/>
        </w:rPr>
      </w:pPr>
    </w:p>
    <w:p w14:paraId="03375D8A" w14:textId="77777777" w:rsidR="00D061EA" w:rsidRPr="00AA4DFA" w:rsidRDefault="00D061EA" w:rsidP="00D061EA">
      <w:pPr>
        <w:spacing w:after="240"/>
        <w:ind w:right="14"/>
        <w:jc w:val="center"/>
        <w:rPr>
          <w:rFonts w:eastAsia="Calibri"/>
          <w14:ligatures w14:val="standardContextual"/>
        </w:rPr>
      </w:pPr>
      <w:r w:rsidRPr="00AA4DFA">
        <w:rPr>
          <w:rFonts w:eastAsia="Calibri"/>
          <w:b/>
          <w:bCs/>
          <w14:ligatures w14:val="standardContextual"/>
        </w:rPr>
        <w:t>Fig. 4. Effect of different organic and chemical fertilizer treatments on days to first flowering, number of flowers per plant and days to 50 % flowering of brinjal</w:t>
      </w:r>
    </w:p>
    <w:p w14:paraId="7E0C3A6A" w14:textId="77777777" w:rsidR="00B2387E" w:rsidRPr="00AA4DFA" w:rsidRDefault="00D061EA" w:rsidP="00A03164">
      <w:pPr>
        <w:spacing w:line="360" w:lineRule="auto"/>
        <w:rPr>
          <w:b/>
          <w:bCs/>
        </w:rPr>
      </w:pPr>
      <w:r w:rsidRPr="00AA4DFA">
        <w:rPr>
          <w:noProof/>
        </w:rPr>
        <w:drawing>
          <wp:inline distT="0" distB="0" distL="0" distR="0" wp14:anchorId="7A2BF4C6" wp14:editId="4FFD9844">
            <wp:extent cx="5943600" cy="2714625"/>
            <wp:effectExtent l="0" t="0" r="0" b="9525"/>
            <wp:docPr id="683663077" name="Chart 1">
              <a:extLst xmlns:a="http://schemas.openxmlformats.org/drawingml/2006/main">
                <a:ext uri="{FF2B5EF4-FFF2-40B4-BE49-F238E27FC236}">
                  <a16:creationId xmlns:a16="http://schemas.microsoft.com/office/drawing/2014/main" id="{4C58B10C-A61E-4C63-8754-226DAB752D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629F90F" w14:textId="77777777" w:rsidR="00A03164" w:rsidRPr="00AA4DFA" w:rsidRDefault="00A03164" w:rsidP="00A03164">
      <w:pPr>
        <w:spacing w:line="360" w:lineRule="auto"/>
        <w:rPr>
          <w:b/>
          <w:bCs/>
        </w:rPr>
      </w:pPr>
      <w:r w:rsidRPr="00AA4DFA">
        <w:rPr>
          <w:b/>
          <w:bCs/>
        </w:rPr>
        <w:t>3.3 Yield parameters</w:t>
      </w:r>
    </w:p>
    <w:p w14:paraId="03448B4C" w14:textId="4FF90401" w:rsidR="00B2387E" w:rsidRPr="00AA4DFA" w:rsidRDefault="00E0270D" w:rsidP="000C6BD7">
      <w:pPr>
        <w:spacing w:line="360" w:lineRule="auto"/>
        <w:ind w:right="14" w:firstLine="720"/>
        <w:jc w:val="both"/>
        <w:rPr>
          <w:rFonts w:eastAsia="Calibri"/>
          <w:szCs w:val="20"/>
          <w14:ligatures w14:val="standardContextual"/>
        </w:rPr>
      </w:pPr>
      <w:r w:rsidRPr="00AA4DFA">
        <w:t xml:space="preserve">The data presented in Table 2 and Fig. 5 indicated that different organic and chemical fertiliser treatments exerted a significant influence on the number of fruits per plant and individual fruit weight in brinjal. Among the treatments, the maximum number of fruits per plant (10.33) was recorded under T₉ (vermicompost @ 3 t/ha + FYM @ 6.25 t/ha + 50% RDF), followed by T₆ </w:t>
      </w:r>
      <w:r w:rsidRPr="00AA4DFA">
        <w:lastRenderedPageBreak/>
        <w:t xml:space="preserve">(9.73), T₅ (9.60) and T₈ (9.47), while the minimum (6.80) was observed under T₁ (absolute control). In contrast, the highest individual fruit weight (174.60 g) was recorded in T₆, followed by T₉ (167.27 g), T₅ (159.20 g) and T₈ (157.27 g), whereas the lowest fruit weight (125.40 g) was recorded under T₁ (absolute control). The higher number of fruits per plant and individual fruit weight in T₉ and T₆ may be attributed to improved flower retention, better pollination efficiency and reduced flower drop under balanced integrated nutrient management. Nitrogen improves pollen viability and fertilisation efficiency, while phosphorus supports pollen tube growth and successful fruit set. Potassium plays an important role in osmoregulation, sugar translocation and starch synthesis, thereby contributing to fruit enlargement and weight gain. </w:t>
      </w:r>
      <w:r w:rsidR="006A4655" w:rsidRPr="006A4655">
        <w:t>Vimala</w:t>
      </w:r>
      <w:r w:rsidRPr="00AA4DFA">
        <w:t xml:space="preserve"> </w:t>
      </w:r>
      <w:r w:rsidRPr="00AA4DFA">
        <w:rPr>
          <w:i/>
        </w:rPr>
        <w:t>et al.</w:t>
      </w:r>
      <w:r w:rsidRPr="00AA4DFA">
        <w:t xml:space="preserve"> (2015), </w:t>
      </w:r>
      <w:r w:rsidR="006A4655" w:rsidRPr="006A4655">
        <w:t>Saikumar</w:t>
      </w:r>
      <w:r w:rsidRPr="00AA4DFA">
        <w:t xml:space="preserve"> and Rao (2017), Khan </w:t>
      </w:r>
      <w:r w:rsidRPr="00AA4DFA">
        <w:rPr>
          <w:i/>
        </w:rPr>
        <w:t>et al.</w:t>
      </w:r>
      <w:r w:rsidRPr="00AA4DFA">
        <w:t xml:space="preserve"> (2017), Ali </w:t>
      </w:r>
      <w:r w:rsidRPr="00AA4DFA">
        <w:rPr>
          <w:i/>
        </w:rPr>
        <w:t>et al.</w:t>
      </w:r>
      <w:r w:rsidRPr="00AA4DFA">
        <w:t xml:space="preserve"> (2019), Chowdhury and Shaikh (202</w:t>
      </w:r>
      <w:r w:rsidR="006A4655">
        <w:t>0</w:t>
      </w:r>
      <w:r w:rsidRPr="00AA4DFA">
        <w:t xml:space="preserve">), and Paswan </w:t>
      </w:r>
      <w:r w:rsidRPr="00AA4DFA">
        <w:rPr>
          <w:i/>
        </w:rPr>
        <w:t>et al.</w:t>
      </w:r>
      <w:r w:rsidRPr="00AA4DFA">
        <w:t xml:space="preserve"> (2022) reported similar findings.</w:t>
      </w:r>
    </w:p>
    <w:p w14:paraId="77A083BA" w14:textId="77777777" w:rsidR="00D061EA" w:rsidRPr="00AA4DFA" w:rsidRDefault="00B2387E" w:rsidP="00B2387E">
      <w:pPr>
        <w:spacing w:after="240"/>
        <w:ind w:right="14"/>
        <w:jc w:val="center"/>
        <w:rPr>
          <w:rFonts w:eastAsia="Calibri"/>
          <w14:ligatures w14:val="standardContextual"/>
        </w:rPr>
      </w:pPr>
      <w:r w:rsidRPr="00AA4DFA">
        <w:rPr>
          <w:rFonts w:eastAsia="Calibri"/>
          <w:b/>
          <w:bCs/>
          <w14:ligatures w14:val="standardContextual"/>
        </w:rPr>
        <w:t>Fig. 5. Effect of different organic and chemical fertilizer treatments on number of fruits per plant and weight of individual fruit of brinjal</w:t>
      </w:r>
    </w:p>
    <w:p w14:paraId="63EA5B59" w14:textId="77777777" w:rsidR="00D061EA" w:rsidRPr="00AA4DFA" w:rsidRDefault="00D061EA" w:rsidP="00D061EA">
      <w:pPr>
        <w:spacing w:line="360" w:lineRule="auto"/>
        <w:ind w:right="14"/>
        <w:jc w:val="both"/>
        <w:rPr>
          <w:rFonts w:eastAsia="Calibri"/>
          <w:szCs w:val="20"/>
          <w14:ligatures w14:val="standardContextual"/>
        </w:rPr>
      </w:pPr>
      <w:r w:rsidRPr="00AA4DFA">
        <w:rPr>
          <w:noProof/>
        </w:rPr>
        <w:drawing>
          <wp:inline distT="0" distB="0" distL="0" distR="0" wp14:anchorId="4D4981C8" wp14:editId="3E703A6F">
            <wp:extent cx="5943600" cy="2858190"/>
            <wp:effectExtent l="0" t="0" r="0" b="18415"/>
            <wp:docPr id="779163209" name="Chart 1">
              <a:extLst xmlns:a="http://schemas.openxmlformats.org/drawingml/2006/main">
                <a:ext uri="{FF2B5EF4-FFF2-40B4-BE49-F238E27FC236}">
                  <a16:creationId xmlns:a16="http://schemas.microsoft.com/office/drawing/2014/main" id="{D24429F5-E370-4A92-A752-873D8FDF58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0BF61F0" w14:textId="64CD586E" w:rsidR="00240C2C" w:rsidRPr="00AA4DFA" w:rsidRDefault="00383EBB" w:rsidP="000C6BD7">
      <w:pPr>
        <w:spacing w:line="360" w:lineRule="auto"/>
        <w:ind w:right="14" w:firstLine="720"/>
        <w:jc w:val="both"/>
        <w:rPr>
          <w:rFonts w:eastAsia="Calibri"/>
          <w:b/>
          <w:bCs/>
          <w:szCs w:val="20"/>
          <w14:ligatures w14:val="standardContextual"/>
        </w:rPr>
      </w:pPr>
      <w:r w:rsidRPr="00AA4DFA">
        <w:t xml:space="preserve">According to the results summarised in Table 2 and Fig. 6, significant differences were observed among treatments for fruit length and fruit diameter. Fruit length was highest under T₉ (vermicompost @ 3 t/ha + FYM @ 6.25 t/ha + 50% RDF), followed by T₆ (8.02 cm), and lowest under T₁ (absolute control). The highest fruit diameter (7.45 cm) was recorded in T₆, followed by T₉ (7.39 cm), while the lowest fruit diameter (5.13 cm) was recorded in T₁ (absolute control). The improved fruit length under T₉ may be explained by better cell division and elongation, which could be due to the balanced nutrient supply resulting from integrated nutrient management and </w:t>
      </w:r>
      <w:r w:rsidRPr="00AA4DFA">
        <w:lastRenderedPageBreak/>
        <w:t xml:space="preserve">efficient assimilate translocation to developing fruits. Similarly, the high fruit diameter observed under T₆ might be attributed to greater nutrient availability, especially potassium, which improved carbohydrate metabolism, water regulation and assimilate transport, thereby increasing fruit size. These results are in accordance with the findings of </w:t>
      </w:r>
      <w:proofErr w:type="spellStart"/>
      <w:r w:rsidRPr="00AA4DFA">
        <w:t>Gajieva</w:t>
      </w:r>
      <w:proofErr w:type="spellEnd"/>
      <w:r w:rsidRPr="00AA4DFA">
        <w:t xml:space="preserve"> (2019), </w:t>
      </w:r>
      <w:r w:rsidR="006A4655" w:rsidRPr="006A4655">
        <w:t xml:space="preserve">Pravallika &amp; Deepanshu </w:t>
      </w:r>
      <w:r w:rsidRPr="00AA4DFA">
        <w:t>(20</w:t>
      </w:r>
      <w:r w:rsidR="006A4655">
        <w:t>20</w:t>
      </w:r>
      <w:r w:rsidRPr="00AA4DFA">
        <w:t xml:space="preserve">), Ujjwal </w:t>
      </w:r>
      <w:r w:rsidRPr="00AA4DFA">
        <w:rPr>
          <w:i/>
        </w:rPr>
        <w:t>et al.</w:t>
      </w:r>
      <w:r w:rsidRPr="00AA4DFA">
        <w:t xml:space="preserve"> (2022), Sireesha and Singh (2022), Thanh </w:t>
      </w:r>
      <w:r w:rsidRPr="00AA4DFA">
        <w:rPr>
          <w:i/>
        </w:rPr>
        <w:t>et al.</w:t>
      </w:r>
      <w:r w:rsidRPr="00AA4DFA">
        <w:t xml:space="preserve"> (2023), and Rathore </w:t>
      </w:r>
      <w:r w:rsidRPr="00AA4DFA">
        <w:rPr>
          <w:i/>
        </w:rPr>
        <w:t>et al.</w:t>
      </w:r>
      <w:r w:rsidRPr="00AA4DFA">
        <w:t xml:space="preserve"> (2023).</w:t>
      </w:r>
    </w:p>
    <w:p w14:paraId="391D10A6" w14:textId="77777777" w:rsidR="00B2387E" w:rsidRPr="00AA4DFA" w:rsidRDefault="00B2387E" w:rsidP="00B2387E">
      <w:pPr>
        <w:spacing w:after="240"/>
        <w:ind w:right="14"/>
        <w:jc w:val="center"/>
        <w:rPr>
          <w:rFonts w:eastAsia="Calibri"/>
          <w14:ligatures w14:val="standardContextual"/>
        </w:rPr>
      </w:pPr>
      <w:r w:rsidRPr="00AA4DFA">
        <w:rPr>
          <w:rFonts w:eastAsia="Calibri"/>
          <w:b/>
          <w:bCs/>
          <w14:ligatures w14:val="standardContextual"/>
        </w:rPr>
        <w:t>Fig. 6. Effect of different organic and chemical fertilizer treatments on length of fruits (cm) and diameter of fruit (cm) of brinjal</w:t>
      </w:r>
    </w:p>
    <w:p w14:paraId="2B148FB1" w14:textId="77777777" w:rsidR="00B2387E" w:rsidRPr="00AA4DFA" w:rsidRDefault="00B2387E" w:rsidP="00B2387E">
      <w:pPr>
        <w:spacing w:line="360" w:lineRule="auto"/>
        <w:ind w:right="14"/>
        <w:jc w:val="both"/>
        <w:rPr>
          <w:rFonts w:eastAsia="Calibri"/>
          <w:b/>
          <w:bCs/>
          <w:szCs w:val="20"/>
          <w14:ligatures w14:val="standardContextual"/>
        </w:rPr>
      </w:pPr>
      <w:r w:rsidRPr="00AA4DFA">
        <w:rPr>
          <w:noProof/>
        </w:rPr>
        <w:drawing>
          <wp:inline distT="0" distB="0" distL="0" distR="0" wp14:anchorId="0EC6CFB7" wp14:editId="1573E1E5">
            <wp:extent cx="5943600" cy="3178534"/>
            <wp:effectExtent l="0" t="0" r="0" b="3175"/>
            <wp:docPr id="1462616131" name="Chart 1">
              <a:extLst xmlns:a="http://schemas.openxmlformats.org/drawingml/2006/main">
                <a:ext uri="{FF2B5EF4-FFF2-40B4-BE49-F238E27FC236}">
                  <a16:creationId xmlns:a16="http://schemas.microsoft.com/office/drawing/2014/main" id="{6DE3018F-2371-46AF-90B4-06208F0609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ED9358B" w14:textId="77777777" w:rsidR="00D929E5" w:rsidRPr="00AA4DFA" w:rsidRDefault="00A03164" w:rsidP="00E757E5">
      <w:pPr>
        <w:spacing w:line="360" w:lineRule="auto"/>
        <w:ind w:right="14" w:firstLine="720"/>
        <w:jc w:val="both"/>
        <w:rPr>
          <w:rFonts w:eastAsia="Calibri"/>
          <w:b/>
          <w:bCs/>
          <w:szCs w:val="20"/>
          <w14:ligatures w14:val="standardContextual"/>
        </w:rPr>
      </w:pPr>
      <w:r w:rsidRPr="00AA4DFA">
        <w:t xml:space="preserve">The data presented in Table 2 and Fig. 7 revealed that different organic and chemical fertiliser treatments significantly influenced fruit yield per plant and fruit yield per hectare in brinjal. Among the treatments, the maximum fruit yield per plant (1661.71 g) and fruit yield per hectare (615.45 q/ha) were recorded under T₉ (vermicompost @ 3 t/ha + FYM @ 6.25 t/ha + 50% RDF), followed by T₆, which recorded 1644.29 g per plant and 609.00 q/ha. Treatments T₅ and T₈ also produced comparatively higher yields, whereas the minimum fruit yield per plant (852.36 g) and per hectare (315.69 q/ha) were observed under T₁ (absolute control). The higher yield under T₉ may be attributed to the synergistic effect of organic manures and inorganic fertilisers, which ensured a balanced nutrient supply, enhanced vegetative growth, flowering and fruit set, and supported efficient translocation of photosynthates to developing fruits, thereby increasing </w:t>
      </w:r>
      <w:r w:rsidRPr="00AA4DFA">
        <w:lastRenderedPageBreak/>
        <w:t xml:space="preserve">productivity. The present findings are in close conformity with those of Jat </w:t>
      </w:r>
      <w:r w:rsidRPr="00AA4DFA">
        <w:rPr>
          <w:i/>
        </w:rPr>
        <w:t>et al.</w:t>
      </w:r>
      <w:r w:rsidRPr="00AA4DFA">
        <w:t xml:space="preserve"> </w:t>
      </w:r>
      <w:r w:rsidRPr="006A4655">
        <w:rPr>
          <w:lang w:val="nl-BE"/>
        </w:rPr>
        <w:t xml:space="preserve">(2024), Kuzhalarasi </w:t>
      </w:r>
      <w:r w:rsidRPr="006A4655">
        <w:rPr>
          <w:i/>
          <w:lang w:val="nl-BE"/>
        </w:rPr>
        <w:t>et al.</w:t>
      </w:r>
      <w:r w:rsidRPr="006A4655">
        <w:rPr>
          <w:lang w:val="nl-BE"/>
        </w:rPr>
        <w:t xml:space="preserve"> (2024), Khatri </w:t>
      </w:r>
      <w:r w:rsidRPr="006A4655">
        <w:rPr>
          <w:i/>
          <w:lang w:val="nl-BE"/>
        </w:rPr>
        <w:t>et al.</w:t>
      </w:r>
      <w:r w:rsidRPr="006A4655">
        <w:rPr>
          <w:lang w:val="nl-BE"/>
        </w:rPr>
        <w:t xml:space="preserve"> (2025), Ghimirey </w:t>
      </w:r>
      <w:r w:rsidRPr="006A4655">
        <w:rPr>
          <w:i/>
          <w:lang w:val="nl-BE"/>
        </w:rPr>
        <w:t>et al.</w:t>
      </w:r>
      <w:r w:rsidRPr="006A4655">
        <w:rPr>
          <w:lang w:val="nl-BE"/>
        </w:rPr>
        <w:t xml:space="preserve"> (2025), and Verma </w:t>
      </w:r>
      <w:r w:rsidRPr="006A4655">
        <w:rPr>
          <w:i/>
          <w:lang w:val="nl-BE"/>
        </w:rPr>
        <w:t>et al.</w:t>
      </w:r>
      <w:r w:rsidRPr="006A4655">
        <w:rPr>
          <w:lang w:val="nl-BE"/>
        </w:rPr>
        <w:t xml:space="preserve"> </w:t>
      </w:r>
      <w:r w:rsidRPr="00AA4DFA">
        <w:t>(2025).</w:t>
      </w:r>
    </w:p>
    <w:p w14:paraId="7DE7F0D5" w14:textId="77777777" w:rsidR="000A0568" w:rsidRPr="00AA4DFA" w:rsidRDefault="000A0568" w:rsidP="00240C2C">
      <w:pPr>
        <w:spacing w:after="240"/>
        <w:ind w:right="14"/>
        <w:rPr>
          <w:rFonts w:eastAsia="Calibri"/>
          <w:b/>
          <w:bCs/>
          <w14:ligatures w14:val="standardContextual"/>
        </w:rPr>
      </w:pPr>
    </w:p>
    <w:p w14:paraId="460F0554" w14:textId="77777777" w:rsidR="00B2387E" w:rsidRPr="00AA4DFA" w:rsidRDefault="00B2387E" w:rsidP="00B2387E">
      <w:pPr>
        <w:spacing w:after="240"/>
        <w:ind w:right="14"/>
        <w:jc w:val="center"/>
        <w:rPr>
          <w:rFonts w:eastAsia="Calibri"/>
          <w14:ligatures w14:val="standardContextual"/>
        </w:rPr>
      </w:pPr>
      <w:r w:rsidRPr="00AA4DFA">
        <w:rPr>
          <w:rFonts w:eastAsia="Calibri"/>
          <w:b/>
          <w:bCs/>
          <w14:ligatures w14:val="standardContextual"/>
        </w:rPr>
        <w:t>Fig. 7. Effect of different organic and chemical fertilizer treatments on yield fruit per hectare (q/ha) and yield of fruit per plant (g) of brinjal</w:t>
      </w:r>
    </w:p>
    <w:p w14:paraId="494C3B5C" w14:textId="77777777" w:rsidR="00B2387E" w:rsidRPr="00AA4DFA" w:rsidRDefault="00B2387E" w:rsidP="00B2387E">
      <w:pPr>
        <w:spacing w:line="360" w:lineRule="auto"/>
        <w:ind w:right="14"/>
        <w:jc w:val="both"/>
        <w:rPr>
          <w:rFonts w:eastAsia="Calibri"/>
          <w:b/>
          <w:bCs/>
          <w:szCs w:val="20"/>
          <w14:ligatures w14:val="standardContextual"/>
        </w:rPr>
      </w:pPr>
      <w:r w:rsidRPr="00AA4DFA">
        <w:rPr>
          <w:noProof/>
        </w:rPr>
        <w:drawing>
          <wp:inline distT="0" distB="0" distL="0" distR="0" wp14:anchorId="7D22903D" wp14:editId="2FC233C5">
            <wp:extent cx="5943600" cy="2839924"/>
            <wp:effectExtent l="0" t="0" r="0" b="17780"/>
            <wp:docPr id="994561385" name="Chart 1">
              <a:extLst xmlns:a="http://schemas.openxmlformats.org/drawingml/2006/main">
                <a:ext uri="{FF2B5EF4-FFF2-40B4-BE49-F238E27FC236}">
                  <a16:creationId xmlns:a16="http://schemas.microsoft.com/office/drawing/2014/main" id="{53F3A7B6-5C6B-450C-893E-8F7714C279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C8E1C14" w14:textId="77777777" w:rsidR="00E757E5" w:rsidRPr="00AA4DFA" w:rsidRDefault="00E757E5" w:rsidP="00E757E5">
      <w:pPr>
        <w:spacing w:line="360" w:lineRule="auto"/>
        <w:ind w:right="14" w:firstLine="720"/>
        <w:jc w:val="both"/>
        <w:rPr>
          <w:rFonts w:eastAsia="Calibri"/>
          <w:b/>
          <w:bCs/>
          <w:szCs w:val="20"/>
          <w14:ligatures w14:val="standardContextual"/>
        </w:rPr>
      </w:pPr>
    </w:p>
    <w:p w14:paraId="42D7F512" w14:textId="77777777" w:rsidR="00E757E5" w:rsidRPr="00AA4DFA" w:rsidRDefault="00E757E5" w:rsidP="00E757E5">
      <w:pPr>
        <w:spacing w:line="360" w:lineRule="auto"/>
        <w:rPr>
          <w:b/>
          <w:bCs/>
        </w:rPr>
      </w:pPr>
      <w:r w:rsidRPr="00AA4DFA">
        <w:rPr>
          <w:b/>
          <w:bCs/>
        </w:rPr>
        <w:t>3.4 Quality parameters</w:t>
      </w:r>
    </w:p>
    <w:p w14:paraId="71E18A27" w14:textId="77777777" w:rsidR="00E757E5" w:rsidRPr="00AA4DFA" w:rsidRDefault="00383EBB" w:rsidP="00E757E5">
      <w:pPr>
        <w:spacing w:line="360" w:lineRule="auto"/>
        <w:ind w:right="14" w:firstLine="720"/>
        <w:jc w:val="both"/>
        <w:rPr>
          <w:rFonts w:eastAsia="Calibri"/>
          <w:b/>
          <w:bCs/>
          <w:szCs w:val="20"/>
          <w14:ligatures w14:val="standardContextual"/>
        </w:rPr>
      </w:pPr>
      <w:r w:rsidRPr="00AA4DFA">
        <w:t xml:space="preserve">From the data presented in Table 2 and Fig. 8, it is clear that different organic and chemical fertiliser treatments significantly influenced the quality parameters of brinjal, including TSS, ascorbic acid and anthocyanin content. Among the treatments, the highest TSS content (4.63 °Brix) was recorded in T₉ (vermicompost @ 3 t/ha + FYM @ 6.25 t/ha + 50% RDF), followed by T₆ (4.53 °Brix), whereas the lowest value (4.17 °Brix) was recorded under T₁ (absolute control). The significantly highest ascorbic acid (12.62 mg/100 g) and anthocyanin (22.35 mg/100 g) contents were recorded in T₆ (vermicompost @ 3 t/ha + 50% RDF), followed by T₉ (vermicompost @ 3 t/ha + FYM @ 6.25 t/ha + 50% RDF), while the lowest ascorbic acid (11.98 mg/100 g) and anthocyanin (21.38 mg/100 g) contents were recorded under T₁ (absolute control). The increased TSS under T₉ might be due to the balanced nutrient supply and increased biological activity in the soil, which may have enhanced sugar deposition in fruits. Similarly, the higher levels of ascorbic acid and anthocyanin in T₆ may be associated with greater nutrient availability, enhanced antioxidant metabolism and the activity of enzymes involved in vitamin C biosynthesis and </w:t>
      </w:r>
      <w:r w:rsidRPr="00AA4DFA">
        <w:lastRenderedPageBreak/>
        <w:t xml:space="preserve">phenylpropanoid metabolism, leading to increased pigment production. These results are in line with the findings of Pathak </w:t>
      </w:r>
      <w:r w:rsidRPr="00AA4DFA">
        <w:rPr>
          <w:i/>
        </w:rPr>
        <w:t>et al.</w:t>
      </w:r>
      <w:r w:rsidRPr="00AA4DFA">
        <w:t xml:space="preserve"> </w:t>
      </w:r>
      <w:r w:rsidRPr="006A4655">
        <w:rPr>
          <w:lang w:val="nl-BE"/>
        </w:rPr>
        <w:t xml:space="preserve">(2022), Sneha </w:t>
      </w:r>
      <w:r w:rsidRPr="006A4655">
        <w:rPr>
          <w:i/>
          <w:lang w:val="nl-BE"/>
        </w:rPr>
        <w:t>et al.</w:t>
      </w:r>
      <w:r w:rsidRPr="006A4655">
        <w:rPr>
          <w:lang w:val="nl-BE"/>
        </w:rPr>
        <w:t xml:space="preserve"> (2023), Choudhary and Saxena (2023), Xu </w:t>
      </w:r>
      <w:r w:rsidRPr="006A4655">
        <w:rPr>
          <w:i/>
          <w:lang w:val="nl-BE"/>
        </w:rPr>
        <w:t>et al.</w:t>
      </w:r>
      <w:r w:rsidRPr="006A4655">
        <w:rPr>
          <w:lang w:val="nl-BE"/>
        </w:rPr>
        <w:t xml:space="preserve"> (2024), Vardanian </w:t>
      </w:r>
      <w:r w:rsidRPr="006A4655">
        <w:rPr>
          <w:i/>
          <w:lang w:val="nl-BE"/>
        </w:rPr>
        <w:t>et al.</w:t>
      </w:r>
      <w:r w:rsidRPr="006A4655">
        <w:rPr>
          <w:lang w:val="nl-BE"/>
        </w:rPr>
        <w:t xml:space="preserve"> (2024), Chauhan </w:t>
      </w:r>
      <w:r w:rsidRPr="006A4655">
        <w:rPr>
          <w:i/>
          <w:lang w:val="nl-BE"/>
        </w:rPr>
        <w:t>et al.</w:t>
      </w:r>
      <w:r w:rsidRPr="006A4655">
        <w:rPr>
          <w:lang w:val="nl-BE"/>
        </w:rPr>
        <w:t xml:space="preserve"> (2024), Kumar </w:t>
      </w:r>
      <w:r w:rsidRPr="006A4655">
        <w:rPr>
          <w:i/>
          <w:lang w:val="nl-BE"/>
        </w:rPr>
        <w:t>et al.</w:t>
      </w:r>
      <w:r w:rsidRPr="006A4655">
        <w:rPr>
          <w:lang w:val="nl-BE"/>
        </w:rPr>
        <w:t xml:space="preserve"> (2024), and Hazarika </w:t>
      </w:r>
      <w:r w:rsidRPr="006A4655">
        <w:rPr>
          <w:i/>
          <w:lang w:val="nl-BE"/>
        </w:rPr>
        <w:t>et al.</w:t>
      </w:r>
      <w:r w:rsidRPr="006A4655">
        <w:rPr>
          <w:lang w:val="nl-BE"/>
        </w:rPr>
        <w:t xml:space="preserve"> </w:t>
      </w:r>
      <w:r w:rsidRPr="00AA4DFA">
        <w:t>(2025).</w:t>
      </w:r>
    </w:p>
    <w:p w14:paraId="747DF978" w14:textId="77777777" w:rsidR="00B2387E" w:rsidRPr="00AA4DFA" w:rsidRDefault="00B2387E" w:rsidP="00E757E5">
      <w:pPr>
        <w:spacing w:line="360" w:lineRule="auto"/>
        <w:ind w:right="14" w:firstLine="720"/>
        <w:jc w:val="both"/>
        <w:rPr>
          <w:rFonts w:eastAsia="Calibri"/>
          <w:b/>
          <w:bCs/>
          <w:szCs w:val="20"/>
          <w14:ligatures w14:val="standardContextual"/>
        </w:rPr>
      </w:pPr>
    </w:p>
    <w:p w14:paraId="1FD861D0" w14:textId="77777777" w:rsidR="00D061EA" w:rsidRPr="00AA4DFA" w:rsidRDefault="00D061EA" w:rsidP="00D061EA">
      <w:pPr>
        <w:spacing w:line="360" w:lineRule="auto"/>
        <w:ind w:right="14" w:firstLine="720"/>
        <w:jc w:val="both"/>
        <w:rPr>
          <w:rFonts w:eastAsia="Calibri"/>
          <w:szCs w:val="20"/>
          <w:lang w:val="en-US"/>
          <w14:ligatures w14:val="standardContextual"/>
        </w:rPr>
      </w:pPr>
      <w:r w:rsidRPr="00AA4DFA">
        <w:rPr>
          <w:rFonts w:eastAsia="Calibri"/>
          <w:b/>
          <w:bCs/>
          <w14:ligatures w14:val="standardContextual"/>
        </w:rPr>
        <w:t xml:space="preserve">Fig. 8. Effect of </w:t>
      </w:r>
      <w:r w:rsidRPr="00AA4DFA">
        <w:rPr>
          <w:rFonts w:eastAsia="Calibri"/>
          <w:b/>
          <w:bCs/>
          <w:szCs w:val="20"/>
          <w14:ligatures w14:val="standardContextual"/>
        </w:rPr>
        <w:t>organic and chemical fertilizers on quality parameter of brinjal</w:t>
      </w:r>
    </w:p>
    <w:p w14:paraId="4B2D2DB9" w14:textId="77777777" w:rsidR="00D061EA" w:rsidRPr="00AA4DFA" w:rsidRDefault="00D061EA" w:rsidP="00D061EA">
      <w:pPr>
        <w:spacing w:line="360" w:lineRule="auto"/>
        <w:ind w:right="14"/>
        <w:jc w:val="both"/>
        <w:rPr>
          <w:rFonts w:eastAsia="Calibri"/>
          <w:b/>
          <w:bCs/>
          <w:szCs w:val="20"/>
          <w14:ligatures w14:val="standardContextual"/>
        </w:rPr>
      </w:pPr>
      <w:r w:rsidRPr="00AA4DFA">
        <w:rPr>
          <w:noProof/>
          <w14:ligatures w14:val="standardContextual"/>
        </w:rPr>
        <w:drawing>
          <wp:inline distT="0" distB="0" distL="0" distR="0" wp14:anchorId="60F53FDF" wp14:editId="1E3CDC16">
            <wp:extent cx="5943600" cy="2429435"/>
            <wp:effectExtent l="0" t="0" r="0" b="9525"/>
            <wp:docPr id="1640458220" name="Chart 1">
              <a:extLst xmlns:a="http://schemas.openxmlformats.org/drawingml/2006/main">
                <a:ext uri="{FF2B5EF4-FFF2-40B4-BE49-F238E27FC236}">
                  <a16:creationId xmlns:a16="http://schemas.microsoft.com/office/drawing/2014/main" id="{A7C107BC-F4C7-4EBD-AEB8-1BDDA5F35B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F3FDEC9" w14:textId="77777777" w:rsidR="00E0270D" w:rsidRPr="00AA4DFA" w:rsidRDefault="00E0270D" w:rsidP="00A93B43">
      <w:pPr>
        <w:spacing w:line="360" w:lineRule="auto"/>
        <w:ind w:right="14" w:firstLine="720"/>
        <w:jc w:val="both"/>
        <w:rPr>
          <w:rFonts w:eastAsia="Calibri"/>
          <w:szCs w:val="20"/>
          <w14:ligatures w14:val="standardContextual"/>
        </w:rPr>
      </w:pPr>
    </w:p>
    <w:p w14:paraId="705290EB" w14:textId="77777777" w:rsidR="00E0270D" w:rsidRPr="00AA4DFA" w:rsidRDefault="00E0270D" w:rsidP="00A93B43">
      <w:pPr>
        <w:spacing w:line="360" w:lineRule="auto"/>
        <w:ind w:right="14" w:firstLine="720"/>
        <w:jc w:val="both"/>
        <w:rPr>
          <w:rFonts w:eastAsia="Calibri"/>
          <w:szCs w:val="20"/>
          <w14:ligatures w14:val="standardContextual"/>
        </w:rPr>
      </w:pPr>
    </w:p>
    <w:p w14:paraId="2A8E87A6" w14:textId="77777777" w:rsidR="00E0270D" w:rsidRPr="00AA4DFA" w:rsidRDefault="00E0270D" w:rsidP="00A93B43">
      <w:pPr>
        <w:spacing w:line="360" w:lineRule="auto"/>
        <w:ind w:right="14" w:firstLine="720"/>
        <w:jc w:val="both"/>
        <w:rPr>
          <w:rFonts w:eastAsia="Calibri"/>
          <w:szCs w:val="20"/>
          <w14:ligatures w14:val="standardContextual"/>
        </w:rPr>
      </w:pPr>
    </w:p>
    <w:p w14:paraId="38F6C3F2" w14:textId="77777777" w:rsidR="00E0270D" w:rsidRPr="00AA4DFA" w:rsidRDefault="00E0270D" w:rsidP="00A93B43">
      <w:pPr>
        <w:spacing w:line="360" w:lineRule="auto"/>
        <w:ind w:right="14" w:firstLine="720"/>
        <w:jc w:val="both"/>
        <w:rPr>
          <w:rFonts w:eastAsia="Calibri"/>
          <w:szCs w:val="20"/>
          <w14:ligatures w14:val="standardContextual"/>
        </w:rPr>
      </w:pPr>
    </w:p>
    <w:p w14:paraId="6DC7F02E" w14:textId="77777777" w:rsidR="00D929E5" w:rsidRPr="00AA4DFA" w:rsidRDefault="00D929E5" w:rsidP="00A93B43">
      <w:pPr>
        <w:spacing w:line="360" w:lineRule="auto"/>
        <w:ind w:right="14" w:firstLine="720"/>
        <w:jc w:val="both"/>
        <w:rPr>
          <w:rFonts w:eastAsia="Calibri"/>
          <w:szCs w:val="20"/>
          <w14:ligatures w14:val="standardContextual"/>
        </w:rPr>
      </w:pPr>
    </w:p>
    <w:p w14:paraId="2A5609AD" w14:textId="77777777" w:rsidR="0028653C" w:rsidRPr="00AA4DFA" w:rsidRDefault="009A096D" w:rsidP="00E757E5">
      <w:pPr>
        <w:spacing w:line="360" w:lineRule="auto"/>
        <w:ind w:right="14" w:firstLine="720"/>
        <w:jc w:val="both"/>
        <w:rPr>
          <w:rFonts w:eastAsia="Calibri"/>
          <w:szCs w:val="20"/>
          <w14:ligatures w14:val="standardContextual"/>
        </w:rPr>
        <w:sectPr w:rsidR="0028653C" w:rsidRPr="00AA4DFA" w:rsidSect="0022715B">
          <w:pgSz w:w="12240" w:h="15840"/>
          <w:pgMar w:top="1440" w:right="1440" w:bottom="1440" w:left="1440" w:header="720" w:footer="720" w:gutter="0"/>
          <w:cols w:space="720"/>
          <w:docGrid w:linePitch="360"/>
        </w:sectPr>
      </w:pPr>
      <w:r w:rsidRPr="00AA4DFA">
        <w:rPr>
          <w:rFonts w:eastAsia="Calibri"/>
          <w:szCs w:val="20"/>
          <w:lang w:val="en-US"/>
          <w14:ligatures w14:val="standardContextual"/>
        </w:rPr>
        <w:t xml:space="preserve"> </w:t>
      </w:r>
    </w:p>
    <w:p w14:paraId="41BDFA27" w14:textId="77777777" w:rsidR="0028653C" w:rsidRPr="00AA4DFA" w:rsidRDefault="003C0F59" w:rsidP="004E317B">
      <w:pPr>
        <w:spacing w:line="360" w:lineRule="auto"/>
        <w:ind w:right="14"/>
        <w:jc w:val="center"/>
        <w:rPr>
          <w:rFonts w:eastAsia="Calibri"/>
          <w:b/>
          <w:bCs/>
          <w:szCs w:val="20"/>
          <w14:ligatures w14:val="standardContextual"/>
        </w:rPr>
      </w:pPr>
      <w:r w:rsidRPr="00AA4DFA">
        <w:rPr>
          <w:rFonts w:eastAsia="Calibri"/>
          <w:b/>
          <w:bCs/>
          <w:szCs w:val="20"/>
          <w14:ligatures w14:val="standardContextual"/>
        </w:rPr>
        <w:lastRenderedPageBreak/>
        <w:t>Table 1. Effect of organic and chemical fertilizers on growth and flowering parameters of brinjal</w:t>
      </w:r>
    </w:p>
    <w:tbl>
      <w:tblPr>
        <w:tblW w:w="1395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2"/>
        <w:gridCol w:w="4778"/>
        <w:gridCol w:w="720"/>
        <w:gridCol w:w="720"/>
        <w:gridCol w:w="720"/>
        <w:gridCol w:w="720"/>
        <w:gridCol w:w="720"/>
        <w:gridCol w:w="720"/>
        <w:gridCol w:w="810"/>
        <w:gridCol w:w="720"/>
        <w:gridCol w:w="900"/>
        <w:gridCol w:w="990"/>
        <w:gridCol w:w="900"/>
      </w:tblGrid>
      <w:tr w:rsidR="003C0F59" w:rsidRPr="00AA4DFA" w14:paraId="61293BBE" w14:textId="77777777" w:rsidTr="00DB07C5">
        <w:trPr>
          <w:trHeight w:val="288"/>
        </w:trPr>
        <w:tc>
          <w:tcPr>
            <w:tcW w:w="532" w:type="dxa"/>
            <w:vMerge w:val="restart"/>
            <w:vAlign w:val="center"/>
          </w:tcPr>
          <w:p w14:paraId="30328EDF" w14:textId="77777777" w:rsidR="003C0F59" w:rsidRPr="00AA4DFA" w:rsidRDefault="003C0F59" w:rsidP="00CC0F73">
            <w:pPr>
              <w:jc w:val="center"/>
              <w:rPr>
                <w:rFonts w:eastAsia="Calibri"/>
                <w:sz w:val="20"/>
                <w:szCs w:val="18"/>
                <w14:ligatures w14:val="standardContextual"/>
              </w:rPr>
            </w:pPr>
          </w:p>
        </w:tc>
        <w:tc>
          <w:tcPr>
            <w:tcW w:w="4778" w:type="dxa"/>
            <w:vMerge w:val="restart"/>
            <w:tcBorders>
              <w:right w:val="single" w:sz="4" w:space="0" w:color="auto"/>
            </w:tcBorders>
            <w:vAlign w:val="center"/>
          </w:tcPr>
          <w:p w14:paraId="1E9FDFA6" w14:textId="77777777" w:rsidR="003C0F59" w:rsidRPr="00AA4DFA" w:rsidRDefault="003C0F59" w:rsidP="00CC0F73">
            <w:pPr>
              <w:ind w:left="110"/>
              <w:jc w:val="center"/>
              <w:rPr>
                <w:rFonts w:eastAsia="Calibri"/>
                <w:b/>
                <w:spacing w:val="-2"/>
                <w:szCs w:val="22"/>
                <w14:ligatures w14:val="standardContextual"/>
              </w:rPr>
            </w:pPr>
            <w:r w:rsidRPr="00AA4DFA">
              <w:rPr>
                <w:rFonts w:eastAsia="Calibri"/>
                <w:b/>
                <w:spacing w:val="-2"/>
                <w:szCs w:val="22"/>
                <w14:ligatures w14:val="standardContextual"/>
              </w:rPr>
              <w:t>Treatments</w:t>
            </w:r>
          </w:p>
        </w:tc>
        <w:tc>
          <w:tcPr>
            <w:tcW w:w="2160" w:type="dxa"/>
            <w:gridSpan w:val="3"/>
            <w:tcBorders>
              <w:left w:val="single" w:sz="4" w:space="0" w:color="auto"/>
            </w:tcBorders>
            <w:vAlign w:val="center"/>
          </w:tcPr>
          <w:p w14:paraId="7653A696" w14:textId="77777777" w:rsidR="003C0F59" w:rsidRPr="00AA4DFA" w:rsidRDefault="003C0F59" w:rsidP="00CC0F73">
            <w:pPr>
              <w:jc w:val="center"/>
              <w:rPr>
                <w:rFonts w:eastAsia="Calibri"/>
                <w:b/>
                <w:sz w:val="20"/>
                <w:szCs w:val="18"/>
                <w14:ligatures w14:val="standardContextual"/>
              </w:rPr>
            </w:pPr>
            <w:r w:rsidRPr="00AA4DFA">
              <w:rPr>
                <w:rFonts w:eastAsia="Calibri"/>
                <w:b/>
                <w:spacing w:val="-2"/>
                <w:sz w:val="20"/>
                <w:szCs w:val="18"/>
                <w14:ligatures w14:val="standardContextual"/>
              </w:rPr>
              <w:t>Plant height (cm)</w:t>
            </w:r>
          </w:p>
        </w:tc>
        <w:tc>
          <w:tcPr>
            <w:tcW w:w="2160" w:type="dxa"/>
            <w:gridSpan w:val="3"/>
            <w:vAlign w:val="center"/>
          </w:tcPr>
          <w:p w14:paraId="022ACD0B" w14:textId="77777777" w:rsidR="003C0F59" w:rsidRPr="00AA4DFA" w:rsidRDefault="003C0F59" w:rsidP="00CC0F73">
            <w:pPr>
              <w:jc w:val="center"/>
              <w:rPr>
                <w:b/>
                <w:sz w:val="20"/>
                <w:szCs w:val="18"/>
              </w:rPr>
            </w:pPr>
            <w:r w:rsidRPr="00AA4DFA">
              <w:rPr>
                <w:b/>
                <w:spacing w:val="-2"/>
                <w:sz w:val="20"/>
                <w:szCs w:val="18"/>
              </w:rPr>
              <w:t>Number of leaves per plant</w:t>
            </w:r>
          </w:p>
        </w:tc>
        <w:tc>
          <w:tcPr>
            <w:tcW w:w="810" w:type="dxa"/>
            <w:vMerge w:val="restart"/>
            <w:vAlign w:val="center"/>
          </w:tcPr>
          <w:p w14:paraId="3F08DEE9" w14:textId="77777777" w:rsidR="003C0F59" w:rsidRPr="00AA4DFA" w:rsidRDefault="003C0F59" w:rsidP="00CC0F73">
            <w:pPr>
              <w:jc w:val="center"/>
              <w:rPr>
                <w:b/>
                <w:sz w:val="20"/>
                <w:szCs w:val="20"/>
              </w:rPr>
            </w:pPr>
            <w:r w:rsidRPr="00AA4DFA">
              <w:rPr>
                <w:b/>
                <w:sz w:val="20"/>
                <w:szCs w:val="20"/>
              </w:rPr>
              <w:t>No of branches/plant</w:t>
            </w:r>
          </w:p>
        </w:tc>
        <w:tc>
          <w:tcPr>
            <w:tcW w:w="720" w:type="dxa"/>
            <w:vMerge w:val="restart"/>
            <w:vAlign w:val="center"/>
          </w:tcPr>
          <w:p w14:paraId="525C682A" w14:textId="77777777" w:rsidR="003C0F59" w:rsidRPr="00AA4DFA" w:rsidRDefault="003C0F59" w:rsidP="00CC0F73">
            <w:pPr>
              <w:jc w:val="center"/>
              <w:rPr>
                <w:b/>
                <w:sz w:val="20"/>
                <w:szCs w:val="20"/>
              </w:rPr>
            </w:pPr>
            <w:r w:rsidRPr="00AA4DFA">
              <w:rPr>
                <w:b/>
                <w:sz w:val="20"/>
                <w:szCs w:val="20"/>
              </w:rPr>
              <w:t>Stem girth (cm)</w:t>
            </w:r>
          </w:p>
        </w:tc>
        <w:tc>
          <w:tcPr>
            <w:tcW w:w="900" w:type="dxa"/>
            <w:vMerge w:val="restart"/>
            <w:vAlign w:val="center"/>
          </w:tcPr>
          <w:p w14:paraId="3E14E3BB" w14:textId="77777777" w:rsidR="003C0F59" w:rsidRPr="00AA4DFA" w:rsidRDefault="003C0F59" w:rsidP="00CC0F73">
            <w:pPr>
              <w:jc w:val="center"/>
              <w:rPr>
                <w:b/>
                <w:sz w:val="20"/>
                <w:szCs w:val="20"/>
              </w:rPr>
            </w:pPr>
            <w:r w:rsidRPr="00AA4DFA">
              <w:rPr>
                <w:b/>
                <w:sz w:val="20"/>
                <w:szCs w:val="20"/>
              </w:rPr>
              <w:t>Days to first flowering</w:t>
            </w:r>
          </w:p>
        </w:tc>
        <w:tc>
          <w:tcPr>
            <w:tcW w:w="990" w:type="dxa"/>
            <w:vMerge w:val="restart"/>
            <w:vAlign w:val="center"/>
          </w:tcPr>
          <w:p w14:paraId="427159EB" w14:textId="77777777" w:rsidR="003C0F59" w:rsidRPr="00AA4DFA" w:rsidRDefault="003C0F59" w:rsidP="00CC0F73">
            <w:pPr>
              <w:jc w:val="center"/>
              <w:rPr>
                <w:b/>
                <w:sz w:val="20"/>
                <w:szCs w:val="20"/>
              </w:rPr>
            </w:pPr>
            <w:r w:rsidRPr="00AA4DFA">
              <w:rPr>
                <w:b/>
                <w:sz w:val="20"/>
                <w:szCs w:val="20"/>
              </w:rPr>
              <w:t>Days to 50 % flowering</w:t>
            </w:r>
          </w:p>
        </w:tc>
        <w:tc>
          <w:tcPr>
            <w:tcW w:w="900" w:type="dxa"/>
            <w:vMerge w:val="restart"/>
            <w:vAlign w:val="center"/>
          </w:tcPr>
          <w:p w14:paraId="1193762C" w14:textId="77777777" w:rsidR="003C0F59" w:rsidRPr="00AA4DFA" w:rsidRDefault="003C0F59" w:rsidP="00CC0F73">
            <w:pPr>
              <w:jc w:val="center"/>
              <w:rPr>
                <w:b/>
                <w:sz w:val="20"/>
                <w:szCs w:val="20"/>
              </w:rPr>
            </w:pPr>
            <w:r w:rsidRPr="00AA4DFA">
              <w:rPr>
                <w:b/>
                <w:sz w:val="20"/>
                <w:szCs w:val="20"/>
              </w:rPr>
              <w:t>No of flowers /plant</w:t>
            </w:r>
          </w:p>
        </w:tc>
      </w:tr>
      <w:tr w:rsidR="003C0F59" w:rsidRPr="00AA4DFA" w14:paraId="096A7EC8" w14:textId="77777777" w:rsidTr="00DB07C5">
        <w:trPr>
          <w:trHeight w:val="288"/>
        </w:trPr>
        <w:tc>
          <w:tcPr>
            <w:tcW w:w="532" w:type="dxa"/>
            <w:vMerge/>
            <w:vAlign w:val="center"/>
          </w:tcPr>
          <w:p w14:paraId="05E5C5FD" w14:textId="77777777" w:rsidR="003C0F59" w:rsidRPr="00AA4DFA" w:rsidRDefault="003C0F59" w:rsidP="00CC0F73">
            <w:pPr>
              <w:jc w:val="center"/>
              <w:rPr>
                <w:rFonts w:eastAsia="Calibri"/>
                <w:sz w:val="20"/>
                <w:szCs w:val="18"/>
                <w14:ligatures w14:val="standardContextual"/>
              </w:rPr>
            </w:pPr>
          </w:p>
        </w:tc>
        <w:tc>
          <w:tcPr>
            <w:tcW w:w="4778" w:type="dxa"/>
            <w:vMerge/>
            <w:tcBorders>
              <w:right w:val="single" w:sz="4" w:space="0" w:color="auto"/>
            </w:tcBorders>
            <w:vAlign w:val="center"/>
          </w:tcPr>
          <w:p w14:paraId="5AE925D8" w14:textId="77777777" w:rsidR="003C0F59" w:rsidRPr="00AA4DFA" w:rsidRDefault="003C0F59" w:rsidP="00CC0F73">
            <w:pPr>
              <w:ind w:left="110"/>
              <w:jc w:val="center"/>
              <w:rPr>
                <w:rFonts w:eastAsia="Calibri"/>
                <w:b/>
                <w:sz w:val="20"/>
                <w:szCs w:val="18"/>
                <w14:ligatures w14:val="standardContextual"/>
              </w:rPr>
            </w:pPr>
          </w:p>
        </w:tc>
        <w:tc>
          <w:tcPr>
            <w:tcW w:w="720" w:type="dxa"/>
            <w:tcBorders>
              <w:left w:val="single" w:sz="4" w:space="0" w:color="auto"/>
            </w:tcBorders>
            <w:vAlign w:val="center"/>
          </w:tcPr>
          <w:p w14:paraId="3D5DAC61" w14:textId="77777777" w:rsidR="003C0F59" w:rsidRPr="00AA4DFA" w:rsidRDefault="003C0F59" w:rsidP="00CC0F73">
            <w:pPr>
              <w:jc w:val="center"/>
              <w:rPr>
                <w:rFonts w:eastAsia="Calibri"/>
                <w:b/>
                <w:sz w:val="20"/>
                <w:szCs w:val="18"/>
                <w14:ligatures w14:val="standardContextual"/>
              </w:rPr>
            </w:pPr>
            <w:r w:rsidRPr="00AA4DFA">
              <w:rPr>
                <w:rFonts w:eastAsia="Calibri"/>
                <w:b/>
                <w:sz w:val="20"/>
                <w:szCs w:val="18"/>
                <w14:ligatures w14:val="standardContextual"/>
              </w:rPr>
              <w:t>30</w:t>
            </w:r>
            <w:r w:rsidRPr="00AA4DFA">
              <w:rPr>
                <w:rFonts w:eastAsia="Calibri"/>
                <w:b/>
                <w:spacing w:val="-10"/>
                <w:sz w:val="20"/>
                <w:szCs w:val="18"/>
                <w14:ligatures w14:val="standardContextual"/>
              </w:rPr>
              <w:t xml:space="preserve"> </w:t>
            </w:r>
            <w:r w:rsidRPr="00AA4DFA">
              <w:rPr>
                <w:rFonts w:eastAsia="Calibri"/>
                <w:b/>
                <w:spacing w:val="-5"/>
                <w:sz w:val="20"/>
                <w:szCs w:val="18"/>
                <w14:ligatures w14:val="standardContextual"/>
              </w:rPr>
              <w:t>DAT</w:t>
            </w:r>
          </w:p>
        </w:tc>
        <w:tc>
          <w:tcPr>
            <w:tcW w:w="720" w:type="dxa"/>
            <w:vAlign w:val="center"/>
          </w:tcPr>
          <w:p w14:paraId="4DAAE811" w14:textId="77777777" w:rsidR="003C0F59" w:rsidRPr="00AA4DFA" w:rsidRDefault="003C0F59" w:rsidP="00CC0F73">
            <w:pPr>
              <w:jc w:val="center"/>
              <w:rPr>
                <w:rFonts w:eastAsia="Calibri"/>
                <w:b/>
                <w:sz w:val="20"/>
                <w:szCs w:val="18"/>
                <w14:ligatures w14:val="standardContextual"/>
              </w:rPr>
            </w:pPr>
            <w:r w:rsidRPr="00AA4DFA">
              <w:rPr>
                <w:rFonts w:eastAsia="Calibri"/>
                <w:b/>
                <w:sz w:val="20"/>
                <w:szCs w:val="18"/>
                <w14:ligatures w14:val="standardContextual"/>
              </w:rPr>
              <w:t>60</w:t>
            </w:r>
            <w:r w:rsidRPr="00AA4DFA">
              <w:rPr>
                <w:rFonts w:eastAsia="Calibri"/>
                <w:b/>
                <w:spacing w:val="-10"/>
                <w:sz w:val="20"/>
                <w:szCs w:val="18"/>
                <w14:ligatures w14:val="standardContextual"/>
              </w:rPr>
              <w:t xml:space="preserve"> </w:t>
            </w:r>
            <w:r w:rsidRPr="00AA4DFA">
              <w:rPr>
                <w:rFonts w:eastAsia="Calibri"/>
                <w:b/>
                <w:spacing w:val="-5"/>
                <w:sz w:val="20"/>
                <w:szCs w:val="18"/>
                <w14:ligatures w14:val="standardContextual"/>
              </w:rPr>
              <w:t>DAT</w:t>
            </w:r>
          </w:p>
        </w:tc>
        <w:tc>
          <w:tcPr>
            <w:tcW w:w="720" w:type="dxa"/>
            <w:vAlign w:val="center"/>
          </w:tcPr>
          <w:p w14:paraId="3095C46B" w14:textId="77777777" w:rsidR="003C0F59" w:rsidRPr="00AA4DFA" w:rsidRDefault="003C0F59" w:rsidP="00CC0F73">
            <w:pPr>
              <w:jc w:val="center"/>
              <w:rPr>
                <w:rFonts w:eastAsia="Calibri"/>
                <w:b/>
                <w:sz w:val="20"/>
                <w:szCs w:val="18"/>
                <w14:ligatures w14:val="standardContextual"/>
              </w:rPr>
            </w:pPr>
            <w:r w:rsidRPr="00AA4DFA">
              <w:rPr>
                <w:rFonts w:eastAsia="Calibri"/>
                <w:b/>
                <w:sz w:val="20"/>
                <w:szCs w:val="18"/>
                <w14:ligatures w14:val="standardContextual"/>
              </w:rPr>
              <w:t>90</w:t>
            </w:r>
            <w:r w:rsidRPr="00AA4DFA">
              <w:rPr>
                <w:rFonts w:eastAsia="Calibri"/>
                <w:b/>
                <w:spacing w:val="-10"/>
                <w:sz w:val="20"/>
                <w:szCs w:val="18"/>
                <w14:ligatures w14:val="standardContextual"/>
              </w:rPr>
              <w:t xml:space="preserve"> </w:t>
            </w:r>
            <w:r w:rsidRPr="00AA4DFA">
              <w:rPr>
                <w:rFonts w:eastAsia="Calibri"/>
                <w:b/>
                <w:spacing w:val="-5"/>
                <w:sz w:val="20"/>
                <w:szCs w:val="18"/>
                <w14:ligatures w14:val="standardContextual"/>
              </w:rPr>
              <w:t>DAT</w:t>
            </w:r>
          </w:p>
        </w:tc>
        <w:tc>
          <w:tcPr>
            <w:tcW w:w="720" w:type="dxa"/>
            <w:vAlign w:val="center"/>
          </w:tcPr>
          <w:p w14:paraId="7C9D1A74" w14:textId="77777777" w:rsidR="003C0F59" w:rsidRPr="00AA4DFA" w:rsidRDefault="003C0F59" w:rsidP="00CC0F73">
            <w:pPr>
              <w:jc w:val="center"/>
              <w:rPr>
                <w:rFonts w:eastAsia="Calibri"/>
                <w:b/>
                <w:sz w:val="20"/>
                <w:szCs w:val="20"/>
                <w14:ligatures w14:val="standardContextual"/>
              </w:rPr>
            </w:pPr>
            <w:r w:rsidRPr="00AA4DFA">
              <w:rPr>
                <w:b/>
                <w:sz w:val="20"/>
                <w:szCs w:val="20"/>
              </w:rPr>
              <w:t>30</w:t>
            </w:r>
            <w:r w:rsidRPr="00AA4DFA">
              <w:rPr>
                <w:b/>
                <w:spacing w:val="-10"/>
                <w:sz w:val="20"/>
                <w:szCs w:val="20"/>
              </w:rPr>
              <w:t xml:space="preserve"> </w:t>
            </w:r>
            <w:r w:rsidRPr="00AA4DFA">
              <w:rPr>
                <w:b/>
                <w:spacing w:val="-5"/>
                <w:sz w:val="20"/>
                <w:szCs w:val="20"/>
              </w:rPr>
              <w:t>DAT</w:t>
            </w:r>
          </w:p>
        </w:tc>
        <w:tc>
          <w:tcPr>
            <w:tcW w:w="720" w:type="dxa"/>
            <w:vAlign w:val="center"/>
          </w:tcPr>
          <w:p w14:paraId="320CCF53" w14:textId="77777777" w:rsidR="003C0F59" w:rsidRPr="00AA4DFA" w:rsidRDefault="003C0F59" w:rsidP="00CC0F73">
            <w:pPr>
              <w:jc w:val="center"/>
              <w:rPr>
                <w:rFonts w:eastAsia="Calibri"/>
                <w:b/>
                <w:sz w:val="20"/>
                <w:szCs w:val="20"/>
                <w14:ligatures w14:val="standardContextual"/>
              </w:rPr>
            </w:pPr>
            <w:r w:rsidRPr="00AA4DFA">
              <w:rPr>
                <w:b/>
                <w:sz w:val="20"/>
                <w:szCs w:val="20"/>
              </w:rPr>
              <w:t>60</w:t>
            </w:r>
            <w:r w:rsidRPr="00AA4DFA">
              <w:rPr>
                <w:b/>
                <w:spacing w:val="-10"/>
                <w:sz w:val="20"/>
                <w:szCs w:val="20"/>
              </w:rPr>
              <w:t xml:space="preserve"> </w:t>
            </w:r>
            <w:r w:rsidRPr="00AA4DFA">
              <w:rPr>
                <w:b/>
                <w:spacing w:val="-5"/>
                <w:sz w:val="20"/>
                <w:szCs w:val="20"/>
              </w:rPr>
              <w:t>DAT</w:t>
            </w:r>
          </w:p>
        </w:tc>
        <w:tc>
          <w:tcPr>
            <w:tcW w:w="720" w:type="dxa"/>
            <w:vAlign w:val="center"/>
          </w:tcPr>
          <w:p w14:paraId="307A6E4F" w14:textId="77777777" w:rsidR="003C0F59" w:rsidRPr="00AA4DFA" w:rsidRDefault="003C0F59" w:rsidP="00CC0F73">
            <w:pPr>
              <w:jc w:val="center"/>
              <w:rPr>
                <w:rFonts w:eastAsia="Calibri"/>
                <w:b/>
                <w:sz w:val="20"/>
                <w:szCs w:val="20"/>
                <w14:ligatures w14:val="standardContextual"/>
              </w:rPr>
            </w:pPr>
            <w:r w:rsidRPr="00AA4DFA">
              <w:rPr>
                <w:b/>
                <w:sz w:val="20"/>
                <w:szCs w:val="20"/>
              </w:rPr>
              <w:t>90</w:t>
            </w:r>
            <w:r w:rsidRPr="00AA4DFA">
              <w:rPr>
                <w:b/>
                <w:spacing w:val="-10"/>
                <w:sz w:val="20"/>
                <w:szCs w:val="20"/>
              </w:rPr>
              <w:t xml:space="preserve"> </w:t>
            </w:r>
            <w:r w:rsidRPr="00AA4DFA">
              <w:rPr>
                <w:b/>
                <w:spacing w:val="-5"/>
                <w:sz w:val="20"/>
                <w:szCs w:val="20"/>
              </w:rPr>
              <w:t>DAT</w:t>
            </w:r>
          </w:p>
        </w:tc>
        <w:tc>
          <w:tcPr>
            <w:tcW w:w="810" w:type="dxa"/>
            <w:vMerge/>
            <w:vAlign w:val="center"/>
          </w:tcPr>
          <w:p w14:paraId="63E6874B" w14:textId="77777777" w:rsidR="003C0F59" w:rsidRPr="00AA4DFA" w:rsidRDefault="003C0F59" w:rsidP="00CC0F73">
            <w:pPr>
              <w:jc w:val="center"/>
              <w:rPr>
                <w:b/>
                <w:sz w:val="20"/>
                <w:szCs w:val="20"/>
              </w:rPr>
            </w:pPr>
          </w:p>
        </w:tc>
        <w:tc>
          <w:tcPr>
            <w:tcW w:w="720" w:type="dxa"/>
            <w:vMerge/>
            <w:vAlign w:val="center"/>
          </w:tcPr>
          <w:p w14:paraId="1DE123BC" w14:textId="77777777" w:rsidR="003C0F59" w:rsidRPr="00AA4DFA" w:rsidRDefault="003C0F59" w:rsidP="00CC0F73">
            <w:pPr>
              <w:jc w:val="center"/>
              <w:rPr>
                <w:b/>
                <w:sz w:val="20"/>
                <w:szCs w:val="20"/>
              </w:rPr>
            </w:pPr>
          </w:p>
        </w:tc>
        <w:tc>
          <w:tcPr>
            <w:tcW w:w="900" w:type="dxa"/>
            <w:vMerge/>
            <w:vAlign w:val="center"/>
          </w:tcPr>
          <w:p w14:paraId="6124B4D1" w14:textId="77777777" w:rsidR="003C0F59" w:rsidRPr="00AA4DFA" w:rsidRDefault="003C0F59" w:rsidP="00CC0F73">
            <w:pPr>
              <w:jc w:val="center"/>
              <w:rPr>
                <w:b/>
                <w:sz w:val="20"/>
                <w:szCs w:val="20"/>
              </w:rPr>
            </w:pPr>
          </w:p>
        </w:tc>
        <w:tc>
          <w:tcPr>
            <w:tcW w:w="990" w:type="dxa"/>
            <w:vMerge/>
            <w:vAlign w:val="center"/>
          </w:tcPr>
          <w:p w14:paraId="5839A7BE" w14:textId="77777777" w:rsidR="003C0F59" w:rsidRPr="00AA4DFA" w:rsidRDefault="003C0F59" w:rsidP="00CC0F73">
            <w:pPr>
              <w:jc w:val="center"/>
              <w:rPr>
                <w:b/>
                <w:sz w:val="20"/>
                <w:szCs w:val="20"/>
              </w:rPr>
            </w:pPr>
          </w:p>
        </w:tc>
        <w:tc>
          <w:tcPr>
            <w:tcW w:w="900" w:type="dxa"/>
            <w:vMerge/>
            <w:vAlign w:val="center"/>
          </w:tcPr>
          <w:p w14:paraId="36E4FA7E" w14:textId="77777777" w:rsidR="003C0F59" w:rsidRPr="00AA4DFA" w:rsidRDefault="003C0F59" w:rsidP="00CC0F73">
            <w:pPr>
              <w:jc w:val="center"/>
              <w:rPr>
                <w:b/>
                <w:sz w:val="20"/>
                <w:szCs w:val="20"/>
              </w:rPr>
            </w:pPr>
          </w:p>
        </w:tc>
      </w:tr>
      <w:tr w:rsidR="003C0F59" w:rsidRPr="00AA4DFA" w14:paraId="1427F091" w14:textId="77777777" w:rsidTr="00DB07C5">
        <w:trPr>
          <w:trHeight w:val="288"/>
        </w:trPr>
        <w:tc>
          <w:tcPr>
            <w:tcW w:w="532" w:type="dxa"/>
            <w:vAlign w:val="center"/>
          </w:tcPr>
          <w:p w14:paraId="558E6B50" w14:textId="77777777" w:rsidR="003C0F59" w:rsidRPr="00AA4DFA" w:rsidRDefault="003C0F59" w:rsidP="00CC0F73">
            <w:pPr>
              <w:ind w:right="22"/>
              <w:jc w:val="center"/>
              <w:rPr>
                <w:rFonts w:eastAsia="Calibri"/>
                <w:b/>
                <w:sz w:val="20"/>
                <w:szCs w:val="18"/>
                <w14:ligatures w14:val="standardContextual"/>
              </w:rPr>
            </w:pPr>
            <w:r w:rsidRPr="00AA4DFA">
              <w:rPr>
                <w:rFonts w:eastAsia="Calibri"/>
                <w:b/>
                <w:bCs/>
                <w:color w:val="000000"/>
                <w:sz w:val="20"/>
                <w:szCs w:val="18"/>
                <w14:ligatures w14:val="standardContextual"/>
              </w:rPr>
              <w:t>T</w:t>
            </w:r>
            <w:r w:rsidRPr="00AA4DFA">
              <w:rPr>
                <w:rFonts w:eastAsia="Calibri"/>
                <w:b/>
                <w:bCs/>
                <w:color w:val="000000"/>
                <w:sz w:val="20"/>
                <w:szCs w:val="18"/>
                <w:vertAlign w:val="subscript"/>
                <w14:ligatures w14:val="standardContextual"/>
              </w:rPr>
              <w:t>1</w:t>
            </w:r>
          </w:p>
        </w:tc>
        <w:tc>
          <w:tcPr>
            <w:tcW w:w="4778" w:type="dxa"/>
            <w:tcBorders>
              <w:right w:val="single" w:sz="4" w:space="0" w:color="auto"/>
            </w:tcBorders>
            <w:vAlign w:val="center"/>
          </w:tcPr>
          <w:p w14:paraId="53B7BFCB" w14:textId="77777777" w:rsidR="003C0F59" w:rsidRPr="00AA4DFA" w:rsidRDefault="003C0F59" w:rsidP="00CC0F73">
            <w:pPr>
              <w:ind w:left="110"/>
              <w:jc w:val="center"/>
              <w:rPr>
                <w:rFonts w:eastAsia="Calibri"/>
                <w:b/>
                <w:position w:val="2"/>
                <w:sz w:val="20"/>
                <w:szCs w:val="18"/>
                <w14:ligatures w14:val="standardContextual"/>
              </w:rPr>
            </w:pPr>
            <w:r w:rsidRPr="00AA4DFA">
              <w:rPr>
                <w:rFonts w:eastAsia="Calibri"/>
                <w:color w:val="000000"/>
                <w:sz w:val="20"/>
                <w:szCs w:val="18"/>
                <w14:ligatures w14:val="standardContextual"/>
              </w:rPr>
              <w:t>Absolute Control</w:t>
            </w:r>
          </w:p>
        </w:tc>
        <w:tc>
          <w:tcPr>
            <w:tcW w:w="720" w:type="dxa"/>
            <w:tcBorders>
              <w:left w:val="single" w:sz="4" w:space="0" w:color="auto"/>
            </w:tcBorders>
            <w:vAlign w:val="center"/>
          </w:tcPr>
          <w:p w14:paraId="4B459F85" w14:textId="77777777" w:rsidR="003C0F59" w:rsidRPr="00AA4DFA" w:rsidRDefault="003C0F59" w:rsidP="00CC0F73">
            <w:pPr>
              <w:jc w:val="center"/>
              <w:rPr>
                <w:rFonts w:eastAsia="Calibri"/>
                <w:b/>
                <w:position w:val="2"/>
                <w:sz w:val="20"/>
                <w:szCs w:val="18"/>
                <w14:ligatures w14:val="standardContextual"/>
              </w:rPr>
            </w:pPr>
            <w:r w:rsidRPr="00AA4DFA">
              <w:rPr>
                <w:rFonts w:eastAsia="Calibri"/>
                <w:color w:val="000000"/>
                <w:sz w:val="20"/>
                <w:szCs w:val="18"/>
                <w14:ligatures w14:val="standardContextual"/>
              </w:rPr>
              <w:t>11.78</w:t>
            </w:r>
          </w:p>
        </w:tc>
        <w:tc>
          <w:tcPr>
            <w:tcW w:w="720" w:type="dxa"/>
            <w:vAlign w:val="center"/>
          </w:tcPr>
          <w:p w14:paraId="490583D0" w14:textId="77777777" w:rsidR="003C0F59" w:rsidRPr="00AA4DFA" w:rsidRDefault="003C0F59" w:rsidP="00CC0F73">
            <w:pPr>
              <w:jc w:val="center"/>
              <w:rPr>
                <w:rFonts w:eastAsia="Calibri"/>
                <w:sz w:val="20"/>
                <w:szCs w:val="18"/>
                <w14:ligatures w14:val="standardContextual"/>
              </w:rPr>
            </w:pPr>
            <w:r w:rsidRPr="00AA4DFA">
              <w:rPr>
                <w:rFonts w:eastAsia="Calibri"/>
                <w:color w:val="000000"/>
                <w:sz w:val="20"/>
                <w:szCs w:val="18"/>
                <w14:ligatures w14:val="standardContextual"/>
              </w:rPr>
              <w:t>18.97</w:t>
            </w:r>
          </w:p>
        </w:tc>
        <w:tc>
          <w:tcPr>
            <w:tcW w:w="720" w:type="dxa"/>
            <w:vAlign w:val="center"/>
          </w:tcPr>
          <w:p w14:paraId="739E9BE0" w14:textId="77777777" w:rsidR="003C0F59" w:rsidRPr="00AA4DFA" w:rsidRDefault="003C0F59" w:rsidP="00CC0F73">
            <w:pPr>
              <w:ind w:left="115"/>
              <w:jc w:val="center"/>
              <w:rPr>
                <w:rFonts w:eastAsia="Calibri"/>
                <w:sz w:val="20"/>
                <w:szCs w:val="18"/>
                <w14:ligatures w14:val="standardContextual"/>
              </w:rPr>
            </w:pPr>
            <w:r w:rsidRPr="00AA4DFA">
              <w:rPr>
                <w:rFonts w:eastAsia="Calibri"/>
                <w:color w:val="000000"/>
                <w:sz w:val="20"/>
                <w:szCs w:val="18"/>
                <w14:ligatures w14:val="standardContextual"/>
              </w:rPr>
              <w:t>30.64</w:t>
            </w:r>
          </w:p>
        </w:tc>
        <w:tc>
          <w:tcPr>
            <w:tcW w:w="720" w:type="dxa"/>
            <w:vAlign w:val="center"/>
          </w:tcPr>
          <w:p w14:paraId="26CECDFF" w14:textId="77777777" w:rsidR="003C0F59" w:rsidRPr="00AA4DFA" w:rsidRDefault="003C0F59" w:rsidP="00CC0F73">
            <w:pPr>
              <w:ind w:left="115"/>
              <w:jc w:val="center"/>
              <w:rPr>
                <w:rFonts w:eastAsia="Calibri"/>
                <w:color w:val="000000"/>
                <w:sz w:val="20"/>
                <w:szCs w:val="20"/>
                <w14:ligatures w14:val="standardContextual"/>
              </w:rPr>
            </w:pPr>
            <w:r w:rsidRPr="00AA4DFA">
              <w:rPr>
                <w:color w:val="000000"/>
                <w:sz w:val="20"/>
                <w:szCs w:val="20"/>
              </w:rPr>
              <w:t>9.57</w:t>
            </w:r>
          </w:p>
        </w:tc>
        <w:tc>
          <w:tcPr>
            <w:tcW w:w="720" w:type="dxa"/>
            <w:vAlign w:val="center"/>
          </w:tcPr>
          <w:p w14:paraId="66C17F95" w14:textId="77777777" w:rsidR="003C0F59" w:rsidRPr="00AA4DFA" w:rsidRDefault="003C0F59" w:rsidP="00CC0F73">
            <w:pPr>
              <w:ind w:left="115"/>
              <w:jc w:val="center"/>
              <w:rPr>
                <w:rFonts w:eastAsia="Calibri"/>
                <w:color w:val="000000"/>
                <w:sz w:val="20"/>
                <w:szCs w:val="20"/>
                <w14:ligatures w14:val="standardContextual"/>
              </w:rPr>
            </w:pPr>
            <w:r w:rsidRPr="00AA4DFA">
              <w:rPr>
                <w:color w:val="000000"/>
                <w:sz w:val="20"/>
                <w:szCs w:val="20"/>
              </w:rPr>
              <w:t>15.33</w:t>
            </w:r>
          </w:p>
        </w:tc>
        <w:tc>
          <w:tcPr>
            <w:tcW w:w="720" w:type="dxa"/>
            <w:vAlign w:val="center"/>
          </w:tcPr>
          <w:p w14:paraId="28487011" w14:textId="77777777" w:rsidR="003C0F59" w:rsidRPr="00AA4DFA" w:rsidRDefault="003C0F59" w:rsidP="00CC0F73">
            <w:pPr>
              <w:ind w:left="115"/>
              <w:jc w:val="center"/>
              <w:rPr>
                <w:rFonts w:eastAsia="Calibri"/>
                <w:color w:val="000000"/>
                <w:sz w:val="20"/>
                <w:szCs w:val="20"/>
                <w14:ligatures w14:val="standardContextual"/>
              </w:rPr>
            </w:pPr>
            <w:r w:rsidRPr="00AA4DFA">
              <w:rPr>
                <w:color w:val="000000"/>
                <w:sz w:val="20"/>
                <w:szCs w:val="20"/>
              </w:rPr>
              <w:t>28.63</w:t>
            </w:r>
          </w:p>
        </w:tc>
        <w:tc>
          <w:tcPr>
            <w:tcW w:w="810" w:type="dxa"/>
            <w:vAlign w:val="center"/>
          </w:tcPr>
          <w:p w14:paraId="7DFFF618" w14:textId="77777777" w:rsidR="003C0F59" w:rsidRPr="00AA4DFA" w:rsidRDefault="003C0F59" w:rsidP="00CC0F73">
            <w:pPr>
              <w:ind w:left="115"/>
              <w:jc w:val="center"/>
              <w:rPr>
                <w:color w:val="000000"/>
                <w:sz w:val="20"/>
                <w:szCs w:val="20"/>
              </w:rPr>
            </w:pPr>
            <w:r w:rsidRPr="00AA4DFA">
              <w:rPr>
                <w:color w:val="000000"/>
                <w:sz w:val="20"/>
                <w:szCs w:val="20"/>
              </w:rPr>
              <w:t>7.47</w:t>
            </w:r>
          </w:p>
        </w:tc>
        <w:tc>
          <w:tcPr>
            <w:tcW w:w="720" w:type="dxa"/>
            <w:vAlign w:val="center"/>
          </w:tcPr>
          <w:p w14:paraId="5F90E037" w14:textId="77777777" w:rsidR="003C0F59" w:rsidRPr="00AA4DFA" w:rsidRDefault="003C0F59" w:rsidP="00CC0F73">
            <w:pPr>
              <w:ind w:left="115"/>
              <w:jc w:val="center"/>
              <w:rPr>
                <w:color w:val="000000"/>
                <w:sz w:val="20"/>
                <w:szCs w:val="20"/>
              </w:rPr>
            </w:pPr>
            <w:r w:rsidRPr="00AA4DFA">
              <w:rPr>
                <w:color w:val="000000"/>
                <w:sz w:val="20"/>
                <w:szCs w:val="20"/>
              </w:rPr>
              <w:t>2.30</w:t>
            </w:r>
          </w:p>
        </w:tc>
        <w:tc>
          <w:tcPr>
            <w:tcW w:w="900" w:type="dxa"/>
            <w:vAlign w:val="center"/>
          </w:tcPr>
          <w:p w14:paraId="53F69497" w14:textId="77777777" w:rsidR="003C0F59" w:rsidRPr="00AA4DFA" w:rsidRDefault="003C0F59" w:rsidP="00CC0F73">
            <w:pPr>
              <w:ind w:left="115"/>
              <w:jc w:val="center"/>
              <w:rPr>
                <w:color w:val="000000"/>
                <w:sz w:val="20"/>
                <w:szCs w:val="20"/>
              </w:rPr>
            </w:pPr>
            <w:r w:rsidRPr="00AA4DFA">
              <w:rPr>
                <w:color w:val="000000"/>
                <w:sz w:val="20"/>
                <w:szCs w:val="20"/>
              </w:rPr>
              <w:t>53.33</w:t>
            </w:r>
          </w:p>
        </w:tc>
        <w:tc>
          <w:tcPr>
            <w:tcW w:w="990" w:type="dxa"/>
            <w:vAlign w:val="center"/>
          </w:tcPr>
          <w:p w14:paraId="35AF534D" w14:textId="77777777" w:rsidR="003C0F59" w:rsidRPr="00AA4DFA" w:rsidRDefault="003C0F59" w:rsidP="00CC0F73">
            <w:pPr>
              <w:ind w:left="115"/>
              <w:jc w:val="center"/>
              <w:rPr>
                <w:color w:val="000000"/>
                <w:sz w:val="20"/>
                <w:szCs w:val="20"/>
              </w:rPr>
            </w:pPr>
            <w:r w:rsidRPr="00AA4DFA">
              <w:rPr>
                <w:color w:val="000000"/>
                <w:sz w:val="20"/>
                <w:szCs w:val="20"/>
              </w:rPr>
              <w:t>59.00</w:t>
            </w:r>
          </w:p>
        </w:tc>
        <w:tc>
          <w:tcPr>
            <w:tcW w:w="900" w:type="dxa"/>
            <w:vAlign w:val="center"/>
          </w:tcPr>
          <w:p w14:paraId="221B80C6" w14:textId="77777777" w:rsidR="003C0F59" w:rsidRPr="00AA4DFA" w:rsidRDefault="003C0F59" w:rsidP="00CC0F73">
            <w:pPr>
              <w:ind w:left="115"/>
              <w:jc w:val="center"/>
              <w:rPr>
                <w:color w:val="000000"/>
                <w:sz w:val="20"/>
                <w:szCs w:val="20"/>
              </w:rPr>
            </w:pPr>
            <w:r w:rsidRPr="00AA4DFA">
              <w:rPr>
                <w:color w:val="000000"/>
                <w:sz w:val="20"/>
                <w:szCs w:val="20"/>
              </w:rPr>
              <w:t>30.66</w:t>
            </w:r>
          </w:p>
        </w:tc>
      </w:tr>
      <w:tr w:rsidR="003C0F59" w:rsidRPr="00AA4DFA" w14:paraId="126D268B" w14:textId="77777777" w:rsidTr="00DB07C5">
        <w:trPr>
          <w:trHeight w:val="288"/>
        </w:trPr>
        <w:tc>
          <w:tcPr>
            <w:tcW w:w="532" w:type="dxa"/>
            <w:vAlign w:val="center"/>
          </w:tcPr>
          <w:p w14:paraId="5B44ACD6" w14:textId="77777777" w:rsidR="003C0F59" w:rsidRPr="00AA4DFA" w:rsidRDefault="003C0F59" w:rsidP="00CC0F73">
            <w:pPr>
              <w:ind w:right="22"/>
              <w:jc w:val="center"/>
              <w:rPr>
                <w:rFonts w:eastAsia="Calibri"/>
                <w:b/>
                <w:sz w:val="20"/>
                <w:szCs w:val="18"/>
                <w14:ligatures w14:val="standardContextual"/>
              </w:rPr>
            </w:pPr>
            <w:r w:rsidRPr="00AA4DFA">
              <w:rPr>
                <w:rFonts w:eastAsia="Calibri"/>
                <w:b/>
                <w:bCs/>
                <w:color w:val="000000"/>
                <w:sz w:val="20"/>
                <w:szCs w:val="18"/>
                <w14:ligatures w14:val="standardContextual"/>
              </w:rPr>
              <w:t>T</w:t>
            </w:r>
            <w:r w:rsidRPr="00AA4DFA">
              <w:rPr>
                <w:rFonts w:eastAsia="Calibri"/>
                <w:b/>
                <w:bCs/>
                <w:color w:val="000000"/>
                <w:sz w:val="20"/>
                <w:szCs w:val="18"/>
                <w:vertAlign w:val="subscript"/>
                <w14:ligatures w14:val="standardContextual"/>
              </w:rPr>
              <w:t>2</w:t>
            </w:r>
          </w:p>
        </w:tc>
        <w:tc>
          <w:tcPr>
            <w:tcW w:w="4778" w:type="dxa"/>
            <w:tcBorders>
              <w:right w:val="single" w:sz="4" w:space="0" w:color="auto"/>
            </w:tcBorders>
            <w:vAlign w:val="center"/>
          </w:tcPr>
          <w:p w14:paraId="74A7767D" w14:textId="77777777" w:rsidR="003C0F59" w:rsidRPr="00AA4DFA" w:rsidRDefault="003C0F59" w:rsidP="00CC0F73">
            <w:pPr>
              <w:ind w:left="110"/>
              <w:jc w:val="center"/>
              <w:rPr>
                <w:rFonts w:eastAsia="Calibri"/>
                <w:b/>
                <w:position w:val="2"/>
                <w:sz w:val="20"/>
                <w:szCs w:val="18"/>
                <w14:ligatures w14:val="standardContextual"/>
              </w:rPr>
            </w:pPr>
            <w:r w:rsidRPr="00AA4DFA">
              <w:rPr>
                <w:rFonts w:eastAsia="Calibri"/>
                <w:color w:val="000000"/>
                <w:sz w:val="20"/>
                <w:szCs w:val="18"/>
                <w14:ligatures w14:val="standardContextual"/>
              </w:rPr>
              <w:t>100 % RDF (NPK 120:85:50 kg/ha)</w:t>
            </w:r>
          </w:p>
        </w:tc>
        <w:tc>
          <w:tcPr>
            <w:tcW w:w="720" w:type="dxa"/>
            <w:tcBorders>
              <w:left w:val="single" w:sz="4" w:space="0" w:color="auto"/>
            </w:tcBorders>
            <w:vAlign w:val="center"/>
          </w:tcPr>
          <w:p w14:paraId="57799710" w14:textId="77777777" w:rsidR="003C0F59" w:rsidRPr="00AA4DFA" w:rsidRDefault="003C0F59" w:rsidP="00CC0F73">
            <w:pPr>
              <w:jc w:val="center"/>
              <w:rPr>
                <w:rFonts w:eastAsia="Calibri"/>
                <w:b/>
                <w:position w:val="2"/>
                <w:sz w:val="20"/>
                <w:szCs w:val="18"/>
                <w14:ligatures w14:val="standardContextual"/>
              </w:rPr>
            </w:pPr>
            <w:r w:rsidRPr="00AA4DFA">
              <w:rPr>
                <w:rFonts w:eastAsia="Calibri"/>
                <w:color w:val="000000"/>
                <w:sz w:val="20"/>
                <w:szCs w:val="18"/>
                <w14:ligatures w14:val="standardContextual"/>
              </w:rPr>
              <w:t>21.52</w:t>
            </w:r>
          </w:p>
        </w:tc>
        <w:tc>
          <w:tcPr>
            <w:tcW w:w="720" w:type="dxa"/>
            <w:vAlign w:val="center"/>
          </w:tcPr>
          <w:p w14:paraId="6EA5322D" w14:textId="77777777" w:rsidR="003C0F59" w:rsidRPr="00AA4DFA" w:rsidRDefault="003C0F59" w:rsidP="00CC0F73">
            <w:pPr>
              <w:ind w:left="115"/>
              <w:jc w:val="center"/>
              <w:rPr>
                <w:rFonts w:eastAsia="Calibri"/>
                <w:sz w:val="20"/>
                <w:szCs w:val="18"/>
                <w14:ligatures w14:val="standardContextual"/>
              </w:rPr>
            </w:pPr>
            <w:r w:rsidRPr="00AA4DFA">
              <w:rPr>
                <w:rFonts w:eastAsia="Calibri"/>
                <w:color w:val="000000"/>
                <w:sz w:val="20"/>
                <w:szCs w:val="18"/>
                <w14:ligatures w14:val="standardContextual"/>
              </w:rPr>
              <w:t>30.47</w:t>
            </w:r>
          </w:p>
        </w:tc>
        <w:tc>
          <w:tcPr>
            <w:tcW w:w="720" w:type="dxa"/>
            <w:vAlign w:val="center"/>
          </w:tcPr>
          <w:p w14:paraId="5282E1BB" w14:textId="77777777" w:rsidR="003C0F59" w:rsidRPr="00AA4DFA" w:rsidRDefault="003C0F59" w:rsidP="00CC0F73">
            <w:pPr>
              <w:ind w:left="115"/>
              <w:jc w:val="center"/>
              <w:rPr>
                <w:rFonts w:eastAsia="Calibri"/>
                <w:sz w:val="20"/>
                <w:szCs w:val="18"/>
                <w14:ligatures w14:val="standardContextual"/>
              </w:rPr>
            </w:pPr>
            <w:r w:rsidRPr="00AA4DFA">
              <w:rPr>
                <w:rFonts w:eastAsia="Calibri"/>
                <w:color w:val="000000"/>
                <w:sz w:val="20"/>
                <w:szCs w:val="18"/>
                <w14:ligatures w14:val="standardContextual"/>
              </w:rPr>
              <w:t>50.47</w:t>
            </w:r>
          </w:p>
        </w:tc>
        <w:tc>
          <w:tcPr>
            <w:tcW w:w="720" w:type="dxa"/>
            <w:vAlign w:val="center"/>
          </w:tcPr>
          <w:p w14:paraId="021AA6AB" w14:textId="77777777" w:rsidR="003C0F59" w:rsidRPr="00AA4DFA" w:rsidRDefault="003C0F59" w:rsidP="00CC0F73">
            <w:pPr>
              <w:ind w:left="115"/>
              <w:jc w:val="center"/>
              <w:rPr>
                <w:rFonts w:eastAsia="Calibri"/>
                <w:color w:val="000000"/>
                <w:sz w:val="20"/>
                <w:szCs w:val="20"/>
                <w14:ligatures w14:val="standardContextual"/>
              </w:rPr>
            </w:pPr>
            <w:r w:rsidRPr="00AA4DFA">
              <w:rPr>
                <w:color w:val="000000"/>
                <w:sz w:val="20"/>
                <w:szCs w:val="20"/>
              </w:rPr>
              <w:t>14.67</w:t>
            </w:r>
          </w:p>
        </w:tc>
        <w:tc>
          <w:tcPr>
            <w:tcW w:w="720" w:type="dxa"/>
            <w:vAlign w:val="center"/>
          </w:tcPr>
          <w:p w14:paraId="53789888" w14:textId="77777777" w:rsidR="003C0F59" w:rsidRPr="00AA4DFA" w:rsidRDefault="003C0F59" w:rsidP="00CC0F73">
            <w:pPr>
              <w:ind w:left="115"/>
              <w:jc w:val="center"/>
              <w:rPr>
                <w:rFonts w:eastAsia="Calibri"/>
                <w:color w:val="000000"/>
                <w:sz w:val="20"/>
                <w:szCs w:val="20"/>
                <w14:ligatures w14:val="standardContextual"/>
              </w:rPr>
            </w:pPr>
            <w:r w:rsidRPr="00AA4DFA">
              <w:rPr>
                <w:color w:val="000000"/>
                <w:sz w:val="20"/>
                <w:szCs w:val="20"/>
              </w:rPr>
              <w:t>26.27</w:t>
            </w:r>
          </w:p>
        </w:tc>
        <w:tc>
          <w:tcPr>
            <w:tcW w:w="720" w:type="dxa"/>
            <w:vAlign w:val="center"/>
          </w:tcPr>
          <w:p w14:paraId="54806BE7" w14:textId="77777777" w:rsidR="003C0F59" w:rsidRPr="00AA4DFA" w:rsidRDefault="003C0F59" w:rsidP="00CC0F73">
            <w:pPr>
              <w:ind w:left="115"/>
              <w:jc w:val="center"/>
              <w:rPr>
                <w:rFonts w:eastAsia="Calibri"/>
                <w:color w:val="000000"/>
                <w:sz w:val="20"/>
                <w:szCs w:val="20"/>
                <w14:ligatures w14:val="standardContextual"/>
              </w:rPr>
            </w:pPr>
            <w:r w:rsidRPr="00AA4DFA">
              <w:rPr>
                <w:color w:val="000000"/>
                <w:sz w:val="20"/>
                <w:szCs w:val="20"/>
              </w:rPr>
              <w:t>43.93</w:t>
            </w:r>
          </w:p>
        </w:tc>
        <w:tc>
          <w:tcPr>
            <w:tcW w:w="810" w:type="dxa"/>
            <w:vAlign w:val="center"/>
          </w:tcPr>
          <w:p w14:paraId="5DB86D3C" w14:textId="77777777" w:rsidR="003C0F59" w:rsidRPr="00AA4DFA" w:rsidRDefault="003C0F59" w:rsidP="00CC0F73">
            <w:pPr>
              <w:ind w:left="115"/>
              <w:jc w:val="center"/>
              <w:rPr>
                <w:color w:val="000000"/>
                <w:sz w:val="20"/>
                <w:szCs w:val="20"/>
              </w:rPr>
            </w:pPr>
            <w:r w:rsidRPr="00AA4DFA">
              <w:rPr>
                <w:color w:val="000000"/>
                <w:sz w:val="20"/>
                <w:szCs w:val="20"/>
              </w:rPr>
              <w:t>10.13</w:t>
            </w:r>
          </w:p>
        </w:tc>
        <w:tc>
          <w:tcPr>
            <w:tcW w:w="720" w:type="dxa"/>
            <w:vAlign w:val="center"/>
          </w:tcPr>
          <w:p w14:paraId="07437B5B" w14:textId="77777777" w:rsidR="003C0F59" w:rsidRPr="00AA4DFA" w:rsidRDefault="003C0F59" w:rsidP="00CC0F73">
            <w:pPr>
              <w:ind w:left="115"/>
              <w:jc w:val="center"/>
              <w:rPr>
                <w:color w:val="000000"/>
                <w:sz w:val="20"/>
                <w:szCs w:val="20"/>
              </w:rPr>
            </w:pPr>
            <w:r w:rsidRPr="00AA4DFA">
              <w:rPr>
                <w:color w:val="000000"/>
                <w:sz w:val="20"/>
                <w:szCs w:val="20"/>
              </w:rPr>
              <w:t>2.83</w:t>
            </w:r>
          </w:p>
        </w:tc>
        <w:tc>
          <w:tcPr>
            <w:tcW w:w="900" w:type="dxa"/>
            <w:vAlign w:val="center"/>
          </w:tcPr>
          <w:p w14:paraId="42DFFC65" w14:textId="77777777" w:rsidR="003C0F59" w:rsidRPr="00AA4DFA" w:rsidRDefault="003C0F59" w:rsidP="00CC0F73">
            <w:pPr>
              <w:ind w:left="115"/>
              <w:jc w:val="center"/>
              <w:rPr>
                <w:color w:val="000000"/>
                <w:sz w:val="20"/>
                <w:szCs w:val="20"/>
              </w:rPr>
            </w:pPr>
            <w:r w:rsidRPr="00AA4DFA">
              <w:rPr>
                <w:color w:val="000000"/>
                <w:sz w:val="20"/>
                <w:szCs w:val="20"/>
              </w:rPr>
              <w:t>51.67</w:t>
            </w:r>
          </w:p>
        </w:tc>
        <w:tc>
          <w:tcPr>
            <w:tcW w:w="990" w:type="dxa"/>
            <w:vAlign w:val="center"/>
          </w:tcPr>
          <w:p w14:paraId="25E27A39" w14:textId="77777777" w:rsidR="003C0F59" w:rsidRPr="00AA4DFA" w:rsidRDefault="003C0F59" w:rsidP="00CC0F73">
            <w:pPr>
              <w:ind w:left="115"/>
              <w:jc w:val="center"/>
              <w:rPr>
                <w:color w:val="000000"/>
                <w:sz w:val="20"/>
                <w:szCs w:val="20"/>
              </w:rPr>
            </w:pPr>
            <w:r w:rsidRPr="00AA4DFA">
              <w:rPr>
                <w:color w:val="000000"/>
                <w:sz w:val="20"/>
                <w:szCs w:val="20"/>
              </w:rPr>
              <w:t>56.67</w:t>
            </w:r>
          </w:p>
        </w:tc>
        <w:tc>
          <w:tcPr>
            <w:tcW w:w="900" w:type="dxa"/>
            <w:vAlign w:val="center"/>
          </w:tcPr>
          <w:p w14:paraId="7C7793C7" w14:textId="77777777" w:rsidR="003C0F59" w:rsidRPr="00AA4DFA" w:rsidRDefault="003C0F59" w:rsidP="00CC0F73">
            <w:pPr>
              <w:ind w:left="115"/>
              <w:jc w:val="center"/>
              <w:rPr>
                <w:color w:val="000000"/>
                <w:sz w:val="20"/>
                <w:szCs w:val="20"/>
              </w:rPr>
            </w:pPr>
            <w:r w:rsidRPr="00AA4DFA">
              <w:rPr>
                <w:color w:val="000000"/>
                <w:sz w:val="20"/>
                <w:szCs w:val="20"/>
              </w:rPr>
              <w:t>40.33</w:t>
            </w:r>
          </w:p>
        </w:tc>
      </w:tr>
      <w:tr w:rsidR="003C0F59" w:rsidRPr="00AA4DFA" w14:paraId="16B7E1BC" w14:textId="77777777" w:rsidTr="00DB07C5">
        <w:trPr>
          <w:trHeight w:val="288"/>
        </w:trPr>
        <w:tc>
          <w:tcPr>
            <w:tcW w:w="532" w:type="dxa"/>
            <w:vAlign w:val="center"/>
          </w:tcPr>
          <w:p w14:paraId="006C4FAF" w14:textId="77777777" w:rsidR="003C0F59" w:rsidRPr="00AA4DFA" w:rsidRDefault="003C0F59" w:rsidP="00CC0F73">
            <w:pPr>
              <w:ind w:right="22"/>
              <w:jc w:val="center"/>
              <w:rPr>
                <w:rFonts w:eastAsia="Calibri"/>
                <w:b/>
                <w:sz w:val="20"/>
                <w:szCs w:val="18"/>
                <w14:ligatures w14:val="standardContextual"/>
              </w:rPr>
            </w:pPr>
            <w:r w:rsidRPr="00AA4DFA">
              <w:rPr>
                <w:rFonts w:eastAsia="Calibri"/>
                <w:b/>
                <w:bCs/>
                <w:color w:val="000000"/>
                <w:sz w:val="20"/>
                <w:szCs w:val="18"/>
                <w14:ligatures w14:val="standardContextual"/>
              </w:rPr>
              <w:t>T</w:t>
            </w:r>
            <w:r w:rsidRPr="00AA4DFA">
              <w:rPr>
                <w:rFonts w:eastAsia="Calibri"/>
                <w:b/>
                <w:bCs/>
                <w:color w:val="000000"/>
                <w:sz w:val="20"/>
                <w:szCs w:val="18"/>
                <w:vertAlign w:val="subscript"/>
                <w14:ligatures w14:val="standardContextual"/>
              </w:rPr>
              <w:t>3</w:t>
            </w:r>
          </w:p>
        </w:tc>
        <w:tc>
          <w:tcPr>
            <w:tcW w:w="4778" w:type="dxa"/>
            <w:tcBorders>
              <w:right w:val="single" w:sz="4" w:space="0" w:color="auto"/>
            </w:tcBorders>
            <w:vAlign w:val="center"/>
          </w:tcPr>
          <w:p w14:paraId="56398DFE" w14:textId="77777777" w:rsidR="003C0F59" w:rsidRPr="00AA4DFA" w:rsidRDefault="003C0F59" w:rsidP="00CC0F73">
            <w:pPr>
              <w:ind w:left="110"/>
              <w:jc w:val="center"/>
              <w:rPr>
                <w:rFonts w:eastAsia="Calibri"/>
                <w:b/>
                <w:position w:val="2"/>
                <w:sz w:val="20"/>
                <w:szCs w:val="18"/>
                <w14:ligatures w14:val="standardContextual"/>
              </w:rPr>
            </w:pPr>
            <w:r w:rsidRPr="00AA4DFA">
              <w:rPr>
                <w:rFonts w:eastAsia="Calibri"/>
                <w:color w:val="000000"/>
                <w:sz w:val="20"/>
                <w:szCs w:val="18"/>
                <w14:ligatures w14:val="standardContextual"/>
              </w:rPr>
              <w:t>Vermicompost @ 6 t/ha</w:t>
            </w:r>
          </w:p>
        </w:tc>
        <w:tc>
          <w:tcPr>
            <w:tcW w:w="720" w:type="dxa"/>
            <w:tcBorders>
              <w:left w:val="single" w:sz="4" w:space="0" w:color="auto"/>
            </w:tcBorders>
            <w:vAlign w:val="center"/>
          </w:tcPr>
          <w:p w14:paraId="7909238F" w14:textId="77777777" w:rsidR="003C0F59" w:rsidRPr="00AA4DFA" w:rsidRDefault="003C0F59" w:rsidP="00CC0F73">
            <w:pPr>
              <w:jc w:val="center"/>
              <w:rPr>
                <w:rFonts w:eastAsia="Calibri"/>
                <w:b/>
                <w:position w:val="2"/>
                <w:sz w:val="20"/>
                <w:szCs w:val="18"/>
                <w14:ligatures w14:val="standardContextual"/>
              </w:rPr>
            </w:pPr>
            <w:r w:rsidRPr="00AA4DFA">
              <w:rPr>
                <w:rFonts w:eastAsia="Calibri"/>
                <w:color w:val="000000"/>
                <w:sz w:val="20"/>
                <w:szCs w:val="18"/>
                <w14:ligatures w14:val="standardContextual"/>
              </w:rPr>
              <w:t>18.72</w:t>
            </w:r>
          </w:p>
        </w:tc>
        <w:tc>
          <w:tcPr>
            <w:tcW w:w="720" w:type="dxa"/>
            <w:vAlign w:val="center"/>
          </w:tcPr>
          <w:p w14:paraId="6EA62BE4" w14:textId="77777777" w:rsidR="003C0F59" w:rsidRPr="00AA4DFA" w:rsidRDefault="003C0F59" w:rsidP="00CC0F73">
            <w:pPr>
              <w:ind w:left="115"/>
              <w:jc w:val="center"/>
              <w:rPr>
                <w:rFonts w:eastAsia="Calibri"/>
                <w:sz w:val="20"/>
                <w:szCs w:val="18"/>
                <w14:ligatures w14:val="standardContextual"/>
              </w:rPr>
            </w:pPr>
            <w:r w:rsidRPr="00AA4DFA">
              <w:rPr>
                <w:rFonts w:eastAsia="Calibri"/>
                <w:color w:val="000000"/>
                <w:sz w:val="20"/>
                <w:szCs w:val="18"/>
                <w14:ligatures w14:val="standardContextual"/>
              </w:rPr>
              <w:t>26.87</w:t>
            </w:r>
          </w:p>
        </w:tc>
        <w:tc>
          <w:tcPr>
            <w:tcW w:w="720" w:type="dxa"/>
            <w:vAlign w:val="center"/>
          </w:tcPr>
          <w:p w14:paraId="77EECF46" w14:textId="77777777" w:rsidR="003C0F59" w:rsidRPr="00AA4DFA" w:rsidRDefault="003C0F59" w:rsidP="00CC0F73">
            <w:pPr>
              <w:ind w:left="115"/>
              <w:jc w:val="center"/>
              <w:rPr>
                <w:rFonts w:eastAsia="Calibri"/>
                <w:sz w:val="20"/>
                <w:szCs w:val="18"/>
                <w14:ligatures w14:val="standardContextual"/>
              </w:rPr>
            </w:pPr>
            <w:r w:rsidRPr="00AA4DFA">
              <w:rPr>
                <w:rFonts w:eastAsia="Calibri"/>
                <w:color w:val="000000"/>
                <w:sz w:val="20"/>
                <w:szCs w:val="18"/>
                <w14:ligatures w14:val="standardContextual"/>
              </w:rPr>
              <w:t>48.53</w:t>
            </w:r>
          </w:p>
        </w:tc>
        <w:tc>
          <w:tcPr>
            <w:tcW w:w="720" w:type="dxa"/>
            <w:vAlign w:val="center"/>
          </w:tcPr>
          <w:p w14:paraId="1F929D9A" w14:textId="77777777" w:rsidR="003C0F59" w:rsidRPr="00AA4DFA" w:rsidRDefault="003C0F59" w:rsidP="00CC0F73">
            <w:pPr>
              <w:ind w:left="115"/>
              <w:jc w:val="center"/>
              <w:rPr>
                <w:rFonts w:eastAsia="Calibri"/>
                <w:color w:val="000000"/>
                <w:sz w:val="20"/>
                <w:szCs w:val="20"/>
                <w14:ligatures w14:val="standardContextual"/>
              </w:rPr>
            </w:pPr>
            <w:r w:rsidRPr="00AA4DFA">
              <w:rPr>
                <w:color w:val="000000"/>
                <w:sz w:val="20"/>
                <w:szCs w:val="20"/>
              </w:rPr>
              <w:t>14.47</w:t>
            </w:r>
          </w:p>
        </w:tc>
        <w:tc>
          <w:tcPr>
            <w:tcW w:w="720" w:type="dxa"/>
            <w:vAlign w:val="center"/>
          </w:tcPr>
          <w:p w14:paraId="56B4E972" w14:textId="77777777" w:rsidR="003C0F59" w:rsidRPr="00AA4DFA" w:rsidRDefault="003C0F59" w:rsidP="00CC0F73">
            <w:pPr>
              <w:ind w:left="115"/>
              <w:jc w:val="center"/>
              <w:rPr>
                <w:rFonts w:eastAsia="Calibri"/>
                <w:color w:val="000000"/>
                <w:sz w:val="20"/>
                <w:szCs w:val="20"/>
                <w14:ligatures w14:val="standardContextual"/>
              </w:rPr>
            </w:pPr>
            <w:r w:rsidRPr="00AA4DFA">
              <w:rPr>
                <w:color w:val="000000"/>
                <w:sz w:val="20"/>
                <w:szCs w:val="20"/>
              </w:rPr>
              <w:t>25.17</w:t>
            </w:r>
          </w:p>
        </w:tc>
        <w:tc>
          <w:tcPr>
            <w:tcW w:w="720" w:type="dxa"/>
            <w:vAlign w:val="center"/>
          </w:tcPr>
          <w:p w14:paraId="756CA5B5" w14:textId="77777777" w:rsidR="003C0F59" w:rsidRPr="00AA4DFA" w:rsidRDefault="003C0F59" w:rsidP="00CC0F73">
            <w:pPr>
              <w:ind w:left="115"/>
              <w:jc w:val="center"/>
              <w:rPr>
                <w:rFonts w:eastAsia="Calibri"/>
                <w:color w:val="000000"/>
                <w:sz w:val="20"/>
                <w:szCs w:val="20"/>
                <w14:ligatures w14:val="standardContextual"/>
              </w:rPr>
            </w:pPr>
            <w:r w:rsidRPr="00AA4DFA">
              <w:rPr>
                <w:color w:val="000000"/>
                <w:sz w:val="20"/>
                <w:szCs w:val="20"/>
              </w:rPr>
              <w:t>38.50</w:t>
            </w:r>
          </w:p>
        </w:tc>
        <w:tc>
          <w:tcPr>
            <w:tcW w:w="810" w:type="dxa"/>
            <w:vAlign w:val="center"/>
          </w:tcPr>
          <w:p w14:paraId="641E1526" w14:textId="77777777" w:rsidR="003C0F59" w:rsidRPr="00AA4DFA" w:rsidRDefault="003C0F59" w:rsidP="00CC0F73">
            <w:pPr>
              <w:ind w:left="115"/>
              <w:jc w:val="center"/>
              <w:rPr>
                <w:color w:val="000000"/>
                <w:sz w:val="20"/>
                <w:szCs w:val="20"/>
              </w:rPr>
            </w:pPr>
            <w:r w:rsidRPr="00AA4DFA">
              <w:rPr>
                <w:color w:val="000000"/>
                <w:sz w:val="20"/>
                <w:szCs w:val="20"/>
              </w:rPr>
              <w:t>8.87</w:t>
            </w:r>
          </w:p>
        </w:tc>
        <w:tc>
          <w:tcPr>
            <w:tcW w:w="720" w:type="dxa"/>
            <w:vAlign w:val="center"/>
          </w:tcPr>
          <w:p w14:paraId="711E5181" w14:textId="77777777" w:rsidR="003C0F59" w:rsidRPr="00AA4DFA" w:rsidRDefault="003C0F59" w:rsidP="00CC0F73">
            <w:pPr>
              <w:ind w:left="115"/>
              <w:jc w:val="center"/>
              <w:rPr>
                <w:color w:val="000000"/>
                <w:sz w:val="20"/>
                <w:szCs w:val="20"/>
              </w:rPr>
            </w:pPr>
            <w:r w:rsidRPr="00AA4DFA">
              <w:rPr>
                <w:color w:val="000000"/>
                <w:sz w:val="20"/>
                <w:szCs w:val="20"/>
              </w:rPr>
              <w:t>2.71</w:t>
            </w:r>
          </w:p>
        </w:tc>
        <w:tc>
          <w:tcPr>
            <w:tcW w:w="900" w:type="dxa"/>
            <w:vAlign w:val="center"/>
          </w:tcPr>
          <w:p w14:paraId="3329C7FC" w14:textId="77777777" w:rsidR="003C0F59" w:rsidRPr="00AA4DFA" w:rsidRDefault="003C0F59" w:rsidP="00CC0F73">
            <w:pPr>
              <w:ind w:left="115"/>
              <w:jc w:val="center"/>
              <w:rPr>
                <w:color w:val="000000"/>
                <w:sz w:val="20"/>
                <w:szCs w:val="20"/>
              </w:rPr>
            </w:pPr>
            <w:r w:rsidRPr="00AA4DFA">
              <w:rPr>
                <w:color w:val="000000"/>
                <w:sz w:val="20"/>
                <w:szCs w:val="20"/>
              </w:rPr>
              <w:t>51.67</w:t>
            </w:r>
          </w:p>
        </w:tc>
        <w:tc>
          <w:tcPr>
            <w:tcW w:w="990" w:type="dxa"/>
            <w:vAlign w:val="center"/>
          </w:tcPr>
          <w:p w14:paraId="64E9EDC7" w14:textId="77777777" w:rsidR="003C0F59" w:rsidRPr="00AA4DFA" w:rsidRDefault="003C0F59" w:rsidP="00CC0F73">
            <w:pPr>
              <w:ind w:left="115"/>
              <w:jc w:val="center"/>
              <w:rPr>
                <w:color w:val="000000"/>
                <w:sz w:val="20"/>
                <w:szCs w:val="20"/>
              </w:rPr>
            </w:pPr>
            <w:r w:rsidRPr="00AA4DFA">
              <w:rPr>
                <w:color w:val="000000"/>
                <w:sz w:val="20"/>
                <w:szCs w:val="20"/>
              </w:rPr>
              <w:t>57.33</w:t>
            </w:r>
          </w:p>
        </w:tc>
        <w:tc>
          <w:tcPr>
            <w:tcW w:w="900" w:type="dxa"/>
            <w:vAlign w:val="center"/>
          </w:tcPr>
          <w:p w14:paraId="7D53E652" w14:textId="77777777" w:rsidR="003C0F59" w:rsidRPr="00AA4DFA" w:rsidRDefault="003C0F59" w:rsidP="00CC0F73">
            <w:pPr>
              <w:ind w:left="115"/>
              <w:jc w:val="center"/>
              <w:rPr>
                <w:color w:val="000000"/>
                <w:sz w:val="20"/>
                <w:szCs w:val="20"/>
              </w:rPr>
            </w:pPr>
            <w:r w:rsidRPr="00AA4DFA">
              <w:rPr>
                <w:color w:val="000000"/>
                <w:sz w:val="20"/>
                <w:szCs w:val="20"/>
              </w:rPr>
              <w:t>36.55</w:t>
            </w:r>
          </w:p>
        </w:tc>
      </w:tr>
      <w:tr w:rsidR="003C0F59" w:rsidRPr="00AA4DFA" w14:paraId="74937E97" w14:textId="77777777" w:rsidTr="00DB07C5">
        <w:trPr>
          <w:trHeight w:val="288"/>
        </w:trPr>
        <w:tc>
          <w:tcPr>
            <w:tcW w:w="532" w:type="dxa"/>
            <w:vAlign w:val="center"/>
          </w:tcPr>
          <w:p w14:paraId="275BAC36" w14:textId="77777777" w:rsidR="003C0F59" w:rsidRPr="00AA4DFA" w:rsidRDefault="003C0F59" w:rsidP="00CC0F73">
            <w:pPr>
              <w:ind w:right="22"/>
              <w:jc w:val="center"/>
              <w:rPr>
                <w:rFonts w:eastAsia="Calibri"/>
                <w:b/>
                <w:sz w:val="20"/>
                <w:szCs w:val="18"/>
                <w14:ligatures w14:val="standardContextual"/>
              </w:rPr>
            </w:pPr>
            <w:r w:rsidRPr="00AA4DFA">
              <w:rPr>
                <w:rFonts w:eastAsia="Calibri"/>
                <w:b/>
                <w:bCs/>
                <w:color w:val="000000"/>
                <w:sz w:val="20"/>
                <w:szCs w:val="18"/>
                <w14:ligatures w14:val="standardContextual"/>
              </w:rPr>
              <w:t>T</w:t>
            </w:r>
            <w:r w:rsidRPr="00AA4DFA">
              <w:rPr>
                <w:rFonts w:eastAsia="Calibri"/>
                <w:b/>
                <w:bCs/>
                <w:color w:val="000000"/>
                <w:sz w:val="20"/>
                <w:szCs w:val="18"/>
                <w:vertAlign w:val="subscript"/>
                <w14:ligatures w14:val="standardContextual"/>
              </w:rPr>
              <w:t>4</w:t>
            </w:r>
          </w:p>
        </w:tc>
        <w:tc>
          <w:tcPr>
            <w:tcW w:w="4778" w:type="dxa"/>
            <w:tcBorders>
              <w:right w:val="single" w:sz="4" w:space="0" w:color="auto"/>
            </w:tcBorders>
            <w:vAlign w:val="center"/>
          </w:tcPr>
          <w:p w14:paraId="02EA4EF7" w14:textId="77777777" w:rsidR="003C0F59" w:rsidRPr="00AA4DFA" w:rsidRDefault="003C0F59" w:rsidP="00CC0F73">
            <w:pPr>
              <w:ind w:left="110"/>
              <w:jc w:val="center"/>
              <w:rPr>
                <w:rFonts w:eastAsia="Calibri"/>
                <w:b/>
                <w:position w:val="2"/>
                <w:sz w:val="20"/>
                <w:szCs w:val="18"/>
                <w14:ligatures w14:val="standardContextual"/>
              </w:rPr>
            </w:pPr>
            <w:r w:rsidRPr="00AA4DFA">
              <w:rPr>
                <w:rFonts w:eastAsia="Calibri"/>
                <w:color w:val="000000"/>
                <w:sz w:val="20"/>
                <w:szCs w:val="18"/>
                <w14:ligatures w14:val="standardContextual"/>
              </w:rPr>
              <w:t>FYM @ 25 t/ha</w:t>
            </w:r>
          </w:p>
        </w:tc>
        <w:tc>
          <w:tcPr>
            <w:tcW w:w="720" w:type="dxa"/>
            <w:tcBorders>
              <w:left w:val="single" w:sz="4" w:space="0" w:color="auto"/>
            </w:tcBorders>
            <w:vAlign w:val="center"/>
          </w:tcPr>
          <w:p w14:paraId="71E407CF" w14:textId="77777777" w:rsidR="003C0F59" w:rsidRPr="00AA4DFA" w:rsidRDefault="003C0F59" w:rsidP="00CC0F73">
            <w:pPr>
              <w:jc w:val="center"/>
              <w:rPr>
                <w:rFonts w:eastAsia="Calibri"/>
                <w:b/>
                <w:position w:val="2"/>
                <w:sz w:val="20"/>
                <w:szCs w:val="18"/>
                <w14:ligatures w14:val="standardContextual"/>
              </w:rPr>
            </w:pPr>
            <w:r w:rsidRPr="00AA4DFA">
              <w:rPr>
                <w:rFonts w:eastAsia="Calibri"/>
                <w:color w:val="000000"/>
                <w:sz w:val="20"/>
                <w:szCs w:val="18"/>
                <w14:ligatures w14:val="standardContextual"/>
              </w:rPr>
              <w:t>15.18</w:t>
            </w:r>
          </w:p>
        </w:tc>
        <w:tc>
          <w:tcPr>
            <w:tcW w:w="720" w:type="dxa"/>
            <w:vAlign w:val="center"/>
          </w:tcPr>
          <w:p w14:paraId="540C853D" w14:textId="77777777" w:rsidR="003C0F59" w:rsidRPr="00AA4DFA" w:rsidRDefault="003C0F59" w:rsidP="00CC0F73">
            <w:pPr>
              <w:ind w:left="115"/>
              <w:jc w:val="center"/>
              <w:rPr>
                <w:rFonts w:eastAsia="Calibri"/>
                <w:sz w:val="20"/>
                <w:szCs w:val="18"/>
                <w14:ligatures w14:val="standardContextual"/>
              </w:rPr>
            </w:pPr>
            <w:r w:rsidRPr="00AA4DFA">
              <w:rPr>
                <w:rFonts w:eastAsia="Calibri"/>
                <w:color w:val="000000"/>
                <w:sz w:val="20"/>
                <w:szCs w:val="18"/>
                <w14:ligatures w14:val="standardContextual"/>
              </w:rPr>
              <w:t>23.40</w:t>
            </w:r>
          </w:p>
        </w:tc>
        <w:tc>
          <w:tcPr>
            <w:tcW w:w="720" w:type="dxa"/>
            <w:vAlign w:val="center"/>
          </w:tcPr>
          <w:p w14:paraId="7F605B6F" w14:textId="77777777" w:rsidR="003C0F59" w:rsidRPr="00AA4DFA" w:rsidRDefault="003C0F59" w:rsidP="00CC0F73">
            <w:pPr>
              <w:ind w:left="115"/>
              <w:jc w:val="center"/>
              <w:rPr>
                <w:rFonts w:eastAsia="Calibri"/>
                <w:sz w:val="20"/>
                <w:szCs w:val="18"/>
                <w14:ligatures w14:val="standardContextual"/>
              </w:rPr>
            </w:pPr>
            <w:r w:rsidRPr="00AA4DFA">
              <w:rPr>
                <w:rFonts w:eastAsia="Calibri"/>
                <w:color w:val="000000"/>
                <w:sz w:val="20"/>
                <w:szCs w:val="18"/>
                <w14:ligatures w14:val="standardContextual"/>
              </w:rPr>
              <w:t>43.74</w:t>
            </w:r>
          </w:p>
        </w:tc>
        <w:tc>
          <w:tcPr>
            <w:tcW w:w="720" w:type="dxa"/>
            <w:vAlign w:val="center"/>
          </w:tcPr>
          <w:p w14:paraId="2EA0AF35" w14:textId="77777777" w:rsidR="003C0F59" w:rsidRPr="00AA4DFA" w:rsidRDefault="003C0F59" w:rsidP="00CC0F73">
            <w:pPr>
              <w:ind w:left="115"/>
              <w:jc w:val="center"/>
              <w:rPr>
                <w:rFonts w:eastAsia="Calibri"/>
                <w:color w:val="000000"/>
                <w:sz w:val="20"/>
                <w:szCs w:val="20"/>
                <w14:ligatures w14:val="standardContextual"/>
              </w:rPr>
            </w:pPr>
            <w:r w:rsidRPr="00AA4DFA">
              <w:rPr>
                <w:color w:val="000000"/>
                <w:sz w:val="20"/>
                <w:szCs w:val="20"/>
              </w:rPr>
              <w:t>13.57</w:t>
            </w:r>
          </w:p>
        </w:tc>
        <w:tc>
          <w:tcPr>
            <w:tcW w:w="720" w:type="dxa"/>
            <w:vAlign w:val="center"/>
          </w:tcPr>
          <w:p w14:paraId="656E3DB9" w14:textId="77777777" w:rsidR="003C0F59" w:rsidRPr="00AA4DFA" w:rsidRDefault="003C0F59" w:rsidP="00CC0F73">
            <w:pPr>
              <w:ind w:left="115"/>
              <w:jc w:val="center"/>
              <w:rPr>
                <w:rFonts w:eastAsia="Calibri"/>
                <w:color w:val="000000"/>
                <w:sz w:val="20"/>
                <w:szCs w:val="20"/>
                <w14:ligatures w14:val="standardContextual"/>
              </w:rPr>
            </w:pPr>
            <w:r w:rsidRPr="00AA4DFA">
              <w:rPr>
                <w:color w:val="000000"/>
                <w:sz w:val="20"/>
                <w:szCs w:val="20"/>
              </w:rPr>
              <w:t>25.23</w:t>
            </w:r>
          </w:p>
        </w:tc>
        <w:tc>
          <w:tcPr>
            <w:tcW w:w="720" w:type="dxa"/>
            <w:vAlign w:val="center"/>
          </w:tcPr>
          <w:p w14:paraId="5142C842" w14:textId="77777777" w:rsidR="003C0F59" w:rsidRPr="00AA4DFA" w:rsidRDefault="003C0F59" w:rsidP="00CC0F73">
            <w:pPr>
              <w:ind w:left="115"/>
              <w:jc w:val="center"/>
              <w:rPr>
                <w:rFonts w:eastAsia="Calibri"/>
                <w:color w:val="000000"/>
                <w:sz w:val="20"/>
                <w:szCs w:val="20"/>
                <w14:ligatures w14:val="standardContextual"/>
              </w:rPr>
            </w:pPr>
            <w:r w:rsidRPr="00AA4DFA">
              <w:rPr>
                <w:color w:val="000000"/>
                <w:sz w:val="20"/>
                <w:szCs w:val="20"/>
              </w:rPr>
              <w:t>35.23</w:t>
            </w:r>
          </w:p>
        </w:tc>
        <w:tc>
          <w:tcPr>
            <w:tcW w:w="810" w:type="dxa"/>
            <w:vAlign w:val="center"/>
          </w:tcPr>
          <w:p w14:paraId="0A0974F4" w14:textId="77777777" w:rsidR="003C0F59" w:rsidRPr="00AA4DFA" w:rsidRDefault="003C0F59" w:rsidP="00CC0F73">
            <w:pPr>
              <w:ind w:left="115"/>
              <w:jc w:val="center"/>
              <w:rPr>
                <w:color w:val="000000"/>
                <w:sz w:val="20"/>
                <w:szCs w:val="20"/>
              </w:rPr>
            </w:pPr>
            <w:r w:rsidRPr="00AA4DFA">
              <w:rPr>
                <w:color w:val="000000"/>
                <w:sz w:val="20"/>
                <w:szCs w:val="20"/>
              </w:rPr>
              <w:t>8.73</w:t>
            </w:r>
          </w:p>
        </w:tc>
        <w:tc>
          <w:tcPr>
            <w:tcW w:w="720" w:type="dxa"/>
            <w:vAlign w:val="center"/>
          </w:tcPr>
          <w:p w14:paraId="27D87A7A" w14:textId="77777777" w:rsidR="003C0F59" w:rsidRPr="00AA4DFA" w:rsidRDefault="003C0F59" w:rsidP="00CC0F73">
            <w:pPr>
              <w:ind w:left="115"/>
              <w:jc w:val="center"/>
              <w:rPr>
                <w:color w:val="000000"/>
                <w:sz w:val="20"/>
                <w:szCs w:val="20"/>
              </w:rPr>
            </w:pPr>
            <w:r w:rsidRPr="00AA4DFA">
              <w:rPr>
                <w:color w:val="000000"/>
                <w:sz w:val="20"/>
                <w:szCs w:val="20"/>
              </w:rPr>
              <w:t>2.55</w:t>
            </w:r>
          </w:p>
        </w:tc>
        <w:tc>
          <w:tcPr>
            <w:tcW w:w="900" w:type="dxa"/>
            <w:vAlign w:val="center"/>
          </w:tcPr>
          <w:p w14:paraId="36DF58E3" w14:textId="77777777" w:rsidR="003C0F59" w:rsidRPr="00AA4DFA" w:rsidRDefault="003C0F59" w:rsidP="00CC0F73">
            <w:pPr>
              <w:ind w:left="115"/>
              <w:jc w:val="center"/>
              <w:rPr>
                <w:color w:val="000000"/>
                <w:sz w:val="20"/>
                <w:szCs w:val="20"/>
              </w:rPr>
            </w:pPr>
            <w:r w:rsidRPr="00AA4DFA">
              <w:rPr>
                <w:color w:val="000000"/>
                <w:sz w:val="20"/>
                <w:szCs w:val="20"/>
              </w:rPr>
              <w:t>51.00</w:t>
            </w:r>
          </w:p>
        </w:tc>
        <w:tc>
          <w:tcPr>
            <w:tcW w:w="990" w:type="dxa"/>
            <w:vAlign w:val="center"/>
          </w:tcPr>
          <w:p w14:paraId="3161C9A4" w14:textId="77777777" w:rsidR="003C0F59" w:rsidRPr="00AA4DFA" w:rsidRDefault="003C0F59" w:rsidP="00CC0F73">
            <w:pPr>
              <w:ind w:left="115"/>
              <w:jc w:val="center"/>
              <w:rPr>
                <w:color w:val="000000"/>
                <w:sz w:val="20"/>
                <w:szCs w:val="20"/>
              </w:rPr>
            </w:pPr>
            <w:r w:rsidRPr="00AA4DFA">
              <w:rPr>
                <w:color w:val="000000"/>
                <w:sz w:val="20"/>
                <w:szCs w:val="20"/>
              </w:rPr>
              <w:t>57.67</w:t>
            </w:r>
          </w:p>
        </w:tc>
        <w:tc>
          <w:tcPr>
            <w:tcW w:w="900" w:type="dxa"/>
            <w:vAlign w:val="center"/>
          </w:tcPr>
          <w:p w14:paraId="0F8175DE" w14:textId="77777777" w:rsidR="003C0F59" w:rsidRPr="00AA4DFA" w:rsidRDefault="003C0F59" w:rsidP="00CC0F73">
            <w:pPr>
              <w:ind w:left="115"/>
              <w:jc w:val="center"/>
              <w:rPr>
                <w:color w:val="000000"/>
                <w:sz w:val="20"/>
                <w:szCs w:val="20"/>
              </w:rPr>
            </w:pPr>
            <w:r w:rsidRPr="00AA4DFA">
              <w:rPr>
                <w:color w:val="000000"/>
                <w:sz w:val="20"/>
                <w:szCs w:val="20"/>
              </w:rPr>
              <w:t>34.78</w:t>
            </w:r>
          </w:p>
        </w:tc>
      </w:tr>
      <w:tr w:rsidR="003C0F59" w:rsidRPr="00AA4DFA" w14:paraId="5C3D5504" w14:textId="77777777" w:rsidTr="00DB07C5">
        <w:trPr>
          <w:trHeight w:val="288"/>
        </w:trPr>
        <w:tc>
          <w:tcPr>
            <w:tcW w:w="532" w:type="dxa"/>
            <w:vAlign w:val="center"/>
          </w:tcPr>
          <w:p w14:paraId="596C68DB" w14:textId="77777777" w:rsidR="003C0F59" w:rsidRPr="00AA4DFA" w:rsidRDefault="003C0F59" w:rsidP="00CC0F73">
            <w:pPr>
              <w:ind w:right="22"/>
              <w:jc w:val="center"/>
              <w:rPr>
                <w:rFonts w:eastAsia="Calibri"/>
                <w:b/>
                <w:sz w:val="20"/>
                <w:szCs w:val="18"/>
                <w14:ligatures w14:val="standardContextual"/>
              </w:rPr>
            </w:pPr>
            <w:r w:rsidRPr="00AA4DFA">
              <w:rPr>
                <w:rFonts w:eastAsia="Calibri"/>
                <w:b/>
                <w:bCs/>
                <w:color w:val="000000"/>
                <w:sz w:val="20"/>
                <w:szCs w:val="18"/>
                <w14:ligatures w14:val="standardContextual"/>
              </w:rPr>
              <w:t>T</w:t>
            </w:r>
            <w:r w:rsidRPr="00AA4DFA">
              <w:rPr>
                <w:rFonts w:eastAsia="Calibri"/>
                <w:b/>
                <w:bCs/>
                <w:color w:val="000000"/>
                <w:sz w:val="20"/>
                <w:szCs w:val="18"/>
                <w:vertAlign w:val="subscript"/>
                <w14:ligatures w14:val="standardContextual"/>
              </w:rPr>
              <w:t>5</w:t>
            </w:r>
          </w:p>
        </w:tc>
        <w:tc>
          <w:tcPr>
            <w:tcW w:w="4778" w:type="dxa"/>
            <w:tcBorders>
              <w:right w:val="single" w:sz="4" w:space="0" w:color="auto"/>
            </w:tcBorders>
            <w:vAlign w:val="center"/>
          </w:tcPr>
          <w:p w14:paraId="2EFF7918" w14:textId="77777777" w:rsidR="003C0F59" w:rsidRPr="00AA4DFA" w:rsidRDefault="003C0F59" w:rsidP="00CC0F73">
            <w:pPr>
              <w:ind w:left="110"/>
              <w:jc w:val="center"/>
              <w:rPr>
                <w:rFonts w:eastAsia="Calibri"/>
                <w:b/>
                <w:sz w:val="20"/>
                <w:szCs w:val="18"/>
                <w14:ligatures w14:val="standardContextual"/>
              </w:rPr>
            </w:pPr>
            <w:r w:rsidRPr="00AA4DFA">
              <w:rPr>
                <w:rFonts w:eastAsia="Calibri"/>
                <w:color w:val="000000"/>
                <w:sz w:val="20"/>
                <w:szCs w:val="18"/>
                <w14:ligatures w14:val="standardContextual"/>
              </w:rPr>
              <w:t>FYM @ 12.5 t/ha + 50 % RDF</w:t>
            </w:r>
          </w:p>
        </w:tc>
        <w:tc>
          <w:tcPr>
            <w:tcW w:w="720" w:type="dxa"/>
            <w:tcBorders>
              <w:left w:val="single" w:sz="4" w:space="0" w:color="auto"/>
            </w:tcBorders>
            <w:vAlign w:val="center"/>
          </w:tcPr>
          <w:p w14:paraId="19D557E7" w14:textId="77777777" w:rsidR="003C0F59" w:rsidRPr="00AA4DFA" w:rsidRDefault="003C0F59" w:rsidP="00CC0F73">
            <w:pPr>
              <w:jc w:val="center"/>
              <w:rPr>
                <w:rFonts w:eastAsia="Calibri"/>
                <w:b/>
                <w:sz w:val="20"/>
                <w:szCs w:val="18"/>
                <w14:ligatures w14:val="standardContextual"/>
              </w:rPr>
            </w:pPr>
            <w:r w:rsidRPr="00AA4DFA">
              <w:rPr>
                <w:rFonts w:eastAsia="Calibri"/>
                <w:color w:val="000000"/>
                <w:sz w:val="20"/>
                <w:szCs w:val="18"/>
                <w14:ligatures w14:val="standardContextual"/>
              </w:rPr>
              <w:t>24.40</w:t>
            </w:r>
          </w:p>
        </w:tc>
        <w:tc>
          <w:tcPr>
            <w:tcW w:w="720" w:type="dxa"/>
            <w:vAlign w:val="center"/>
          </w:tcPr>
          <w:p w14:paraId="2899E5A7" w14:textId="77777777" w:rsidR="003C0F59" w:rsidRPr="00AA4DFA" w:rsidRDefault="003C0F59" w:rsidP="00CC0F73">
            <w:pPr>
              <w:ind w:left="115"/>
              <w:jc w:val="center"/>
              <w:rPr>
                <w:rFonts w:eastAsia="Calibri"/>
                <w:sz w:val="20"/>
                <w:szCs w:val="18"/>
                <w14:ligatures w14:val="standardContextual"/>
              </w:rPr>
            </w:pPr>
            <w:r w:rsidRPr="00AA4DFA">
              <w:rPr>
                <w:rFonts w:eastAsia="Calibri"/>
                <w:color w:val="000000"/>
                <w:sz w:val="20"/>
                <w:szCs w:val="18"/>
                <w14:ligatures w14:val="standardContextual"/>
              </w:rPr>
              <w:t>33.14</w:t>
            </w:r>
          </w:p>
        </w:tc>
        <w:tc>
          <w:tcPr>
            <w:tcW w:w="720" w:type="dxa"/>
            <w:vAlign w:val="center"/>
          </w:tcPr>
          <w:p w14:paraId="330BFC01" w14:textId="77777777" w:rsidR="003C0F59" w:rsidRPr="00AA4DFA" w:rsidRDefault="003C0F59" w:rsidP="00CC0F73">
            <w:pPr>
              <w:ind w:left="115"/>
              <w:jc w:val="center"/>
              <w:rPr>
                <w:rFonts w:eastAsia="Calibri"/>
                <w:sz w:val="20"/>
                <w:szCs w:val="18"/>
                <w14:ligatures w14:val="standardContextual"/>
              </w:rPr>
            </w:pPr>
            <w:r w:rsidRPr="00AA4DFA">
              <w:rPr>
                <w:rFonts w:eastAsia="Calibri"/>
                <w:color w:val="000000"/>
                <w:sz w:val="20"/>
                <w:szCs w:val="18"/>
                <w14:ligatures w14:val="standardContextual"/>
              </w:rPr>
              <w:t>54.14</w:t>
            </w:r>
          </w:p>
        </w:tc>
        <w:tc>
          <w:tcPr>
            <w:tcW w:w="720" w:type="dxa"/>
            <w:vAlign w:val="center"/>
          </w:tcPr>
          <w:p w14:paraId="6DCF7F03" w14:textId="77777777" w:rsidR="003C0F59" w:rsidRPr="00AA4DFA" w:rsidRDefault="003C0F59" w:rsidP="00CC0F73">
            <w:pPr>
              <w:ind w:left="115"/>
              <w:jc w:val="center"/>
              <w:rPr>
                <w:rFonts w:eastAsia="Calibri"/>
                <w:color w:val="000000"/>
                <w:sz w:val="20"/>
                <w:szCs w:val="20"/>
                <w14:ligatures w14:val="standardContextual"/>
              </w:rPr>
            </w:pPr>
            <w:r w:rsidRPr="00AA4DFA">
              <w:rPr>
                <w:color w:val="000000"/>
                <w:sz w:val="20"/>
                <w:szCs w:val="20"/>
              </w:rPr>
              <w:t>16.20</w:t>
            </w:r>
          </w:p>
        </w:tc>
        <w:tc>
          <w:tcPr>
            <w:tcW w:w="720" w:type="dxa"/>
            <w:vAlign w:val="center"/>
          </w:tcPr>
          <w:p w14:paraId="4C488F53" w14:textId="77777777" w:rsidR="003C0F59" w:rsidRPr="00AA4DFA" w:rsidRDefault="003C0F59" w:rsidP="00CC0F73">
            <w:pPr>
              <w:ind w:left="115"/>
              <w:jc w:val="center"/>
              <w:rPr>
                <w:rFonts w:eastAsia="Calibri"/>
                <w:color w:val="000000"/>
                <w:sz w:val="20"/>
                <w:szCs w:val="20"/>
                <w14:ligatures w14:val="standardContextual"/>
              </w:rPr>
            </w:pPr>
            <w:r w:rsidRPr="00AA4DFA">
              <w:rPr>
                <w:color w:val="000000"/>
                <w:sz w:val="20"/>
                <w:szCs w:val="20"/>
              </w:rPr>
              <w:t>28.70</w:t>
            </w:r>
          </w:p>
        </w:tc>
        <w:tc>
          <w:tcPr>
            <w:tcW w:w="720" w:type="dxa"/>
            <w:vAlign w:val="center"/>
          </w:tcPr>
          <w:p w14:paraId="16AF3919" w14:textId="77777777" w:rsidR="003C0F59" w:rsidRPr="00AA4DFA" w:rsidRDefault="003C0F59" w:rsidP="00CC0F73">
            <w:pPr>
              <w:ind w:left="115"/>
              <w:jc w:val="center"/>
              <w:rPr>
                <w:rFonts w:eastAsia="Calibri"/>
                <w:color w:val="000000"/>
                <w:sz w:val="20"/>
                <w:szCs w:val="20"/>
                <w14:ligatures w14:val="standardContextual"/>
              </w:rPr>
            </w:pPr>
            <w:r w:rsidRPr="00AA4DFA">
              <w:rPr>
                <w:color w:val="000000"/>
                <w:sz w:val="20"/>
                <w:szCs w:val="20"/>
              </w:rPr>
              <w:t>49.03</w:t>
            </w:r>
          </w:p>
        </w:tc>
        <w:tc>
          <w:tcPr>
            <w:tcW w:w="810" w:type="dxa"/>
            <w:vAlign w:val="center"/>
          </w:tcPr>
          <w:p w14:paraId="5B2E34AB" w14:textId="77777777" w:rsidR="003C0F59" w:rsidRPr="00AA4DFA" w:rsidRDefault="003C0F59" w:rsidP="00CC0F73">
            <w:pPr>
              <w:ind w:left="115"/>
              <w:jc w:val="center"/>
              <w:rPr>
                <w:color w:val="000000"/>
                <w:sz w:val="20"/>
                <w:szCs w:val="20"/>
              </w:rPr>
            </w:pPr>
            <w:r w:rsidRPr="00AA4DFA">
              <w:rPr>
                <w:color w:val="000000"/>
                <w:sz w:val="20"/>
                <w:szCs w:val="20"/>
              </w:rPr>
              <w:t>11.07</w:t>
            </w:r>
          </w:p>
        </w:tc>
        <w:tc>
          <w:tcPr>
            <w:tcW w:w="720" w:type="dxa"/>
            <w:vAlign w:val="center"/>
          </w:tcPr>
          <w:p w14:paraId="16A773FE" w14:textId="77777777" w:rsidR="003C0F59" w:rsidRPr="00AA4DFA" w:rsidRDefault="003C0F59" w:rsidP="00CC0F73">
            <w:pPr>
              <w:ind w:left="115"/>
              <w:jc w:val="center"/>
              <w:rPr>
                <w:color w:val="000000"/>
                <w:sz w:val="20"/>
                <w:szCs w:val="20"/>
              </w:rPr>
            </w:pPr>
            <w:r w:rsidRPr="00AA4DFA">
              <w:rPr>
                <w:color w:val="000000"/>
                <w:sz w:val="20"/>
                <w:szCs w:val="20"/>
              </w:rPr>
              <w:t>3.04</w:t>
            </w:r>
          </w:p>
        </w:tc>
        <w:tc>
          <w:tcPr>
            <w:tcW w:w="900" w:type="dxa"/>
            <w:vAlign w:val="center"/>
          </w:tcPr>
          <w:p w14:paraId="31199205" w14:textId="77777777" w:rsidR="003C0F59" w:rsidRPr="00AA4DFA" w:rsidRDefault="003C0F59" w:rsidP="00CC0F73">
            <w:pPr>
              <w:ind w:left="115"/>
              <w:jc w:val="center"/>
              <w:rPr>
                <w:color w:val="000000"/>
                <w:sz w:val="20"/>
                <w:szCs w:val="20"/>
              </w:rPr>
            </w:pPr>
            <w:r w:rsidRPr="00AA4DFA">
              <w:rPr>
                <w:color w:val="000000"/>
                <w:sz w:val="20"/>
                <w:szCs w:val="20"/>
              </w:rPr>
              <w:t>47.67</w:t>
            </w:r>
          </w:p>
        </w:tc>
        <w:tc>
          <w:tcPr>
            <w:tcW w:w="990" w:type="dxa"/>
            <w:vAlign w:val="center"/>
          </w:tcPr>
          <w:p w14:paraId="3D038CE1" w14:textId="77777777" w:rsidR="003C0F59" w:rsidRPr="00AA4DFA" w:rsidRDefault="003C0F59" w:rsidP="00CC0F73">
            <w:pPr>
              <w:ind w:left="115"/>
              <w:jc w:val="center"/>
              <w:rPr>
                <w:color w:val="000000"/>
                <w:sz w:val="20"/>
                <w:szCs w:val="20"/>
              </w:rPr>
            </w:pPr>
            <w:r w:rsidRPr="00AA4DFA">
              <w:rPr>
                <w:color w:val="000000"/>
                <w:sz w:val="20"/>
                <w:szCs w:val="20"/>
              </w:rPr>
              <w:t>54.33</w:t>
            </w:r>
          </w:p>
        </w:tc>
        <w:tc>
          <w:tcPr>
            <w:tcW w:w="900" w:type="dxa"/>
            <w:vAlign w:val="center"/>
          </w:tcPr>
          <w:p w14:paraId="4C405D05" w14:textId="77777777" w:rsidR="003C0F59" w:rsidRPr="00AA4DFA" w:rsidRDefault="003C0F59" w:rsidP="00CC0F73">
            <w:pPr>
              <w:ind w:left="115"/>
              <w:jc w:val="center"/>
              <w:rPr>
                <w:color w:val="000000"/>
                <w:sz w:val="20"/>
                <w:szCs w:val="20"/>
              </w:rPr>
            </w:pPr>
            <w:r w:rsidRPr="00AA4DFA">
              <w:rPr>
                <w:color w:val="000000"/>
                <w:sz w:val="20"/>
                <w:szCs w:val="20"/>
              </w:rPr>
              <w:t>42.00</w:t>
            </w:r>
          </w:p>
        </w:tc>
      </w:tr>
      <w:tr w:rsidR="003C0F59" w:rsidRPr="00AA4DFA" w14:paraId="60BA65B2" w14:textId="77777777" w:rsidTr="00DB07C5">
        <w:trPr>
          <w:trHeight w:val="288"/>
        </w:trPr>
        <w:tc>
          <w:tcPr>
            <w:tcW w:w="532" w:type="dxa"/>
            <w:tcBorders>
              <w:top w:val="single" w:sz="4" w:space="0" w:color="auto"/>
            </w:tcBorders>
            <w:vAlign w:val="center"/>
          </w:tcPr>
          <w:p w14:paraId="37F3703E" w14:textId="77777777" w:rsidR="003C0F59" w:rsidRPr="00AA4DFA" w:rsidRDefault="003C0F59" w:rsidP="00CC0F73">
            <w:pPr>
              <w:ind w:right="22"/>
              <w:jc w:val="center"/>
              <w:rPr>
                <w:rFonts w:eastAsia="Calibri"/>
                <w:b/>
                <w:sz w:val="20"/>
                <w:szCs w:val="18"/>
                <w14:ligatures w14:val="standardContextual"/>
              </w:rPr>
            </w:pPr>
            <w:r w:rsidRPr="00AA4DFA">
              <w:rPr>
                <w:rFonts w:eastAsia="Calibri"/>
                <w:b/>
                <w:bCs/>
                <w:color w:val="000000"/>
                <w:sz w:val="20"/>
                <w:szCs w:val="18"/>
                <w14:ligatures w14:val="standardContextual"/>
              </w:rPr>
              <w:t>T</w:t>
            </w:r>
            <w:r w:rsidRPr="00AA4DFA">
              <w:rPr>
                <w:rFonts w:eastAsia="Calibri"/>
                <w:b/>
                <w:bCs/>
                <w:color w:val="000000"/>
                <w:sz w:val="20"/>
                <w:szCs w:val="18"/>
                <w:vertAlign w:val="subscript"/>
                <w14:ligatures w14:val="standardContextual"/>
              </w:rPr>
              <w:t>6</w:t>
            </w:r>
          </w:p>
        </w:tc>
        <w:tc>
          <w:tcPr>
            <w:tcW w:w="4778" w:type="dxa"/>
            <w:tcBorders>
              <w:top w:val="single" w:sz="4" w:space="0" w:color="auto"/>
              <w:right w:val="single" w:sz="4" w:space="0" w:color="auto"/>
            </w:tcBorders>
            <w:vAlign w:val="center"/>
          </w:tcPr>
          <w:p w14:paraId="1125C2AF" w14:textId="77777777" w:rsidR="003C0F59" w:rsidRPr="00AA4DFA" w:rsidRDefault="003C0F59" w:rsidP="00CC0F73">
            <w:pPr>
              <w:ind w:left="110"/>
              <w:jc w:val="center"/>
              <w:rPr>
                <w:rFonts w:eastAsia="Calibri"/>
                <w:b/>
                <w:sz w:val="20"/>
                <w:szCs w:val="18"/>
                <w14:ligatures w14:val="standardContextual"/>
              </w:rPr>
            </w:pPr>
            <w:r w:rsidRPr="00AA4DFA">
              <w:rPr>
                <w:rFonts w:eastAsia="Calibri"/>
                <w:color w:val="000000"/>
                <w:sz w:val="20"/>
                <w:szCs w:val="18"/>
                <w14:ligatures w14:val="standardContextual"/>
              </w:rPr>
              <w:t>Vermicompost @ 3 t/ha + 50 % RDF</w:t>
            </w:r>
          </w:p>
        </w:tc>
        <w:tc>
          <w:tcPr>
            <w:tcW w:w="720" w:type="dxa"/>
            <w:tcBorders>
              <w:top w:val="single" w:sz="4" w:space="0" w:color="auto"/>
              <w:left w:val="single" w:sz="4" w:space="0" w:color="auto"/>
            </w:tcBorders>
            <w:vAlign w:val="center"/>
          </w:tcPr>
          <w:p w14:paraId="70AA63FA" w14:textId="77777777" w:rsidR="003C0F59" w:rsidRPr="00AA4DFA" w:rsidRDefault="003C0F59" w:rsidP="00CC0F73">
            <w:pPr>
              <w:jc w:val="center"/>
              <w:rPr>
                <w:rFonts w:eastAsia="Calibri"/>
                <w:b/>
                <w:sz w:val="20"/>
                <w:szCs w:val="18"/>
                <w14:ligatures w14:val="standardContextual"/>
              </w:rPr>
            </w:pPr>
            <w:r w:rsidRPr="00AA4DFA">
              <w:rPr>
                <w:rFonts w:eastAsia="Calibri"/>
                <w:color w:val="000000"/>
                <w:sz w:val="20"/>
                <w:szCs w:val="18"/>
                <w14:ligatures w14:val="standardContextual"/>
              </w:rPr>
              <w:t>26.47</w:t>
            </w:r>
          </w:p>
        </w:tc>
        <w:tc>
          <w:tcPr>
            <w:tcW w:w="720" w:type="dxa"/>
            <w:tcBorders>
              <w:top w:val="single" w:sz="4" w:space="0" w:color="auto"/>
            </w:tcBorders>
            <w:vAlign w:val="center"/>
          </w:tcPr>
          <w:p w14:paraId="53CA54B2" w14:textId="77777777" w:rsidR="003C0F59" w:rsidRPr="00AA4DFA" w:rsidRDefault="003C0F59" w:rsidP="00CC0F73">
            <w:pPr>
              <w:ind w:left="115"/>
              <w:jc w:val="center"/>
              <w:rPr>
                <w:rFonts w:eastAsia="Calibri"/>
                <w:sz w:val="20"/>
                <w:szCs w:val="18"/>
                <w14:ligatures w14:val="standardContextual"/>
              </w:rPr>
            </w:pPr>
            <w:r w:rsidRPr="00AA4DFA">
              <w:rPr>
                <w:rFonts w:eastAsia="Calibri"/>
                <w:color w:val="000000"/>
                <w:sz w:val="20"/>
                <w:szCs w:val="18"/>
                <w14:ligatures w14:val="standardContextual"/>
              </w:rPr>
              <w:t>38.89</w:t>
            </w:r>
          </w:p>
        </w:tc>
        <w:tc>
          <w:tcPr>
            <w:tcW w:w="720" w:type="dxa"/>
            <w:tcBorders>
              <w:top w:val="single" w:sz="4" w:space="0" w:color="auto"/>
            </w:tcBorders>
            <w:vAlign w:val="center"/>
          </w:tcPr>
          <w:p w14:paraId="142019A4" w14:textId="77777777" w:rsidR="003C0F59" w:rsidRPr="00AA4DFA" w:rsidRDefault="003C0F59" w:rsidP="00CC0F73">
            <w:pPr>
              <w:ind w:left="115"/>
              <w:jc w:val="center"/>
              <w:rPr>
                <w:rFonts w:eastAsia="Calibri"/>
                <w:sz w:val="20"/>
                <w:szCs w:val="18"/>
                <w14:ligatures w14:val="standardContextual"/>
              </w:rPr>
            </w:pPr>
            <w:r w:rsidRPr="00AA4DFA">
              <w:rPr>
                <w:rFonts w:eastAsia="Calibri"/>
                <w:color w:val="000000"/>
                <w:sz w:val="20"/>
                <w:szCs w:val="18"/>
                <w14:ligatures w14:val="standardContextual"/>
              </w:rPr>
              <w:t>57.89</w:t>
            </w:r>
          </w:p>
        </w:tc>
        <w:tc>
          <w:tcPr>
            <w:tcW w:w="720" w:type="dxa"/>
            <w:tcBorders>
              <w:top w:val="single" w:sz="4" w:space="0" w:color="auto"/>
            </w:tcBorders>
            <w:vAlign w:val="center"/>
          </w:tcPr>
          <w:p w14:paraId="2E846E6A" w14:textId="77777777" w:rsidR="003C0F59" w:rsidRPr="00AA4DFA" w:rsidRDefault="003C0F59" w:rsidP="00CC0F73">
            <w:pPr>
              <w:ind w:left="115"/>
              <w:jc w:val="center"/>
              <w:rPr>
                <w:rFonts w:eastAsia="Calibri"/>
                <w:color w:val="000000"/>
                <w:sz w:val="20"/>
                <w:szCs w:val="20"/>
                <w14:ligatures w14:val="standardContextual"/>
              </w:rPr>
            </w:pPr>
            <w:r w:rsidRPr="00AA4DFA">
              <w:rPr>
                <w:color w:val="000000"/>
                <w:sz w:val="20"/>
                <w:szCs w:val="20"/>
              </w:rPr>
              <w:t>17.50</w:t>
            </w:r>
          </w:p>
        </w:tc>
        <w:tc>
          <w:tcPr>
            <w:tcW w:w="720" w:type="dxa"/>
            <w:tcBorders>
              <w:top w:val="single" w:sz="4" w:space="0" w:color="auto"/>
            </w:tcBorders>
            <w:vAlign w:val="center"/>
          </w:tcPr>
          <w:p w14:paraId="298C9713" w14:textId="77777777" w:rsidR="003C0F59" w:rsidRPr="00AA4DFA" w:rsidRDefault="003C0F59" w:rsidP="00CC0F73">
            <w:pPr>
              <w:ind w:left="115"/>
              <w:jc w:val="center"/>
              <w:rPr>
                <w:rFonts w:eastAsia="Calibri"/>
                <w:color w:val="000000"/>
                <w:sz w:val="20"/>
                <w:szCs w:val="20"/>
                <w14:ligatures w14:val="standardContextual"/>
              </w:rPr>
            </w:pPr>
            <w:r w:rsidRPr="00AA4DFA">
              <w:rPr>
                <w:color w:val="000000"/>
                <w:sz w:val="20"/>
                <w:szCs w:val="20"/>
              </w:rPr>
              <w:t>30.27</w:t>
            </w:r>
          </w:p>
        </w:tc>
        <w:tc>
          <w:tcPr>
            <w:tcW w:w="720" w:type="dxa"/>
            <w:tcBorders>
              <w:top w:val="single" w:sz="4" w:space="0" w:color="auto"/>
            </w:tcBorders>
            <w:vAlign w:val="center"/>
          </w:tcPr>
          <w:p w14:paraId="118C8115" w14:textId="77777777" w:rsidR="003C0F59" w:rsidRPr="00AA4DFA" w:rsidRDefault="003C0F59" w:rsidP="00CC0F73">
            <w:pPr>
              <w:ind w:left="115"/>
              <w:jc w:val="center"/>
              <w:rPr>
                <w:rFonts w:eastAsia="Calibri"/>
                <w:color w:val="000000"/>
                <w:sz w:val="20"/>
                <w:szCs w:val="20"/>
                <w14:ligatures w14:val="standardContextual"/>
              </w:rPr>
            </w:pPr>
            <w:r w:rsidRPr="00AA4DFA">
              <w:rPr>
                <w:color w:val="000000"/>
                <w:sz w:val="20"/>
                <w:szCs w:val="20"/>
              </w:rPr>
              <w:t>52.93</w:t>
            </w:r>
          </w:p>
        </w:tc>
        <w:tc>
          <w:tcPr>
            <w:tcW w:w="810" w:type="dxa"/>
            <w:tcBorders>
              <w:top w:val="single" w:sz="4" w:space="0" w:color="auto"/>
            </w:tcBorders>
            <w:vAlign w:val="center"/>
          </w:tcPr>
          <w:p w14:paraId="5640B98D" w14:textId="77777777" w:rsidR="003C0F59" w:rsidRPr="00AA4DFA" w:rsidRDefault="003C0F59" w:rsidP="00CC0F73">
            <w:pPr>
              <w:ind w:left="115"/>
              <w:jc w:val="center"/>
              <w:rPr>
                <w:color w:val="000000"/>
                <w:sz w:val="20"/>
                <w:szCs w:val="20"/>
              </w:rPr>
            </w:pPr>
            <w:r w:rsidRPr="00AA4DFA">
              <w:rPr>
                <w:color w:val="000000"/>
                <w:sz w:val="20"/>
                <w:szCs w:val="20"/>
              </w:rPr>
              <w:t>11.33</w:t>
            </w:r>
          </w:p>
        </w:tc>
        <w:tc>
          <w:tcPr>
            <w:tcW w:w="720" w:type="dxa"/>
            <w:tcBorders>
              <w:top w:val="single" w:sz="4" w:space="0" w:color="auto"/>
            </w:tcBorders>
            <w:vAlign w:val="center"/>
          </w:tcPr>
          <w:p w14:paraId="0C1B3589" w14:textId="77777777" w:rsidR="003C0F59" w:rsidRPr="00AA4DFA" w:rsidRDefault="003C0F59" w:rsidP="00CC0F73">
            <w:pPr>
              <w:ind w:left="115"/>
              <w:jc w:val="center"/>
              <w:rPr>
                <w:color w:val="000000"/>
                <w:sz w:val="20"/>
                <w:szCs w:val="20"/>
              </w:rPr>
            </w:pPr>
            <w:r w:rsidRPr="00AA4DFA">
              <w:rPr>
                <w:color w:val="000000"/>
                <w:sz w:val="20"/>
                <w:szCs w:val="20"/>
              </w:rPr>
              <w:t>3.12</w:t>
            </w:r>
          </w:p>
        </w:tc>
        <w:tc>
          <w:tcPr>
            <w:tcW w:w="900" w:type="dxa"/>
            <w:tcBorders>
              <w:top w:val="single" w:sz="4" w:space="0" w:color="auto"/>
            </w:tcBorders>
            <w:vAlign w:val="center"/>
          </w:tcPr>
          <w:p w14:paraId="0AE17E0C" w14:textId="77777777" w:rsidR="003C0F59" w:rsidRPr="00AA4DFA" w:rsidRDefault="003C0F59" w:rsidP="00CC0F73">
            <w:pPr>
              <w:ind w:left="115"/>
              <w:jc w:val="center"/>
              <w:rPr>
                <w:color w:val="000000"/>
                <w:sz w:val="20"/>
                <w:szCs w:val="20"/>
              </w:rPr>
            </w:pPr>
            <w:r w:rsidRPr="00AA4DFA">
              <w:rPr>
                <w:color w:val="000000"/>
                <w:sz w:val="20"/>
                <w:szCs w:val="20"/>
              </w:rPr>
              <w:t>47.67</w:t>
            </w:r>
          </w:p>
        </w:tc>
        <w:tc>
          <w:tcPr>
            <w:tcW w:w="990" w:type="dxa"/>
            <w:tcBorders>
              <w:top w:val="single" w:sz="4" w:space="0" w:color="auto"/>
            </w:tcBorders>
            <w:vAlign w:val="center"/>
          </w:tcPr>
          <w:p w14:paraId="07AD4B75" w14:textId="77777777" w:rsidR="003C0F59" w:rsidRPr="00AA4DFA" w:rsidRDefault="003C0F59" w:rsidP="00CC0F73">
            <w:pPr>
              <w:ind w:left="115"/>
              <w:jc w:val="center"/>
              <w:rPr>
                <w:color w:val="000000"/>
                <w:sz w:val="20"/>
                <w:szCs w:val="20"/>
              </w:rPr>
            </w:pPr>
            <w:r w:rsidRPr="00AA4DFA">
              <w:rPr>
                <w:color w:val="000000"/>
                <w:sz w:val="20"/>
                <w:szCs w:val="20"/>
              </w:rPr>
              <w:t>53.33</w:t>
            </w:r>
          </w:p>
        </w:tc>
        <w:tc>
          <w:tcPr>
            <w:tcW w:w="900" w:type="dxa"/>
            <w:tcBorders>
              <w:top w:val="single" w:sz="4" w:space="0" w:color="auto"/>
            </w:tcBorders>
            <w:vAlign w:val="center"/>
          </w:tcPr>
          <w:p w14:paraId="1E348AB8" w14:textId="77777777" w:rsidR="003C0F59" w:rsidRPr="00AA4DFA" w:rsidRDefault="003C0F59" w:rsidP="00CC0F73">
            <w:pPr>
              <w:ind w:left="115"/>
              <w:jc w:val="center"/>
              <w:rPr>
                <w:color w:val="000000"/>
                <w:sz w:val="20"/>
                <w:szCs w:val="20"/>
              </w:rPr>
            </w:pPr>
            <w:r w:rsidRPr="00AA4DFA">
              <w:rPr>
                <w:color w:val="000000"/>
                <w:sz w:val="20"/>
                <w:szCs w:val="20"/>
              </w:rPr>
              <w:t>43.44</w:t>
            </w:r>
          </w:p>
        </w:tc>
      </w:tr>
      <w:tr w:rsidR="003C0F59" w:rsidRPr="00AA4DFA" w14:paraId="49C52C70" w14:textId="77777777" w:rsidTr="00DB07C5">
        <w:trPr>
          <w:trHeight w:val="288"/>
        </w:trPr>
        <w:tc>
          <w:tcPr>
            <w:tcW w:w="532" w:type="dxa"/>
            <w:vAlign w:val="center"/>
          </w:tcPr>
          <w:p w14:paraId="69DC47FC" w14:textId="77777777" w:rsidR="003C0F59" w:rsidRPr="00AA4DFA" w:rsidRDefault="003C0F59" w:rsidP="00CC0F73">
            <w:pPr>
              <w:ind w:right="22"/>
              <w:jc w:val="center"/>
              <w:rPr>
                <w:rFonts w:eastAsia="Calibri"/>
                <w:b/>
                <w:sz w:val="20"/>
                <w:szCs w:val="18"/>
                <w14:ligatures w14:val="standardContextual"/>
              </w:rPr>
            </w:pPr>
            <w:r w:rsidRPr="00AA4DFA">
              <w:rPr>
                <w:rFonts w:eastAsia="Calibri"/>
                <w:b/>
                <w:bCs/>
                <w:color w:val="000000"/>
                <w:sz w:val="20"/>
                <w:szCs w:val="18"/>
                <w14:ligatures w14:val="standardContextual"/>
              </w:rPr>
              <w:t>T</w:t>
            </w:r>
            <w:r w:rsidRPr="00AA4DFA">
              <w:rPr>
                <w:rFonts w:eastAsia="Calibri"/>
                <w:b/>
                <w:bCs/>
                <w:color w:val="000000"/>
                <w:sz w:val="20"/>
                <w:szCs w:val="18"/>
                <w:vertAlign w:val="subscript"/>
                <w14:ligatures w14:val="standardContextual"/>
              </w:rPr>
              <w:t>7</w:t>
            </w:r>
          </w:p>
        </w:tc>
        <w:tc>
          <w:tcPr>
            <w:tcW w:w="4778" w:type="dxa"/>
            <w:tcBorders>
              <w:right w:val="single" w:sz="4" w:space="0" w:color="auto"/>
            </w:tcBorders>
            <w:vAlign w:val="center"/>
          </w:tcPr>
          <w:p w14:paraId="42C28515" w14:textId="77777777" w:rsidR="003C0F59" w:rsidRPr="00AA4DFA" w:rsidRDefault="003C0F59" w:rsidP="00CC0F73">
            <w:pPr>
              <w:ind w:left="110"/>
              <w:jc w:val="center"/>
              <w:rPr>
                <w:rFonts w:eastAsia="Calibri"/>
                <w:b/>
                <w:sz w:val="20"/>
                <w:szCs w:val="18"/>
                <w14:ligatures w14:val="standardContextual"/>
              </w:rPr>
            </w:pPr>
            <w:r w:rsidRPr="00AA4DFA">
              <w:rPr>
                <w:rFonts w:eastAsia="Calibri"/>
                <w:color w:val="000000"/>
                <w:sz w:val="20"/>
                <w:szCs w:val="18"/>
                <w14:ligatures w14:val="standardContextual"/>
              </w:rPr>
              <w:t>FYM @ 18.75 t/ha + 25 % RDF</w:t>
            </w:r>
          </w:p>
        </w:tc>
        <w:tc>
          <w:tcPr>
            <w:tcW w:w="720" w:type="dxa"/>
            <w:tcBorders>
              <w:left w:val="single" w:sz="4" w:space="0" w:color="auto"/>
            </w:tcBorders>
            <w:vAlign w:val="center"/>
          </w:tcPr>
          <w:p w14:paraId="3B785E1B" w14:textId="77777777" w:rsidR="003C0F59" w:rsidRPr="00AA4DFA" w:rsidRDefault="003C0F59" w:rsidP="00CC0F73">
            <w:pPr>
              <w:jc w:val="center"/>
              <w:rPr>
                <w:rFonts w:eastAsia="Calibri"/>
                <w:b/>
                <w:sz w:val="20"/>
                <w:szCs w:val="18"/>
                <w14:ligatures w14:val="standardContextual"/>
              </w:rPr>
            </w:pPr>
            <w:r w:rsidRPr="00AA4DFA">
              <w:rPr>
                <w:rFonts w:eastAsia="Calibri"/>
                <w:color w:val="000000"/>
                <w:sz w:val="20"/>
                <w:szCs w:val="18"/>
                <w14:ligatures w14:val="standardContextual"/>
              </w:rPr>
              <w:t>20.53</w:t>
            </w:r>
          </w:p>
        </w:tc>
        <w:tc>
          <w:tcPr>
            <w:tcW w:w="720" w:type="dxa"/>
            <w:vAlign w:val="center"/>
          </w:tcPr>
          <w:p w14:paraId="13BF05BB" w14:textId="77777777" w:rsidR="003C0F59" w:rsidRPr="00AA4DFA" w:rsidRDefault="003C0F59" w:rsidP="00CC0F73">
            <w:pPr>
              <w:ind w:left="115"/>
              <w:jc w:val="center"/>
              <w:rPr>
                <w:rFonts w:eastAsia="Calibri"/>
                <w:sz w:val="20"/>
                <w:szCs w:val="18"/>
                <w14:ligatures w14:val="standardContextual"/>
              </w:rPr>
            </w:pPr>
            <w:r w:rsidRPr="00AA4DFA">
              <w:rPr>
                <w:rFonts w:eastAsia="Calibri"/>
                <w:color w:val="000000"/>
                <w:sz w:val="20"/>
                <w:szCs w:val="18"/>
                <w14:ligatures w14:val="standardContextual"/>
              </w:rPr>
              <w:t>31.34</w:t>
            </w:r>
          </w:p>
        </w:tc>
        <w:tc>
          <w:tcPr>
            <w:tcW w:w="720" w:type="dxa"/>
            <w:vAlign w:val="center"/>
          </w:tcPr>
          <w:p w14:paraId="224B9B32" w14:textId="77777777" w:rsidR="003C0F59" w:rsidRPr="00AA4DFA" w:rsidRDefault="003C0F59" w:rsidP="00CC0F73">
            <w:pPr>
              <w:ind w:left="115"/>
              <w:jc w:val="center"/>
              <w:rPr>
                <w:rFonts w:eastAsia="Calibri"/>
                <w:sz w:val="20"/>
                <w:szCs w:val="18"/>
                <w14:ligatures w14:val="standardContextual"/>
              </w:rPr>
            </w:pPr>
            <w:r w:rsidRPr="00AA4DFA">
              <w:rPr>
                <w:rFonts w:eastAsia="Calibri"/>
                <w:color w:val="000000"/>
                <w:sz w:val="20"/>
                <w:szCs w:val="18"/>
                <w14:ligatures w14:val="standardContextual"/>
              </w:rPr>
              <w:t>51.67</w:t>
            </w:r>
          </w:p>
        </w:tc>
        <w:tc>
          <w:tcPr>
            <w:tcW w:w="720" w:type="dxa"/>
            <w:vAlign w:val="center"/>
          </w:tcPr>
          <w:p w14:paraId="498D92D9" w14:textId="77777777" w:rsidR="003C0F59" w:rsidRPr="00AA4DFA" w:rsidRDefault="003C0F59" w:rsidP="00CC0F73">
            <w:pPr>
              <w:ind w:left="115"/>
              <w:jc w:val="center"/>
              <w:rPr>
                <w:rFonts w:eastAsia="Calibri"/>
                <w:color w:val="000000"/>
                <w:sz w:val="20"/>
                <w:szCs w:val="20"/>
                <w14:ligatures w14:val="standardContextual"/>
              </w:rPr>
            </w:pPr>
            <w:r w:rsidRPr="00AA4DFA">
              <w:rPr>
                <w:color w:val="000000"/>
                <w:sz w:val="20"/>
                <w:szCs w:val="20"/>
              </w:rPr>
              <w:t>15.30</w:t>
            </w:r>
          </w:p>
        </w:tc>
        <w:tc>
          <w:tcPr>
            <w:tcW w:w="720" w:type="dxa"/>
            <w:vAlign w:val="center"/>
          </w:tcPr>
          <w:p w14:paraId="574765D3" w14:textId="77777777" w:rsidR="003C0F59" w:rsidRPr="00AA4DFA" w:rsidRDefault="003C0F59" w:rsidP="00CC0F73">
            <w:pPr>
              <w:ind w:left="115"/>
              <w:jc w:val="center"/>
              <w:rPr>
                <w:rFonts w:eastAsia="Calibri"/>
                <w:color w:val="000000"/>
                <w:sz w:val="20"/>
                <w:szCs w:val="20"/>
                <w14:ligatures w14:val="standardContextual"/>
              </w:rPr>
            </w:pPr>
            <w:r w:rsidRPr="00AA4DFA">
              <w:rPr>
                <w:color w:val="000000"/>
                <w:sz w:val="20"/>
                <w:szCs w:val="20"/>
              </w:rPr>
              <w:t>25.60</w:t>
            </w:r>
          </w:p>
        </w:tc>
        <w:tc>
          <w:tcPr>
            <w:tcW w:w="720" w:type="dxa"/>
            <w:vAlign w:val="center"/>
          </w:tcPr>
          <w:p w14:paraId="691A2512" w14:textId="77777777" w:rsidR="003C0F59" w:rsidRPr="00AA4DFA" w:rsidRDefault="003C0F59" w:rsidP="00CC0F73">
            <w:pPr>
              <w:ind w:left="115"/>
              <w:jc w:val="center"/>
              <w:rPr>
                <w:rFonts w:eastAsia="Calibri"/>
                <w:color w:val="000000"/>
                <w:sz w:val="20"/>
                <w:szCs w:val="20"/>
                <w14:ligatures w14:val="standardContextual"/>
              </w:rPr>
            </w:pPr>
            <w:r w:rsidRPr="00AA4DFA">
              <w:rPr>
                <w:color w:val="000000"/>
                <w:sz w:val="20"/>
                <w:szCs w:val="20"/>
              </w:rPr>
              <w:t>43.60</w:t>
            </w:r>
          </w:p>
        </w:tc>
        <w:tc>
          <w:tcPr>
            <w:tcW w:w="810" w:type="dxa"/>
            <w:vAlign w:val="center"/>
          </w:tcPr>
          <w:p w14:paraId="2B0D0014" w14:textId="77777777" w:rsidR="003C0F59" w:rsidRPr="00AA4DFA" w:rsidRDefault="003C0F59" w:rsidP="00CC0F73">
            <w:pPr>
              <w:ind w:left="115"/>
              <w:jc w:val="center"/>
              <w:rPr>
                <w:color w:val="000000"/>
                <w:sz w:val="20"/>
                <w:szCs w:val="20"/>
              </w:rPr>
            </w:pPr>
            <w:r w:rsidRPr="00AA4DFA">
              <w:rPr>
                <w:color w:val="000000"/>
                <w:sz w:val="20"/>
                <w:szCs w:val="20"/>
              </w:rPr>
              <w:t>11.40</w:t>
            </w:r>
          </w:p>
        </w:tc>
        <w:tc>
          <w:tcPr>
            <w:tcW w:w="720" w:type="dxa"/>
            <w:vAlign w:val="center"/>
          </w:tcPr>
          <w:p w14:paraId="2CC8BF42" w14:textId="77777777" w:rsidR="003C0F59" w:rsidRPr="00AA4DFA" w:rsidRDefault="003C0F59" w:rsidP="00CC0F73">
            <w:pPr>
              <w:ind w:left="115"/>
              <w:jc w:val="center"/>
              <w:rPr>
                <w:color w:val="000000"/>
                <w:sz w:val="20"/>
                <w:szCs w:val="20"/>
              </w:rPr>
            </w:pPr>
            <w:r w:rsidRPr="00AA4DFA">
              <w:rPr>
                <w:color w:val="000000"/>
                <w:sz w:val="20"/>
                <w:szCs w:val="20"/>
              </w:rPr>
              <w:t>2.67</w:t>
            </w:r>
          </w:p>
        </w:tc>
        <w:tc>
          <w:tcPr>
            <w:tcW w:w="900" w:type="dxa"/>
            <w:vAlign w:val="center"/>
          </w:tcPr>
          <w:p w14:paraId="2C5DFF19" w14:textId="77777777" w:rsidR="003C0F59" w:rsidRPr="00AA4DFA" w:rsidRDefault="003C0F59" w:rsidP="00CC0F73">
            <w:pPr>
              <w:ind w:left="115"/>
              <w:jc w:val="center"/>
              <w:rPr>
                <w:color w:val="000000"/>
                <w:sz w:val="20"/>
                <w:szCs w:val="20"/>
              </w:rPr>
            </w:pPr>
            <w:r w:rsidRPr="00AA4DFA">
              <w:rPr>
                <w:color w:val="000000"/>
                <w:sz w:val="20"/>
                <w:szCs w:val="20"/>
              </w:rPr>
              <w:t>49.33</w:t>
            </w:r>
          </w:p>
        </w:tc>
        <w:tc>
          <w:tcPr>
            <w:tcW w:w="990" w:type="dxa"/>
            <w:vAlign w:val="center"/>
          </w:tcPr>
          <w:p w14:paraId="2D103DCC" w14:textId="77777777" w:rsidR="003C0F59" w:rsidRPr="00AA4DFA" w:rsidRDefault="003C0F59" w:rsidP="00CC0F73">
            <w:pPr>
              <w:ind w:left="115"/>
              <w:jc w:val="center"/>
              <w:rPr>
                <w:color w:val="000000"/>
                <w:sz w:val="20"/>
                <w:szCs w:val="20"/>
              </w:rPr>
            </w:pPr>
            <w:r w:rsidRPr="00AA4DFA">
              <w:rPr>
                <w:color w:val="000000"/>
                <w:sz w:val="20"/>
                <w:szCs w:val="20"/>
              </w:rPr>
              <w:t>56.00</w:t>
            </w:r>
          </w:p>
        </w:tc>
        <w:tc>
          <w:tcPr>
            <w:tcW w:w="900" w:type="dxa"/>
            <w:vAlign w:val="center"/>
          </w:tcPr>
          <w:p w14:paraId="631F7B2C" w14:textId="77777777" w:rsidR="003C0F59" w:rsidRPr="00AA4DFA" w:rsidRDefault="003C0F59" w:rsidP="00CC0F73">
            <w:pPr>
              <w:ind w:left="115"/>
              <w:jc w:val="center"/>
              <w:rPr>
                <w:color w:val="000000"/>
                <w:sz w:val="20"/>
                <w:szCs w:val="20"/>
              </w:rPr>
            </w:pPr>
            <w:r w:rsidRPr="00AA4DFA">
              <w:rPr>
                <w:color w:val="000000"/>
                <w:sz w:val="20"/>
                <w:szCs w:val="20"/>
              </w:rPr>
              <w:t>37.55</w:t>
            </w:r>
          </w:p>
        </w:tc>
      </w:tr>
      <w:tr w:rsidR="003C0F59" w:rsidRPr="00AA4DFA" w14:paraId="50DEA1C9" w14:textId="77777777" w:rsidTr="00DB07C5">
        <w:trPr>
          <w:trHeight w:val="288"/>
        </w:trPr>
        <w:tc>
          <w:tcPr>
            <w:tcW w:w="532" w:type="dxa"/>
            <w:vAlign w:val="center"/>
          </w:tcPr>
          <w:p w14:paraId="2C469C48" w14:textId="77777777" w:rsidR="003C0F59" w:rsidRPr="00AA4DFA" w:rsidRDefault="003C0F59" w:rsidP="00CC0F73">
            <w:pPr>
              <w:ind w:right="22"/>
              <w:jc w:val="center"/>
              <w:rPr>
                <w:rFonts w:eastAsia="Calibri"/>
                <w:b/>
                <w:sz w:val="20"/>
                <w:szCs w:val="18"/>
                <w14:ligatures w14:val="standardContextual"/>
              </w:rPr>
            </w:pPr>
            <w:r w:rsidRPr="00AA4DFA">
              <w:rPr>
                <w:rFonts w:eastAsia="Calibri"/>
                <w:b/>
                <w:bCs/>
                <w:color w:val="000000"/>
                <w:sz w:val="20"/>
                <w:szCs w:val="18"/>
                <w14:ligatures w14:val="standardContextual"/>
              </w:rPr>
              <w:t>T</w:t>
            </w:r>
            <w:r w:rsidRPr="00AA4DFA">
              <w:rPr>
                <w:rFonts w:eastAsia="Calibri"/>
                <w:b/>
                <w:bCs/>
                <w:color w:val="000000"/>
                <w:sz w:val="20"/>
                <w:szCs w:val="18"/>
                <w:vertAlign w:val="subscript"/>
                <w14:ligatures w14:val="standardContextual"/>
              </w:rPr>
              <w:t>8</w:t>
            </w:r>
          </w:p>
        </w:tc>
        <w:tc>
          <w:tcPr>
            <w:tcW w:w="4778" w:type="dxa"/>
            <w:tcBorders>
              <w:right w:val="single" w:sz="4" w:space="0" w:color="auto"/>
            </w:tcBorders>
            <w:vAlign w:val="center"/>
          </w:tcPr>
          <w:p w14:paraId="2BE63699" w14:textId="77777777" w:rsidR="003C0F59" w:rsidRPr="00AA4DFA" w:rsidRDefault="003C0F59" w:rsidP="00CC0F73">
            <w:pPr>
              <w:ind w:left="110"/>
              <w:jc w:val="center"/>
              <w:rPr>
                <w:rFonts w:eastAsia="Calibri"/>
                <w:b/>
                <w:sz w:val="20"/>
                <w:szCs w:val="18"/>
                <w14:ligatures w14:val="standardContextual"/>
              </w:rPr>
            </w:pPr>
            <w:r w:rsidRPr="00AA4DFA">
              <w:rPr>
                <w:rFonts w:eastAsia="Calibri"/>
                <w:color w:val="000000"/>
                <w:sz w:val="20"/>
                <w:szCs w:val="18"/>
                <w14:ligatures w14:val="standardContextual"/>
              </w:rPr>
              <w:t>Vermicompost @ 4.5 t/ha + 25 % RDF</w:t>
            </w:r>
          </w:p>
        </w:tc>
        <w:tc>
          <w:tcPr>
            <w:tcW w:w="720" w:type="dxa"/>
            <w:tcBorders>
              <w:left w:val="single" w:sz="4" w:space="0" w:color="auto"/>
            </w:tcBorders>
            <w:vAlign w:val="center"/>
          </w:tcPr>
          <w:p w14:paraId="39C94727" w14:textId="77777777" w:rsidR="003C0F59" w:rsidRPr="00AA4DFA" w:rsidRDefault="003C0F59" w:rsidP="00CC0F73">
            <w:pPr>
              <w:jc w:val="center"/>
              <w:rPr>
                <w:rFonts w:eastAsia="Calibri"/>
                <w:b/>
                <w:sz w:val="20"/>
                <w:szCs w:val="18"/>
                <w14:ligatures w14:val="standardContextual"/>
              </w:rPr>
            </w:pPr>
            <w:r w:rsidRPr="00AA4DFA">
              <w:rPr>
                <w:rFonts w:eastAsia="Calibri"/>
                <w:color w:val="000000"/>
                <w:sz w:val="20"/>
                <w:szCs w:val="18"/>
                <w14:ligatures w14:val="standardContextual"/>
              </w:rPr>
              <w:t>23.37</w:t>
            </w:r>
          </w:p>
        </w:tc>
        <w:tc>
          <w:tcPr>
            <w:tcW w:w="720" w:type="dxa"/>
            <w:vAlign w:val="center"/>
          </w:tcPr>
          <w:p w14:paraId="79BB6627" w14:textId="77777777" w:rsidR="003C0F59" w:rsidRPr="00AA4DFA" w:rsidRDefault="003C0F59" w:rsidP="00CC0F73">
            <w:pPr>
              <w:ind w:left="115"/>
              <w:jc w:val="center"/>
              <w:rPr>
                <w:rFonts w:eastAsia="Calibri"/>
                <w:sz w:val="20"/>
                <w:szCs w:val="18"/>
                <w14:ligatures w14:val="standardContextual"/>
              </w:rPr>
            </w:pPr>
            <w:r w:rsidRPr="00AA4DFA">
              <w:rPr>
                <w:rFonts w:eastAsia="Calibri"/>
                <w:color w:val="000000"/>
                <w:sz w:val="20"/>
                <w:szCs w:val="18"/>
                <w14:ligatures w14:val="standardContextual"/>
              </w:rPr>
              <w:t>32.68</w:t>
            </w:r>
          </w:p>
        </w:tc>
        <w:tc>
          <w:tcPr>
            <w:tcW w:w="720" w:type="dxa"/>
            <w:vAlign w:val="center"/>
          </w:tcPr>
          <w:p w14:paraId="254ACED8" w14:textId="77777777" w:rsidR="003C0F59" w:rsidRPr="00AA4DFA" w:rsidRDefault="003C0F59" w:rsidP="00CC0F73">
            <w:pPr>
              <w:ind w:left="115"/>
              <w:jc w:val="center"/>
              <w:rPr>
                <w:rFonts w:eastAsia="Calibri"/>
                <w:sz w:val="20"/>
                <w:szCs w:val="18"/>
                <w14:ligatures w14:val="standardContextual"/>
              </w:rPr>
            </w:pPr>
            <w:r w:rsidRPr="00AA4DFA">
              <w:rPr>
                <w:rFonts w:eastAsia="Calibri"/>
                <w:color w:val="000000"/>
                <w:sz w:val="20"/>
                <w:szCs w:val="18"/>
                <w14:ligatures w14:val="standardContextual"/>
              </w:rPr>
              <w:t>53.68</w:t>
            </w:r>
          </w:p>
        </w:tc>
        <w:tc>
          <w:tcPr>
            <w:tcW w:w="720" w:type="dxa"/>
            <w:vAlign w:val="center"/>
          </w:tcPr>
          <w:p w14:paraId="41EE04DE" w14:textId="77777777" w:rsidR="003C0F59" w:rsidRPr="00AA4DFA" w:rsidRDefault="003C0F59" w:rsidP="00CC0F73">
            <w:pPr>
              <w:ind w:left="115"/>
              <w:jc w:val="center"/>
              <w:rPr>
                <w:rFonts w:eastAsia="Calibri"/>
                <w:color w:val="000000"/>
                <w:sz w:val="20"/>
                <w:szCs w:val="20"/>
                <w14:ligatures w14:val="standardContextual"/>
              </w:rPr>
            </w:pPr>
            <w:r w:rsidRPr="00AA4DFA">
              <w:rPr>
                <w:color w:val="000000"/>
                <w:sz w:val="20"/>
                <w:szCs w:val="20"/>
              </w:rPr>
              <w:t>15.17</w:t>
            </w:r>
          </w:p>
        </w:tc>
        <w:tc>
          <w:tcPr>
            <w:tcW w:w="720" w:type="dxa"/>
            <w:vAlign w:val="center"/>
          </w:tcPr>
          <w:p w14:paraId="633D8EAA" w14:textId="77777777" w:rsidR="003C0F59" w:rsidRPr="00AA4DFA" w:rsidRDefault="003C0F59" w:rsidP="00CC0F73">
            <w:pPr>
              <w:ind w:left="115"/>
              <w:jc w:val="center"/>
              <w:rPr>
                <w:rFonts w:eastAsia="Calibri"/>
                <w:color w:val="000000"/>
                <w:sz w:val="20"/>
                <w:szCs w:val="20"/>
                <w14:ligatures w14:val="standardContextual"/>
              </w:rPr>
            </w:pPr>
            <w:r w:rsidRPr="00AA4DFA">
              <w:rPr>
                <w:color w:val="000000"/>
                <w:sz w:val="20"/>
                <w:szCs w:val="20"/>
              </w:rPr>
              <w:t>26.07</w:t>
            </w:r>
          </w:p>
        </w:tc>
        <w:tc>
          <w:tcPr>
            <w:tcW w:w="720" w:type="dxa"/>
            <w:vAlign w:val="center"/>
          </w:tcPr>
          <w:p w14:paraId="4B96FDAD" w14:textId="77777777" w:rsidR="003C0F59" w:rsidRPr="00AA4DFA" w:rsidRDefault="003C0F59" w:rsidP="00CC0F73">
            <w:pPr>
              <w:ind w:left="115"/>
              <w:jc w:val="center"/>
              <w:rPr>
                <w:rFonts w:eastAsia="Calibri"/>
                <w:color w:val="000000"/>
                <w:sz w:val="20"/>
                <w:szCs w:val="20"/>
                <w14:ligatures w14:val="standardContextual"/>
              </w:rPr>
            </w:pPr>
            <w:r w:rsidRPr="00AA4DFA">
              <w:rPr>
                <w:color w:val="000000"/>
                <w:sz w:val="20"/>
                <w:szCs w:val="20"/>
              </w:rPr>
              <w:t>45.73</w:t>
            </w:r>
          </w:p>
        </w:tc>
        <w:tc>
          <w:tcPr>
            <w:tcW w:w="810" w:type="dxa"/>
            <w:vAlign w:val="center"/>
          </w:tcPr>
          <w:p w14:paraId="7A8EC197" w14:textId="77777777" w:rsidR="003C0F59" w:rsidRPr="00AA4DFA" w:rsidRDefault="003C0F59" w:rsidP="00CC0F73">
            <w:pPr>
              <w:ind w:left="115"/>
              <w:jc w:val="center"/>
              <w:rPr>
                <w:color w:val="000000"/>
                <w:sz w:val="20"/>
                <w:szCs w:val="20"/>
              </w:rPr>
            </w:pPr>
            <w:r w:rsidRPr="00AA4DFA">
              <w:rPr>
                <w:color w:val="000000"/>
                <w:sz w:val="20"/>
                <w:szCs w:val="20"/>
              </w:rPr>
              <w:t>11.20</w:t>
            </w:r>
          </w:p>
        </w:tc>
        <w:tc>
          <w:tcPr>
            <w:tcW w:w="720" w:type="dxa"/>
            <w:vAlign w:val="center"/>
          </w:tcPr>
          <w:p w14:paraId="51A5C5B3" w14:textId="77777777" w:rsidR="003C0F59" w:rsidRPr="00AA4DFA" w:rsidRDefault="003C0F59" w:rsidP="00CC0F73">
            <w:pPr>
              <w:ind w:left="115"/>
              <w:jc w:val="center"/>
              <w:rPr>
                <w:color w:val="000000"/>
                <w:sz w:val="20"/>
                <w:szCs w:val="20"/>
              </w:rPr>
            </w:pPr>
            <w:r w:rsidRPr="00AA4DFA">
              <w:rPr>
                <w:color w:val="000000"/>
                <w:sz w:val="20"/>
                <w:szCs w:val="20"/>
              </w:rPr>
              <w:t>2.95</w:t>
            </w:r>
          </w:p>
        </w:tc>
        <w:tc>
          <w:tcPr>
            <w:tcW w:w="900" w:type="dxa"/>
            <w:vAlign w:val="center"/>
          </w:tcPr>
          <w:p w14:paraId="5F9E4A01" w14:textId="77777777" w:rsidR="003C0F59" w:rsidRPr="00AA4DFA" w:rsidRDefault="003C0F59" w:rsidP="00CC0F73">
            <w:pPr>
              <w:ind w:left="115"/>
              <w:jc w:val="center"/>
              <w:rPr>
                <w:color w:val="000000"/>
                <w:sz w:val="20"/>
                <w:szCs w:val="20"/>
              </w:rPr>
            </w:pPr>
            <w:r w:rsidRPr="00AA4DFA">
              <w:rPr>
                <w:color w:val="000000"/>
                <w:sz w:val="20"/>
                <w:szCs w:val="20"/>
              </w:rPr>
              <w:t>48.33</w:t>
            </w:r>
          </w:p>
        </w:tc>
        <w:tc>
          <w:tcPr>
            <w:tcW w:w="990" w:type="dxa"/>
            <w:vAlign w:val="center"/>
          </w:tcPr>
          <w:p w14:paraId="5689EA5E" w14:textId="77777777" w:rsidR="003C0F59" w:rsidRPr="00AA4DFA" w:rsidRDefault="003C0F59" w:rsidP="00CC0F73">
            <w:pPr>
              <w:ind w:left="115"/>
              <w:jc w:val="center"/>
              <w:rPr>
                <w:color w:val="000000"/>
                <w:sz w:val="20"/>
                <w:szCs w:val="20"/>
              </w:rPr>
            </w:pPr>
            <w:r w:rsidRPr="00AA4DFA">
              <w:rPr>
                <w:color w:val="000000"/>
                <w:sz w:val="20"/>
                <w:szCs w:val="20"/>
              </w:rPr>
              <w:t>55.00</w:t>
            </w:r>
          </w:p>
        </w:tc>
        <w:tc>
          <w:tcPr>
            <w:tcW w:w="900" w:type="dxa"/>
            <w:vAlign w:val="center"/>
          </w:tcPr>
          <w:p w14:paraId="03F10878" w14:textId="77777777" w:rsidR="003C0F59" w:rsidRPr="00AA4DFA" w:rsidRDefault="003C0F59" w:rsidP="00CC0F73">
            <w:pPr>
              <w:ind w:left="115"/>
              <w:jc w:val="center"/>
              <w:rPr>
                <w:color w:val="000000"/>
                <w:sz w:val="20"/>
                <w:szCs w:val="20"/>
              </w:rPr>
            </w:pPr>
            <w:r w:rsidRPr="00AA4DFA">
              <w:rPr>
                <w:color w:val="000000"/>
                <w:sz w:val="20"/>
                <w:szCs w:val="20"/>
              </w:rPr>
              <w:t>42.00</w:t>
            </w:r>
          </w:p>
        </w:tc>
      </w:tr>
      <w:tr w:rsidR="003C0F59" w:rsidRPr="00AA4DFA" w14:paraId="380052D9" w14:textId="77777777" w:rsidTr="00DB07C5">
        <w:trPr>
          <w:trHeight w:val="288"/>
        </w:trPr>
        <w:tc>
          <w:tcPr>
            <w:tcW w:w="532" w:type="dxa"/>
            <w:vAlign w:val="center"/>
          </w:tcPr>
          <w:p w14:paraId="07F16CB9" w14:textId="77777777" w:rsidR="003C0F59" w:rsidRPr="00AA4DFA" w:rsidRDefault="003C0F59" w:rsidP="00CC0F73">
            <w:pPr>
              <w:ind w:right="22"/>
              <w:jc w:val="center"/>
              <w:rPr>
                <w:rFonts w:eastAsia="Calibri"/>
                <w:b/>
                <w:sz w:val="20"/>
                <w:szCs w:val="18"/>
                <w14:ligatures w14:val="standardContextual"/>
              </w:rPr>
            </w:pPr>
            <w:r w:rsidRPr="00AA4DFA">
              <w:rPr>
                <w:rFonts w:eastAsia="Calibri"/>
                <w:b/>
                <w:bCs/>
                <w:color w:val="000000"/>
                <w:sz w:val="20"/>
                <w:szCs w:val="18"/>
                <w14:ligatures w14:val="standardContextual"/>
              </w:rPr>
              <w:t>T</w:t>
            </w:r>
            <w:r w:rsidRPr="00AA4DFA">
              <w:rPr>
                <w:rFonts w:eastAsia="Calibri"/>
                <w:b/>
                <w:bCs/>
                <w:color w:val="000000"/>
                <w:sz w:val="20"/>
                <w:szCs w:val="18"/>
                <w:vertAlign w:val="subscript"/>
                <w14:ligatures w14:val="standardContextual"/>
              </w:rPr>
              <w:t>9</w:t>
            </w:r>
          </w:p>
        </w:tc>
        <w:tc>
          <w:tcPr>
            <w:tcW w:w="4778" w:type="dxa"/>
            <w:tcBorders>
              <w:right w:val="single" w:sz="4" w:space="0" w:color="auto"/>
            </w:tcBorders>
            <w:vAlign w:val="center"/>
          </w:tcPr>
          <w:p w14:paraId="53E49A5F" w14:textId="77777777" w:rsidR="003C0F59" w:rsidRPr="00AA4DFA" w:rsidRDefault="003C0F59" w:rsidP="00CC0F73">
            <w:pPr>
              <w:ind w:left="110"/>
              <w:jc w:val="center"/>
              <w:rPr>
                <w:rFonts w:eastAsia="Calibri"/>
                <w:b/>
                <w:sz w:val="20"/>
                <w:szCs w:val="18"/>
                <w14:ligatures w14:val="standardContextual"/>
              </w:rPr>
            </w:pPr>
            <w:r w:rsidRPr="00AA4DFA">
              <w:rPr>
                <w:rFonts w:eastAsia="Calibri"/>
                <w:color w:val="000000"/>
                <w:sz w:val="20"/>
                <w:szCs w:val="18"/>
                <w14:ligatures w14:val="standardContextual"/>
              </w:rPr>
              <w:t>Vermicompost @ 3 t/ha + FYM @ 6.25 t/ha + 50 % RDF</w:t>
            </w:r>
          </w:p>
        </w:tc>
        <w:tc>
          <w:tcPr>
            <w:tcW w:w="720" w:type="dxa"/>
            <w:tcBorders>
              <w:left w:val="single" w:sz="4" w:space="0" w:color="auto"/>
            </w:tcBorders>
            <w:vAlign w:val="center"/>
          </w:tcPr>
          <w:p w14:paraId="04030BF4" w14:textId="77777777" w:rsidR="003C0F59" w:rsidRPr="00AA4DFA" w:rsidRDefault="003C0F59" w:rsidP="00CC0F73">
            <w:pPr>
              <w:jc w:val="center"/>
              <w:rPr>
                <w:rFonts w:eastAsia="Calibri"/>
                <w:b/>
                <w:sz w:val="20"/>
                <w:szCs w:val="18"/>
                <w14:ligatures w14:val="standardContextual"/>
              </w:rPr>
            </w:pPr>
            <w:r w:rsidRPr="00AA4DFA">
              <w:rPr>
                <w:rFonts w:eastAsia="Calibri"/>
                <w:color w:val="000000"/>
                <w:sz w:val="20"/>
                <w:szCs w:val="18"/>
                <w14:ligatures w14:val="standardContextual"/>
              </w:rPr>
              <w:t>28.40</w:t>
            </w:r>
          </w:p>
        </w:tc>
        <w:tc>
          <w:tcPr>
            <w:tcW w:w="720" w:type="dxa"/>
            <w:vAlign w:val="center"/>
          </w:tcPr>
          <w:p w14:paraId="03EE302A" w14:textId="77777777" w:rsidR="003C0F59" w:rsidRPr="00AA4DFA" w:rsidRDefault="003C0F59" w:rsidP="00CC0F73">
            <w:pPr>
              <w:ind w:left="115"/>
              <w:jc w:val="center"/>
              <w:rPr>
                <w:rFonts w:eastAsia="Calibri"/>
                <w:sz w:val="20"/>
                <w:szCs w:val="18"/>
                <w14:ligatures w14:val="standardContextual"/>
              </w:rPr>
            </w:pPr>
            <w:r w:rsidRPr="00AA4DFA">
              <w:rPr>
                <w:rFonts w:eastAsia="Calibri"/>
                <w:color w:val="000000"/>
                <w:sz w:val="20"/>
                <w:szCs w:val="18"/>
                <w14:ligatures w14:val="standardContextual"/>
              </w:rPr>
              <w:t>42.59</w:t>
            </w:r>
          </w:p>
        </w:tc>
        <w:tc>
          <w:tcPr>
            <w:tcW w:w="720" w:type="dxa"/>
            <w:vAlign w:val="center"/>
          </w:tcPr>
          <w:p w14:paraId="63BA684A" w14:textId="77777777" w:rsidR="003C0F59" w:rsidRPr="00AA4DFA" w:rsidRDefault="003C0F59" w:rsidP="00CC0F73">
            <w:pPr>
              <w:ind w:left="115"/>
              <w:jc w:val="center"/>
              <w:rPr>
                <w:rFonts w:eastAsia="Calibri"/>
                <w:sz w:val="20"/>
                <w:szCs w:val="18"/>
                <w14:ligatures w14:val="standardContextual"/>
              </w:rPr>
            </w:pPr>
            <w:r w:rsidRPr="00AA4DFA">
              <w:rPr>
                <w:rFonts w:eastAsia="Calibri"/>
                <w:color w:val="000000"/>
                <w:sz w:val="20"/>
                <w:szCs w:val="18"/>
                <w14:ligatures w14:val="standardContextual"/>
              </w:rPr>
              <w:t>62.59</w:t>
            </w:r>
          </w:p>
        </w:tc>
        <w:tc>
          <w:tcPr>
            <w:tcW w:w="720" w:type="dxa"/>
            <w:vAlign w:val="center"/>
          </w:tcPr>
          <w:p w14:paraId="013FBF18" w14:textId="77777777" w:rsidR="003C0F59" w:rsidRPr="00AA4DFA" w:rsidRDefault="003C0F59" w:rsidP="00CC0F73">
            <w:pPr>
              <w:ind w:left="115"/>
              <w:jc w:val="center"/>
              <w:rPr>
                <w:rFonts w:eastAsia="Calibri"/>
                <w:color w:val="000000"/>
                <w:sz w:val="20"/>
                <w:szCs w:val="20"/>
                <w14:ligatures w14:val="standardContextual"/>
              </w:rPr>
            </w:pPr>
            <w:r w:rsidRPr="00AA4DFA">
              <w:rPr>
                <w:color w:val="000000"/>
                <w:sz w:val="20"/>
                <w:szCs w:val="20"/>
              </w:rPr>
              <w:t>18.60</w:t>
            </w:r>
          </w:p>
        </w:tc>
        <w:tc>
          <w:tcPr>
            <w:tcW w:w="720" w:type="dxa"/>
            <w:vAlign w:val="center"/>
          </w:tcPr>
          <w:p w14:paraId="0592B7E4" w14:textId="77777777" w:rsidR="003C0F59" w:rsidRPr="00AA4DFA" w:rsidRDefault="003C0F59" w:rsidP="00CC0F73">
            <w:pPr>
              <w:ind w:left="115"/>
              <w:jc w:val="center"/>
              <w:rPr>
                <w:rFonts w:eastAsia="Calibri"/>
                <w:color w:val="000000"/>
                <w:sz w:val="20"/>
                <w:szCs w:val="20"/>
                <w14:ligatures w14:val="standardContextual"/>
              </w:rPr>
            </w:pPr>
            <w:r w:rsidRPr="00AA4DFA">
              <w:rPr>
                <w:color w:val="000000"/>
                <w:sz w:val="20"/>
                <w:szCs w:val="20"/>
              </w:rPr>
              <w:t>33.43</w:t>
            </w:r>
          </w:p>
        </w:tc>
        <w:tc>
          <w:tcPr>
            <w:tcW w:w="720" w:type="dxa"/>
            <w:vAlign w:val="center"/>
          </w:tcPr>
          <w:p w14:paraId="68A553D5" w14:textId="77777777" w:rsidR="003C0F59" w:rsidRPr="00AA4DFA" w:rsidRDefault="003C0F59" w:rsidP="00CC0F73">
            <w:pPr>
              <w:ind w:left="115"/>
              <w:jc w:val="center"/>
              <w:rPr>
                <w:rFonts w:eastAsia="Calibri"/>
                <w:color w:val="000000"/>
                <w:sz w:val="20"/>
                <w:szCs w:val="20"/>
                <w14:ligatures w14:val="standardContextual"/>
              </w:rPr>
            </w:pPr>
            <w:r w:rsidRPr="00AA4DFA">
              <w:rPr>
                <w:color w:val="000000"/>
                <w:sz w:val="20"/>
                <w:szCs w:val="20"/>
              </w:rPr>
              <w:t>54.10</w:t>
            </w:r>
          </w:p>
        </w:tc>
        <w:tc>
          <w:tcPr>
            <w:tcW w:w="810" w:type="dxa"/>
            <w:vAlign w:val="center"/>
          </w:tcPr>
          <w:p w14:paraId="298E0BF2" w14:textId="77777777" w:rsidR="003C0F59" w:rsidRPr="00AA4DFA" w:rsidRDefault="003C0F59" w:rsidP="00CC0F73">
            <w:pPr>
              <w:ind w:left="115"/>
              <w:jc w:val="center"/>
              <w:rPr>
                <w:color w:val="000000"/>
                <w:sz w:val="20"/>
                <w:szCs w:val="20"/>
              </w:rPr>
            </w:pPr>
            <w:r w:rsidRPr="00AA4DFA">
              <w:rPr>
                <w:color w:val="000000"/>
                <w:sz w:val="20"/>
                <w:szCs w:val="20"/>
              </w:rPr>
              <w:t>12.93</w:t>
            </w:r>
          </w:p>
        </w:tc>
        <w:tc>
          <w:tcPr>
            <w:tcW w:w="720" w:type="dxa"/>
            <w:vAlign w:val="center"/>
          </w:tcPr>
          <w:p w14:paraId="496D1D47" w14:textId="77777777" w:rsidR="003C0F59" w:rsidRPr="00AA4DFA" w:rsidRDefault="003C0F59" w:rsidP="00CC0F73">
            <w:pPr>
              <w:ind w:left="115"/>
              <w:jc w:val="center"/>
              <w:rPr>
                <w:color w:val="000000"/>
                <w:sz w:val="20"/>
                <w:szCs w:val="20"/>
              </w:rPr>
            </w:pPr>
            <w:r w:rsidRPr="00AA4DFA">
              <w:rPr>
                <w:color w:val="000000"/>
                <w:sz w:val="20"/>
                <w:szCs w:val="20"/>
              </w:rPr>
              <w:t>3.18</w:t>
            </w:r>
          </w:p>
        </w:tc>
        <w:tc>
          <w:tcPr>
            <w:tcW w:w="900" w:type="dxa"/>
            <w:vAlign w:val="center"/>
          </w:tcPr>
          <w:p w14:paraId="7A0908E0" w14:textId="77777777" w:rsidR="003C0F59" w:rsidRPr="00AA4DFA" w:rsidRDefault="003C0F59" w:rsidP="00CC0F73">
            <w:pPr>
              <w:ind w:left="115"/>
              <w:jc w:val="center"/>
              <w:rPr>
                <w:color w:val="000000"/>
                <w:sz w:val="20"/>
                <w:szCs w:val="20"/>
              </w:rPr>
            </w:pPr>
            <w:r w:rsidRPr="00AA4DFA">
              <w:rPr>
                <w:color w:val="000000"/>
                <w:sz w:val="20"/>
                <w:szCs w:val="20"/>
              </w:rPr>
              <w:t>47.33</w:t>
            </w:r>
          </w:p>
        </w:tc>
        <w:tc>
          <w:tcPr>
            <w:tcW w:w="990" w:type="dxa"/>
            <w:vAlign w:val="center"/>
          </w:tcPr>
          <w:p w14:paraId="47A682A5" w14:textId="77777777" w:rsidR="003C0F59" w:rsidRPr="00AA4DFA" w:rsidRDefault="003C0F59" w:rsidP="00CC0F73">
            <w:pPr>
              <w:ind w:left="115"/>
              <w:jc w:val="center"/>
              <w:rPr>
                <w:color w:val="000000"/>
                <w:sz w:val="20"/>
                <w:szCs w:val="20"/>
              </w:rPr>
            </w:pPr>
            <w:r w:rsidRPr="00AA4DFA">
              <w:rPr>
                <w:color w:val="000000"/>
                <w:sz w:val="20"/>
                <w:szCs w:val="20"/>
              </w:rPr>
              <w:t>52.00</w:t>
            </w:r>
          </w:p>
        </w:tc>
        <w:tc>
          <w:tcPr>
            <w:tcW w:w="900" w:type="dxa"/>
            <w:vAlign w:val="center"/>
          </w:tcPr>
          <w:p w14:paraId="59EEC4CA" w14:textId="77777777" w:rsidR="003C0F59" w:rsidRPr="00AA4DFA" w:rsidRDefault="003C0F59" w:rsidP="00CC0F73">
            <w:pPr>
              <w:ind w:left="115"/>
              <w:jc w:val="center"/>
              <w:rPr>
                <w:color w:val="000000"/>
                <w:sz w:val="20"/>
                <w:szCs w:val="20"/>
              </w:rPr>
            </w:pPr>
            <w:r w:rsidRPr="00AA4DFA">
              <w:rPr>
                <w:color w:val="000000"/>
                <w:sz w:val="20"/>
                <w:szCs w:val="20"/>
              </w:rPr>
              <w:t>46.55</w:t>
            </w:r>
          </w:p>
        </w:tc>
      </w:tr>
      <w:tr w:rsidR="003C0F59" w:rsidRPr="00AA4DFA" w14:paraId="0B419D2F" w14:textId="77777777" w:rsidTr="00DB07C5">
        <w:trPr>
          <w:trHeight w:val="288"/>
        </w:trPr>
        <w:tc>
          <w:tcPr>
            <w:tcW w:w="532" w:type="dxa"/>
            <w:vAlign w:val="center"/>
          </w:tcPr>
          <w:p w14:paraId="7F772406" w14:textId="77777777" w:rsidR="003C0F59" w:rsidRPr="00AA4DFA" w:rsidRDefault="003C0F59" w:rsidP="00CC0F73">
            <w:pPr>
              <w:jc w:val="center"/>
              <w:rPr>
                <w:rFonts w:eastAsia="Calibri"/>
                <w:sz w:val="20"/>
                <w:szCs w:val="18"/>
                <w14:ligatures w14:val="standardContextual"/>
              </w:rPr>
            </w:pPr>
          </w:p>
        </w:tc>
        <w:tc>
          <w:tcPr>
            <w:tcW w:w="4778" w:type="dxa"/>
            <w:tcBorders>
              <w:right w:val="single" w:sz="4" w:space="0" w:color="auto"/>
            </w:tcBorders>
            <w:vAlign w:val="center"/>
          </w:tcPr>
          <w:p w14:paraId="18ADE82D" w14:textId="77777777" w:rsidR="003C0F59" w:rsidRPr="00AA4DFA" w:rsidRDefault="003C0F59" w:rsidP="00CC0F73">
            <w:pPr>
              <w:jc w:val="center"/>
              <w:rPr>
                <w:rFonts w:eastAsia="Calibri"/>
                <w:b/>
                <w:sz w:val="20"/>
                <w:szCs w:val="18"/>
                <w14:ligatures w14:val="standardContextual"/>
              </w:rPr>
            </w:pPr>
            <w:r w:rsidRPr="00AA4DFA">
              <w:rPr>
                <w:rFonts w:eastAsia="Calibri"/>
                <w:b/>
                <w:spacing w:val="-5"/>
                <w:sz w:val="20"/>
                <w:szCs w:val="18"/>
                <w14:ligatures w14:val="standardContextual"/>
              </w:rPr>
              <w:t>C.D. @ 5%</w:t>
            </w:r>
          </w:p>
        </w:tc>
        <w:tc>
          <w:tcPr>
            <w:tcW w:w="720" w:type="dxa"/>
            <w:tcBorders>
              <w:left w:val="single" w:sz="4" w:space="0" w:color="auto"/>
            </w:tcBorders>
            <w:vAlign w:val="center"/>
          </w:tcPr>
          <w:p w14:paraId="62B0D2B3" w14:textId="77777777" w:rsidR="003C0F59" w:rsidRPr="00AA4DFA" w:rsidRDefault="003C0F59" w:rsidP="00CC0F73">
            <w:pPr>
              <w:jc w:val="center"/>
              <w:rPr>
                <w:rFonts w:eastAsia="Calibri"/>
                <w:bCs/>
                <w:sz w:val="20"/>
                <w:szCs w:val="18"/>
                <w14:ligatures w14:val="standardContextual"/>
              </w:rPr>
            </w:pPr>
            <w:r w:rsidRPr="00AA4DFA">
              <w:rPr>
                <w:rFonts w:eastAsia="Calibri"/>
                <w:bCs/>
                <w:sz w:val="20"/>
                <w:szCs w:val="18"/>
                <w14:ligatures w14:val="standardContextual"/>
              </w:rPr>
              <w:t>1.85</w:t>
            </w:r>
          </w:p>
        </w:tc>
        <w:tc>
          <w:tcPr>
            <w:tcW w:w="720" w:type="dxa"/>
            <w:vAlign w:val="center"/>
          </w:tcPr>
          <w:p w14:paraId="348FFA64" w14:textId="77777777" w:rsidR="003C0F59" w:rsidRPr="00AA4DFA" w:rsidRDefault="003C0F59" w:rsidP="00CC0F73">
            <w:pPr>
              <w:jc w:val="center"/>
              <w:rPr>
                <w:rFonts w:eastAsia="Calibri"/>
                <w:bCs/>
                <w:sz w:val="20"/>
                <w:szCs w:val="18"/>
                <w14:ligatures w14:val="standardContextual"/>
              </w:rPr>
            </w:pPr>
            <w:r w:rsidRPr="00AA4DFA">
              <w:rPr>
                <w:rFonts w:eastAsia="Calibri"/>
                <w:bCs/>
                <w:spacing w:val="-4"/>
                <w:sz w:val="20"/>
                <w:szCs w:val="18"/>
                <w14:ligatures w14:val="standardContextual"/>
              </w:rPr>
              <w:t>3.20</w:t>
            </w:r>
          </w:p>
        </w:tc>
        <w:tc>
          <w:tcPr>
            <w:tcW w:w="720" w:type="dxa"/>
            <w:vAlign w:val="center"/>
          </w:tcPr>
          <w:p w14:paraId="12858E3F" w14:textId="77777777" w:rsidR="003C0F59" w:rsidRPr="00AA4DFA" w:rsidRDefault="003C0F59" w:rsidP="00CC0F73">
            <w:pPr>
              <w:jc w:val="center"/>
              <w:rPr>
                <w:rFonts w:eastAsia="Calibri"/>
                <w:bCs/>
                <w:sz w:val="20"/>
                <w:szCs w:val="18"/>
                <w14:ligatures w14:val="standardContextual"/>
              </w:rPr>
            </w:pPr>
            <w:r w:rsidRPr="00AA4DFA">
              <w:rPr>
                <w:rFonts w:eastAsia="Calibri"/>
                <w:bCs/>
                <w:spacing w:val="-4"/>
                <w:sz w:val="20"/>
                <w:szCs w:val="18"/>
                <w14:ligatures w14:val="standardContextual"/>
              </w:rPr>
              <w:t>3.19</w:t>
            </w:r>
          </w:p>
        </w:tc>
        <w:tc>
          <w:tcPr>
            <w:tcW w:w="720" w:type="dxa"/>
            <w:vAlign w:val="center"/>
          </w:tcPr>
          <w:p w14:paraId="28AEB80B" w14:textId="77777777" w:rsidR="003C0F59" w:rsidRPr="00AA4DFA" w:rsidRDefault="003C0F59" w:rsidP="00CC0F73">
            <w:pPr>
              <w:jc w:val="center"/>
              <w:rPr>
                <w:rFonts w:eastAsia="Calibri"/>
                <w:bCs/>
                <w:spacing w:val="-4"/>
                <w:sz w:val="20"/>
                <w:szCs w:val="20"/>
                <w14:ligatures w14:val="standardContextual"/>
              </w:rPr>
            </w:pPr>
            <w:r w:rsidRPr="00AA4DFA">
              <w:rPr>
                <w:bCs/>
                <w:sz w:val="20"/>
                <w:szCs w:val="20"/>
              </w:rPr>
              <w:t>4.91</w:t>
            </w:r>
          </w:p>
        </w:tc>
        <w:tc>
          <w:tcPr>
            <w:tcW w:w="720" w:type="dxa"/>
            <w:vAlign w:val="center"/>
          </w:tcPr>
          <w:p w14:paraId="51D73777" w14:textId="77777777" w:rsidR="003C0F59" w:rsidRPr="00AA4DFA" w:rsidRDefault="003C0F59" w:rsidP="00CC0F73">
            <w:pPr>
              <w:jc w:val="center"/>
              <w:rPr>
                <w:rFonts w:eastAsia="Calibri"/>
                <w:bCs/>
                <w:spacing w:val="-4"/>
                <w:sz w:val="20"/>
                <w:szCs w:val="20"/>
                <w14:ligatures w14:val="standardContextual"/>
              </w:rPr>
            </w:pPr>
            <w:r w:rsidRPr="00AA4DFA">
              <w:rPr>
                <w:bCs/>
                <w:sz w:val="20"/>
                <w:szCs w:val="20"/>
              </w:rPr>
              <w:t>3.35</w:t>
            </w:r>
          </w:p>
        </w:tc>
        <w:tc>
          <w:tcPr>
            <w:tcW w:w="720" w:type="dxa"/>
            <w:vAlign w:val="center"/>
          </w:tcPr>
          <w:p w14:paraId="4877B648" w14:textId="77777777" w:rsidR="003C0F59" w:rsidRPr="00AA4DFA" w:rsidRDefault="003C0F59" w:rsidP="00CC0F73">
            <w:pPr>
              <w:jc w:val="center"/>
              <w:rPr>
                <w:rFonts w:eastAsia="Calibri"/>
                <w:bCs/>
                <w:spacing w:val="-4"/>
                <w:sz w:val="20"/>
                <w:szCs w:val="20"/>
                <w14:ligatures w14:val="standardContextual"/>
              </w:rPr>
            </w:pPr>
            <w:r w:rsidRPr="00AA4DFA">
              <w:rPr>
                <w:sz w:val="20"/>
                <w:szCs w:val="20"/>
              </w:rPr>
              <w:t>2.86</w:t>
            </w:r>
          </w:p>
        </w:tc>
        <w:tc>
          <w:tcPr>
            <w:tcW w:w="810" w:type="dxa"/>
            <w:vAlign w:val="center"/>
          </w:tcPr>
          <w:p w14:paraId="3398D122" w14:textId="77777777" w:rsidR="003C0F59" w:rsidRPr="00AA4DFA" w:rsidRDefault="003C0F59" w:rsidP="00CC0F73">
            <w:pPr>
              <w:jc w:val="center"/>
              <w:rPr>
                <w:sz w:val="20"/>
                <w:szCs w:val="20"/>
              </w:rPr>
            </w:pPr>
            <w:r w:rsidRPr="00AA4DFA">
              <w:rPr>
                <w:color w:val="000000"/>
                <w:sz w:val="20"/>
                <w:szCs w:val="20"/>
              </w:rPr>
              <w:t>0.76</w:t>
            </w:r>
          </w:p>
        </w:tc>
        <w:tc>
          <w:tcPr>
            <w:tcW w:w="720" w:type="dxa"/>
            <w:vAlign w:val="center"/>
          </w:tcPr>
          <w:p w14:paraId="089BCB30" w14:textId="77777777" w:rsidR="003C0F59" w:rsidRPr="00AA4DFA" w:rsidRDefault="003C0F59" w:rsidP="00CC0F73">
            <w:pPr>
              <w:jc w:val="center"/>
              <w:rPr>
                <w:sz w:val="20"/>
                <w:szCs w:val="20"/>
              </w:rPr>
            </w:pPr>
            <w:r w:rsidRPr="00AA4DFA">
              <w:rPr>
                <w:sz w:val="20"/>
                <w:szCs w:val="20"/>
              </w:rPr>
              <w:t>0.11</w:t>
            </w:r>
          </w:p>
        </w:tc>
        <w:tc>
          <w:tcPr>
            <w:tcW w:w="900" w:type="dxa"/>
            <w:vAlign w:val="center"/>
          </w:tcPr>
          <w:p w14:paraId="5BCEAF00" w14:textId="77777777" w:rsidR="003C0F59" w:rsidRPr="00AA4DFA" w:rsidRDefault="003C0F59" w:rsidP="00CC0F73">
            <w:pPr>
              <w:jc w:val="center"/>
              <w:rPr>
                <w:sz w:val="20"/>
                <w:szCs w:val="20"/>
              </w:rPr>
            </w:pPr>
            <w:r w:rsidRPr="00AA4DFA">
              <w:rPr>
                <w:color w:val="000000"/>
                <w:sz w:val="20"/>
                <w:szCs w:val="20"/>
              </w:rPr>
              <w:t>2.71</w:t>
            </w:r>
          </w:p>
        </w:tc>
        <w:tc>
          <w:tcPr>
            <w:tcW w:w="990" w:type="dxa"/>
            <w:vAlign w:val="center"/>
          </w:tcPr>
          <w:p w14:paraId="231C868B" w14:textId="77777777" w:rsidR="003C0F59" w:rsidRPr="00AA4DFA" w:rsidRDefault="003C0F59" w:rsidP="00CC0F73">
            <w:pPr>
              <w:jc w:val="center"/>
              <w:rPr>
                <w:sz w:val="20"/>
                <w:szCs w:val="20"/>
              </w:rPr>
            </w:pPr>
            <w:r w:rsidRPr="00AA4DFA">
              <w:rPr>
                <w:bCs/>
                <w:sz w:val="20"/>
                <w:szCs w:val="20"/>
              </w:rPr>
              <w:t>1.94</w:t>
            </w:r>
          </w:p>
        </w:tc>
        <w:tc>
          <w:tcPr>
            <w:tcW w:w="900" w:type="dxa"/>
            <w:vAlign w:val="center"/>
          </w:tcPr>
          <w:p w14:paraId="1862396C" w14:textId="77777777" w:rsidR="003C0F59" w:rsidRPr="00AA4DFA" w:rsidRDefault="003C0F59" w:rsidP="00CC0F73">
            <w:pPr>
              <w:jc w:val="center"/>
              <w:rPr>
                <w:sz w:val="20"/>
                <w:szCs w:val="20"/>
              </w:rPr>
            </w:pPr>
            <w:r w:rsidRPr="00AA4DFA">
              <w:rPr>
                <w:bCs/>
                <w:sz w:val="20"/>
                <w:szCs w:val="20"/>
              </w:rPr>
              <w:t>2.74</w:t>
            </w:r>
          </w:p>
        </w:tc>
      </w:tr>
      <w:tr w:rsidR="003C0F59" w:rsidRPr="00AA4DFA" w14:paraId="23B71B8E" w14:textId="77777777" w:rsidTr="00DB07C5">
        <w:trPr>
          <w:trHeight w:val="288"/>
        </w:trPr>
        <w:tc>
          <w:tcPr>
            <w:tcW w:w="532" w:type="dxa"/>
            <w:vAlign w:val="center"/>
          </w:tcPr>
          <w:p w14:paraId="6F37C958" w14:textId="77777777" w:rsidR="003C0F59" w:rsidRPr="00AA4DFA" w:rsidRDefault="003C0F59" w:rsidP="00CC0F73">
            <w:pPr>
              <w:jc w:val="center"/>
              <w:rPr>
                <w:rFonts w:eastAsia="Calibri"/>
                <w:sz w:val="20"/>
                <w:szCs w:val="18"/>
                <w14:ligatures w14:val="standardContextual"/>
              </w:rPr>
            </w:pPr>
          </w:p>
        </w:tc>
        <w:tc>
          <w:tcPr>
            <w:tcW w:w="4778" w:type="dxa"/>
            <w:tcBorders>
              <w:right w:val="single" w:sz="4" w:space="0" w:color="auto"/>
            </w:tcBorders>
            <w:vAlign w:val="center"/>
          </w:tcPr>
          <w:p w14:paraId="4A343ACA" w14:textId="77777777" w:rsidR="003C0F59" w:rsidRPr="00AA4DFA" w:rsidRDefault="003C0F59" w:rsidP="00CC0F73">
            <w:pPr>
              <w:jc w:val="center"/>
              <w:rPr>
                <w:rFonts w:eastAsia="Calibri"/>
                <w:b/>
                <w:sz w:val="20"/>
                <w:szCs w:val="18"/>
                <w14:ligatures w14:val="standardContextual"/>
              </w:rPr>
            </w:pPr>
            <w:r w:rsidRPr="00AA4DFA">
              <w:rPr>
                <w:rFonts w:eastAsia="Calibri"/>
                <w:b/>
                <w:sz w:val="20"/>
                <w:szCs w:val="18"/>
                <w14:ligatures w14:val="standardContextual"/>
              </w:rPr>
              <w:t>S.</w:t>
            </w:r>
            <w:r w:rsidRPr="00AA4DFA">
              <w:rPr>
                <w:rFonts w:eastAsia="Calibri"/>
                <w:b/>
                <w:spacing w:val="-7"/>
                <w:sz w:val="20"/>
                <w:szCs w:val="18"/>
                <w14:ligatures w14:val="standardContextual"/>
              </w:rPr>
              <w:t xml:space="preserve"> </w:t>
            </w:r>
            <w:r w:rsidRPr="00AA4DFA">
              <w:rPr>
                <w:rFonts w:eastAsia="Calibri"/>
                <w:b/>
                <w:sz w:val="20"/>
                <w:szCs w:val="18"/>
                <w14:ligatures w14:val="standardContextual"/>
              </w:rPr>
              <w:t>Em.</w:t>
            </w:r>
            <w:r w:rsidRPr="00AA4DFA">
              <w:rPr>
                <w:rFonts w:eastAsia="Calibri"/>
                <w:b/>
                <w:spacing w:val="-9"/>
                <w:sz w:val="20"/>
                <w:szCs w:val="18"/>
                <w14:ligatures w14:val="standardContextual"/>
              </w:rPr>
              <w:t xml:space="preserve"> </w:t>
            </w:r>
            <w:r w:rsidRPr="00AA4DFA">
              <w:rPr>
                <w:rFonts w:eastAsia="Calibri"/>
                <w:b/>
                <w:spacing w:val="-5"/>
                <w:sz w:val="20"/>
                <w:szCs w:val="18"/>
                <w14:ligatures w14:val="standardContextual"/>
              </w:rPr>
              <w:t>(±)</w:t>
            </w:r>
          </w:p>
        </w:tc>
        <w:tc>
          <w:tcPr>
            <w:tcW w:w="720" w:type="dxa"/>
            <w:tcBorders>
              <w:left w:val="single" w:sz="4" w:space="0" w:color="auto"/>
            </w:tcBorders>
            <w:vAlign w:val="center"/>
          </w:tcPr>
          <w:p w14:paraId="50C0411B" w14:textId="77777777" w:rsidR="003C0F59" w:rsidRPr="00AA4DFA" w:rsidRDefault="003C0F59" w:rsidP="00CC0F73">
            <w:pPr>
              <w:jc w:val="center"/>
              <w:rPr>
                <w:rFonts w:eastAsia="Calibri"/>
                <w:bCs/>
                <w:sz w:val="20"/>
                <w:szCs w:val="18"/>
                <w14:ligatures w14:val="standardContextual"/>
              </w:rPr>
            </w:pPr>
            <w:r w:rsidRPr="00AA4DFA">
              <w:rPr>
                <w:rFonts w:eastAsia="Calibri"/>
                <w:bCs/>
                <w:sz w:val="20"/>
                <w:szCs w:val="18"/>
                <w14:ligatures w14:val="standardContextual"/>
              </w:rPr>
              <w:t>0.61</w:t>
            </w:r>
          </w:p>
        </w:tc>
        <w:tc>
          <w:tcPr>
            <w:tcW w:w="720" w:type="dxa"/>
            <w:vAlign w:val="center"/>
          </w:tcPr>
          <w:p w14:paraId="7A8E8DF5" w14:textId="77777777" w:rsidR="003C0F59" w:rsidRPr="00AA4DFA" w:rsidRDefault="003C0F59" w:rsidP="00CC0F73">
            <w:pPr>
              <w:jc w:val="center"/>
              <w:rPr>
                <w:rFonts w:eastAsia="Calibri"/>
                <w:bCs/>
                <w:sz w:val="20"/>
                <w:szCs w:val="18"/>
                <w14:ligatures w14:val="standardContextual"/>
              </w:rPr>
            </w:pPr>
            <w:r w:rsidRPr="00AA4DFA">
              <w:rPr>
                <w:rFonts w:eastAsia="Calibri"/>
                <w:bCs/>
                <w:spacing w:val="-4"/>
                <w:sz w:val="20"/>
                <w:szCs w:val="18"/>
                <w14:ligatures w14:val="standardContextual"/>
              </w:rPr>
              <w:t>1.05</w:t>
            </w:r>
          </w:p>
        </w:tc>
        <w:tc>
          <w:tcPr>
            <w:tcW w:w="720" w:type="dxa"/>
            <w:vAlign w:val="center"/>
          </w:tcPr>
          <w:p w14:paraId="49E8F873" w14:textId="77777777" w:rsidR="003C0F59" w:rsidRPr="00AA4DFA" w:rsidRDefault="003C0F59" w:rsidP="00CC0F73">
            <w:pPr>
              <w:jc w:val="center"/>
              <w:rPr>
                <w:rFonts w:eastAsia="Calibri"/>
                <w:bCs/>
                <w:sz w:val="20"/>
                <w:szCs w:val="18"/>
                <w14:ligatures w14:val="standardContextual"/>
              </w:rPr>
            </w:pPr>
            <w:r w:rsidRPr="00AA4DFA">
              <w:rPr>
                <w:rFonts w:eastAsia="Calibri"/>
                <w:bCs/>
                <w:spacing w:val="-4"/>
                <w:sz w:val="20"/>
                <w:szCs w:val="18"/>
                <w14:ligatures w14:val="standardContextual"/>
              </w:rPr>
              <w:t>1.06</w:t>
            </w:r>
          </w:p>
        </w:tc>
        <w:tc>
          <w:tcPr>
            <w:tcW w:w="720" w:type="dxa"/>
            <w:vAlign w:val="center"/>
          </w:tcPr>
          <w:p w14:paraId="099024C7" w14:textId="77777777" w:rsidR="003C0F59" w:rsidRPr="00AA4DFA" w:rsidRDefault="003C0F59" w:rsidP="00CC0F73">
            <w:pPr>
              <w:jc w:val="center"/>
              <w:rPr>
                <w:rFonts w:eastAsia="Calibri"/>
                <w:bCs/>
                <w:spacing w:val="-4"/>
                <w:sz w:val="20"/>
                <w:szCs w:val="20"/>
                <w14:ligatures w14:val="standardContextual"/>
              </w:rPr>
            </w:pPr>
            <w:r w:rsidRPr="00AA4DFA">
              <w:rPr>
                <w:bCs/>
                <w:sz w:val="20"/>
                <w:szCs w:val="20"/>
              </w:rPr>
              <w:t>1.65</w:t>
            </w:r>
          </w:p>
        </w:tc>
        <w:tc>
          <w:tcPr>
            <w:tcW w:w="720" w:type="dxa"/>
            <w:vAlign w:val="center"/>
          </w:tcPr>
          <w:p w14:paraId="79DFA754" w14:textId="77777777" w:rsidR="003C0F59" w:rsidRPr="00AA4DFA" w:rsidRDefault="003C0F59" w:rsidP="00CC0F73">
            <w:pPr>
              <w:jc w:val="center"/>
              <w:rPr>
                <w:rFonts w:eastAsia="Calibri"/>
                <w:bCs/>
                <w:spacing w:val="-4"/>
                <w:sz w:val="20"/>
                <w:szCs w:val="20"/>
                <w14:ligatures w14:val="standardContextual"/>
              </w:rPr>
            </w:pPr>
            <w:r w:rsidRPr="00AA4DFA">
              <w:rPr>
                <w:bCs/>
                <w:sz w:val="20"/>
                <w:szCs w:val="20"/>
              </w:rPr>
              <w:t>1.10</w:t>
            </w:r>
          </w:p>
        </w:tc>
        <w:tc>
          <w:tcPr>
            <w:tcW w:w="720" w:type="dxa"/>
            <w:vAlign w:val="center"/>
          </w:tcPr>
          <w:p w14:paraId="142334D5" w14:textId="77777777" w:rsidR="003C0F59" w:rsidRPr="00AA4DFA" w:rsidRDefault="003C0F59" w:rsidP="00CC0F73">
            <w:pPr>
              <w:jc w:val="center"/>
              <w:rPr>
                <w:rFonts w:eastAsia="Calibri"/>
                <w:bCs/>
                <w:spacing w:val="-4"/>
                <w:sz w:val="20"/>
                <w:szCs w:val="20"/>
                <w14:ligatures w14:val="standardContextual"/>
              </w:rPr>
            </w:pPr>
            <w:r w:rsidRPr="00AA4DFA">
              <w:rPr>
                <w:sz w:val="20"/>
                <w:szCs w:val="20"/>
              </w:rPr>
              <w:t>0.94</w:t>
            </w:r>
          </w:p>
        </w:tc>
        <w:tc>
          <w:tcPr>
            <w:tcW w:w="810" w:type="dxa"/>
            <w:vAlign w:val="center"/>
          </w:tcPr>
          <w:p w14:paraId="25AE97D6" w14:textId="77777777" w:rsidR="003C0F59" w:rsidRPr="00AA4DFA" w:rsidRDefault="003C0F59" w:rsidP="00CC0F73">
            <w:pPr>
              <w:jc w:val="center"/>
              <w:rPr>
                <w:sz w:val="20"/>
                <w:szCs w:val="20"/>
              </w:rPr>
            </w:pPr>
            <w:r w:rsidRPr="00AA4DFA">
              <w:rPr>
                <w:color w:val="000000"/>
                <w:sz w:val="20"/>
                <w:szCs w:val="20"/>
              </w:rPr>
              <w:t>0.25</w:t>
            </w:r>
          </w:p>
        </w:tc>
        <w:tc>
          <w:tcPr>
            <w:tcW w:w="720" w:type="dxa"/>
            <w:vAlign w:val="center"/>
          </w:tcPr>
          <w:p w14:paraId="3603B905" w14:textId="77777777" w:rsidR="003C0F59" w:rsidRPr="00AA4DFA" w:rsidRDefault="003C0F59" w:rsidP="00CC0F73">
            <w:pPr>
              <w:jc w:val="center"/>
              <w:rPr>
                <w:sz w:val="20"/>
                <w:szCs w:val="20"/>
              </w:rPr>
            </w:pPr>
            <w:r w:rsidRPr="00AA4DFA">
              <w:rPr>
                <w:sz w:val="20"/>
                <w:szCs w:val="20"/>
              </w:rPr>
              <w:t>0.03</w:t>
            </w:r>
          </w:p>
        </w:tc>
        <w:tc>
          <w:tcPr>
            <w:tcW w:w="900" w:type="dxa"/>
            <w:vAlign w:val="center"/>
          </w:tcPr>
          <w:p w14:paraId="47DDCB35" w14:textId="77777777" w:rsidR="003C0F59" w:rsidRPr="00AA4DFA" w:rsidRDefault="003C0F59" w:rsidP="00CC0F73">
            <w:pPr>
              <w:jc w:val="center"/>
              <w:rPr>
                <w:sz w:val="20"/>
                <w:szCs w:val="20"/>
              </w:rPr>
            </w:pPr>
            <w:r w:rsidRPr="00AA4DFA">
              <w:rPr>
                <w:color w:val="000000"/>
                <w:sz w:val="20"/>
                <w:szCs w:val="20"/>
              </w:rPr>
              <w:t>0.89</w:t>
            </w:r>
          </w:p>
        </w:tc>
        <w:tc>
          <w:tcPr>
            <w:tcW w:w="990" w:type="dxa"/>
            <w:vAlign w:val="center"/>
          </w:tcPr>
          <w:p w14:paraId="22C99AA7" w14:textId="77777777" w:rsidR="003C0F59" w:rsidRPr="00AA4DFA" w:rsidRDefault="003C0F59" w:rsidP="00CC0F73">
            <w:pPr>
              <w:jc w:val="center"/>
              <w:rPr>
                <w:sz w:val="20"/>
                <w:szCs w:val="20"/>
              </w:rPr>
            </w:pPr>
            <w:r w:rsidRPr="00AA4DFA">
              <w:rPr>
                <w:bCs/>
                <w:sz w:val="20"/>
                <w:szCs w:val="20"/>
              </w:rPr>
              <w:t>0.64</w:t>
            </w:r>
          </w:p>
        </w:tc>
        <w:tc>
          <w:tcPr>
            <w:tcW w:w="900" w:type="dxa"/>
            <w:vAlign w:val="center"/>
          </w:tcPr>
          <w:p w14:paraId="2B3ECFD0" w14:textId="77777777" w:rsidR="003C0F59" w:rsidRPr="00AA4DFA" w:rsidRDefault="003C0F59" w:rsidP="00CC0F73">
            <w:pPr>
              <w:jc w:val="center"/>
              <w:rPr>
                <w:sz w:val="20"/>
                <w:szCs w:val="20"/>
              </w:rPr>
            </w:pPr>
            <w:r w:rsidRPr="00AA4DFA">
              <w:rPr>
                <w:bCs/>
                <w:sz w:val="20"/>
                <w:szCs w:val="20"/>
              </w:rPr>
              <w:t>0.90</w:t>
            </w:r>
          </w:p>
        </w:tc>
      </w:tr>
      <w:tr w:rsidR="003C0F59" w:rsidRPr="00AA4DFA" w14:paraId="1F009CFA" w14:textId="77777777" w:rsidTr="00DB07C5">
        <w:trPr>
          <w:trHeight w:val="288"/>
        </w:trPr>
        <w:tc>
          <w:tcPr>
            <w:tcW w:w="532" w:type="dxa"/>
            <w:vAlign w:val="center"/>
          </w:tcPr>
          <w:p w14:paraId="42A8EAE1" w14:textId="77777777" w:rsidR="003C0F59" w:rsidRPr="00AA4DFA" w:rsidRDefault="003C0F59" w:rsidP="00CC0F73">
            <w:pPr>
              <w:jc w:val="center"/>
              <w:rPr>
                <w:rFonts w:eastAsia="Calibri"/>
                <w:sz w:val="20"/>
                <w:szCs w:val="18"/>
                <w14:ligatures w14:val="standardContextual"/>
              </w:rPr>
            </w:pPr>
          </w:p>
        </w:tc>
        <w:tc>
          <w:tcPr>
            <w:tcW w:w="4778" w:type="dxa"/>
            <w:tcBorders>
              <w:right w:val="single" w:sz="4" w:space="0" w:color="auto"/>
            </w:tcBorders>
            <w:vAlign w:val="center"/>
          </w:tcPr>
          <w:p w14:paraId="6547A0D6" w14:textId="77777777" w:rsidR="003C0F59" w:rsidRPr="00AA4DFA" w:rsidRDefault="003C0F59" w:rsidP="00CC0F73">
            <w:pPr>
              <w:jc w:val="center"/>
              <w:rPr>
                <w:rFonts w:eastAsia="Calibri"/>
                <w:b/>
                <w:sz w:val="20"/>
                <w:szCs w:val="18"/>
                <w14:ligatures w14:val="standardContextual"/>
              </w:rPr>
            </w:pPr>
            <w:r w:rsidRPr="00AA4DFA">
              <w:rPr>
                <w:b/>
                <w:sz w:val="20"/>
                <w:szCs w:val="18"/>
              </w:rPr>
              <w:t>C.V (%)</w:t>
            </w:r>
          </w:p>
        </w:tc>
        <w:tc>
          <w:tcPr>
            <w:tcW w:w="720" w:type="dxa"/>
            <w:tcBorders>
              <w:left w:val="single" w:sz="4" w:space="0" w:color="auto"/>
            </w:tcBorders>
            <w:vAlign w:val="center"/>
          </w:tcPr>
          <w:p w14:paraId="07F22F8D" w14:textId="77777777" w:rsidR="003C0F59" w:rsidRPr="00AA4DFA" w:rsidRDefault="003C0F59" w:rsidP="00CC0F73">
            <w:pPr>
              <w:jc w:val="center"/>
              <w:rPr>
                <w:rFonts w:eastAsia="Calibri"/>
                <w:bCs/>
                <w:sz w:val="20"/>
                <w:szCs w:val="18"/>
                <w14:ligatures w14:val="standardContextual"/>
              </w:rPr>
            </w:pPr>
            <w:r w:rsidRPr="00AA4DFA">
              <w:rPr>
                <w:rFonts w:eastAsia="Calibri"/>
                <w:bCs/>
                <w:sz w:val="20"/>
                <w:szCs w:val="18"/>
                <w14:ligatures w14:val="standardContextual"/>
              </w:rPr>
              <w:t>5.02</w:t>
            </w:r>
          </w:p>
        </w:tc>
        <w:tc>
          <w:tcPr>
            <w:tcW w:w="720" w:type="dxa"/>
            <w:vAlign w:val="center"/>
          </w:tcPr>
          <w:p w14:paraId="7116E6B9" w14:textId="77777777" w:rsidR="003C0F59" w:rsidRPr="00AA4DFA" w:rsidRDefault="003C0F59" w:rsidP="00CC0F73">
            <w:pPr>
              <w:jc w:val="center"/>
              <w:rPr>
                <w:rFonts w:eastAsia="Calibri"/>
                <w:bCs/>
                <w:spacing w:val="-4"/>
                <w:sz w:val="20"/>
                <w:szCs w:val="18"/>
                <w14:ligatures w14:val="standardContextual"/>
              </w:rPr>
            </w:pPr>
            <w:r w:rsidRPr="00AA4DFA">
              <w:rPr>
                <w:rFonts w:eastAsia="Calibri"/>
                <w:bCs/>
                <w:spacing w:val="-4"/>
                <w:sz w:val="20"/>
                <w:szCs w:val="18"/>
                <w14:ligatures w14:val="standardContextual"/>
              </w:rPr>
              <w:t>5.92</w:t>
            </w:r>
          </w:p>
        </w:tc>
        <w:tc>
          <w:tcPr>
            <w:tcW w:w="720" w:type="dxa"/>
            <w:vAlign w:val="center"/>
          </w:tcPr>
          <w:p w14:paraId="169E3162" w14:textId="77777777" w:rsidR="003C0F59" w:rsidRPr="00AA4DFA" w:rsidRDefault="003C0F59" w:rsidP="00CC0F73">
            <w:pPr>
              <w:jc w:val="center"/>
              <w:rPr>
                <w:rFonts w:eastAsia="Calibri"/>
                <w:bCs/>
                <w:spacing w:val="-4"/>
                <w:sz w:val="20"/>
                <w:szCs w:val="18"/>
                <w14:ligatures w14:val="standardContextual"/>
              </w:rPr>
            </w:pPr>
            <w:r w:rsidRPr="00AA4DFA">
              <w:rPr>
                <w:rFonts w:eastAsia="Calibri"/>
                <w:bCs/>
                <w:spacing w:val="-4"/>
                <w:sz w:val="20"/>
                <w:szCs w:val="18"/>
                <w14:ligatures w14:val="standardContextual"/>
              </w:rPr>
              <w:t>3.63</w:t>
            </w:r>
          </w:p>
        </w:tc>
        <w:tc>
          <w:tcPr>
            <w:tcW w:w="720" w:type="dxa"/>
            <w:vAlign w:val="center"/>
          </w:tcPr>
          <w:p w14:paraId="4DD93EEA" w14:textId="77777777" w:rsidR="003C0F59" w:rsidRPr="00AA4DFA" w:rsidRDefault="003C0F59" w:rsidP="00CC0F73">
            <w:pPr>
              <w:jc w:val="center"/>
              <w:rPr>
                <w:rFonts w:eastAsia="Calibri"/>
                <w:bCs/>
                <w:spacing w:val="-4"/>
                <w:sz w:val="20"/>
                <w:szCs w:val="20"/>
                <w14:ligatures w14:val="standardContextual"/>
              </w:rPr>
            </w:pPr>
            <w:r w:rsidRPr="00AA4DFA">
              <w:rPr>
                <w:bCs/>
                <w:sz w:val="20"/>
                <w:szCs w:val="20"/>
              </w:rPr>
              <w:t>10.90</w:t>
            </w:r>
          </w:p>
        </w:tc>
        <w:tc>
          <w:tcPr>
            <w:tcW w:w="720" w:type="dxa"/>
            <w:vAlign w:val="center"/>
          </w:tcPr>
          <w:p w14:paraId="224F6755" w14:textId="77777777" w:rsidR="003C0F59" w:rsidRPr="00AA4DFA" w:rsidRDefault="003C0F59" w:rsidP="00CC0F73">
            <w:pPr>
              <w:jc w:val="center"/>
              <w:rPr>
                <w:rFonts w:eastAsia="Calibri"/>
                <w:bCs/>
                <w:spacing w:val="-4"/>
                <w:sz w:val="20"/>
                <w:szCs w:val="20"/>
                <w14:ligatures w14:val="standardContextual"/>
              </w:rPr>
            </w:pPr>
            <w:r w:rsidRPr="00AA4DFA">
              <w:rPr>
                <w:bCs/>
                <w:sz w:val="20"/>
                <w:szCs w:val="20"/>
              </w:rPr>
              <w:t>7.32</w:t>
            </w:r>
          </w:p>
        </w:tc>
        <w:tc>
          <w:tcPr>
            <w:tcW w:w="720" w:type="dxa"/>
            <w:vAlign w:val="center"/>
          </w:tcPr>
          <w:p w14:paraId="5B3BF6ED" w14:textId="77777777" w:rsidR="003C0F59" w:rsidRPr="00AA4DFA" w:rsidRDefault="003C0F59" w:rsidP="00CC0F73">
            <w:pPr>
              <w:jc w:val="center"/>
              <w:rPr>
                <w:rFonts w:eastAsia="Calibri"/>
                <w:bCs/>
                <w:spacing w:val="-4"/>
                <w:sz w:val="20"/>
                <w:szCs w:val="20"/>
                <w14:ligatures w14:val="standardContextual"/>
              </w:rPr>
            </w:pPr>
            <w:r w:rsidRPr="00AA4DFA">
              <w:rPr>
                <w:sz w:val="20"/>
                <w:szCs w:val="20"/>
              </w:rPr>
              <w:t>6.46</w:t>
            </w:r>
          </w:p>
        </w:tc>
        <w:tc>
          <w:tcPr>
            <w:tcW w:w="810" w:type="dxa"/>
            <w:vAlign w:val="center"/>
          </w:tcPr>
          <w:p w14:paraId="267CD424" w14:textId="77777777" w:rsidR="003C0F59" w:rsidRPr="00AA4DFA" w:rsidRDefault="003C0F59" w:rsidP="00CC0F73">
            <w:pPr>
              <w:jc w:val="center"/>
              <w:rPr>
                <w:sz w:val="20"/>
                <w:szCs w:val="20"/>
              </w:rPr>
            </w:pPr>
            <w:r w:rsidRPr="00AA4DFA">
              <w:rPr>
                <w:color w:val="000000"/>
                <w:sz w:val="20"/>
                <w:szCs w:val="20"/>
              </w:rPr>
              <w:t>2.52</w:t>
            </w:r>
          </w:p>
        </w:tc>
        <w:tc>
          <w:tcPr>
            <w:tcW w:w="720" w:type="dxa"/>
            <w:vAlign w:val="center"/>
          </w:tcPr>
          <w:p w14:paraId="1DE32E17" w14:textId="77777777" w:rsidR="003C0F59" w:rsidRPr="00AA4DFA" w:rsidRDefault="003C0F59" w:rsidP="00CC0F73">
            <w:pPr>
              <w:jc w:val="center"/>
              <w:rPr>
                <w:sz w:val="20"/>
                <w:szCs w:val="20"/>
              </w:rPr>
            </w:pPr>
            <w:r w:rsidRPr="00AA4DFA">
              <w:rPr>
                <w:sz w:val="20"/>
                <w:szCs w:val="20"/>
              </w:rPr>
              <w:t>2.41</w:t>
            </w:r>
          </w:p>
        </w:tc>
        <w:tc>
          <w:tcPr>
            <w:tcW w:w="900" w:type="dxa"/>
            <w:vAlign w:val="center"/>
          </w:tcPr>
          <w:p w14:paraId="2F6BE6FF" w14:textId="77777777" w:rsidR="003C0F59" w:rsidRPr="00AA4DFA" w:rsidRDefault="003C0F59" w:rsidP="00CC0F73">
            <w:pPr>
              <w:jc w:val="center"/>
              <w:rPr>
                <w:sz w:val="20"/>
                <w:szCs w:val="20"/>
              </w:rPr>
            </w:pPr>
            <w:r w:rsidRPr="00AA4DFA">
              <w:rPr>
                <w:color w:val="000000"/>
                <w:sz w:val="20"/>
                <w:szCs w:val="20"/>
              </w:rPr>
              <w:t>1.54</w:t>
            </w:r>
          </w:p>
        </w:tc>
        <w:tc>
          <w:tcPr>
            <w:tcW w:w="990" w:type="dxa"/>
            <w:vAlign w:val="center"/>
          </w:tcPr>
          <w:p w14:paraId="598998C8" w14:textId="77777777" w:rsidR="003C0F59" w:rsidRPr="00AA4DFA" w:rsidRDefault="003C0F59" w:rsidP="00CC0F73">
            <w:pPr>
              <w:jc w:val="center"/>
              <w:rPr>
                <w:sz w:val="20"/>
                <w:szCs w:val="20"/>
              </w:rPr>
            </w:pPr>
            <w:r w:rsidRPr="00AA4DFA">
              <w:rPr>
                <w:bCs/>
                <w:sz w:val="20"/>
                <w:szCs w:val="20"/>
              </w:rPr>
              <w:t>2.00</w:t>
            </w:r>
          </w:p>
        </w:tc>
        <w:tc>
          <w:tcPr>
            <w:tcW w:w="900" w:type="dxa"/>
            <w:vAlign w:val="center"/>
          </w:tcPr>
          <w:p w14:paraId="0EB709D3" w14:textId="77777777" w:rsidR="003C0F59" w:rsidRPr="00AA4DFA" w:rsidRDefault="003C0F59" w:rsidP="00CC0F73">
            <w:pPr>
              <w:jc w:val="center"/>
              <w:rPr>
                <w:sz w:val="20"/>
                <w:szCs w:val="20"/>
              </w:rPr>
            </w:pPr>
            <w:r w:rsidRPr="00AA4DFA">
              <w:rPr>
                <w:bCs/>
                <w:sz w:val="20"/>
                <w:szCs w:val="20"/>
              </w:rPr>
              <w:t>3.99</w:t>
            </w:r>
          </w:p>
        </w:tc>
      </w:tr>
    </w:tbl>
    <w:p w14:paraId="7592D492" w14:textId="77777777" w:rsidR="0028653C" w:rsidRPr="00AA4DFA" w:rsidRDefault="0028653C" w:rsidP="004E317B">
      <w:pPr>
        <w:spacing w:line="360" w:lineRule="auto"/>
        <w:ind w:right="14"/>
        <w:jc w:val="center"/>
        <w:rPr>
          <w:rFonts w:eastAsia="Calibri"/>
          <w:b/>
          <w:bCs/>
          <w:szCs w:val="20"/>
          <w14:ligatures w14:val="standardContextual"/>
        </w:rPr>
      </w:pPr>
    </w:p>
    <w:p w14:paraId="1CF1D642" w14:textId="77777777" w:rsidR="004D6418" w:rsidRPr="00AA4DFA" w:rsidRDefault="004D6418" w:rsidP="004E317B">
      <w:pPr>
        <w:spacing w:line="360" w:lineRule="auto"/>
        <w:ind w:right="14"/>
        <w:jc w:val="center"/>
        <w:rPr>
          <w:rFonts w:eastAsia="Calibri"/>
          <w:b/>
          <w:bCs/>
          <w:szCs w:val="20"/>
          <w:lang w:val="en-US"/>
          <w14:ligatures w14:val="standardContextual"/>
        </w:rPr>
      </w:pPr>
      <w:r w:rsidRPr="00AA4DFA">
        <w:rPr>
          <w:rFonts w:eastAsia="Calibri"/>
          <w:b/>
          <w:bCs/>
          <w:szCs w:val="20"/>
          <w14:ligatures w14:val="standardContextual"/>
        </w:rPr>
        <w:t>Table 2. Effect of organic and chemical fertilizers on yield and quality parameters of brinjal</w:t>
      </w:r>
    </w:p>
    <w:tbl>
      <w:tblPr>
        <w:tblW w:w="13905"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3"/>
        <w:gridCol w:w="4787"/>
        <w:gridCol w:w="875"/>
        <w:gridCol w:w="965"/>
        <w:gridCol w:w="860"/>
        <w:gridCol w:w="900"/>
        <w:gridCol w:w="900"/>
        <w:gridCol w:w="1200"/>
        <w:gridCol w:w="690"/>
        <w:gridCol w:w="1080"/>
        <w:gridCol w:w="1125"/>
      </w:tblGrid>
      <w:tr w:rsidR="004A2C34" w:rsidRPr="00AA4DFA" w14:paraId="5287497C" w14:textId="77777777" w:rsidTr="00660EDA">
        <w:trPr>
          <w:trHeight w:val="288"/>
        </w:trPr>
        <w:tc>
          <w:tcPr>
            <w:tcW w:w="523" w:type="dxa"/>
            <w:vMerge w:val="restart"/>
            <w:vAlign w:val="center"/>
          </w:tcPr>
          <w:p w14:paraId="04B56724" w14:textId="77777777" w:rsidR="004A2C34" w:rsidRPr="00AA4DFA" w:rsidRDefault="004A2C34" w:rsidP="004A2C34">
            <w:pPr>
              <w:ind w:right="22"/>
              <w:jc w:val="center"/>
              <w:rPr>
                <w:rFonts w:eastAsia="Calibri"/>
                <w:b/>
                <w:bCs/>
                <w:color w:val="000000"/>
                <w:sz w:val="20"/>
                <w:szCs w:val="18"/>
                <w14:ligatures w14:val="standardContextual"/>
              </w:rPr>
            </w:pPr>
          </w:p>
        </w:tc>
        <w:tc>
          <w:tcPr>
            <w:tcW w:w="4787" w:type="dxa"/>
            <w:vMerge w:val="restart"/>
            <w:tcBorders>
              <w:right w:val="single" w:sz="4" w:space="0" w:color="auto"/>
            </w:tcBorders>
            <w:vAlign w:val="center"/>
          </w:tcPr>
          <w:p w14:paraId="3E42764B" w14:textId="77777777" w:rsidR="004A2C34" w:rsidRPr="00AA4DFA" w:rsidRDefault="004A2C34" w:rsidP="004A2C34">
            <w:pPr>
              <w:ind w:left="110"/>
              <w:jc w:val="center"/>
              <w:rPr>
                <w:rFonts w:eastAsia="Calibri"/>
                <w:color w:val="000000"/>
                <w:sz w:val="20"/>
                <w:szCs w:val="18"/>
                <w14:ligatures w14:val="standardContextual"/>
              </w:rPr>
            </w:pPr>
            <w:r w:rsidRPr="00AA4DFA">
              <w:rPr>
                <w:rFonts w:eastAsia="Calibri"/>
                <w:b/>
                <w:spacing w:val="-2"/>
                <w:szCs w:val="22"/>
                <w14:ligatures w14:val="standardContextual"/>
              </w:rPr>
              <w:t>Treatments</w:t>
            </w:r>
          </w:p>
        </w:tc>
        <w:tc>
          <w:tcPr>
            <w:tcW w:w="5700" w:type="dxa"/>
            <w:gridSpan w:val="6"/>
            <w:vAlign w:val="center"/>
          </w:tcPr>
          <w:p w14:paraId="16C0E727" w14:textId="77777777" w:rsidR="004A2C34" w:rsidRPr="00AA4DFA" w:rsidRDefault="004A2C34" w:rsidP="004A2C34">
            <w:pPr>
              <w:ind w:left="115"/>
              <w:jc w:val="center"/>
              <w:rPr>
                <w:b/>
                <w:bCs/>
                <w:sz w:val="22"/>
                <w:szCs w:val="18"/>
              </w:rPr>
            </w:pPr>
            <w:r w:rsidRPr="00AA4DFA">
              <w:rPr>
                <w:rFonts w:eastAsia="Calibri"/>
                <w:b/>
                <w:bCs/>
                <w:sz w:val="22"/>
                <w:szCs w:val="18"/>
                <w14:ligatures w14:val="standardContextual"/>
              </w:rPr>
              <w:t>Yield parameters</w:t>
            </w:r>
          </w:p>
        </w:tc>
        <w:tc>
          <w:tcPr>
            <w:tcW w:w="2895" w:type="dxa"/>
            <w:gridSpan w:val="3"/>
            <w:vAlign w:val="center"/>
          </w:tcPr>
          <w:p w14:paraId="017076B9" w14:textId="77777777" w:rsidR="004A2C34" w:rsidRPr="00AA4DFA" w:rsidRDefault="004A2C34" w:rsidP="004A2C34">
            <w:pPr>
              <w:ind w:left="115"/>
              <w:jc w:val="center"/>
              <w:rPr>
                <w:b/>
                <w:bCs/>
                <w:sz w:val="22"/>
                <w:szCs w:val="18"/>
              </w:rPr>
            </w:pPr>
            <w:r w:rsidRPr="00AA4DFA">
              <w:rPr>
                <w:rFonts w:eastAsia="Calibri"/>
                <w:b/>
                <w:bCs/>
                <w:sz w:val="22"/>
                <w:szCs w:val="18"/>
                <w14:ligatures w14:val="standardContextual"/>
              </w:rPr>
              <w:t>Quality parameters</w:t>
            </w:r>
          </w:p>
        </w:tc>
      </w:tr>
      <w:tr w:rsidR="004A2C34" w:rsidRPr="00AA4DFA" w14:paraId="30988A06" w14:textId="77777777" w:rsidTr="004A2C34">
        <w:trPr>
          <w:trHeight w:val="288"/>
        </w:trPr>
        <w:tc>
          <w:tcPr>
            <w:tcW w:w="523" w:type="dxa"/>
            <w:vMerge/>
            <w:vAlign w:val="center"/>
          </w:tcPr>
          <w:p w14:paraId="2B1AEF51" w14:textId="77777777" w:rsidR="004A2C34" w:rsidRPr="00AA4DFA" w:rsidRDefault="004A2C34" w:rsidP="004A2C34">
            <w:pPr>
              <w:ind w:right="22"/>
              <w:jc w:val="center"/>
              <w:rPr>
                <w:rFonts w:eastAsia="Calibri"/>
                <w:b/>
                <w:bCs/>
                <w:color w:val="000000"/>
                <w:sz w:val="20"/>
                <w:szCs w:val="18"/>
                <w14:ligatures w14:val="standardContextual"/>
              </w:rPr>
            </w:pPr>
          </w:p>
        </w:tc>
        <w:tc>
          <w:tcPr>
            <w:tcW w:w="4787" w:type="dxa"/>
            <w:vMerge/>
            <w:tcBorders>
              <w:right w:val="single" w:sz="4" w:space="0" w:color="auto"/>
            </w:tcBorders>
            <w:vAlign w:val="center"/>
          </w:tcPr>
          <w:p w14:paraId="435BD07D" w14:textId="77777777" w:rsidR="004A2C34" w:rsidRPr="00AA4DFA" w:rsidRDefault="004A2C34" w:rsidP="004A2C34">
            <w:pPr>
              <w:ind w:left="110"/>
              <w:jc w:val="center"/>
              <w:rPr>
                <w:rFonts w:eastAsia="Calibri"/>
                <w:color w:val="000000"/>
                <w:sz w:val="20"/>
                <w:szCs w:val="18"/>
                <w14:ligatures w14:val="standardContextual"/>
              </w:rPr>
            </w:pPr>
          </w:p>
        </w:tc>
        <w:tc>
          <w:tcPr>
            <w:tcW w:w="875" w:type="dxa"/>
            <w:vAlign w:val="center"/>
          </w:tcPr>
          <w:p w14:paraId="345A31FD" w14:textId="77777777" w:rsidR="004A2C34" w:rsidRPr="00AA4DFA" w:rsidRDefault="004A2C34" w:rsidP="004A2C34">
            <w:pPr>
              <w:ind w:left="115"/>
              <w:jc w:val="center"/>
              <w:rPr>
                <w:color w:val="000000"/>
                <w:sz w:val="18"/>
                <w:szCs w:val="18"/>
              </w:rPr>
            </w:pPr>
            <w:r w:rsidRPr="00AA4DFA">
              <w:rPr>
                <w:b/>
                <w:bCs/>
                <w:sz w:val="18"/>
                <w:szCs w:val="18"/>
              </w:rPr>
              <w:t>Number of fruits / plants</w:t>
            </w:r>
          </w:p>
        </w:tc>
        <w:tc>
          <w:tcPr>
            <w:tcW w:w="965" w:type="dxa"/>
            <w:vAlign w:val="center"/>
          </w:tcPr>
          <w:p w14:paraId="033C83F1" w14:textId="77777777" w:rsidR="004A2C34" w:rsidRPr="00AA4DFA" w:rsidRDefault="004A2C34" w:rsidP="004A2C34">
            <w:pPr>
              <w:ind w:left="115"/>
              <w:jc w:val="center"/>
              <w:rPr>
                <w:color w:val="000000"/>
                <w:sz w:val="18"/>
                <w:szCs w:val="18"/>
              </w:rPr>
            </w:pPr>
            <w:r w:rsidRPr="00AA4DFA">
              <w:rPr>
                <w:b/>
                <w:bCs/>
                <w:sz w:val="18"/>
                <w:szCs w:val="18"/>
              </w:rPr>
              <w:t>weight of individual fruit (g)</w:t>
            </w:r>
          </w:p>
        </w:tc>
        <w:tc>
          <w:tcPr>
            <w:tcW w:w="860" w:type="dxa"/>
            <w:vAlign w:val="center"/>
          </w:tcPr>
          <w:p w14:paraId="439E5D89" w14:textId="77777777" w:rsidR="004A2C34" w:rsidRPr="00AA4DFA" w:rsidRDefault="004A2C34" w:rsidP="004A2C34">
            <w:pPr>
              <w:ind w:left="115"/>
              <w:jc w:val="center"/>
              <w:rPr>
                <w:color w:val="000000"/>
                <w:sz w:val="18"/>
                <w:szCs w:val="18"/>
              </w:rPr>
            </w:pPr>
            <w:r w:rsidRPr="00AA4DFA">
              <w:rPr>
                <w:b/>
                <w:bCs/>
                <w:sz w:val="18"/>
                <w:szCs w:val="18"/>
              </w:rPr>
              <w:t>Length of fruit (cm)</w:t>
            </w:r>
          </w:p>
        </w:tc>
        <w:tc>
          <w:tcPr>
            <w:tcW w:w="900" w:type="dxa"/>
            <w:vAlign w:val="center"/>
          </w:tcPr>
          <w:p w14:paraId="2D773853" w14:textId="77777777" w:rsidR="004A2C34" w:rsidRPr="00AA4DFA" w:rsidRDefault="004A2C34" w:rsidP="004A2C34">
            <w:pPr>
              <w:ind w:left="115"/>
              <w:jc w:val="center"/>
              <w:rPr>
                <w:color w:val="000000"/>
                <w:sz w:val="18"/>
                <w:szCs w:val="18"/>
              </w:rPr>
            </w:pPr>
            <w:r w:rsidRPr="00AA4DFA">
              <w:rPr>
                <w:b/>
                <w:bCs/>
                <w:sz w:val="18"/>
                <w:szCs w:val="18"/>
              </w:rPr>
              <w:t>Diameter of fruit (cm)</w:t>
            </w:r>
          </w:p>
        </w:tc>
        <w:tc>
          <w:tcPr>
            <w:tcW w:w="900" w:type="dxa"/>
            <w:vAlign w:val="center"/>
          </w:tcPr>
          <w:p w14:paraId="51B893AE" w14:textId="77777777" w:rsidR="004A2C34" w:rsidRPr="00AA4DFA" w:rsidRDefault="004A2C34" w:rsidP="004A2C34">
            <w:pPr>
              <w:ind w:left="115"/>
              <w:jc w:val="center"/>
              <w:rPr>
                <w:color w:val="000000"/>
                <w:sz w:val="18"/>
                <w:szCs w:val="18"/>
              </w:rPr>
            </w:pPr>
            <w:r w:rsidRPr="00AA4DFA">
              <w:rPr>
                <w:b/>
                <w:bCs/>
                <w:sz w:val="18"/>
                <w:szCs w:val="18"/>
              </w:rPr>
              <w:t>Yield of fruit per plant (g)</w:t>
            </w:r>
          </w:p>
        </w:tc>
        <w:tc>
          <w:tcPr>
            <w:tcW w:w="1200" w:type="dxa"/>
            <w:vAlign w:val="center"/>
          </w:tcPr>
          <w:p w14:paraId="310657A6" w14:textId="77777777" w:rsidR="004A2C34" w:rsidRPr="00AA4DFA" w:rsidRDefault="004A2C34" w:rsidP="004A2C34">
            <w:pPr>
              <w:ind w:left="115"/>
              <w:jc w:val="center"/>
              <w:rPr>
                <w:color w:val="000000"/>
                <w:sz w:val="18"/>
                <w:szCs w:val="18"/>
              </w:rPr>
            </w:pPr>
            <w:r w:rsidRPr="00AA4DFA">
              <w:rPr>
                <w:b/>
                <w:bCs/>
                <w:sz w:val="18"/>
                <w:szCs w:val="18"/>
              </w:rPr>
              <w:t>Yield of fruit per hectare (q/ha)</w:t>
            </w:r>
          </w:p>
        </w:tc>
        <w:tc>
          <w:tcPr>
            <w:tcW w:w="690" w:type="dxa"/>
            <w:vAlign w:val="center"/>
          </w:tcPr>
          <w:p w14:paraId="5B5D422F" w14:textId="77777777" w:rsidR="004A2C34" w:rsidRPr="00AA4DFA" w:rsidRDefault="004A2C34" w:rsidP="004A2C34">
            <w:pPr>
              <w:ind w:left="115"/>
              <w:jc w:val="center"/>
              <w:rPr>
                <w:color w:val="000000"/>
                <w:sz w:val="18"/>
                <w:szCs w:val="18"/>
              </w:rPr>
            </w:pPr>
            <w:r w:rsidRPr="00AA4DFA">
              <w:rPr>
                <w:b/>
                <w:bCs/>
                <w:sz w:val="18"/>
                <w:szCs w:val="18"/>
              </w:rPr>
              <w:t>Total soluble solids</w:t>
            </w:r>
          </w:p>
        </w:tc>
        <w:tc>
          <w:tcPr>
            <w:tcW w:w="1080" w:type="dxa"/>
            <w:vAlign w:val="center"/>
          </w:tcPr>
          <w:p w14:paraId="23C0FED6" w14:textId="77777777" w:rsidR="004A2C34" w:rsidRPr="00AA4DFA" w:rsidRDefault="004A2C34" w:rsidP="004A2C34">
            <w:pPr>
              <w:ind w:left="115"/>
              <w:jc w:val="center"/>
              <w:rPr>
                <w:color w:val="000000"/>
                <w:sz w:val="18"/>
                <w:szCs w:val="18"/>
              </w:rPr>
            </w:pPr>
            <w:r w:rsidRPr="00AA4DFA">
              <w:rPr>
                <w:b/>
                <w:bCs/>
                <w:sz w:val="18"/>
                <w:szCs w:val="18"/>
              </w:rPr>
              <w:t>Ascorbic acid content (mg/100g)</w:t>
            </w:r>
          </w:p>
        </w:tc>
        <w:tc>
          <w:tcPr>
            <w:tcW w:w="1125" w:type="dxa"/>
            <w:vAlign w:val="center"/>
          </w:tcPr>
          <w:p w14:paraId="3DFD1196" w14:textId="77777777" w:rsidR="004A2C34" w:rsidRPr="00AA4DFA" w:rsidRDefault="004A2C34" w:rsidP="004A2C34">
            <w:pPr>
              <w:ind w:left="115"/>
              <w:jc w:val="center"/>
              <w:rPr>
                <w:color w:val="000000"/>
                <w:sz w:val="18"/>
                <w:szCs w:val="18"/>
              </w:rPr>
            </w:pPr>
            <w:r w:rsidRPr="00AA4DFA">
              <w:rPr>
                <w:b/>
                <w:bCs/>
                <w:sz w:val="18"/>
                <w:szCs w:val="18"/>
              </w:rPr>
              <w:t>Anthocyanin content (mg/100g)</w:t>
            </w:r>
          </w:p>
        </w:tc>
      </w:tr>
      <w:tr w:rsidR="004A2C34" w:rsidRPr="00AA4DFA" w14:paraId="7BA34C7B" w14:textId="77777777" w:rsidTr="004A2C34">
        <w:trPr>
          <w:trHeight w:val="288"/>
        </w:trPr>
        <w:tc>
          <w:tcPr>
            <w:tcW w:w="523" w:type="dxa"/>
            <w:vAlign w:val="center"/>
          </w:tcPr>
          <w:p w14:paraId="66F3DC8C" w14:textId="77777777" w:rsidR="004A2C34" w:rsidRPr="00AA4DFA" w:rsidRDefault="004A2C34" w:rsidP="004A2C34">
            <w:pPr>
              <w:ind w:right="22"/>
              <w:jc w:val="center"/>
              <w:rPr>
                <w:rFonts w:eastAsia="Calibri"/>
                <w:b/>
                <w:sz w:val="20"/>
                <w:szCs w:val="18"/>
                <w14:ligatures w14:val="standardContextual"/>
              </w:rPr>
            </w:pPr>
            <w:r w:rsidRPr="00AA4DFA">
              <w:rPr>
                <w:rFonts w:eastAsia="Calibri"/>
                <w:b/>
                <w:bCs/>
                <w:color w:val="000000"/>
                <w:sz w:val="20"/>
                <w:szCs w:val="18"/>
                <w14:ligatures w14:val="standardContextual"/>
              </w:rPr>
              <w:t>T</w:t>
            </w:r>
            <w:r w:rsidRPr="00AA4DFA">
              <w:rPr>
                <w:rFonts w:eastAsia="Calibri"/>
                <w:b/>
                <w:bCs/>
                <w:color w:val="000000"/>
                <w:sz w:val="20"/>
                <w:szCs w:val="18"/>
                <w:vertAlign w:val="subscript"/>
                <w14:ligatures w14:val="standardContextual"/>
              </w:rPr>
              <w:t>1</w:t>
            </w:r>
          </w:p>
        </w:tc>
        <w:tc>
          <w:tcPr>
            <w:tcW w:w="4787" w:type="dxa"/>
            <w:tcBorders>
              <w:right w:val="single" w:sz="4" w:space="0" w:color="auto"/>
            </w:tcBorders>
            <w:vAlign w:val="center"/>
          </w:tcPr>
          <w:p w14:paraId="3460D4EE" w14:textId="77777777" w:rsidR="004A2C34" w:rsidRPr="00AA4DFA" w:rsidRDefault="004A2C34" w:rsidP="004A2C34">
            <w:pPr>
              <w:ind w:left="110"/>
              <w:jc w:val="center"/>
              <w:rPr>
                <w:rFonts w:eastAsia="Calibri"/>
                <w:b/>
                <w:position w:val="2"/>
                <w:sz w:val="20"/>
                <w:szCs w:val="18"/>
                <w14:ligatures w14:val="standardContextual"/>
              </w:rPr>
            </w:pPr>
            <w:r w:rsidRPr="00AA4DFA">
              <w:rPr>
                <w:rFonts w:eastAsia="Calibri"/>
                <w:color w:val="000000"/>
                <w:sz w:val="20"/>
                <w:szCs w:val="18"/>
                <w14:ligatures w14:val="standardContextual"/>
              </w:rPr>
              <w:t>Absolute Control</w:t>
            </w:r>
          </w:p>
        </w:tc>
        <w:tc>
          <w:tcPr>
            <w:tcW w:w="875" w:type="dxa"/>
            <w:vAlign w:val="center"/>
          </w:tcPr>
          <w:p w14:paraId="01D581C9" w14:textId="77777777" w:rsidR="004A2C34" w:rsidRPr="00AA4DFA" w:rsidRDefault="004A2C34" w:rsidP="004A2C34">
            <w:pPr>
              <w:ind w:left="115"/>
              <w:jc w:val="center"/>
              <w:rPr>
                <w:color w:val="000000"/>
                <w:sz w:val="20"/>
                <w:szCs w:val="20"/>
              </w:rPr>
            </w:pPr>
            <w:r w:rsidRPr="00AA4DFA">
              <w:rPr>
                <w:color w:val="000000"/>
                <w:sz w:val="20"/>
                <w:szCs w:val="20"/>
              </w:rPr>
              <w:t>6.80</w:t>
            </w:r>
          </w:p>
        </w:tc>
        <w:tc>
          <w:tcPr>
            <w:tcW w:w="965" w:type="dxa"/>
            <w:vAlign w:val="center"/>
          </w:tcPr>
          <w:p w14:paraId="76E0AEE5" w14:textId="77777777" w:rsidR="004A2C34" w:rsidRPr="00AA4DFA" w:rsidRDefault="004A2C34" w:rsidP="004A2C34">
            <w:pPr>
              <w:ind w:left="115"/>
              <w:jc w:val="center"/>
              <w:rPr>
                <w:color w:val="000000"/>
                <w:sz w:val="20"/>
                <w:szCs w:val="20"/>
              </w:rPr>
            </w:pPr>
            <w:r w:rsidRPr="00AA4DFA">
              <w:rPr>
                <w:color w:val="000000"/>
                <w:sz w:val="20"/>
                <w:szCs w:val="20"/>
              </w:rPr>
              <w:t>125.40</w:t>
            </w:r>
          </w:p>
        </w:tc>
        <w:tc>
          <w:tcPr>
            <w:tcW w:w="860" w:type="dxa"/>
            <w:vAlign w:val="center"/>
          </w:tcPr>
          <w:p w14:paraId="24A26DD9" w14:textId="77777777" w:rsidR="004A2C34" w:rsidRPr="00AA4DFA" w:rsidRDefault="004A2C34" w:rsidP="004A2C34">
            <w:pPr>
              <w:ind w:left="115"/>
              <w:jc w:val="center"/>
              <w:rPr>
                <w:color w:val="000000"/>
                <w:sz w:val="20"/>
                <w:szCs w:val="20"/>
              </w:rPr>
            </w:pPr>
            <w:r w:rsidRPr="00AA4DFA">
              <w:rPr>
                <w:color w:val="000000"/>
                <w:sz w:val="20"/>
                <w:szCs w:val="20"/>
              </w:rPr>
              <w:t>6.10</w:t>
            </w:r>
          </w:p>
        </w:tc>
        <w:tc>
          <w:tcPr>
            <w:tcW w:w="900" w:type="dxa"/>
            <w:vAlign w:val="center"/>
          </w:tcPr>
          <w:p w14:paraId="065CE28C" w14:textId="77777777" w:rsidR="004A2C34" w:rsidRPr="00AA4DFA" w:rsidRDefault="004A2C34" w:rsidP="004A2C34">
            <w:pPr>
              <w:ind w:left="115"/>
              <w:jc w:val="center"/>
              <w:rPr>
                <w:color w:val="000000"/>
                <w:sz w:val="20"/>
                <w:szCs w:val="20"/>
              </w:rPr>
            </w:pPr>
            <w:r w:rsidRPr="00AA4DFA">
              <w:rPr>
                <w:color w:val="000000"/>
                <w:sz w:val="20"/>
                <w:szCs w:val="20"/>
              </w:rPr>
              <w:t>5.13</w:t>
            </w:r>
          </w:p>
        </w:tc>
        <w:tc>
          <w:tcPr>
            <w:tcW w:w="900" w:type="dxa"/>
            <w:vAlign w:val="center"/>
          </w:tcPr>
          <w:p w14:paraId="346BB7A1" w14:textId="77777777" w:rsidR="004A2C34" w:rsidRPr="00AA4DFA" w:rsidRDefault="004A2C34" w:rsidP="004A2C34">
            <w:pPr>
              <w:ind w:left="115"/>
              <w:jc w:val="center"/>
              <w:rPr>
                <w:color w:val="000000"/>
                <w:sz w:val="20"/>
                <w:szCs w:val="20"/>
              </w:rPr>
            </w:pPr>
            <w:r w:rsidRPr="00AA4DFA">
              <w:rPr>
                <w:color w:val="000000"/>
                <w:sz w:val="20"/>
                <w:szCs w:val="20"/>
              </w:rPr>
              <w:t>852.36</w:t>
            </w:r>
          </w:p>
        </w:tc>
        <w:tc>
          <w:tcPr>
            <w:tcW w:w="1200" w:type="dxa"/>
            <w:vAlign w:val="center"/>
          </w:tcPr>
          <w:p w14:paraId="237059C1" w14:textId="77777777" w:rsidR="004A2C34" w:rsidRPr="00AA4DFA" w:rsidRDefault="004A2C34" w:rsidP="004A2C34">
            <w:pPr>
              <w:ind w:left="115"/>
              <w:jc w:val="center"/>
              <w:rPr>
                <w:color w:val="000000"/>
                <w:sz w:val="20"/>
                <w:szCs w:val="20"/>
              </w:rPr>
            </w:pPr>
            <w:r w:rsidRPr="00AA4DFA">
              <w:rPr>
                <w:color w:val="000000"/>
                <w:sz w:val="20"/>
                <w:szCs w:val="20"/>
              </w:rPr>
              <w:t>315.69</w:t>
            </w:r>
          </w:p>
        </w:tc>
        <w:tc>
          <w:tcPr>
            <w:tcW w:w="690" w:type="dxa"/>
            <w:vAlign w:val="center"/>
          </w:tcPr>
          <w:p w14:paraId="283018C8" w14:textId="77777777" w:rsidR="004A2C34" w:rsidRPr="00AA4DFA" w:rsidRDefault="004A2C34" w:rsidP="004A2C34">
            <w:pPr>
              <w:ind w:left="115"/>
              <w:jc w:val="center"/>
              <w:rPr>
                <w:color w:val="000000"/>
                <w:sz w:val="20"/>
                <w:szCs w:val="20"/>
              </w:rPr>
            </w:pPr>
            <w:r w:rsidRPr="00AA4DFA">
              <w:rPr>
                <w:color w:val="000000"/>
                <w:sz w:val="20"/>
                <w:szCs w:val="20"/>
              </w:rPr>
              <w:t>4.17</w:t>
            </w:r>
          </w:p>
        </w:tc>
        <w:tc>
          <w:tcPr>
            <w:tcW w:w="1080" w:type="dxa"/>
            <w:vAlign w:val="center"/>
          </w:tcPr>
          <w:p w14:paraId="58337810" w14:textId="77777777" w:rsidR="004A2C34" w:rsidRPr="00AA4DFA" w:rsidRDefault="004A2C34" w:rsidP="004A2C34">
            <w:pPr>
              <w:ind w:left="115"/>
              <w:jc w:val="center"/>
              <w:rPr>
                <w:color w:val="000000"/>
                <w:sz w:val="20"/>
                <w:szCs w:val="20"/>
              </w:rPr>
            </w:pPr>
            <w:r w:rsidRPr="00AA4DFA">
              <w:rPr>
                <w:color w:val="000000"/>
                <w:sz w:val="20"/>
                <w:szCs w:val="20"/>
              </w:rPr>
              <w:t>11.98</w:t>
            </w:r>
          </w:p>
        </w:tc>
        <w:tc>
          <w:tcPr>
            <w:tcW w:w="1125" w:type="dxa"/>
            <w:vAlign w:val="center"/>
          </w:tcPr>
          <w:p w14:paraId="4991DB9F" w14:textId="77777777" w:rsidR="004A2C34" w:rsidRPr="00AA4DFA" w:rsidRDefault="004A2C34" w:rsidP="004A2C34">
            <w:pPr>
              <w:ind w:left="115"/>
              <w:jc w:val="center"/>
              <w:rPr>
                <w:color w:val="000000"/>
                <w:sz w:val="20"/>
                <w:szCs w:val="20"/>
              </w:rPr>
            </w:pPr>
            <w:r w:rsidRPr="00AA4DFA">
              <w:rPr>
                <w:color w:val="000000"/>
                <w:sz w:val="20"/>
                <w:szCs w:val="20"/>
              </w:rPr>
              <w:t>21.38</w:t>
            </w:r>
          </w:p>
        </w:tc>
      </w:tr>
      <w:tr w:rsidR="004A2C34" w:rsidRPr="00AA4DFA" w14:paraId="6B2D5DF3" w14:textId="77777777" w:rsidTr="004A2C34">
        <w:trPr>
          <w:trHeight w:val="288"/>
        </w:trPr>
        <w:tc>
          <w:tcPr>
            <w:tcW w:w="523" w:type="dxa"/>
            <w:vAlign w:val="center"/>
          </w:tcPr>
          <w:p w14:paraId="42BA1633" w14:textId="77777777" w:rsidR="004A2C34" w:rsidRPr="00AA4DFA" w:rsidRDefault="004A2C34" w:rsidP="004A2C34">
            <w:pPr>
              <w:ind w:right="22"/>
              <w:jc w:val="center"/>
              <w:rPr>
                <w:rFonts w:eastAsia="Calibri"/>
                <w:b/>
                <w:sz w:val="20"/>
                <w:szCs w:val="18"/>
                <w14:ligatures w14:val="standardContextual"/>
              </w:rPr>
            </w:pPr>
            <w:r w:rsidRPr="00AA4DFA">
              <w:rPr>
                <w:rFonts w:eastAsia="Calibri"/>
                <w:b/>
                <w:bCs/>
                <w:color w:val="000000"/>
                <w:sz w:val="20"/>
                <w:szCs w:val="18"/>
                <w14:ligatures w14:val="standardContextual"/>
              </w:rPr>
              <w:t>T</w:t>
            </w:r>
            <w:r w:rsidRPr="00AA4DFA">
              <w:rPr>
                <w:rFonts w:eastAsia="Calibri"/>
                <w:b/>
                <w:bCs/>
                <w:color w:val="000000"/>
                <w:sz w:val="20"/>
                <w:szCs w:val="18"/>
                <w:vertAlign w:val="subscript"/>
                <w14:ligatures w14:val="standardContextual"/>
              </w:rPr>
              <w:t>2</w:t>
            </w:r>
          </w:p>
        </w:tc>
        <w:tc>
          <w:tcPr>
            <w:tcW w:w="4787" w:type="dxa"/>
            <w:tcBorders>
              <w:right w:val="single" w:sz="4" w:space="0" w:color="auto"/>
            </w:tcBorders>
            <w:vAlign w:val="center"/>
          </w:tcPr>
          <w:p w14:paraId="77F284C1" w14:textId="77777777" w:rsidR="004A2C34" w:rsidRPr="00AA4DFA" w:rsidRDefault="004A2C34" w:rsidP="004A2C34">
            <w:pPr>
              <w:ind w:left="110"/>
              <w:jc w:val="center"/>
              <w:rPr>
                <w:rFonts w:eastAsia="Calibri"/>
                <w:b/>
                <w:position w:val="2"/>
                <w:sz w:val="20"/>
                <w:szCs w:val="18"/>
                <w14:ligatures w14:val="standardContextual"/>
              </w:rPr>
            </w:pPr>
            <w:r w:rsidRPr="00AA4DFA">
              <w:rPr>
                <w:rFonts w:eastAsia="Calibri"/>
                <w:color w:val="000000"/>
                <w:sz w:val="20"/>
                <w:szCs w:val="18"/>
                <w14:ligatures w14:val="standardContextual"/>
              </w:rPr>
              <w:t>100 % RDF (NPK 120:85:50 kg/ha)</w:t>
            </w:r>
          </w:p>
        </w:tc>
        <w:tc>
          <w:tcPr>
            <w:tcW w:w="875" w:type="dxa"/>
            <w:vAlign w:val="center"/>
          </w:tcPr>
          <w:p w14:paraId="2DDBE556" w14:textId="77777777" w:rsidR="004A2C34" w:rsidRPr="00AA4DFA" w:rsidRDefault="004A2C34" w:rsidP="004A2C34">
            <w:pPr>
              <w:ind w:left="115"/>
              <w:jc w:val="center"/>
              <w:rPr>
                <w:color w:val="000000"/>
                <w:sz w:val="20"/>
                <w:szCs w:val="20"/>
              </w:rPr>
            </w:pPr>
            <w:r w:rsidRPr="00AA4DFA">
              <w:rPr>
                <w:color w:val="000000"/>
                <w:sz w:val="20"/>
                <w:szCs w:val="20"/>
              </w:rPr>
              <w:t>8.60</w:t>
            </w:r>
          </w:p>
        </w:tc>
        <w:tc>
          <w:tcPr>
            <w:tcW w:w="965" w:type="dxa"/>
            <w:vAlign w:val="center"/>
          </w:tcPr>
          <w:p w14:paraId="67F9EC95" w14:textId="77777777" w:rsidR="004A2C34" w:rsidRPr="00AA4DFA" w:rsidRDefault="004A2C34" w:rsidP="004A2C34">
            <w:pPr>
              <w:ind w:left="115"/>
              <w:jc w:val="center"/>
              <w:rPr>
                <w:color w:val="000000"/>
                <w:sz w:val="20"/>
                <w:szCs w:val="20"/>
              </w:rPr>
            </w:pPr>
            <w:r w:rsidRPr="00AA4DFA">
              <w:rPr>
                <w:color w:val="000000"/>
                <w:sz w:val="20"/>
                <w:szCs w:val="20"/>
              </w:rPr>
              <w:t>154.40</w:t>
            </w:r>
          </w:p>
        </w:tc>
        <w:tc>
          <w:tcPr>
            <w:tcW w:w="860" w:type="dxa"/>
            <w:vAlign w:val="center"/>
          </w:tcPr>
          <w:p w14:paraId="79F5EFE2" w14:textId="77777777" w:rsidR="004A2C34" w:rsidRPr="00AA4DFA" w:rsidRDefault="004A2C34" w:rsidP="004A2C34">
            <w:pPr>
              <w:ind w:left="115"/>
              <w:jc w:val="center"/>
              <w:rPr>
                <w:color w:val="000000"/>
                <w:sz w:val="20"/>
                <w:szCs w:val="20"/>
              </w:rPr>
            </w:pPr>
            <w:r w:rsidRPr="00AA4DFA">
              <w:rPr>
                <w:color w:val="000000"/>
                <w:sz w:val="20"/>
                <w:szCs w:val="20"/>
              </w:rPr>
              <w:t>7.49</w:t>
            </w:r>
          </w:p>
        </w:tc>
        <w:tc>
          <w:tcPr>
            <w:tcW w:w="900" w:type="dxa"/>
            <w:vAlign w:val="center"/>
          </w:tcPr>
          <w:p w14:paraId="6B00B68C" w14:textId="77777777" w:rsidR="004A2C34" w:rsidRPr="00AA4DFA" w:rsidRDefault="004A2C34" w:rsidP="004A2C34">
            <w:pPr>
              <w:ind w:left="115"/>
              <w:jc w:val="center"/>
              <w:rPr>
                <w:color w:val="000000"/>
                <w:sz w:val="20"/>
                <w:szCs w:val="20"/>
              </w:rPr>
            </w:pPr>
            <w:r w:rsidRPr="00AA4DFA">
              <w:rPr>
                <w:color w:val="000000"/>
                <w:sz w:val="20"/>
                <w:szCs w:val="20"/>
              </w:rPr>
              <w:t>6.95</w:t>
            </w:r>
          </w:p>
        </w:tc>
        <w:tc>
          <w:tcPr>
            <w:tcW w:w="900" w:type="dxa"/>
            <w:vAlign w:val="center"/>
          </w:tcPr>
          <w:p w14:paraId="15680608" w14:textId="77777777" w:rsidR="004A2C34" w:rsidRPr="00AA4DFA" w:rsidRDefault="004A2C34" w:rsidP="004A2C34">
            <w:pPr>
              <w:ind w:left="115"/>
              <w:jc w:val="center"/>
              <w:rPr>
                <w:color w:val="000000"/>
                <w:sz w:val="20"/>
                <w:szCs w:val="20"/>
              </w:rPr>
            </w:pPr>
            <w:r w:rsidRPr="00AA4DFA">
              <w:rPr>
                <w:color w:val="000000"/>
                <w:sz w:val="20"/>
                <w:szCs w:val="20"/>
              </w:rPr>
              <w:t>1327.83</w:t>
            </w:r>
          </w:p>
        </w:tc>
        <w:tc>
          <w:tcPr>
            <w:tcW w:w="1200" w:type="dxa"/>
            <w:vAlign w:val="center"/>
          </w:tcPr>
          <w:p w14:paraId="52BC2D68" w14:textId="77777777" w:rsidR="004A2C34" w:rsidRPr="00AA4DFA" w:rsidRDefault="004A2C34" w:rsidP="004A2C34">
            <w:pPr>
              <w:ind w:left="115"/>
              <w:jc w:val="center"/>
              <w:rPr>
                <w:color w:val="000000"/>
                <w:sz w:val="20"/>
                <w:szCs w:val="20"/>
              </w:rPr>
            </w:pPr>
            <w:r w:rsidRPr="00AA4DFA">
              <w:rPr>
                <w:color w:val="000000"/>
                <w:sz w:val="20"/>
                <w:szCs w:val="20"/>
              </w:rPr>
              <w:t>491.79</w:t>
            </w:r>
          </w:p>
        </w:tc>
        <w:tc>
          <w:tcPr>
            <w:tcW w:w="690" w:type="dxa"/>
            <w:vAlign w:val="center"/>
          </w:tcPr>
          <w:p w14:paraId="1826DA15" w14:textId="77777777" w:rsidR="004A2C34" w:rsidRPr="00AA4DFA" w:rsidRDefault="004A2C34" w:rsidP="004A2C34">
            <w:pPr>
              <w:ind w:left="115"/>
              <w:jc w:val="center"/>
              <w:rPr>
                <w:color w:val="000000"/>
                <w:sz w:val="20"/>
                <w:szCs w:val="20"/>
              </w:rPr>
            </w:pPr>
            <w:r w:rsidRPr="00AA4DFA">
              <w:rPr>
                <w:color w:val="000000"/>
                <w:sz w:val="20"/>
                <w:szCs w:val="20"/>
              </w:rPr>
              <w:t>4.39</w:t>
            </w:r>
          </w:p>
        </w:tc>
        <w:tc>
          <w:tcPr>
            <w:tcW w:w="1080" w:type="dxa"/>
            <w:vAlign w:val="center"/>
          </w:tcPr>
          <w:p w14:paraId="25890F4D" w14:textId="77777777" w:rsidR="004A2C34" w:rsidRPr="00AA4DFA" w:rsidRDefault="004A2C34" w:rsidP="004A2C34">
            <w:pPr>
              <w:ind w:left="115"/>
              <w:jc w:val="center"/>
              <w:rPr>
                <w:color w:val="000000"/>
                <w:sz w:val="20"/>
                <w:szCs w:val="20"/>
              </w:rPr>
            </w:pPr>
            <w:r w:rsidRPr="00AA4DFA">
              <w:rPr>
                <w:color w:val="000000"/>
                <w:sz w:val="20"/>
                <w:szCs w:val="20"/>
              </w:rPr>
              <w:t>12.32</w:t>
            </w:r>
          </w:p>
        </w:tc>
        <w:tc>
          <w:tcPr>
            <w:tcW w:w="1125" w:type="dxa"/>
            <w:vAlign w:val="center"/>
          </w:tcPr>
          <w:p w14:paraId="161CD53E" w14:textId="77777777" w:rsidR="004A2C34" w:rsidRPr="00AA4DFA" w:rsidRDefault="004A2C34" w:rsidP="004A2C34">
            <w:pPr>
              <w:ind w:left="115"/>
              <w:jc w:val="center"/>
              <w:rPr>
                <w:color w:val="000000"/>
                <w:sz w:val="20"/>
                <w:szCs w:val="20"/>
              </w:rPr>
            </w:pPr>
            <w:r w:rsidRPr="00AA4DFA">
              <w:rPr>
                <w:color w:val="000000"/>
                <w:sz w:val="20"/>
                <w:szCs w:val="20"/>
              </w:rPr>
              <w:t>22.13</w:t>
            </w:r>
          </w:p>
        </w:tc>
      </w:tr>
      <w:tr w:rsidR="004A2C34" w:rsidRPr="00AA4DFA" w14:paraId="59FA54BF" w14:textId="77777777" w:rsidTr="004A2C34">
        <w:trPr>
          <w:trHeight w:val="288"/>
        </w:trPr>
        <w:tc>
          <w:tcPr>
            <w:tcW w:w="523" w:type="dxa"/>
            <w:vAlign w:val="center"/>
          </w:tcPr>
          <w:p w14:paraId="467A167B" w14:textId="77777777" w:rsidR="004A2C34" w:rsidRPr="00AA4DFA" w:rsidRDefault="004A2C34" w:rsidP="004A2C34">
            <w:pPr>
              <w:ind w:right="22"/>
              <w:jc w:val="center"/>
              <w:rPr>
                <w:rFonts w:eastAsia="Calibri"/>
                <w:b/>
                <w:sz w:val="20"/>
                <w:szCs w:val="18"/>
                <w14:ligatures w14:val="standardContextual"/>
              </w:rPr>
            </w:pPr>
            <w:r w:rsidRPr="00AA4DFA">
              <w:rPr>
                <w:rFonts w:eastAsia="Calibri"/>
                <w:b/>
                <w:bCs/>
                <w:color w:val="000000"/>
                <w:sz w:val="20"/>
                <w:szCs w:val="18"/>
                <w14:ligatures w14:val="standardContextual"/>
              </w:rPr>
              <w:t>T</w:t>
            </w:r>
            <w:r w:rsidRPr="00AA4DFA">
              <w:rPr>
                <w:rFonts w:eastAsia="Calibri"/>
                <w:b/>
                <w:bCs/>
                <w:color w:val="000000"/>
                <w:sz w:val="20"/>
                <w:szCs w:val="18"/>
                <w:vertAlign w:val="subscript"/>
                <w14:ligatures w14:val="standardContextual"/>
              </w:rPr>
              <w:t>3</w:t>
            </w:r>
          </w:p>
        </w:tc>
        <w:tc>
          <w:tcPr>
            <w:tcW w:w="4787" w:type="dxa"/>
            <w:tcBorders>
              <w:right w:val="single" w:sz="4" w:space="0" w:color="auto"/>
            </w:tcBorders>
            <w:vAlign w:val="center"/>
          </w:tcPr>
          <w:p w14:paraId="54BD5967" w14:textId="77777777" w:rsidR="004A2C34" w:rsidRPr="00AA4DFA" w:rsidRDefault="004A2C34" w:rsidP="004A2C34">
            <w:pPr>
              <w:ind w:left="110"/>
              <w:jc w:val="center"/>
              <w:rPr>
                <w:rFonts w:eastAsia="Calibri"/>
                <w:b/>
                <w:position w:val="2"/>
                <w:sz w:val="20"/>
                <w:szCs w:val="18"/>
                <w14:ligatures w14:val="standardContextual"/>
              </w:rPr>
            </w:pPr>
            <w:r w:rsidRPr="00AA4DFA">
              <w:rPr>
                <w:rFonts w:eastAsia="Calibri"/>
                <w:color w:val="000000"/>
                <w:sz w:val="20"/>
                <w:szCs w:val="18"/>
                <w14:ligatures w14:val="standardContextual"/>
              </w:rPr>
              <w:t>Vermicompost @ 6 t/ha</w:t>
            </w:r>
          </w:p>
        </w:tc>
        <w:tc>
          <w:tcPr>
            <w:tcW w:w="875" w:type="dxa"/>
            <w:vAlign w:val="center"/>
          </w:tcPr>
          <w:p w14:paraId="7F1BB3C2" w14:textId="77777777" w:rsidR="004A2C34" w:rsidRPr="00AA4DFA" w:rsidRDefault="004A2C34" w:rsidP="004A2C34">
            <w:pPr>
              <w:ind w:left="115"/>
              <w:jc w:val="center"/>
              <w:rPr>
                <w:color w:val="000000"/>
                <w:sz w:val="20"/>
                <w:szCs w:val="20"/>
              </w:rPr>
            </w:pPr>
            <w:r w:rsidRPr="00AA4DFA">
              <w:rPr>
                <w:color w:val="000000"/>
                <w:sz w:val="20"/>
                <w:szCs w:val="20"/>
              </w:rPr>
              <w:t>7.47</w:t>
            </w:r>
          </w:p>
        </w:tc>
        <w:tc>
          <w:tcPr>
            <w:tcW w:w="965" w:type="dxa"/>
            <w:vAlign w:val="center"/>
          </w:tcPr>
          <w:p w14:paraId="64CC1688" w14:textId="77777777" w:rsidR="004A2C34" w:rsidRPr="00AA4DFA" w:rsidRDefault="004A2C34" w:rsidP="004A2C34">
            <w:pPr>
              <w:ind w:left="115"/>
              <w:jc w:val="center"/>
              <w:rPr>
                <w:color w:val="000000"/>
                <w:sz w:val="20"/>
                <w:szCs w:val="20"/>
              </w:rPr>
            </w:pPr>
            <w:r w:rsidRPr="00AA4DFA">
              <w:rPr>
                <w:color w:val="000000"/>
                <w:sz w:val="20"/>
                <w:szCs w:val="20"/>
              </w:rPr>
              <w:t>144.87</w:t>
            </w:r>
          </w:p>
        </w:tc>
        <w:tc>
          <w:tcPr>
            <w:tcW w:w="860" w:type="dxa"/>
            <w:vAlign w:val="center"/>
          </w:tcPr>
          <w:p w14:paraId="04893F65" w14:textId="77777777" w:rsidR="004A2C34" w:rsidRPr="00AA4DFA" w:rsidRDefault="004A2C34" w:rsidP="004A2C34">
            <w:pPr>
              <w:ind w:left="115"/>
              <w:jc w:val="center"/>
              <w:rPr>
                <w:color w:val="000000"/>
                <w:sz w:val="20"/>
                <w:szCs w:val="20"/>
              </w:rPr>
            </w:pPr>
            <w:r w:rsidRPr="00AA4DFA">
              <w:rPr>
                <w:color w:val="000000"/>
                <w:sz w:val="20"/>
                <w:szCs w:val="20"/>
              </w:rPr>
              <w:t>7.38</w:t>
            </w:r>
          </w:p>
        </w:tc>
        <w:tc>
          <w:tcPr>
            <w:tcW w:w="900" w:type="dxa"/>
            <w:vAlign w:val="center"/>
          </w:tcPr>
          <w:p w14:paraId="2051ACF5" w14:textId="77777777" w:rsidR="004A2C34" w:rsidRPr="00AA4DFA" w:rsidRDefault="004A2C34" w:rsidP="004A2C34">
            <w:pPr>
              <w:ind w:left="115"/>
              <w:jc w:val="center"/>
              <w:rPr>
                <w:color w:val="000000"/>
                <w:sz w:val="20"/>
                <w:szCs w:val="20"/>
              </w:rPr>
            </w:pPr>
            <w:r w:rsidRPr="00AA4DFA">
              <w:rPr>
                <w:color w:val="000000"/>
                <w:sz w:val="20"/>
                <w:szCs w:val="20"/>
              </w:rPr>
              <w:t>6.65</w:t>
            </w:r>
          </w:p>
        </w:tc>
        <w:tc>
          <w:tcPr>
            <w:tcW w:w="900" w:type="dxa"/>
            <w:vAlign w:val="center"/>
          </w:tcPr>
          <w:p w14:paraId="7864ED5F" w14:textId="77777777" w:rsidR="004A2C34" w:rsidRPr="00AA4DFA" w:rsidRDefault="004A2C34" w:rsidP="004A2C34">
            <w:pPr>
              <w:ind w:left="115"/>
              <w:jc w:val="center"/>
              <w:rPr>
                <w:color w:val="000000"/>
                <w:sz w:val="20"/>
                <w:szCs w:val="20"/>
              </w:rPr>
            </w:pPr>
            <w:r w:rsidRPr="00AA4DFA">
              <w:rPr>
                <w:color w:val="000000"/>
                <w:sz w:val="20"/>
                <w:szCs w:val="20"/>
              </w:rPr>
              <w:t>1114.83</w:t>
            </w:r>
          </w:p>
        </w:tc>
        <w:tc>
          <w:tcPr>
            <w:tcW w:w="1200" w:type="dxa"/>
            <w:vAlign w:val="center"/>
          </w:tcPr>
          <w:p w14:paraId="52F34275" w14:textId="77777777" w:rsidR="004A2C34" w:rsidRPr="00AA4DFA" w:rsidRDefault="004A2C34" w:rsidP="004A2C34">
            <w:pPr>
              <w:ind w:left="115"/>
              <w:jc w:val="center"/>
              <w:rPr>
                <w:color w:val="000000"/>
                <w:sz w:val="20"/>
                <w:szCs w:val="20"/>
              </w:rPr>
            </w:pPr>
            <w:r w:rsidRPr="00AA4DFA">
              <w:rPr>
                <w:color w:val="000000"/>
                <w:sz w:val="20"/>
                <w:szCs w:val="20"/>
              </w:rPr>
              <w:t>412.90</w:t>
            </w:r>
          </w:p>
        </w:tc>
        <w:tc>
          <w:tcPr>
            <w:tcW w:w="690" w:type="dxa"/>
            <w:vAlign w:val="center"/>
          </w:tcPr>
          <w:p w14:paraId="5949608A" w14:textId="77777777" w:rsidR="004A2C34" w:rsidRPr="00AA4DFA" w:rsidRDefault="004A2C34" w:rsidP="004A2C34">
            <w:pPr>
              <w:ind w:left="115"/>
              <w:jc w:val="center"/>
              <w:rPr>
                <w:color w:val="000000"/>
                <w:sz w:val="20"/>
                <w:szCs w:val="20"/>
              </w:rPr>
            </w:pPr>
            <w:r w:rsidRPr="00AA4DFA">
              <w:rPr>
                <w:color w:val="000000"/>
                <w:sz w:val="20"/>
                <w:szCs w:val="20"/>
              </w:rPr>
              <w:t>4.36</w:t>
            </w:r>
          </w:p>
        </w:tc>
        <w:tc>
          <w:tcPr>
            <w:tcW w:w="1080" w:type="dxa"/>
            <w:vAlign w:val="center"/>
          </w:tcPr>
          <w:p w14:paraId="6F096665" w14:textId="77777777" w:rsidR="004A2C34" w:rsidRPr="00AA4DFA" w:rsidRDefault="004A2C34" w:rsidP="004A2C34">
            <w:pPr>
              <w:ind w:left="115"/>
              <w:jc w:val="center"/>
              <w:rPr>
                <w:color w:val="000000"/>
                <w:sz w:val="20"/>
                <w:szCs w:val="20"/>
              </w:rPr>
            </w:pPr>
            <w:r w:rsidRPr="00AA4DFA">
              <w:rPr>
                <w:color w:val="000000"/>
                <w:sz w:val="20"/>
                <w:szCs w:val="20"/>
              </w:rPr>
              <w:t>12.29</w:t>
            </w:r>
          </w:p>
        </w:tc>
        <w:tc>
          <w:tcPr>
            <w:tcW w:w="1125" w:type="dxa"/>
            <w:vAlign w:val="center"/>
          </w:tcPr>
          <w:p w14:paraId="56AA2FD8" w14:textId="77777777" w:rsidR="004A2C34" w:rsidRPr="00AA4DFA" w:rsidRDefault="004A2C34" w:rsidP="004A2C34">
            <w:pPr>
              <w:ind w:left="115"/>
              <w:jc w:val="center"/>
              <w:rPr>
                <w:color w:val="000000"/>
                <w:sz w:val="20"/>
                <w:szCs w:val="20"/>
              </w:rPr>
            </w:pPr>
            <w:r w:rsidRPr="00AA4DFA">
              <w:rPr>
                <w:color w:val="000000"/>
                <w:sz w:val="20"/>
                <w:szCs w:val="20"/>
              </w:rPr>
              <w:t>21.55</w:t>
            </w:r>
          </w:p>
        </w:tc>
      </w:tr>
      <w:tr w:rsidR="004A2C34" w:rsidRPr="00AA4DFA" w14:paraId="68F59509" w14:textId="77777777" w:rsidTr="004A2C34">
        <w:trPr>
          <w:trHeight w:val="288"/>
        </w:trPr>
        <w:tc>
          <w:tcPr>
            <w:tcW w:w="523" w:type="dxa"/>
            <w:vAlign w:val="center"/>
          </w:tcPr>
          <w:p w14:paraId="73921713" w14:textId="77777777" w:rsidR="004A2C34" w:rsidRPr="00AA4DFA" w:rsidRDefault="004A2C34" w:rsidP="004A2C34">
            <w:pPr>
              <w:ind w:right="22"/>
              <w:jc w:val="center"/>
              <w:rPr>
                <w:rFonts w:eastAsia="Calibri"/>
                <w:b/>
                <w:sz w:val="20"/>
                <w:szCs w:val="18"/>
                <w14:ligatures w14:val="standardContextual"/>
              </w:rPr>
            </w:pPr>
            <w:r w:rsidRPr="00AA4DFA">
              <w:rPr>
                <w:rFonts w:eastAsia="Calibri"/>
                <w:b/>
                <w:bCs/>
                <w:color w:val="000000"/>
                <w:sz w:val="20"/>
                <w:szCs w:val="18"/>
                <w14:ligatures w14:val="standardContextual"/>
              </w:rPr>
              <w:t>T</w:t>
            </w:r>
            <w:r w:rsidRPr="00AA4DFA">
              <w:rPr>
                <w:rFonts w:eastAsia="Calibri"/>
                <w:b/>
                <w:bCs/>
                <w:color w:val="000000"/>
                <w:sz w:val="20"/>
                <w:szCs w:val="18"/>
                <w:vertAlign w:val="subscript"/>
                <w14:ligatures w14:val="standardContextual"/>
              </w:rPr>
              <w:t>4</w:t>
            </w:r>
          </w:p>
        </w:tc>
        <w:tc>
          <w:tcPr>
            <w:tcW w:w="4787" w:type="dxa"/>
            <w:tcBorders>
              <w:right w:val="single" w:sz="4" w:space="0" w:color="auto"/>
            </w:tcBorders>
            <w:vAlign w:val="center"/>
          </w:tcPr>
          <w:p w14:paraId="468C1F20" w14:textId="77777777" w:rsidR="004A2C34" w:rsidRPr="00AA4DFA" w:rsidRDefault="004A2C34" w:rsidP="004A2C34">
            <w:pPr>
              <w:ind w:left="110"/>
              <w:jc w:val="center"/>
              <w:rPr>
                <w:rFonts w:eastAsia="Calibri"/>
                <w:b/>
                <w:position w:val="2"/>
                <w:sz w:val="20"/>
                <w:szCs w:val="18"/>
                <w14:ligatures w14:val="standardContextual"/>
              </w:rPr>
            </w:pPr>
            <w:r w:rsidRPr="00AA4DFA">
              <w:rPr>
                <w:rFonts w:eastAsia="Calibri"/>
                <w:color w:val="000000"/>
                <w:sz w:val="20"/>
                <w:szCs w:val="18"/>
                <w14:ligatures w14:val="standardContextual"/>
              </w:rPr>
              <w:t>FYM @ 25 t/ha</w:t>
            </w:r>
          </w:p>
        </w:tc>
        <w:tc>
          <w:tcPr>
            <w:tcW w:w="875" w:type="dxa"/>
            <w:vAlign w:val="center"/>
          </w:tcPr>
          <w:p w14:paraId="0892E5C5" w14:textId="77777777" w:rsidR="004A2C34" w:rsidRPr="00AA4DFA" w:rsidRDefault="004A2C34" w:rsidP="004A2C34">
            <w:pPr>
              <w:ind w:left="115"/>
              <w:jc w:val="center"/>
              <w:rPr>
                <w:color w:val="000000"/>
                <w:sz w:val="20"/>
                <w:szCs w:val="20"/>
              </w:rPr>
            </w:pPr>
            <w:r w:rsidRPr="00AA4DFA">
              <w:rPr>
                <w:color w:val="000000"/>
                <w:sz w:val="20"/>
                <w:szCs w:val="20"/>
              </w:rPr>
              <w:t>7.40</w:t>
            </w:r>
          </w:p>
        </w:tc>
        <w:tc>
          <w:tcPr>
            <w:tcW w:w="965" w:type="dxa"/>
            <w:vAlign w:val="center"/>
          </w:tcPr>
          <w:p w14:paraId="06857390" w14:textId="77777777" w:rsidR="004A2C34" w:rsidRPr="00AA4DFA" w:rsidRDefault="004A2C34" w:rsidP="004A2C34">
            <w:pPr>
              <w:ind w:left="115"/>
              <w:jc w:val="center"/>
              <w:rPr>
                <w:color w:val="000000"/>
                <w:sz w:val="20"/>
                <w:szCs w:val="20"/>
              </w:rPr>
            </w:pPr>
            <w:r w:rsidRPr="00AA4DFA">
              <w:rPr>
                <w:color w:val="000000"/>
                <w:sz w:val="20"/>
                <w:szCs w:val="20"/>
              </w:rPr>
              <w:t>141.73</w:t>
            </w:r>
          </w:p>
        </w:tc>
        <w:tc>
          <w:tcPr>
            <w:tcW w:w="860" w:type="dxa"/>
            <w:vAlign w:val="center"/>
          </w:tcPr>
          <w:p w14:paraId="48AF093E" w14:textId="77777777" w:rsidR="004A2C34" w:rsidRPr="00AA4DFA" w:rsidRDefault="004A2C34" w:rsidP="004A2C34">
            <w:pPr>
              <w:ind w:left="115"/>
              <w:jc w:val="center"/>
              <w:rPr>
                <w:color w:val="000000"/>
                <w:sz w:val="20"/>
                <w:szCs w:val="20"/>
              </w:rPr>
            </w:pPr>
            <w:r w:rsidRPr="00AA4DFA">
              <w:rPr>
                <w:color w:val="000000"/>
                <w:sz w:val="20"/>
                <w:szCs w:val="20"/>
              </w:rPr>
              <w:t>7.22</w:t>
            </w:r>
          </w:p>
        </w:tc>
        <w:tc>
          <w:tcPr>
            <w:tcW w:w="900" w:type="dxa"/>
            <w:vAlign w:val="center"/>
          </w:tcPr>
          <w:p w14:paraId="7E02769F" w14:textId="77777777" w:rsidR="004A2C34" w:rsidRPr="00AA4DFA" w:rsidRDefault="004A2C34" w:rsidP="004A2C34">
            <w:pPr>
              <w:ind w:left="115"/>
              <w:jc w:val="center"/>
              <w:rPr>
                <w:color w:val="000000"/>
                <w:sz w:val="20"/>
                <w:szCs w:val="20"/>
              </w:rPr>
            </w:pPr>
            <w:r w:rsidRPr="00AA4DFA">
              <w:rPr>
                <w:color w:val="000000"/>
                <w:sz w:val="20"/>
                <w:szCs w:val="20"/>
              </w:rPr>
              <w:t>5.96</w:t>
            </w:r>
          </w:p>
        </w:tc>
        <w:tc>
          <w:tcPr>
            <w:tcW w:w="900" w:type="dxa"/>
            <w:vAlign w:val="center"/>
          </w:tcPr>
          <w:p w14:paraId="3F8DAF91" w14:textId="77777777" w:rsidR="004A2C34" w:rsidRPr="00AA4DFA" w:rsidRDefault="004A2C34" w:rsidP="004A2C34">
            <w:pPr>
              <w:ind w:left="115"/>
              <w:jc w:val="center"/>
              <w:rPr>
                <w:color w:val="000000"/>
                <w:sz w:val="20"/>
                <w:szCs w:val="20"/>
              </w:rPr>
            </w:pPr>
            <w:r w:rsidRPr="00AA4DFA">
              <w:rPr>
                <w:color w:val="000000"/>
                <w:sz w:val="20"/>
                <w:szCs w:val="20"/>
              </w:rPr>
              <w:t>1048.65</w:t>
            </w:r>
          </w:p>
        </w:tc>
        <w:tc>
          <w:tcPr>
            <w:tcW w:w="1200" w:type="dxa"/>
            <w:vAlign w:val="center"/>
          </w:tcPr>
          <w:p w14:paraId="3995269E" w14:textId="77777777" w:rsidR="004A2C34" w:rsidRPr="00AA4DFA" w:rsidRDefault="004A2C34" w:rsidP="004A2C34">
            <w:pPr>
              <w:ind w:left="115"/>
              <w:jc w:val="center"/>
              <w:rPr>
                <w:color w:val="000000"/>
                <w:sz w:val="20"/>
                <w:szCs w:val="20"/>
              </w:rPr>
            </w:pPr>
            <w:r w:rsidRPr="00AA4DFA">
              <w:rPr>
                <w:color w:val="000000"/>
                <w:sz w:val="20"/>
                <w:szCs w:val="20"/>
              </w:rPr>
              <w:t>388.39</w:t>
            </w:r>
          </w:p>
        </w:tc>
        <w:tc>
          <w:tcPr>
            <w:tcW w:w="690" w:type="dxa"/>
            <w:vAlign w:val="center"/>
          </w:tcPr>
          <w:p w14:paraId="29F7462E" w14:textId="77777777" w:rsidR="004A2C34" w:rsidRPr="00AA4DFA" w:rsidRDefault="004A2C34" w:rsidP="004A2C34">
            <w:pPr>
              <w:ind w:left="115"/>
              <w:jc w:val="center"/>
              <w:rPr>
                <w:color w:val="000000"/>
                <w:sz w:val="20"/>
                <w:szCs w:val="20"/>
              </w:rPr>
            </w:pPr>
            <w:r w:rsidRPr="00AA4DFA">
              <w:rPr>
                <w:color w:val="000000"/>
                <w:sz w:val="20"/>
                <w:szCs w:val="20"/>
              </w:rPr>
              <w:t>4.31</w:t>
            </w:r>
          </w:p>
        </w:tc>
        <w:tc>
          <w:tcPr>
            <w:tcW w:w="1080" w:type="dxa"/>
            <w:vAlign w:val="center"/>
          </w:tcPr>
          <w:p w14:paraId="0E4C10D4" w14:textId="77777777" w:rsidR="004A2C34" w:rsidRPr="00AA4DFA" w:rsidRDefault="004A2C34" w:rsidP="004A2C34">
            <w:pPr>
              <w:ind w:left="115"/>
              <w:jc w:val="center"/>
              <w:rPr>
                <w:color w:val="000000"/>
                <w:sz w:val="20"/>
                <w:szCs w:val="20"/>
              </w:rPr>
            </w:pPr>
            <w:r w:rsidRPr="00AA4DFA">
              <w:rPr>
                <w:color w:val="000000"/>
                <w:sz w:val="20"/>
                <w:szCs w:val="20"/>
              </w:rPr>
              <w:t>12.36</w:t>
            </w:r>
          </w:p>
        </w:tc>
        <w:tc>
          <w:tcPr>
            <w:tcW w:w="1125" w:type="dxa"/>
            <w:vAlign w:val="center"/>
          </w:tcPr>
          <w:p w14:paraId="172E5EBF" w14:textId="77777777" w:rsidR="004A2C34" w:rsidRPr="00AA4DFA" w:rsidRDefault="004A2C34" w:rsidP="004A2C34">
            <w:pPr>
              <w:ind w:left="115"/>
              <w:jc w:val="center"/>
              <w:rPr>
                <w:color w:val="000000"/>
                <w:sz w:val="20"/>
                <w:szCs w:val="20"/>
              </w:rPr>
            </w:pPr>
            <w:r w:rsidRPr="00AA4DFA">
              <w:rPr>
                <w:color w:val="000000"/>
                <w:sz w:val="20"/>
                <w:szCs w:val="20"/>
              </w:rPr>
              <w:t>21.81</w:t>
            </w:r>
          </w:p>
        </w:tc>
      </w:tr>
      <w:tr w:rsidR="004A2C34" w:rsidRPr="00AA4DFA" w14:paraId="2F9724B5" w14:textId="77777777" w:rsidTr="004A2C34">
        <w:trPr>
          <w:trHeight w:val="288"/>
        </w:trPr>
        <w:tc>
          <w:tcPr>
            <w:tcW w:w="523" w:type="dxa"/>
            <w:vAlign w:val="center"/>
          </w:tcPr>
          <w:p w14:paraId="30635755" w14:textId="77777777" w:rsidR="004A2C34" w:rsidRPr="00AA4DFA" w:rsidRDefault="004A2C34" w:rsidP="004A2C34">
            <w:pPr>
              <w:ind w:right="22"/>
              <w:jc w:val="center"/>
              <w:rPr>
                <w:rFonts w:eastAsia="Calibri"/>
                <w:b/>
                <w:sz w:val="20"/>
                <w:szCs w:val="18"/>
                <w14:ligatures w14:val="standardContextual"/>
              </w:rPr>
            </w:pPr>
            <w:r w:rsidRPr="00AA4DFA">
              <w:rPr>
                <w:rFonts w:eastAsia="Calibri"/>
                <w:b/>
                <w:bCs/>
                <w:color w:val="000000"/>
                <w:sz w:val="20"/>
                <w:szCs w:val="18"/>
                <w14:ligatures w14:val="standardContextual"/>
              </w:rPr>
              <w:t>T</w:t>
            </w:r>
            <w:r w:rsidRPr="00AA4DFA">
              <w:rPr>
                <w:rFonts w:eastAsia="Calibri"/>
                <w:b/>
                <w:bCs/>
                <w:color w:val="000000"/>
                <w:sz w:val="20"/>
                <w:szCs w:val="18"/>
                <w:vertAlign w:val="subscript"/>
                <w14:ligatures w14:val="standardContextual"/>
              </w:rPr>
              <w:t>5</w:t>
            </w:r>
          </w:p>
        </w:tc>
        <w:tc>
          <w:tcPr>
            <w:tcW w:w="4787" w:type="dxa"/>
            <w:tcBorders>
              <w:right w:val="single" w:sz="4" w:space="0" w:color="auto"/>
            </w:tcBorders>
            <w:vAlign w:val="center"/>
          </w:tcPr>
          <w:p w14:paraId="6E1A2248" w14:textId="77777777" w:rsidR="004A2C34" w:rsidRPr="00AA4DFA" w:rsidRDefault="004A2C34" w:rsidP="004A2C34">
            <w:pPr>
              <w:ind w:left="110"/>
              <w:jc w:val="center"/>
              <w:rPr>
                <w:rFonts w:eastAsia="Calibri"/>
                <w:b/>
                <w:sz w:val="20"/>
                <w:szCs w:val="18"/>
                <w14:ligatures w14:val="standardContextual"/>
              </w:rPr>
            </w:pPr>
            <w:r w:rsidRPr="00AA4DFA">
              <w:rPr>
                <w:rFonts w:eastAsia="Calibri"/>
                <w:color w:val="000000"/>
                <w:sz w:val="20"/>
                <w:szCs w:val="18"/>
                <w14:ligatures w14:val="standardContextual"/>
              </w:rPr>
              <w:t>FYM @ 12.5 t/ha + 50 % RDF</w:t>
            </w:r>
          </w:p>
        </w:tc>
        <w:tc>
          <w:tcPr>
            <w:tcW w:w="875" w:type="dxa"/>
            <w:vAlign w:val="center"/>
          </w:tcPr>
          <w:p w14:paraId="7BA20C27" w14:textId="77777777" w:rsidR="004A2C34" w:rsidRPr="00AA4DFA" w:rsidRDefault="004A2C34" w:rsidP="004A2C34">
            <w:pPr>
              <w:ind w:left="115"/>
              <w:jc w:val="center"/>
              <w:rPr>
                <w:color w:val="000000"/>
                <w:sz w:val="20"/>
                <w:szCs w:val="20"/>
              </w:rPr>
            </w:pPr>
            <w:r w:rsidRPr="00AA4DFA">
              <w:rPr>
                <w:color w:val="000000"/>
                <w:sz w:val="20"/>
                <w:szCs w:val="20"/>
              </w:rPr>
              <w:t>9.60</w:t>
            </w:r>
          </w:p>
        </w:tc>
        <w:tc>
          <w:tcPr>
            <w:tcW w:w="965" w:type="dxa"/>
            <w:vAlign w:val="center"/>
          </w:tcPr>
          <w:p w14:paraId="12B938DE" w14:textId="77777777" w:rsidR="004A2C34" w:rsidRPr="00AA4DFA" w:rsidRDefault="004A2C34" w:rsidP="004A2C34">
            <w:pPr>
              <w:ind w:left="115"/>
              <w:jc w:val="center"/>
              <w:rPr>
                <w:color w:val="000000"/>
                <w:sz w:val="20"/>
                <w:szCs w:val="20"/>
              </w:rPr>
            </w:pPr>
            <w:r w:rsidRPr="00AA4DFA">
              <w:rPr>
                <w:color w:val="000000"/>
                <w:sz w:val="20"/>
                <w:szCs w:val="20"/>
              </w:rPr>
              <w:t>159.20</w:t>
            </w:r>
          </w:p>
        </w:tc>
        <w:tc>
          <w:tcPr>
            <w:tcW w:w="860" w:type="dxa"/>
            <w:vAlign w:val="center"/>
          </w:tcPr>
          <w:p w14:paraId="66C76A7F" w14:textId="77777777" w:rsidR="004A2C34" w:rsidRPr="00AA4DFA" w:rsidRDefault="004A2C34" w:rsidP="004A2C34">
            <w:pPr>
              <w:ind w:left="115"/>
              <w:jc w:val="center"/>
              <w:rPr>
                <w:color w:val="000000"/>
                <w:sz w:val="20"/>
                <w:szCs w:val="20"/>
              </w:rPr>
            </w:pPr>
            <w:r w:rsidRPr="00AA4DFA">
              <w:rPr>
                <w:color w:val="000000"/>
                <w:sz w:val="20"/>
                <w:szCs w:val="20"/>
              </w:rPr>
              <w:t>7.83</w:t>
            </w:r>
          </w:p>
        </w:tc>
        <w:tc>
          <w:tcPr>
            <w:tcW w:w="900" w:type="dxa"/>
            <w:vAlign w:val="center"/>
          </w:tcPr>
          <w:p w14:paraId="0B4D7FC7" w14:textId="77777777" w:rsidR="004A2C34" w:rsidRPr="00AA4DFA" w:rsidRDefault="004A2C34" w:rsidP="004A2C34">
            <w:pPr>
              <w:ind w:left="115"/>
              <w:jc w:val="center"/>
              <w:rPr>
                <w:color w:val="000000"/>
                <w:sz w:val="20"/>
                <w:szCs w:val="20"/>
              </w:rPr>
            </w:pPr>
            <w:r w:rsidRPr="00AA4DFA">
              <w:rPr>
                <w:color w:val="000000"/>
                <w:sz w:val="20"/>
                <w:szCs w:val="20"/>
              </w:rPr>
              <w:t>6.84</w:t>
            </w:r>
          </w:p>
        </w:tc>
        <w:tc>
          <w:tcPr>
            <w:tcW w:w="900" w:type="dxa"/>
            <w:vAlign w:val="center"/>
          </w:tcPr>
          <w:p w14:paraId="372BAF83" w14:textId="77777777" w:rsidR="004A2C34" w:rsidRPr="00AA4DFA" w:rsidRDefault="004A2C34" w:rsidP="004A2C34">
            <w:pPr>
              <w:ind w:left="115"/>
              <w:jc w:val="center"/>
              <w:rPr>
                <w:color w:val="000000"/>
                <w:sz w:val="20"/>
                <w:szCs w:val="20"/>
              </w:rPr>
            </w:pPr>
            <w:r w:rsidRPr="00AA4DFA">
              <w:rPr>
                <w:color w:val="000000"/>
                <w:sz w:val="20"/>
                <w:szCs w:val="20"/>
              </w:rPr>
              <w:t>1527.41</w:t>
            </w:r>
          </w:p>
        </w:tc>
        <w:tc>
          <w:tcPr>
            <w:tcW w:w="1200" w:type="dxa"/>
            <w:vAlign w:val="center"/>
          </w:tcPr>
          <w:p w14:paraId="21F9139A" w14:textId="77777777" w:rsidR="004A2C34" w:rsidRPr="00AA4DFA" w:rsidRDefault="004A2C34" w:rsidP="004A2C34">
            <w:pPr>
              <w:ind w:left="115"/>
              <w:jc w:val="center"/>
              <w:rPr>
                <w:color w:val="000000"/>
                <w:sz w:val="20"/>
                <w:szCs w:val="20"/>
              </w:rPr>
            </w:pPr>
            <w:r w:rsidRPr="00AA4DFA">
              <w:rPr>
                <w:color w:val="000000"/>
                <w:sz w:val="20"/>
                <w:szCs w:val="20"/>
              </w:rPr>
              <w:t>565.71</w:t>
            </w:r>
          </w:p>
        </w:tc>
        <w:tc>
          <w:tcPr>
            <w:tcW w:w="690" w:type="dxa"/>
            <w:vAlign w:val="center"/>
          </w:tcPr>
          <w:p w14:paraId="6B71BAB5" w14:textId="77777777" w:rsidR="004A2C34" w:rsidRPr="00AA4DFA" w:rsidRDefault="004A2C34" w:rsidP="004A2C34">
            <w:pPr>
              <w:ind w:left="115"/>
              <w:jc w:val="center"/>
              <w:rPr>
                <w:color w:val="000000"/>
                <w:sz w:val="20"/>
                <w:szCs w:val="20"/>
              </w:rPr>
            </w:pPr>
            <w:r w:rsidRPr="00AA4DFA">
              <w:rPr>
                <w:color w:val="000000"/>
                <w:sz w:val="20"/>
                <w:szCs w:val="20"/>
              </w:rPr>
              <w:t>4.48</w:t>
            </w:r>
          </w:p>
        </w:tc>
        <w:tc>
          <w:tcPr>
            <w:tcW w:w="1080" w:type="dxa"/>
            <w:vAlign w:val="center"/>
          </w:tcPr>
          <w:p w14:paraId="0514A1B3" w14:textId="77777777" w:rsidR="004A2C34" w:rsidRPr="00AA4DFA" w:rsidRDefault="004A2C34" w:rsidP="004A2C34">
            <w:pPr>
              <w:ind w:left="115"/>
              <w:jc w:val="center"/>
              <w:rPr>
                <w:color w:val="000000"/>
                <w:sz w:val="20"/>
                <w:szCs w:val="20"/>
              </w:rPr>
            </w:pPr>
            <w:r w:rsidRPr="00AA4DFA">
              <w:rPr>
                <w:color w:val="000000"/>
                <w:sz w:val="20"/>
                <w:szCs w:val="20"/>
              </w:rPr>
              <w:t>12.43</w:t>
            </w:r>
          </w:p>
        </w:tc>
        <w:tc>
          <w:tcPr>
            <w:tcW w:w="1125" w:type="dxa"/>
            <w:vAlign w:val="center"/>
          </w:tcPr>
          <w:p w14:paraId="038C11E5" w14:textId="77777777" w:rsidR="004A2C34" w:rsidRPr="00AA4DFA" w:rsidRDefault="004A2C34" w:rsidP="004A2C34">
            <w:pPr>
              <w:ind w:left="115"/>
              <w:jc w:val="center"/>
              <w:rPr>
                <w:color w:val="000000"/>
                <w:sz w:val="20"/>
                <w:szCs w:val="20"/>
              </w:rPr>
            </w:pPr>
            <w:r w:rsidRPr="00AA4DFA">
              <w:rPr>
                <w:color w:val="000000"/>
                <w:sz w:val="20"/>
                <w:szCs w:val="20"/>
              </w:rPr>
              <w:t>22.23</w:t>
            </w:r>
          </w:p>
        </w:tc>
      </w:tr>
      <w:tr w:rsidR="004A2C34" w:rsidRPr="00AA4DFA" w14:paraId="1A7CEEC9" w14:textId="77777777" w:rsidTr="004A2C34">
        <w:trPr>
          <w:trHeight w:val="288"/>
        </w:trPr>
        <w:tc>
          <w:tcPr>
            <w:tcW w:w="523" w:type="dxa"/>
            <w:tcBorders>
              <w:top w:val="single" w:sz="4" w:space="0" w:color="auto"/>
            </w:tcBorders>
            <w:vAlign w:val="center"/>
          </w:tcPr>
          <w:p w14:paraId="5467F52A" w14:textId="77777777" w:rsidR="004A2C34" w:rsidRPr="00AA4DFA" w:rsidRDefault="004A2C34" w:rsidP="004A2C34">
            <w:pPr>
              <w:ind w:right="22"/>
              <w:jc w:val="center"/>
              <w:rPr>
                <w:rFonts w:eastAsia="Calibri"/>
                <w:b/>
                <w:sz w:val="20"/>
                <w:szCs w:val="18"/>
                <w14:ligatures w14:val="standardContextual"/>
              </w:rPr>
            </w:pPr>
            <w:r w:rsidRPr="00AA4DFA">
              <w:rPr>
                <w:rFonts w:eastAsia="Calibri"/>
                <w:b/>
                <w:bCs/>
                <w:color w:val="000000"/>
                <w:sz w:val="20"/>
                <w:szCs w:val="18"/>
                <w14:ligatures w14:val="standardContextual"/>
              </w:rPr>
              <w:t>T</w:t>
            </w:r>
            <w:r w:rsidRPr="00AA4DFA">
              <w:rPr>
                <w:rFonts w:eastAsia="Calibri"/>
                <w:b/>
                <w:bCs/>
                <w:color w:val="000000"/>
                <w:sz w:val="20"/>
                <w:szCs w:val="18"/>
                <w:vertAlign w:val="subscript"/>
                <w14:ligatures w14:val="standardContextual"/>
              </w:rPr>
              <w:t>6</w:t>
            </w:r>
          </w:p>
        </w:tc>
        <w:tc>
          <w:tcPr>
            <w:tcW w:w="4787" w:type="dxa"/>
            <w:tcBorders>
              <w:top w:val="single" w:sz="4" w:space="0" w:color="auto"/>
              <w:right w:val="single" w:sz="4" w:space="0" w:color="auto"/>
            </w:tcBorders>
            <w:vAlign w:val="center"/>
          </w:tcPr>
          <w:p w14:paraId="33353C0D" w14:textId="77777777" w:rsidR="004A2C34" w:rsidRPr="00AA4DFA" w:rsidRDefault="004A2C34" w:rsidP="004A2C34">
            <w:pPr>
              <w:ind w:left="110"/>
              <w:jc w:val="center"/>
              <w:rPr>
                <w:rFonts w:eastAsia="Calibri"/>
                <w:b/>
                <w:sz w:val="20"/>
                <w:szCs w:val="18"/>
                <w14:ligatures w14:val="standardContextual"/>
              </w:rPr>
            </w:pPr>
            <w:r w:rsidRPr="00AA4DFA">
              <w:rPr>
                <w:rFonts w:eastAsia="Calibri"/>
                <w:color w:val="000000"/>
                <w:sz w:val="20"/>
                <w:szCs w:val="18"/>
                <w14:ligatures w14:val="standardContextual"/>
              </w:rPr>
              <w:t>Vermicompost @ 3 t/ha + 50 % RDF</w:t>
            </w:r>
          </w:p>
        </w:tc>
        <w:tc>
          <w:tcPr>
            <w:tcW w:w="875" w:type="dxa"/>
            <w:tcBorders>
              <w:top w:val="single" w:sz="4" w:space="0" w:color="auto"/>
            </w:tcBorders>
            <w:vAlign w:val="center"/>
          </w:tcPr>
          <w:p w14:paraId="1C4D98DD" w14:textId="77777777" w:rsidR="004A2C34" w:rsidRPr="00AA4DFA" w:rsidRDefault="004A2C34" w:rsidP="004A2C34">
            <w:pPr>
              <w:ind w:left="115"/>
              <w:jc w:val="center"/>
              <w:rPr>
                <w:color w:val="000000"/>
                <w:sz w:val="20"/>
                <w:szCs w:val="20"/>
              </w:rPr>
            </w:pPr>
            <w:r w:rsidRPr="00AA4DFA">
              <w:rPr>
                <w:color w:val="000000"/>
                <w:sz w:val="20"/>
                <w:szCs w:val="20"/>
              </w:rPr>
              <w:t>9.73</w:t>
            </w:r>
          </w:p>
        </w:tc>
        <w:tc>
          <w:tcPr>
            <w:tcW w:w="965" w:type="dxa"/>
            <w:tcBorders>
              <w:top w:val="single" w:sz="4" w:space="0" w:color="auto"/>
            </w:tcBorders>
            <w:vAlign w:val="center"/>
          </w:tcPr>
          <w:p w14:paraId="67EE1D77" w14:textId="77777777" w:rsidR="004A2C34" w:rsidRPr="00AA4DFA" w:rsidRDefault="004A2C34" w:rsidP="004A2C34">
            <w:pPr>
              <w:ind w:left="115"/>
              <w:jc w:val="center"/>
              <w:rPr>
                <w:color w:val="000000"/>
                <w:sz w:val="20"/>
                <w:szCs w:val="20"/>
              </w:rPr>
            </w:pPr>
            <w:r w:rsidRPr="00AA4DFA">
              <w:rPr>
                <w:color w:val="000000"/>
                <w:sz w:val="20"/>
                <w:szCs w:val="20"/>
              </w:rPr>
              <w:t>174.60</w:t>
            </w:r>
          </w:p>
        </w:tc>
        <w:tc>
          <w:tcPr>
            <w:tcW w:w="860" w:type="dxa"/>
            <w:tcBorders>
              <w:top w:val="single" w:sz="4" w:space="0" w:color="auto"/>
            </w:tcBorders>
            <w:vAlign w:val="center"/>
          </w:tcPr>
          <w:p w14:paraId="34ED4D80" w14:textId="77777777" w:rsidR="004A2C34" w:rsidRPr="00AA4DFA" w:rsidRDefault="004A2C34" w:rsidP="004A2C34">
            <w:pPr>
              <w:ind w:left="115"/>
              <w:jc w:val="center"/>
              <w:rPr>
                <w:color w:val="000000"/>
                <w:sz w:val="20"/>
                <w:szCs w:val="20"/>
              </w:rPr>
            </w:pPr>
            <w:r w:rsidRPr="00AA4DFA">
              <w:rPr>
                <w:color w:val="000000"/>
                <w:sz w:val="20"/>
                <w:szCs w:val="20"/>
              </w:rPr>
              <w:t>8.02</w:t>
            </w:r>
          </w:p>
        </w:tc>
        <w:tc>
          <w:tcPr>
            <w:tcW w:w="900" w:type="dxa"/>
            <w:tcBorders>
              <w:top w:val="single" w:sz="4" w:space="0" w:color="auto"/>
            </w:tcBorders>
            <w:vAlign w:val="center"/>
          </w:tcPr>
          <w:p w14:paraId="0EC2F73A" w14:textId="77777777" w:rsidR="004A2C34" w:rsidRPr="00AA4DFA" w:rsidRDefault="004A2C34" w:rsidP="004A2C34">
            <w:pPr>
              <w:ind w:left="115"/>
              <w:jc w:val="center"/>
              <w:rPr>
                <w:color w:val="000000"/>
                <w:sz w:val="20"/>
                <w:szCs w:val="20"/>
              </w:rPr>
            </w:pPr>
            <w:r w:rsidRPr="00AA4DFA">
              <w:rPr>
                <w:color w:val="000000"/>
                <w:sz w:val="20"/>
                <w:szCs w:val="20"/>
              </w:rPr>
              <w:t>7.45</w:t>
            </w:r>
          </w:p>
        </w:tc>
        <w:tc>
          <w:tcPr>
            <w:tcW w:w="900" w:type="dxa"/>
            <w:tcBorders>
              <w:top w:val="single" w:sz="4" w:space="0" w:color="auto"/>
            </w:tcBorders>
            <w:vAlign w:val="center"/>
          </w:tcPr>
          <w:p w14:paraId="689329BC" w14:textId="77777777" w:rsidR="004A2C34" w:rsidRPr="00AA4DFA" w:rsidRDefault="004A2C34" w:rsidP="004A2C34">
            <w:pPr>
              <w:ind w:left="115"/>
              <w:jc w:val="center"/>
              <w:rPr>
                <w:color w:val="000000"/>
                <w:sz w:val="20"/>
                <w:szCs w:val="20"/>
              </w:rPr>
            </w:pPr>
            <w:r w:rsidRPr="00AA4DFA">
              <w:rPr>
                <w:color w:val="000000"/>
                <w:sz w:val="20"/>
                <w:szCs w:val="20"/>
              </w:rPr>
              <w:t>1644.29</w:t>
            </w:r>
          </w:p>
        </w:tc>
        <w:tc>
          <w:tcPr>
            <w:tcW w:w="1200" w:type="dxa"/>
            <w:tcBorders>
              <w:top w:val="single" w:sz="4" w:space="0" w:color="auto"/>
            </w:tcBorders>
            <w:vAlign w:val="center"/>
          </w:tcPr>
          <w:p w14:paraId="70B4FDF1" w14:textId="77777777" w:rsidR="004A2C34" w:rsidRPr="00AA4DFA" w:rsidRDefault="004A2C34" w:rsidP="004A2C34">
            <w:pPr>
              <w:ind w:left="115"/>
              <w:jc w:val="center"/>
              <w:rPr>
                <w:color w:val="000000"/>
                <w:sz w:val="20"/>
                <w:szCs w:val="20"/>
              </w:rPr>
            </w:pPr>
            <w:r w:rsidRPr="00AA4DFA">
              <w:rPr>
                <w:color w:val="000000"/>
                <w:sz w:val="20"/>
                <w:szCs w:val="20"/>
              </w:rPr>
              <w:t>609.00</w:t>
            </w:r>
          </w:p>
        </w:tc>
        <w:tc>
          <w:tcPr>
            <w:tcW w:w="690" w:type="dxa"/>
            <w:tcBorders>
              <w:top w:val="single" w:sz="4" w:space="0" w:color="auto"/>
            </w:tcBorders>
            <w:vAlign w:val="center"/>
          </w:tcPr>
          <w:p w14:paraId="6A7EEEEC" w14:textId="77777777" w:rsidR="004A2C34" w:rsidRPr="00AA4DFA" w:rsidRDefault="004A2C34" w:rsidP="004A2C34">
            <w:pPr>
              <w:ind w:left="115"/>
              <w:jc w:val="center"/>
              <w:rPr>
                <w:color w:val="000000"/>
                <w:sz w:val="20"/>
                <w:szCs w:val="20"/>
              </w:rPr>
            </w:pPr>
            <w:r w:rsidRPr="00AA4DFA">
              <w:rPr>
                <w:color w:val="000000"/>
                <w:sz w:val="20"/>
                <w:szCs w:val="20"/>
              </w:rPr>
              <w:t>4.53</w:t>
            </w:r>
          </w:p>
        </w:tc>
        <w:tc>
          <w:tcPr>
            <w:tcW w:w="1080" w:type="dxa"/>
            <w:tcBorders>
              <w:top w:val="single" w:sz="4" w:space="0" w:color="auto"/>
            </w:tcBorders>
            <w:vAlign w:val="center"/>
          </w:tcPr>
          <w:p w14:paraId="22A0D4FD" w14:textId="77777777" w:rsidR="004A2C34" w:rsidRPr="00AA4DFA" w:rsidRDefault="004A2C34" w:rsidP="004A2C34">
            <w:pPr>
              <w:ind w:left="115"/>
              <w:jc w:val="center"/>
              <w:rPr>
                <w:color w:val="000000"/>
                <w:sz w:val="20"/>
                <w:szCs w:val="20"/>
              </w:rPr>
            </w:pPr>
            <w:r w:rsidRPr="00AA4DFA">
              <w:rPr>
                <w:color w:val="000000"/>
                <w:sz w:val="20"/>
                <w:szCs w:val="20"/>
              </w:rPr>
              <w:t>12.62</w:t>
            </w:r>
          </w:p>
        </w:tc>
        <w:tc>
          <w:tcPr>
            <w:tcW w:w="1125" w:type="dxa"/>
            <w:tcBorders>
              <w:top w:val="single" w:sz="4" w:space="0" w:color="auto"/>
            </w:tcBorders>
            <w:vAlign w:val="center"/>
          </w:tcPr>
          <w:p w14:paraId="0F17AE0D" w14:textId="77777777" w:rsidR="004A2C34" w:rsidRPr="00AA4DFA" w:rsidRDefault="004A2C34" w:rsidP="004A2C34">
            <w:pPr>
              <w:ind w:left="115"/>
              <w:jc w:val="center"/>
              <w:rPr>
                <w:color w:val="000000"/>
                <w:sz w:val="20"/>
                <w:szCs w:val="20"/>
              </w:rPr>
            </w:pPr>
            <w:r w:rsidRPr="00AA4DFA">
              <w:rPr>
                <w:color w:val="000000"/>
                <w:sz w:val="20"/>
                <w:szCs w:val="20"/>
              </w:rPr>
              <w:t>22.35</w:t>
            </w:r>
          </w:p>
        </w:tc>
      </w:tr>
      <w:tr w:rsidR="004A2C34" w:rsidRPr="00AA4DFA" w14:paraId="3E9D5F3C" w14:textId="77777777" w:rsidTr="004A2C34">
        <w:trPr>
          <w:trHeight w:val="288"/>
        </w:trPr>
        <w:tc>
          <w:tcPr>
            <w:tcW w:w="523" w:type="dxa"/>
            <w:vAlign w:val="center"/>
          </w:tcPr>
          <w:p w14:paraId="45E14220" w14:textId="77777777" w:rsidR="004A2C34" w:rsidRPr="00AA4DFA" w:rsidRDefault="004A2C34" w:rsidP="004A2C34">
            <w:pPr>
              <w:ind w:right="22"/>
              <w:jc w:val="center"/>
              <w:rPr>
                <w:rFonts w:eastAsia="Calibri"/>
                <w:b/>
                <w:sz w:val="20"/>
                <w:szCs w:val="18"/>
                <w14:ligatures w14:val="standardContextual"/>
              </w:rPr>
            </w:pPr>
            <w:r w:rsidRPr="00AA4DFA">
              <w:rPr>
                <w:rFonts w:eastAsia="Calibri"/>
                <w:b/>
                <w:bCs/>
                <w:color w:val="000000"/>
                <w:sz w:val="20"/>
                <w:szCs w:val="18"/>
                <w14:ligatures w14:val="standardContextual"/>
              </w:rPr>
              <w:t>T</w:t>
            </w:r>
            <w:r w:rsidRPr="00AA4DFA">
              <w:rPr>
                <w:rFonts w:eastAsia="Calibri"/>
                <w:b/>
                <w:bCs/>
                <w:color w:val="000000"/>
                <w:sz w:val="20"/>
                <w:szCs w:val="18"/>
                <w:vertAlign w:val="subscript"/>
                <w14:ligatures w14:val="standardContextual"/>
              </w:rPr>
              <w:t>7</w:t>
            </w:r>
          </w:p>
        </w:tc>
        <w:tc>
          <w:tcPr>
            <w:tcW w:w="4787" w:type="dxa"/>
            <w:tcBorders>
              <w:right w:val="single" w:sz="4" w:space="0" w:color="auto"/>
            </w:tcBorders>
            <w:vAlign w:val="center"/>
          </w:tcPr>
          <w:p w14:paraId="6DB2ACCC" w14:textId="77777777" w:rsidR="004A2C34" w:rsidRPr="00AA4DFA" w:rsidRDefault="004A2C34" w:rsidP="004A2C34">
            <w:pPr>
              <w:ind w:left="110"/>
              <w:jc w:val="center"/>
              <w:rPr>
                <w:rFonts w:eastAsia="Calibri"/>
                <w:b/>
                <w:sz w:val="20"/>
                <w:szCs w:val="18"/>
                <w14:ligatures w14:val="standardContextual"/>
              </w:rPr>
            </w:pPr>
            <w:r w:rsidRPr="00AA4DFA">
              <w:rPr>
                <w:rFonts w:eastAsia="Calibri"/>
                <w:color w:val="000000"/>
                <w:sz w:val="20"/>
                <w:szCs w:val="18"/>
                <w14:ligatures w14:val="standardContextual"/>
              </w:rPr>
              <w:t>FYM @ 18.75 t/ha + 25 % RDF</w:t>
            </w:r>
          </w:p>
        </w:tc>
        <w:tc>
          <w:tcPr>
            <w:tcW w:w="875" w:type="dxa"/>
            <w:vAlign w:val="center"/>
          </w:tcPr>
          <w:p w14:paraId="7A9C12E1" w14:textId="77777777" w:rsidR="004A2C34" w:rsidRPr="00AA4DFA" w:rsidRDefault="004A2C34" w:rsidP="004A2C34">
            <w:pPr>
              <w:ind w:left="115"/>
              <w:jc w:val="center"/>
              <w:rPr>
                <w:color w:val="000000"/>
                <w:sz w:val="20"/>
                <w:szCs w:val="20"/>
              </w:rPr>
            </w:pPr>
            <w:r w:rsidRPr="00AA4DFA">
              <w:rPr>
                <w:color w:val="000000"/>
                <w:sz w:val="20"/>
                <w:szCs w:val="20"/>
              </w:rPr>
              <w:t>8.87</w:t>
            </w:r>
          </w:p>
        </w:tc>
        <w:tc>
          <w:tcPr>
            <w:tcW w:w="965" w:type="dxa"/>
            <w:vAlign w:val="center"/>
          </w:tcPr>
          <w:p w14:paraId="508D3CD8" w14:textId="77777777" w:rsidR="004A2C34" w:rsidRPr="00AA4DFA" w:rsidRDefault="004A2C34" w:rsidP="004A2C34">
            <w:pPr>
              <w:ind w:left="115"/>
              <w:jc w:val="center"/>
              <w:rPr>
                <w:color w:val="000000"/>
                <w:sz w:val="20"/>
                <w:szCs w:val="20"/>
              </w:rPr>
            </w:pPr>
            <w:r w:rsidRPr="00AA4DFA">
              <w:rPr>
                <w:color w:val="000000"/>
                <w:sz w:val="20"/>
                <w:szCs w:val="20"/>
              </w:rPr>
              <w:t>153.27</w:t>
            </w:r>
          </w:p>
        </w:tc>
        <w:tc>
          <w:tcPr>
            <w:tcW w:w="860" w:type="dxa"/>
            <w:vAlign w:val="center"/>
          </w:tcPr>
          <w:p w14:paraId="55641517" w14:textId="77777777" w:rsidR="004A2C34" w:rsidRPr="00AA4DFA" w:rsidRDefault="004A2C34" w:rsidP="004A2C34">
            <w:pPr>
              <w:ind w:left="115"/>
              <w:jc w:val="center"/>
              <w:rPr>
                <w:color w:val="000000"/>
                <w:sz w:val="20"/>
                <w:szCs w:val="20"/>
              </w:rPr>
            </w:pPr>
            <w:r w:rsidRPr="00AA4DFA">
              <w:rPr>
                <w:color w:val="000000"/>
                <w:sz w:val="20"/>
                <w:szCs w:val="20"/>
              </w:rPr>
              <w:t>7.33</w:t>
            </w:r>
          </w:p>
        </w:tc>
        <w:tc>
          <w:tcPr>
            <w:tcW w:w="900" w:type="dxa"/>
            <w:vAlign w:val="center"/>
          </w:tcPr>
          <w:p w14:paraId="7B89FF66" w14:textId="77777777" w:rsidR="004A2C34" w:rsidRPr="00AA4DFA" w:rsidRDefault="004A2C34" w:rsidP="004A2C34">
            <w:pPr>
              <w:ind w:left="115"/>
              <w:jc w:val="center"/>
              <w:rPr>
                <w:color w:val="000000"/>
                <w:sz w:val="20"/>
                <w:szCs w:val="20"/>
              </w:rPr>
            </w:pPr>
            <w:r w:rsidRPr="00AA4DFA">
              <w:rPr>
                <w:color w:val="000000"/>
                <w:sz w:val="20"/>
                <w:szCs w:val="20"/>
              </w:rPr>
              <w:t>6.75</w:t>
            </w:r>
          </w:p>
        </w:tc>
        <w:tc>
          <w:tcPr>
            <w:tcW w:w="900" w:type="dxa"/>
            <w:vAlign w:val="center"/>
          </w:tcPr>
          <w:p w14:paraId="7817E968" w14:textId="77777777" w:rsidR="004A2C34" w:rsidRPr="00AA4DFA" w:rsidRDefault="004A2C34" w:rsidP="004A2C34">
            <w:pPr>
              <w:ind w:left="115"/>
              <w:jc w:val="center"/>
              <w:rPr>
                <w:color w:val="000000"/>
                <w:sz w:val="20"/>
                <w:szCs w:val="20"/>
              </w:rPr>
            </w:pPr>
            <w:r w:rsidRPr="00AA4DFA">
              <w:rPr>
                <w:color w:val="000000"/>
                <w:sz w:val="20"/>
                <w:szCs w:val="20"/>
              </w:rPr>
              <w:t>1357.36</w:t>
            </w:r>
          </w:p>
        </w:tc>
        <w:tc>
          <w:tcPr>
            <w:tcW w:w="1200" w:type="dxa"/>
            <w:vAlign w:val="center"/>
          </w:tcPr>
          <w:p w14:paraId="486236A3" w14:textId="77777777" w:rsidR="004A2C34" w:rsidRPr="00AA4DFA" w:rsidRDefault="004A2C34" w:rsidP="004A2C34">
            <w:pPr>
              <w:ind w:left="115"/>
              <w:jc w:val="center"/>
              <w:rPr>
                <w:color w:val="000000"/>
                <w:sz w:val="20"/>
                <w:szCs w:val="20"/>
              </w:rPr>
            </w:pPr>
            <w:r w:rsidRPr="00AA4DFA">
              <w:rPr>
                <w:color w:val="000000"/>
                <w:sz w:val="20"/>
                <w:szCs w:val="20"/>
              </w:rPr>
              <w:t>502.72</w:t>
            </w:r>
          </w:p>
        </w:tc>
        <w:tc>
          <w:tcPr>
            <w:tcW w:w="690" w:type="dxa"/>
            <w:vAlign w:val="center"/>
          </w:tcPr>
          <w:p w14:paraId="7AD6EECB" w14:textId="77777777" w:rsidR="004A2C34" w:rsidRPr="00AA4DFA" w:rsidRDefault="004A2C34" w:rsidP="004A2C34">
            <w:pPr>
              <w:ind w:left="115"/>
              <w:jc w:val="center"/>
              <w:rPr>
                <w:color w:val="000000"/>
                <w:sz w:val="20"/>
                <w:szCs w:val="20"/>
              </w:rPr>
            </w:pPr>
            <w:r w:rsidRPr="00AA4DFA">
              <w:rPr>
                <w:color w:val="000000"/>
                <w:sz w:val="20"/>
                <w:szCs w:val="20"/>
              </w:rPr>
              <w:t>4.35</w:t>
            </w:r>
          </w:p>
        </w:tc>
        <w:tc>
          <w:tcPr>
            <w:tcW w:w="1080" w:type="dxa"/>
            <w:vAlign w:val="center"/>
          </w:tcPr>
          <w:p w14:paraId="2293CAF3" w14:textId="77777777" w:rsidR="004A2C34" w:rsidRPr="00AA4DFA" w:rsidRDefault="004A2C34" w:rsidP="004A2C34">
            <w:pPr>
              <w:ind w:left="115"/>
              <w:jc w:val="center"/>
              <w:rPr>
                <w:color w:val="000000"/>
                <w:sz w:val="20"/>
                <w:szCs w:val="20"/>
              </w:rPr>
            </w:pPr>
            <w:r w:rsidRPr="00AA4DFA">
              <w:rPr>
                <w:color w:val="000000"/>
                <w:sz w:val="20"/>
                <w:szCs w:val="20"/>
              </w:rPr>
              <w:t>12.39</w:t>
            </w:r>
          </w:p>
        </w:tc>
        <w:tc>
          <w:tcPr>
            <w:tcW w:w="1125" w:type="dxa"/>
            <w:vAlign w:val="center"/>
          </w:tcPr>
          <w:p w14:paraId="1ADD80A8" w14:textId="77777777" w:rsidR="004A2C34" w:rsidRPr="00AA4DFA" w:rsidRDefault="004A2C34" w:rsidP="004A2C34">
            <w:pPr>
              <w:ind w:left="115"/>
              <w:jc w:val="center"/>
              <w:rPr>
                <w:color w:val="000000"/>
                <w:sz w:val="20"/>
                <w:szCs w:val="20"/>
              </w:rPr>
            </w:pPr>
            <w:r w:rsidRPr="00AA4DFA">
              <w:rPr>
                <w:color w:val="000000"/>
                <w:sz w:val="20"/>
                <w:szCs w:val="20"/>
              </w:rPr>
              <w:t>22.01</w:t>
            </w:r>
          </w:p>
        </w:tc>
      </w:tr>
      <w:tr w:rsidR="004A2C34" w:rsidRPr="00AA4DFA" w14:paraId="05000E2C" w14:textId="77777777" w:rsidTr="004A2C34">
        <w:trPr>
          <w:trHeight w:val="288"/>
        </w:trPr>
        <w:tc>
          <w:tcPr>
            <w:tcW w:w="523" w:type="dxa"/>
            <w:vAlign w:val="center"/>
          </w:tcPr>
          <w:p w14:paraId="365B4F19" w14:textId="77777777" w:rsidR="004A2C34" w:rsidRPr="00AA4DFA" w:rsidRDefault="004A2C34" w:rsidP="004A2C34">
            <w:pPr>
              <w:ind w:right="22"/>
              <w:jc w:val="center"/>
              <w:rPr>
                <w:rFonts w:eastAsia="Calibri"/>
                <w:b/>
                <w:sz w:val="20"/>
                <w:szCs w:val="18"/>
                <w14:ligatures w14:val="standardContextual"/>
              </w:rPr>
            </w:pPr>
            <w:r w:rsidRPr="00AA4DFA">
              <w:rPr>
                <w:rFonts w:eastAsia="Calibri"/>
                <w:b/>
                <w:bCs/>
                <w:color w:val="000000"/>
                <w:sz w:val="20"/>
                <w:szCs w:val="18"/>
                <w14:ligatures w14:val="standardContextual"/>
              </w:rPr>
              <w:t>T</w:t>
            </w:r>
            <w:r w:rsidRPr="00AA4DFA">
              <w:rPr>
                <w:rFonts w:eastAsia="Calibri"/>
                <w:b/>
                <w:bCs/>
                <w:color w:val="000000"/>
                <w:sz w:val="20"/>
                <w:szCs w:val="18"/>
                <w:vertAlign w:val="subscript"/>
                <w14:ligatures w14:val="standardContextual"/>
              </w:rPr>
              <w:t>8</w:t>
            </w:r>
          </w:p>
        </w:tc>
        <w:tc>
          <w:tcPr>
            <w:tcW w:w="4787" w:type="dxa"/>
            <w:tcBorders>
              <w:right w:val="single" w:sz="4" w:space="0" w:color="auto"/>
            </w:tcBorders>
            <w:vAlign w:val="center"/>
          </w:tcPr>
          <w:p w14:paraId="67F644CD" w14:textId="77777777" w:rsidR="004A2C34" w:rsidRPr="00AA4DFA" w:rsidRDefault="004A2C34" w:rsidP="004A2C34">
            <w:pPr>
              <w:ind w:left="110"/>
              <w:jc w:val="center"/>
              <w:rPr>
                <w:rFonts w:eastAsia="Calibri"/>
                <w:b/>
                <w:sz w:val="20"/>
                <w:szCs w:val="18"/>
                <w14:ligatures w14:val="standardContextual"/>
              </w:rPr>
            </w:pPr>
            <w:r w:rsidRPr="00AA4DFA">
              <w:rPr>
                <w:rFonts w:eastAsia="Calibri"/>
                <w:color w:val="000000"/>
                <w:sz w:val="20"/>
                <w:szCs w:val="18"/>
                <w14:ligatures w14:val="standardContextual"/>
              </w:rPr>
              <w:t>Vermicompost @ 4.5 t/ha + 25 % RDF</w:t>
            </w:r>
          </w:p>
        </w:tc>
        <w:tc>
          <w:tcPr>
            <w:tcW w:w="875" w:type="dxa"/>
            <w:vAlign w:val="center"/>
          </w:tcPr>
          <w:p w14:paraId="6DBA5AB1" w14:textId="77777777" w:rsidR="004A2C34" w:rsidRPr="00AA4DFA" w:rsidRDefault="004A2C34" w:rsidP="004A2C34">
            <w:pPr>
              <w:ind w:left="115"/>
              <w:jc w:val="center"/>
              <w:rPr>
                <w:color w:val="000000"/>
                <w:sz w:val="20"/>
                <w:szCs w:val="20"/>
              </w:rPr>
            </w:pPr>
            <w:r w:rsidRPr="00AA4DFA">
              <w:rPr>
                <w:color w:val="000000"/>
                <w:sz w:val="20"/>
                <w:szCs w:val="20"/>
              </w:rPr>
              <w:t>9.47</w:t>
            </w:r>
          </w:p>
        </w:tc>
        <w:tc>
          <w:tcPr>
            <w:tcW w:w="965" w:type="dxa"/>
            <w:vAlign w:val="center"/>
          </w:tcPr>
          <w:p w14:paraId="2136198F" w14:textId="77777777" w:rsidR="004A2C34" w:rsidRPr="00AA4DFA" w:rsidRDefault="004A2C34" w:rsidP="004A2C34">
            <w:pPr>
              <w:ind w:left="115"/>
              <w:jc w:val="center"/>
              <w:rPr>
                <w:color w:val="000000"/>
                <w:sz w:val="20"/>
                <w:szCs w:val="20"/>
              </w:rPr>
            </w:pPr>
            <w:r w:rsidRPr="00AA4DFA">
              <w:rPr>
                <w:color w:val="000000"/>
                <w:sz w:val="20"/>
                <w:szCs w:val="20"/>
              </w:rPr>
              <w:t>157.27</w:t>
            </w:r>
          </w:p>
        </w:tc>
        <w:tc>
          <w:tcPr>
            <w:tcW w:w="860" w:type="dxa"/>
            <w:vAlign w:val="center"/>
          </w:tcPr>
          <w:p w14:paraId="337F5419" w14:textId="77777777" w:rsidR="004A2C34" w:rsidRPr="00AA4DFA" w:rsidRDefault="004A2C34" w:rsidP="004A2C34">
            <w:pPr>
              <w:ind w:left="115"/>
              <w:jc w:val="center"/>
              <w:rPr>
                <w:color w:val="000000"/>
                <w:sz w:val="20"/>
                <w:szCs w:val="20"/>
              </w:rPr>
            </w:pPr>
            <w:r w:rsidRPr="00AA4DFA">
              <w:rPr>
                <w:color w:val="000000"/>
                <w:sz w:val="20"/>
                <w:szCs w:val="20"/>
              </w:rPr>
              <w:t>7.95</w:t>
            </w:r>
          </w:p>
        </w:tc>
        <w:tc>
          <w:tcPr>
            <w:tcW w:w="900" w:type="dxa"/>
            <w:vAlign w:val="center"/>
          </w:tcPr>
          <w:p w14:paraId="36CA120F" w14:textId="77777777" w:rsidR="004A2C34" w:rsidRPr="00AA4DFA" w:rsidRDefault="004A2C34" w:rsidP="004A2C34">
            <w:pPr>
              <w:ind w:left="115"/>
              <w:jc w:val="center"/>
              <w:rPr>
                <w:color w:val="000000"/>
                <w:sz w:val="20"/>
                <w:szCs w:val="20"/>
              </w:rPr>
            </w:pPr>
            <w:r w:rsidRPr="00AA4DFA">
              <w:rPr>
                <w:color w:val="000000"/>
                <w:sz w:val="20"/>
                <w:szCs w:val="20"/>
              </w:rPr>
              <w:t>6.14</w:t>
            </w:r>
          </w:p>
        </w:tc>
        <w:tc>
          <w:tcPr>
            <w:tcW w:w="900" w:type="dxa"/>
            <w:vAlign w:val="center"/>
          </w:tcPr>
          <w:p w14:paraId="01238E2A" w14:textId="77777777" w:rsidR="004A2C34" w:rsidRPr="00AA4DFA" w:rsidRDefault="004A2C34" w:rsidP="004A2C34">
            <w:pPr>
              <w:ind w:left="115"/>
              <w:jc w:val="center"/>
              <w:rPr>
                <w:color w:val="000000"/>
                <w:sz w:val="20"/>
                <w:szCs w:val="20"/>
              </w:rPr>
            </w:pPr>
            <w:r w:rsidRPr="00AA4DFA">
              <w:rPr>
                <w:color w:val="000000"/>
                <w:sz w:val="20"/>
                <w:szCs w:val="20"/>
              </w:rPr>
              <w:t>1488.53</w:t>
            </w:r>
          </w:p>
        </w:tc>
        <w:tc>
          <w:tcPr>
            <w:tcW w:w="1200" w:type="dxa"/>
            <w:vAlign w:val="center"/>
          </w:tcPr>
          <w:p w14:paraId="4C118406" w14:textId="77777777" w:rsidR="004A2C34" w:rsidRPr="00AA4DFA" w:rsidRDefault="004A2C34" w:rsidP="004A2C34">
            <w:pPr>
              <w:ind w:left="115"/>
              <w:jc w:val="center"/>
              <w:rPr>
                <w:color w:val="000000"/>
                <w:sz w:val="20"/>
                <w:szCs w:val="20"/>
              </w:rPr>
            </w:pPr>
            <w:r w:rsidRPr="00AA4DFA">
              <w:rPr>
                <w:color w:val="000000"/>
                <w:sz w:val="20"/>
                <w:szCs w:val="20"/>
              </w:rPr>
              <w:t>551.31</w:t>
            </w:r>
          </w:p>
        </w:tc>
        <w:tc>
          <w:tcPr>
            <w:tcW w:w="690" w:type="dxa"/>
            <w:vAlign w:val="center"/>
          </w:tcPr>
          <w:p w14:paraId="5702BECF" w14:textId="77777777" w:rsidR="004A2C34" w:rsidRPr="00AA4DFA" w:rsidRDefault="004A2C34" w:rsidP="004A2C34">
            <w:pPr>
              <w:ind w:left="115"/>
              <w:jc w:val="center"/>
              <w:rPr>
                <w:color w:val="000000"/>
                <w:sz w:val="20"/>
                <w:szCs w:val="20"/>
              </w:rPr>
            </w:pPr>
            <w:r w:rsidRPr="00AA4DFA">
              <w:rPr>
                <w:color w:val="000000"/>
                <w:sz w:val="20"/>
                <w:szCs w:val="20"/>
              </w:rPr>
              <w:t>4.44</w:t>
            </w:r>
          </w:p>
        </w:tc>
        <w:tc>
          <w:tcPr>
            <w:tcW w:w="1080" w:type="dxa"/>
            <w:vAlign w:val="center"/>
          </w:tcPr>
          <w:p w14:paraId="1F5EEE55" w14:textId="77777777" w:rsidR="004A2C34" w:rsidRPr="00AA4DFA" w:rsidRDefault="004A2C34" w:rsidP="004A2C34">
            <w:pPr>
              <w:ind w:left="115"/>
              <w:jc w:val="center"/>
              <w:rPr>
                <w:color w:val="000000"/>
                <w:sz w:val="20"/>
                <w:szCs w:val="20"/>
              </w:rPr>
            </w:pPr>
            <w:r w:rsidRPr="00AA4DFA">
              <w:rPr>
                <w:color w:val="000000"/>
                <w:sz w:val="20"/>
                <w:szCs w:val="20"/>
              </w:rPr>
              <w:t>12.33</w:t>
            </w:r>
          </w:p>
        </w:tc>
        <w:tc>
          <w:tcPr>
            <w:tcW w:w="1125" w:type="dxa"/>
            <w:vAlign w:val="center"/>
          </w:tcPr>
          <w:p w14:paraId="17E9F245" w14:textId="77777777" w:rsidR="004A2C34" w:rsidRPr="00AA4DFA" w:rsidRDefault="004A2C34" w:rsidP="004A2C34">
            <w:pPr>
              <w:ind w:left="115"/>
              <w:jc w:val="center"/>
              <w:rPr>
                <w:color w:val="000000"/>
                <w:sz w:val="20"/>
                <w:szCs w:val="20"/>
              </w:rPr>
            </w:pPr>
            <w:r w:rsidRPr="00AA4DFA">
              <w:rPr>
                <w:color w:val="000000"/>
                <w:sz w:val="20"/>
                <w:szCs w:val="20"/>
              </w:rPr>
              <w:t>22.14</w:t>
            </w:r>
          </w:p>
        </w:tc>
      </w:tr>
      <w:tr w:rsidR="004A2C34" w:rsidRPr="00AA4DFA" w14:paraId="504369F8" w14:textId="77777777" w:rsidTr="004A2C34">
        <w:trPr>
          <w:trHeight w:val="288"/>
        </w:trPr>
        <w:tc>
          <w:tcPr>
            <w:tcW w:w="523" w:type="dxa"/>
            <w:vAlign w:val="center"/>
          </w:tcPr>
          <w:p w14:paraId="6E2C5DF0" w14:textId="77777777" w:rsidR="004A2C34" w:rsidRPr="00AA4DFA" w:rsidRDefault="004A2C34" w:rsidP="004A2C34">
            <w:pPr>
              <w:ind w:right="22"/>
              <w:jc w:val="center"/>
              <w:rPr>
                <w:rFonts w:eastAsia="Calibri"/>
                <w:b/>
                <w:sz w:val="20"/>
                <w:szCs w:val="18"/>
                <w14:ligatures w14:val="standardContextual"/>
              </w:rPr>
            </w:pPr>
            <w:r w:rsidRPr="00AA4DFA">
              <w:rPr>
                <w:rFonts w:eastAsia="Calibri"/>
                <w:b/>
                <w:bCs/>
                <w:color w:val="000000"/>
                <w:sz w:val="20"/>
                <w:szCs w:val="18"/>
                <w14:ligatures w14:val="standardContextual"/>
              </w:rPr>
              <w:t>T</w:t>
            </w:r>
            <w:r w:rsidRPr="00AA4DFA">
              <w:rPr>
                <w:rFonts w:eastAsia="Calibri"/>
                <w:b/>
                <w:bCs/>
                <w:color w:val="000000"/>
                <w:sz w:val="20"/>
                <w:szCs w:val="18"/>
                <w:vertAlign w:val="subscript"/>
                <w14:ligatures w14:val="standardContextual"/>
              </w:rPr>
              <w:t>9</w:t>
            </w:r>
          </w:p>
        </w:tc>
        <w:tc>
          <w:tcPr>
            <w:tcW w:w="4787" w:type="dxa"/>
            <w:tcBorders>
              <w:right w:val="single" w:sz="4" w:space="0" w:color="auto"/>
            </w:tcBorders>
            <w:vAlign w:val="center"/>
          </w:tcPr>
          <w:p w14:paraId="371CA39E" w14:textId="77777777" w:rsidR="004A2C34" w:rsidRPr="00AA4DFA" w:rsidRDefault="004A2C34" w:rsidP="004A2C34">
            <w:pPr>
              <w:ind w:left="110"/>
              <w:jc w:val="center"/>
              <w:rPr>
                <w:rFonts w:eastAsia="Calibri"/>
                <w:b/>
                <w:sz w:val="20"/>
                <w:szCs w:val="18"/>
                <w14:ligatures w14:val="standardContextual"/>
              </w:rPr>
            </w:pPr>
            <w:r w:rsidRPr="00AA4DFA">
              <w:rPr>
                <w:rFonts w:eastAsia="Calibri"/>
                <w:color w:val="000000"/>
                <w:sz w:val="20"/>
                <w:szCs w:val="18"/>
                <w14:ligatures w14:val="standardContextual"/>
              </w:rPr>
              <w:t>Vermicompost @ 3 t/ha + FYM @ 6.25 t/ha + 50 % RDF</w:t>
            </w:r>
          </w:p>
        </w:tc>
        <w:tc>
          <w:tcPr>
            <w:tcW w:w="875" w:type="dxa"/>
            <w:vAlign w:val="center"/>
          </w:tcPr>
          <w:p w14:paraId="60BDBFBC" w14:textId="77777777" w:rsidR="004A2C34" w:rsidRPr="00AA4DFA" w:rsidRDefault="004A2C34" w:rsidP="004A2C34">
            <w:pPr>
              <w:ind w:left="115"/>
              <w:jc w:val="center"/>
              <w:rPr>
                <w:color w:val="000000"/>
                <w:sz w:val="20"/>
                <w:szCs w:val="20"/>
              </w:rPr>
            </w:pPr>
            <w:r w:rsidRPr="00AA4DFA">
              <w:rPr>
                <w:color w:val="000000"/>
                <w:sz w:val="20"/>
                <w:szCs w:val="20"/>
              </w:rPr>
              <w:t>10.33</w:t>
            </w:r>
          </w:p>
        </w:tc>
        <w:tc>
          <w:tcPr>
            <w:tcW w:w="965" w:type="dxa"/>
            <w:vAlign w:val="center"/>
          </w:tcPr>
          <w:p w14:paraId="6A71793E" w14:textId="77777777" w:rsidR="004A2C34" w:rsidRPr="00AA4DFA" w:rsidRDefault="004A2C34" w:rsidP="004A2C34">
            <w:pPr>
              <w:ind w:left="115"/>
              <w:jc w:val="center"/>
              <w:rPr>
                <w:color w:val="000000"/>
                <w:sz w:val="20"/>
                <w:szCs w:val="20"/>
              </w:rPr>
            </w:pPr>
            <w:r w:rsidRPr="00AA4DFA">
              <w:rPr>
                <w:color w:val="000000"/>
                <w:sz w:val="20"/>
                <w:szCs w:val="20"/>
              </w:rPr>
              <w:t>167.27</w:t>
            </w:r>
          </w:p>
        </w:tc>
        <w:tc>
          <w:tcPr>
            <w:tcW w:w="860" w:type="dxa"/>
            <w:vAlign w:val="center"/>
          </w:tcPr>
          <w:p w14:paraId="1E453996" w14:textId="77777777" w:rsidR="004A2C34" w:rsidRPr="00AA4DFA" w:rsidRDefault="004A2C34" w:rsidP="004A2C34">
            <w:pPr>
              <w:ind w:left="115"/>
              <w:jc w:val="center"/>
              <w:rPr>
                <w:color w:val="000000"/>
                <w:sz w:val="20"/>
                <w:szCs w:val="20"/>
              </w:rPr>
            </w:pPr>
            <w:r w:rsidRPr="00AA4DFA">
              <w:rPr>
                <w:color w:val="000000"/>
                <w:sz w:val="20"/>
                <w:szCs w:val="20"/>
              </w:rPr>
              <w:t>8.24</w:t>
            </w:r>
          </w:p>
        </w:tc>
        <w:tc>
          <w:tcPr>
            <w:tcW w:w="900" w:type="dxa"/>
            <w:vAlign w:val="center"/>
          </w:tcPr>
          <w:p w14:paraId="60BEDED8" w14:textId="77777777" w:rsidR="004A2C34" w:rsidRPr="00AA4DFA" w:rsidRDefault="004A2C34" w:rsidP="004A2C34">
            <w:pPr>
              <w:ind w:left="115"/>
              <w:jc w:val="center"/>
              <w:rPr>
                <w:color w:val="000000"/>
                <w:sz w:val="20"/>
                <w:szCs w:val="20"/>
              </w:rPr>
            </w:pPr>
            <w:r w:rsidRPr="00AA4DFA">
              <w:rPr>
                <w:color w:val="000000"/>
                <w:sz w:val="20"/>
                <w:szCs w:val="20"/>
              </w:rPr>
              <w:t>7.39</w:t>
            </w:r>
          </w:p>
        </w:tc>
        <w:tc>
          <w:tcPr>
            <w:tcW w:w="900" w:type="dxa"/>
            <w:vAlign w:val="center"/>
          </w:tcPr>
          <w:p w14:paraId="1577FCE2" w14:textId="77777777" w:rsidR="004A2C34" w:rsidRPr="00AA4DFA" w:rsidRDefault="004A2C34" w:rsidP="004A2C34">
            <w:pPr>
              <w:ind w:left="115"/>
              <w:jc w:val="center"/>
              <w:rPr>
                <w:color w:val="000000"/>
                <w:sz w:val="20"/>
                <w:szCs w:val="20"/>
              </w:rPr>
            </w:pPr>
            <w:r w:rsidRPr="00AA4DFA">
              <w:rPr>
                <w:color w:val="000000"/>
                <w:sz w:val="20"/>
                <w:szCs w:val="20"/>
              </w:rPr>
              <w:t>1661.71</w:t>
            </w:r>
          </w:p>
        </w:tc>
        <w:tc>
          <w:tcPr>
            <w:tcW w:w="1200" w:type="dxa"/>
            <w:vAlign w:val="center"/>
          </w:tcPr>
          <w:p w14:paraId="372D199B" w14:textId="77777777" w:rsidR="004A2C34" w:rsidRPr="00AA4DFA" w:rsidRDefault="004A2C34" w:rsidP="004A2C34">
            <w:pPr>
              <w:ind w:left="115"/>
              <w:jc w:val="center"/>
              <w:rPr>
                <w:color w:val="000000"/>
                <w:sz w:val="20"/>
                <w:szCs w:val="20"/>
              </w:rPr>
            </w:pPr>
            <w:r w:rsidRPr="00AA4DFA">
              <w:rPr>
                <w:color w:val="000000"/>
                <w:sz w:val="20"/>
                <w:szCs w:val="20"/>
              </w:rPr>
              <w:t>615.45</w:t>
            </w:r>
          </w:p>
        </w:tc>
        <w:tc>
          <w:tcPr>
            <w:tcW w:w="690" w:type="dxa"/>
            <w:vAlign w:val="center"/>
          </w:tcPr>
          <w:p w14:paraId="583C2F4A" w14:textId="77777777" w:rsidR="004A2C34" w:rsidRPr="00AA4DFA" w:rsidRDefault="004A2C34" w:rsidP="004A2C34">
            <w:pPr>
              <w:ind w:left="115"/>
              <w:jc w:val="center"/>
              <w:rPr>
                <w:color w:val="000000"/>
                <w:sz w:val="20"/>
                <w:szCs w:val="20"/>
              </w:rPr>
            </w:pPr>
            <w:r w:rsidRPr="00AA4DFA">
              <w:rPr>
                <w:color w:val="000000"/>
                <w:sz w:val="20"/>
                <w:szCs w:val="20"/>
              </w:rPr>
              <w:t>4.63</w:t>
            </w:r>
          </w:p>
        </w:tc>
        <w:tc>
          <w:tcPr>
            <w:tcW w:w="1080" w:type="dxa"/>
            <w:vAlign w:val="center"/>
          </w:tcPr>
          <w:p w14:paraId="17EF1DE0" w14:textId="77777777" w:rsidR="004A2C34" w:rsidRPr="00AA4DFA" w:rsidRDefault="004A2C34" w:rsidP="004A2C34">
            <w:pPr>
              <w:ind w:left="115"/>
              <w:jc w:val="center"/>
              <w:rPr>
                <w:color w:val="000000"/>
                <w:sz w:val="20"/>
                <w:szCs w:val="20"/>
              </w:rPr>
            </w:pPr>
            <w:r w:rsidRPr="00AA4DFA">
              <w:rPr>
                <w:color w:val="000000"/>
                <w:sz w:val="20"/>
                <w:szCs w:val="20"/>
              </w:rPr>
              <w:t>12.59</w:t>
            </w:r>
          </w:p>
        </w:tc>
        <w:tc>
          <w:tcPr>
            <w:tcW w:w="1125" w:type="dxa"/>
            <w:vAlign w:val="center"/>
          </w:tcPr>
          <w:p w14:paraId="4B59D4BE" w14:textId="77777777" w:rsidR="004A2C34" w:rsidRPr="00AA4DFA" w:rsidRDefault="004A2C34" w:rsidP="004A2C34">
            <w:pPr>
              <w:ind w:left="115"/>
              <w:jc w:val="center"/>
              <w:rPr>
                <w:color w:val="000000"/>
                <w:sz w:val="20"/>
                <w:szCs w:val="20"/>
              </w:rPr>
            </w:pPr>
            <w:r w:rsidRPr="00AA4DFA">
              <w:rPr>
                <w:color w:val="000000"/>
                <w:sz w:val="20"/>
                <w:szCs w:val="20"/>
              </w:rPr>
              <w:t>22.25</w:t>
            </w:r>
          </w:p>
        </w:tc>
      </w:tr>
      <w:tr w:rsidR="004A2C34" w:rsidRPr="00AA4DFA" w14:paraId="07259BEC" w14:textId="77777777" w:rsidTr="004A2C34">
        <w:trPr>
          <w:trHeight w:val="288"/>
        </w:trPr>
        <w:tc>
          <w:tcPr>
            <w:tcW w:w="523" w:type="dxa"/>
            <w:vAlign w:val="center"/>
          </w:tcPr>
          <w:p w14:paraId="45452CFB" w14:textId="77777777" w:rsidR="004A2C34" w:rsidRPr="00AA4DFA" w:rsidRDefault="004A2C34" w:rsidP="004A2C34">
            <w:pPr>
              <w:jc w:val="center"/>
              <w:rPr>
                <w:rFonts w:eastAsia="Calibri"/>
                <w:sz w:val="20"/>
                <w:szCs w:val="18"/>
                <w14:ligatures w14:val="standardContextual"/>
              </w:rPr>
            </w:pPr>
          </w:p>
        </w:tc>
        <w:tc>
          <w:tcPr>
            <w:tcW w:w="4787" w:type="dxa"/>
            <w:tcBorders>
              <w:right w:val="single" w:sz="4" w:space="0" w:color="auto"/>
            </w:tcBorders>
            <w:vAlign w:val="center"/>
          </w:tcPr>
          <w:p w14:paraId="09DB6384" w14:textId="77777777" w:rsidR="004A2C34" w:rsidRPr="00AA4DFA" w:rsidRDefault="004A2C34" w:rsidP="004A2C34">
            <w:pPr>
              <w:jc w:val="center"/>
              <w:rPr>
                <w:rFonts w:eastAsia="Calibri"/>
                <w:b/>
                <w:sz w:val="20"/>
                <w:szCs w:val="18"/>
                <w14:ligatures w14:val="standardContextual"/>
              </w:rPr>
            </w:pPr>
            <w:r w:rsidRPr="00AA4DFA">
              <w:rPr>
                <w:rFonts w:eastAsia="Calibri"/>
                <w:b/>
                <w:spacing w:val="-5"/>
                <w:sz w:val="20"/>
                <w:szCs w:val="18"/>
                <w14:ligatures w14:val="standardContextual"/>
              </w:rPr>
              <w:t>C.D. @ 5%</w:t>
            </w:r>
          </w:p>
        </w:tc>
        <w:tc>
          <w:tcPr>
            <w:tcW w:w="875" w:type="dxa"/>
            <w:vAlign w:val="center"/>
          </w:tcPr>
          <w:p w14:paraId="4085799F" w14:textId="77777777" w:rsidR="004A2C34" w:rsidRPr="00AA4DFA" w:rsidRDefault="004A2C34" w:rsidP="004A2C34">
            <w:pPr>
              <w:jc w:val="center"/>
              <w:rPr>
                <w:sz w:val="20"/>
                <w:szCs w:val="20"/>
              </w:rPr>
            </w:pPr>
            <w:r w:rsidRPr="00AA4DFA">
              <w:rPr>
                <w:bCs/>
                <w:sz w:val="20"/>
                <w:szCs w:val="20"/>
              </w:rPr>
              <w:t>0.98</w:t>
            </w:r>
          </w:p>
        </w:tc>
        <w:tc>
          <w:tcPr>
            <w:tcW w:w="965" w:type="dxa"/>
            <w:vAlign w:val="center"/>
          </w:tcPr>
          <w:p w14:paraId="5B97AB37" w14:textId="77777777" w:rsidR="004A2C34" w:rsidRPr="00AA4DFA" w:rsidRDefault="004A2C34" w:rsidP="004A2C34">
            <w:pPr>
              <w:jc w:val="center"/>
              <w:rPr>
                <w:sz w:val="20"/>
                <w:szCs w:val="20"/>
              </w:rPr>
            </w:pPr>
            <w:r w:rsidRPr="00AA4DFA">
              <w:rPr>
                <w:bCs/>
                <w:sz w:val="20"/>
                <w:szCs w:val="20"/>
              </w:rPr>
              <w:t>5.39</w:t>
            </w:r>
          </w:p>
        </w:tc>
        <w:tc>
          <w:tcPr>
            <w:tcW w:w="860" w:type="dxa"/>
            <w:vAlign w:val="center"/>
          </w:tcPr>
          <w:p w14:paraId="649050BE" w14:textId="77777777" w:rsidR="004A2C34" w:rsidRPr="00AA4DFA" w:rsidRDefault="004A2C34" w:rsidP="004A2C34">
            <w:pPr>
              <w:jc w:val="center"/>
              <w:rPr>
                <w:sz w:val="20"/>
                <w:szCs w:val="20"/>
              </w:rPr>
            </w:pPr>
            <w:r w:rsidRPr="00AA4DFA">
              <w:rPr>
                <w:bCs/>
                <w:sz w:val="20"/>
                <w:szCs w:val="20"/>
              </w:rPr>
              <w:t>0.76</w:t>
            </w:r>
          </w:p>
        </w:tc>
        <w:tc>
          <w:tcPr>
            <w:tcW w:w="900" w:type="dxa"/>
            <w:vAlign w:val="center"/>
          </w:tcPr>
          <w:p w14:paraId="0F767B38" w14:textId="77777777" w:rsidR="004A2C34" w:rsidRPr="00AA4DFA" w:rsidRDefault="004A2C34" w:rsidP="004A2C34">
            <w:pPr>
              <w:jc w:val="center"/>
              <w:rPr>
                <w:sz w:val="20"/>
                <w:szCs w:val="20"/>
              </w:rPr>
            </w:pPr>
            <w:r w:rsidRPr="00AA4DFA">
              <w:rPr>
                <w:color w:val="000000"/>
                <w:sz w:val="20"/>
                <w:szCs w:val="20"/>
              </w:rPr>
              <w:t>0.69</w:t>
            </w:r>
          </w:p>
        </w:tc>
        <w:tc>
          <w:tcPr>
            <w:tcW w:w="900" w:type="dxa"/>
            <w:vAlign w:val="center"/>
          </w:tcPr>
          <w:p w14:paraId="4F61BFED" w14:textId="77777777" w:rsidR="004A2C34" w:rsidRPr="00AA4DFA" w:rsidRDefault="004A2C34" w:rsidP="004A2C34">
            <w:pPr>
              <w:jc w:val="center"/>
              <w:rPr>
                <w:sz w:val="20"/>
                <w:szCs w:val="20"/>
              </w:rPr>
            </w:pPr>
            <w:r w:rsidRPr="00AA4DFA">
              <w:rPr>
                <w:color w:val="000000"/>
                <w:sz w:val="20"/>
                <w:szCs w:val="20"/>
              </w:rPr>
              <w:t>130.39</w:t>
            </w:r>
          </w:p>
        </w:tc>
        <w:tc>
          <w:tcPr>
            <w:tcW w:w="1200" w:type="dxa"/>
            <w:vAlign w:val="center"/>
          </w:tcPr>
          <w:p w14:paraId="740CC3DB" w14:textId="77777777" w:rsidR="004A2C34" w:rsidRPr="00AA4DFA" w:rsidRDefault="004A2C34" w:rsidP="004A2C34">
            <w:pPr>
              <w:jc w:val="center"/>
              <w:rPr>
                <w:bCs/>
                <w:sz w:val="20"/>
                <w:szCs w:val="20"/>
              </w:rPr>
            </w:pPr>
            <w:r w:rsidRPr="00AA4DFA">
              <w:rPr>
                <w:color w:val="000000"/>
                <w:sz w:val="20"/>
                <w:szCs w:val="20"/>
              </w:rPr>
              <w:t>48.29</w:t>
            </w:r>
          </w:p>
        </w:tc>
        <w:tc>
          <w:tcPr>
            <w:tcW w:w="690" w:type="dxa"/>
            <w:vAlign w:val="center"/>
          </w:tcPr>
          <w:p w14:paraId="28C2A3D1" w14:textId="77777777" w:rsidR="004A2C34" w:rsidRPr="00AA4DFA" w:rsidRDefault="004A2C34" w:rsidP="004A2C34">
            <w:pPr>
              <w:jc w:val="center"/>
              <w:rPr>
                <w:bCs/>
                <w:sz w:val="20"/>
                <w:szCs w:val="20"/>
              </w:rPr>
            </w:pPr>
            <w:r w:rsidRPr="00AA4DFA">
              <w:rPr>
                <w:bCs/>
                <w:sz w:val="20"/>
                <w:szCs w:val="20"/>
              </w:rPr>
              <w:t>0.22</w:t>
            </w:r>
          </w:p>
        </w:tc>
        <w:tc>
          <w:tcPr>
            <w:tcW w:w="1080" w:type="dxa"/>
            <w:vAlign w:val="center"/>
          </w:tcPr>
          <w:p w14:paraId="4E135B1F" w14:textId="77777777" w:rsidR="004A2C34" w:rsidRPr="00AA4DFA" w:rsidRDefault="004A2C34" w:rsidP="004A2C34">
            <w:pPr>
              <w:jc w:val="center"/>
              <w:rPr>
                <w:bCs/>
                <w:sz w:val="20"/>
                <w:szCs w:val="20"/>
              </w:rPr>
            </w:pPr>
            <w:r w:rsidRPr="00AA4DFA">
              <w:rPr>
                <w:bCs/>
                <w:sz w:val="20"/>
                <w:szCs w:val="20"/>
              </w:rPr>
              <w:t>0.31</w:t>
            </w:r>
          </w:p>
        </w:tc>
        <w:tc>
          <w:tcPr>
            <w:tcW w:w="1125" w:type="dxa"/>
            <w:vAlign w:val="center"/>
          </w:tcPr>
          <w:p w14:paraId="579B9811" w14:textId="77777777" w:rsidR="004A2C34" w:rsidRPr="00AA4DFA" w:rsidRDefault="004A2C34" w:rsidP="004A2C34">
            <w:pPr>
              <w:jc w:val="center"/>
              <w:rPr>
                <w:bCs/>
                <w:sz w:val="20"/>
                <w:szCs w:val="20"/>
              </w:rPr>
            </w:pPr>
            <w:r w:rsidRPr="00AA4DFA">
              <w:rPr>
                <w:bCs/>
                <w:sz w:val="20"/>
                <w:szCs w:val="20"/>
              </w:rPr>
              <w:t>0.54</w:t>
            </w:r>
          </w:p>
        </w:tc>
      </w:tr>
      <w:tr w:rsidR="004A2C34" w:rsidRPr="00AA4DFA" w14:paraId="286B041F" w14:textId="77777777" w:rsidTr="004A2C34">
        <w:trPr>
          <w:trHeight w:val="288"/>
        </w:trPr>
        <w:tc>
          <w:tcPr>
            <w:tcW w:w="523" w:type="dxa"/>
            <w:vAlign w:val="center"/>
          </w:tcPr>
          <w:p w14:paraId="48DB54BF" w14:textId="77777777" w:rsidR="004A2C34" w:rsidRPr="00AA4DFA" w:rsidRDefault="004A2C34" w:rsidP="004A2C34">
            <w:pPr>
              <w:jc w:val="center"/>
              <w:rPr>
                <w:rFonts w:eastAsia="Calibri"/>
                <w:sz w:val="20"/>
                <w:szCs w:val="18"/>
                <w14:ligatures w14:val="standardContextual"/>
              </w:rPr>
            </w:pPr>
          </w:p>
        </w:tc>
        <w:tc>
          <w:tcPr>
            <w:tcW w:w="4787" w:type="dxa"/>
            <w:tcBorders>
              <w:right w:val="single" w:sz="4" w:space="0" w:color="auto"/>
            </w:tcBorders>
            <w:vAlign w:val="center"/>
          </w:tcPr>
          <w:p w14:paraId="214EFD14" w14:textId="77777777" w:rsidR="004A2C34" w:rsidRPr="00AA4DFA" w:rsidRDefault="004A2C34" w:rsidP="004A2C34">
            <w:pPr>
              <w:jc w:val="center"/>
              <w:rPr>
                <w:rFonts w:eastAsia="Calibri"/>
                <w:b/>
                <w:sz w:val="20"/>
                <w:szCs w:val="18"/>
                <w14:ligatures w14:val="standardContextual"/>
              </w:rPr>
            </w:pPr>
            <w:r w:rsidRPr="00AA4DFA">
              <w:rPr>
                <w:rFonts w:eastAsia="Calibri"/>
                <w:b/>
                <w:sz w:val="20"/>
                <w:szCs w:val="18"/>
                <w14:ligatures w14:val="standardContextual"/>
              </w:rPr>
              <w:t>S.</w:t>
            </w:r>
            <w:r w:rsidRPr="00AA4DFA">
              <w:rPr>
                <w:rFonts w:eastAsia="Calibri"/>
                <w:b/>
                <w:spacing w:val="-7"/>
                <w:sz w:val="20"/>
                <w:szCs w:val="18"/>
                <w14:ligatures w14:val="standardContextual"/>
              </w:rPr>
              <w:t xml:space="preserve"> </w:t>
            </w:r>
            <w:r w:rsidRPr="00AA4DFA">
              <w:rPr>
                <w:rFonts w:eastAsia="Calibri"/>
                <w:b/>
                <w:sz w:val="20"/>
                <w:szCs w:val="18"/>
                <w14:ligatures w14:val="standardContextual"/>
              </w:rPr>
              <w:t>Em.</w:t>
            </w:r>
            <w:r w:rsidRPr="00AA4DFA">
              <w:rPr>
                <w:rFonts w:eastAsia="Calibri"/>
                <w:b/>
                <w:spacing w:val="-9"/>
                <w:sz w:val="20"/>
                <w:szCs w:val="18"/>
                <w14:ligatures w14:val="standardContextual"/>
              </w:rPr>
              <w:t xml:space="preserve"> </w:t>
            </w:r>
            <w:r w:rsidRPr="00AA4DFA">
              <w:rPr>
                <w:rFonts w:eastAsia="Calibri"/>
                <w:b/>
                <w:spacing w:val="-5"/>
                <w:sz w:val="20"/>
                <w:szCs w:val="18"/>
                <w14:ligatures w14:val="standardContextual"/>
              </w:rPr>
              <w:t>(±)</w:t>
            </w:r>
          </w:p>
        </w:tc>
        <w:tc>
          <w:tcPr>
            <w:tcW w:w="875" w:type="dxa"/>
            <w:vAlign w:val="center"/>
          </w:tcPr>
          <w:p w14:paraId="6E4FAC00" w14:textId="77777777" w:rsidR="004A2C34" w:rsidRPr="00AA4DFA" w:rsidRDefault="004A2C34" w:rsidP="004A2C34">
            <w:pPr>
              <w:jc w:val="center"/>
              <w:rPr>
                <w:sz w:val="20"/>
                <w:szCs w:val="20"/>
              </w:rPr>
            </w:pPr>
            <w:r w:rsidRPr="00AA4DFA">
              <w:rPr>
                <w:bCs/>
                <w:sz w:val="20"/>
                <w:szCs w:val="20"/>
              </w:rPr>
              <w:t>0.32</w:t>
            </w:r>
          </w:p>
        </w:tc>
        <w:tc>
          <w:tcPr>
            <w:tcW w:w="965" w:type="dxa"/>
            <w:vAlign w:val="center"/>
          </w:tcPr>
          <w:p w14:paraId="01865DA3" w14:textId="77777777" w:rsidR="004A2C34" w:rsidRPr="00AA4DFA" w:rsidRDefault="004A2C34" w:rsidP="004A2C34">
            <w:pPr>
              <w:jc w:val="center"/>
              <w:rPr>
                <w:sz w:val="20"/>
                <w:szCs w:val="20"/>
              </w:rPr>
            </w:pPr>
            <w:r w:rsidRPr="00AA4DFA">
              <w:rPr>
                <w:bCs/>
                <w:sz w:val="20"/>
                <w:szCs w:val="20"/>
              </w:rPr>
              <w:t>1.78</w:t>
            </w:r>
          </w:p>
        </w:tc>
        <w:tc>
          <w:tcPr>
            <w:tcW w:w="860" w:type="dxa"/>
            <w:vAlign w:val="center"/>
          </w:tcPr>
          <w:p w14:paraId="1AC2DD68" w14:textId="77777777" w:rsidR="004A2C34" w:rsidRPr="00AA4DFA" w:rsidRDefault="004A2C34" w:rsidP="004A2C34">
            <w:pPr>
              <w:jc w:val="center"/>
              <w:rPr>
                <w:sz w:val="20"/>
                <w:szCs w:val="20"/>
              </w:rPr>
            </w:pPr>
            <w:r w:rsidRPr="00AA4DFA">
              <w:rPr>
                <w:bCs/>
                <w:sz w:val="20"/>
                <w:szCs w:val="20"/>
              </w:rPr>
              <w:t>0.25</w:t>
            </w:r>
          </w:p>
        </w:tc>
        <w:tc>
          <w:tcPr>
            <w:tcW w:w="900" w:type="dxa"/>
            <w:vAlign w:val="center"/>
          </w:tcPr>
          <w:p w14:paraId="40B4922F" w14:textId="77777777" w:rsidR="004A2C34" w:rsidRPr="00AA4DFA" w:rsidRDefault="004A2C34" w:rsidP="004A2C34">
            <w:pPr>
              <w:jc w:val="center"/>
              <w:rPr>
                <w:sz w:val="20"/>
                <w:szCs w:val="20"/>
              </w:rPr>
            </w:pPr>
            <w:r w:rsidRPr="00AA4DFA">
              <w:rPr>
                <w:color w:val="000000"/>
                <w:sz w:val="20"/>
                <w:szCs w:val="20"/>
              </w:rPr>
              <w:t>0.22</w:t>
            </w:r>
          </w:p>
        </w:tc>
        <w:tc>
          <w:tcPr>
            <w:tcW w:w="900" w:type="dxa"/>
            <w:vAlign w:val="center"/>
          </w:tcPr>
          <w:p w14:paraId="6A58EB47" w14:textId="77777777" w:rsidR="004A2C34" w:rsidRPr="00AA4DFA" w:rsidRDefault="004A2C34" w:rsidP="004A2C34">
            <w:pPr>
              <w:jc w:val="center"/>
              <w:rPr>
                <w:sz w:val="20"/>
                <w:szCs w:val="20"/>
              </w:rPr>
            </w:pPr>
            <w:r w:rsidRPr="00AA4DFA">
              <w:rPr>
                <w:color w:val="000000"/>
                <w:sz w:val="20"/>
                <w:szCs w:val="20"/>
              </w:rPr>
              <w:t>43.12</w:t>
            </w:r>
          </w:p>
        </w:tc>
        <w:tc>
          <w:tcPr>
            <w:tcW w:w="1200" w:type="dxa"/>
            <w:vAlign w:val="center"/>
          </w:tcPr>
          <w:p w14:paraId="7046EEFD" w14:textId="77777777" w:rsidR="004A2C34" w:rsidRPr="00AA4DFA" w:rsidRDefault="004A2C34" w:rsidP="004A2C34">
            <w:pPr>
              <w:jc w:val="center"/>
              <w:rPr>
                <w:bCs/>
                <w:sz w:val="20"/>
                <w:szCs w:val="20"/>
              </w:rPr>
            </w:pPr>
            <w:r w:rsidRPr="00AA4DFA">
              <w:rPr>
                <w:color w:val="000000"/>
                <w:sz w:val="20"/>
                <w:szCs w:val="20"/>
              </w:rPr>
              <w:t>15.97</w:t>
            </w:r>
          </w:p>
        </w:tc>
        <w:tc>
          <w:tcPr>
            <w:tcW w:w="690" w:type="dxa"/>
            <w:vAlign w:val="center"/>
          </w:tcPr>
          <w:p w14:paraId="6C4B44D6" w14:textId="77777777" w:rsidR="004A2C34" w:rsidRPr="00AA4DFA" w:rsidRDefault="004A2C34" w:rsidP="004A2C34">
            <w:pPr>
              <w:jc w:val="center"/>
              <w:rPr>
                <w:bCs/>
                <w:sz w:val="20"/>
                <w:szCs w:val="20"/>
              </w:rPr>
            </w:pPr>
            <w:r w:rsidRPr="00AA4DFA">
              <w:rPr>
                <w:bCs/>
                <w:sz w:val="20"/>
                <w:szCs w:val="20"/>
              </w:rPr>
              <w:t>0.07</w:t>
            </w:r>
          </w:p>
        </w:tc>
        <w:tc>
          <w:tcPr>
            <w:tcW w:w="1080" w:type="dxa"/>
            <w:vAlign w:val="center"/>
          </w:tcPr>
          <w:p w14:paraId="1E9CB95C" w14:textId="77777777" w:rsidR="004A2C34" w:rsidRPr="00AA4DFA" w:rsidRDefault="004A2C34" w:rsidP="004A2C34">
            <w:pPr>
              <w:jc w:val="center"/>
              <w:rPr>
                <w:bCs/>
                <w:sz w:val="20"/>
                <w:szCs w:val="20"/>
              </w:rPr>
            </w:pPr>
            <w:r w:rsidRPr="00AA4DFA">
              <w:rPr>
                <w:bCs/>
                <w:sz w:val="20"/>
                <w:szCs w:val="20"/>
              </w:rPr>
              <w:t>0.10</w:t>
            </w:r>
          </w:p>
        </w:tc>
        <w:tc>
          <w:tcPr>
            <w:tcW w:w="1125" w:type="dxa"/>
            <w:vAlign w:val="center"/>
          </w:tcPr>
          <w:p w14:paraId="7D7FBC62" w14:textId="77777777" w:rsidR="004A2C34" w:rsidRPr="00AA4DFA" w:rsidRDefault="004A2C34" w:rsidP="004A2C34">
            <w:pPr>
              <w:jc w:val="center"/>
              <w:rPr>
                <w:bCs/>
                <w:sz w:val="20"/>
                <w:szCs w:val="20"/>
              </w:rPr>
            </w:pPr>
            <w:r w:rsidRPr="00AA4DFA">
              <w:rPr>
                <w:bCs/>
                <w:sz w:val="20"/>
                <w:szCs w:val="20"/>
              </w:rPr>
              <w:t>0.27</w:t>
            </w:r>
          </w:p>
        </w:tc>
      </w:tr>
      <w:tr w:rsidR="004A2C34" w:rsidRPr="00AA4DFA" w14:paraId="43337C03" w14:textId="77777777" w:rsidTr="004A2C34">
        <w:trPr>
          <w:trHeight w:val="288"/>
        </w:trPr>
        <w:tc>
          <w:tcPr>
            <w:tcW w:w="523" w:type="dxa"/>
            <w:vAlign w:val="center"/>
          </w:tcPr>
          <w:p w14:paraId="2C89F14E" w14:textId="77777777" w:rsidR="004A2C34" w:rsidRPr="00AA4DFA" w:rsidRDefault="004A2C34" w:rsidP="004A2C34">
            <w:pPr>
              <w:jc w:val="center"/>
              <w:rPr>
                <w:rFonts w:eastAsia="Calibri"/>
                <w:sz w:val="20"/>
                <w:szCs w:val="18"/>
                <w14:ligatures w14:val="standardContextual"/>
              </w:rPr>
            </w:pPr>
          </w:p>
        </w:tc>
        <w:tc>
          <w:tcPr>
            <w:tcW w:w="4787" w:type="dxa"/>
            <w:tcBorders>
              <w:right w:val="single" w:sz="4" w:space="0" w:color="auto"/>
            </w:tcBorders>
            <w:vAlign w:val="center"/>
          </w:tcPr>
          <w:p w14:paraId="42FB0139" w14:textId="77777777" w:rsidR="004A2C34" w:rsidRPr="00AA4DFA" w:rsidRDefault="004A2C34" w:rsidP="004A2C34">
            <w:pPr>
              <w:jc w:val="center"/>
              <w:rPr>
                <w:rFonts w:eastAsia="Calibri"/>
                <w:b/>
                <w:sz w:val="20"/>
                <w:szCs w:val="18"/>
                <w14:ligatures w14:val="standardContextual"/>
              </w:rPr>
            </w:pPr>
            <w:r w:rsidRPr="00AA4DFA">
              <w:rPr>
                <w:b/>
                <w:sz w:val="20"/>
                <w:szCs w:val="18"/>
              </w:rPr>
              <w:t>C.V (%)</w:t>
            </w:r>
          </w:p>
        </w:tc>
        <w:tc>
          <w:tcPr>
            <w:tcW w:w="875" w:type="dxa"/>
            <w:vAlign w:val="center"/>
          </w:tcPr>
          <w:p w14:paraId="326AB0EA" w14:textId="77777777" w:rsidR="004A2C34" w:rsidRPr="00AA4DFA" w:rsidRDefault="004A2C34" w:rsidP="004A2C34">
            <w:pPr>
              <w:jc w:val="center"/>
              <w:rPr>
                <w:sz w:val="20"/>
                <w:szCs w:val="20"/>
              </w:rPr>
            </w:pPr>
            <w:r w:rsidRPr="00AA4DFA">
              <w:rPr>
                <w:bCs/>
                <w:sz w:val="20"/>
                <w:szCs w:val="20"/>
              </w:rPr>
              <w:t>6.47</w:t>
            </w:r>
          </w:p>
        </w:tc>
        <w:tc>
          <w:tcPr>
            <w:tcW w:w="965" w:type="dxa"/>
            <w:vAlign w:val="center"/>
          </w:tcPr>
          <w:p w14:paraId="4211C63E" w14:textId="77777777" w:rsidR="004A2C34" w:rsidRPr="00AA4DFA" w:rsidRDefault="004A2C34" w:rsidP="004A2C34">
            <w:pPr>
              <w:jc w:val="center"/>
              <w:rPr>
                <w:sz w:val="20"/>
                <w:szCs w:val="20"/>
              </w:rPr>
            </w:pPr>
            <w:r w:rsidRPr="00AA4DFA">
              <w:rPr>
                <w:bCs/>
                <w:sz w:val="20"/>
                <w:szCs w:val="20"/>
              </w:rPr>
              <w:t>2.01</w:t>
            </w:r>
          </w:p>
        </w:tc>
        <w:tc>
          <w:tcPr>
            <w:tcW w:w="860" w:type="dxa"/>
            <w:vAlign w:val="center"/>
          </w:tcPr>
          <w:p w14:paraId="3EEF0C12" w14:textId="77777777" w:rsidR="004A2C34" w:rsidRPr="00AA4DFA" w:rsidRDefault="004A2C34" w:rsidP="004A2C34">
            <w:pPr>
              <w:jc w:val="center"/>
              <w:rPr>
                <w:sz w:val="20"/>
                <w:szCs w:val="20"/>
              </w:rPr>
            </w:pPr>
            <w:r w:rsidRPr="00AA4DFA">
              <w:rPr>
                <w:bCs/>
                <w:sz w:val="20"/>
                <w:szCs w:val="20"/>
              </w:rPr>
              <w:t>5.79</w:t>
            </w:r>
          </w:p>
        </w:tc>
        <w:tc>
          <w:tcPr>
            <w:tcW w:w="900" w:type="dxa"/>
            <w:vAlign w:val="center"/>
          </w:tcPr>
          <w:p w14:paraId="73AED651" w14:textId="77777777" w:rsidR="004A2C34" w:rsidRPr="00AA4DFA" w:rsidRDefault="004A2C34" w:rsidP="004A2C34">
            <w:pPr>
              <w:jc w:val="center"/>
              <w:rPr>
                <w:sz w:val="20"/>
                <w:szCs w:val="20"/>
              </w:rPr>
            </w:pPr>
            <w:r w:rsidRPr="00AA4DFA">
              <w:rPr>
                <w:color w:val="000000"/>
                <w:sz w:val="20"/>
                <w:szCs w:val="20"/>
              </w:rPr>
              <w:t>6.02</w:t>
            </w:r>
          </w:p>
        </w:tc>
        <w:tc>
          <w:tcPr>
            <w:tcW w:w="900" w:type="dxa"/>
            <w:vAlign w:val="center"/>
          </w:tcPr>
          <w:p w14:paraId="1560E215" w14:textId="77777777" w:rsidR="004A2C34" w:rsidRPr="00AA4DFA" w:rsidRDefault="004A2C34" w:rsidP="004A2C34">
            <w:pPr>
              <w:jc w:val="center"/>
              <w:rPr>
                <w:sz w:val="20"/>
                <w:szCs w:val="20"/>
              </w:rPr>
            </w:pPr>
            <w:r w:rsidRPr="00AA4DFA">
              <w:rPr>
                <w:color w:val="000000"/>
                <w:sz w:val="20"/>
                <w:szCs w:val="20"/>
              </w:rPr>
              <w:t>5.59</w:t>
            </w:r>
          </w:p>
        </w:tc>
        <w:tc>
          <w:tcPr>
            <w:tcW w:w="1200" w:type="dxa"/>
            <w:vAlign w:val="center"/>
          </w:tcPr>
          <w:p w14:paraId="40CDEE76" w14:textId="77777777" w:rsidR="004A2C34" w:rsidRPr="00AA4DFA" w:rsidRDefault="004A2C34" w:rsidP="004A2C34">
            <w:pPr>
              <w:jc w:val="center"/>
              <w:rPr>
                <w:bCs/>
                <w:sz w:val="20"/>
                <w:szCs w:val="20"/>
              </w:rPr>
            </w:pPr>
            <w:r w:rsidRPr="00AA4DFA">
              <w:rPr>
                <w:color w:val="000000"/>
                <w:sz w:val="20"/>
                <w:szCs w:val="20"/>
              </w:rPr>
              <w:t>5.59</w:t>
            </w:r>
          </w:p>
        </w:tc>
        <w:tc>
          <w:tcPr>
            <w:tcW w:w="690" w:type="dxa"/>
            <w:vAlign w:val="center"/>
          </w:tcPr>
          <w:p w14:paraId="3741EC80" w14:textId="77777777" w:rsidR="004A2C34" w:rsidRPr="00AA4DFA" w:rsidRDefault="004A2C34" w:rsidP="004A2C34">
            <w:pPr>
              <w:jc w:val="center"/>
              <w:rPr>
                <w:bCs/>
                <w:sz w:val="20"/>
                <w:szCs w:val="20"/>
              </w:rPr>
            </w:pPr>
            <w:r w:rsidRPr="00AA4DFA">
              <w:rPr>
                <w:bCs/>
                <w:sz w:val="20"/>
                <w:szCs w:val="20"/>
              </w:rPr>
              <w:t>2.88</w:t>
            </w:r>
          </w:p>
        </w:tc>
        <w:tc>
          <w:tcPr>
            <w:tcW w:w="1080" w:type="dxa"/>
            <w:vAlign w:val="center"/>
          </w:tcPr>
          <w:p w14:paraId="771AB6D9" w14:textId="77777777" w:rsidR="004A2C34" w:rsidRPr="00AA4DFA" w:rsidRDefault="004A2C34" w:rsidP="004A2C34">
            <w:pPr>
              <w:jc w:val="center"/>
              <w:rPr>
                <w:bCs/>
                <w:sz w:val="20"/>
                <w:szCs w:val="20"/>
              </w:rPr>
            </w:pPr>
            <w:r w:rsidRPr="00AA4DFA">
              <w:rPr>
                <w:bCs/>
                <w:sz w:val="20"/>
                <w:szCs w:val="20"/>
              </w:rPr>
              <w:t>1.47</w:t>
            </w:r>
          </w:p>
        </w:tc>
        <w:tc>
          <w:tcPr>
            <w:tcW w:w="1125" w:type="dxa"/>
            <w:vAlign w:val="center"/>
          </w:tcPr>
          <w:p w14:paraId="56E5A68E" w14:textId="77777777" w:rsidR="004A2C34" w:rsidRPr="00AA4DFA" w:rsidRDefault="004A2C34" w:rsidP="004A2C34">
            <w:pPr>
              <w:jc w:val="center"/>
              <w:rPr>
                <w:bCs/>
                <w:sz w:val="20"/>
                <w:szCs w:val="20"/>
              </w:rPr>
            </w:pPr>
            <w:r w:rsidRPr="00AA4DFA">
              <w:rPr>
                <w:bCs/>
                <w:sz w:val="20"/>
                <w:szCs w:val="20"/>
              </w:rPr>
              <w:t>2.17</w:t>
            </w:r>
          </w:p>
        </w:tc>
      </w:tr>
    </w:tbl>
    <w:p w14:paraId="2929648B" w14:textId="77777777" w:rsidR="0028653C" w:rsidRPr="00AA4DFA" w:rsidRDefault="0028653C" w:rsidP="009A096D">
      <w:pPr>
        <w:spacing w:line="360" w:lineRule="auto"/>
        <w:ind w:right="14" w:firstLine="720"/>
        <w:jc w:val="both"/>
        <w:rPr>
          <w:rFonts w:eastAsia="Calibri"/>
          <w:szCs w:val="20"/>
          <w:lang w:val="en-US"/>
          <w14:ligatures w14:val="standardContextual"/>
        </w:rPr>
      </w:pPr>
    </w:p>
    <w:p w14:paraId="34030017" w14:textId="77777777" w:rsidR="0028653C" w:rsidRPr="00AA4DFA" w:rsidRDefault="0028653C" w:rsidP="00D061EA">
      <w:pPr>
        <w:spacing w:line="360" w:lineRule="auto"/>
        <w:ind w:right="14"/>
        <w:jc w:val="both"/>
        <w:rPr>
          <w:rFonts w:eastAsia="Calibri"/>
          <w:szCs w:val="20"/>
          <w:lang w:val="en-US"/>
          <w14:ligatures w14:val="standardContextual"/>
        </w:rPr>
        <w:sectPr w:rsidR="0028653C" w:rsidRPr="00AA4DFA" w:rsidSect="003C0F59">
          <w:pgSz w:w="15840" w:h="12240" w:orient="landscape"/>
          <w:pgMar w:top="900" w:right="720" w:bottom="900" w:left="720" w:header="720" w:footer="720" w:gutter="0"/>
          <w:cols w:space="720"/>
          <w:docGrid w:linePitch="360"/>
        </w:sectPr>
      </w:pPr>
    </w:p>
    <w:p w14:paraId="722732CB" w14:textId="77777777" w:rsidR="00F93268" w:rsidRPr="00AA4DFA" w:rsidRDefault="00F93268" w:rsidP="004E317B">
      <w:pPr>
        <w:pStyle w:val="Heading1"/>
        <w:spacing w:before="0" w:line="360" w:lineRule="auto"/>
        <w:jc w:val="both"/>
        <w:rPr>
          <w:rFonts w:ascii="Times New Roman" w:hAnsi="Times New Roman" w:cs="Times New Roman"/>
          <w:b/>
          <w:bCs/>
          <w:color w:val="000000" w:themeColor="text1"/>
          <w:sz w:val="24"/>
          <w:szCs w:val="24"/>
        </w:rPr>
      </w:pPr>
      <w:r w:rsidRPr="00AA4DFA">
        <w:rPr>
          <w:rFonts w:ascii="Times New Roman" w:hAnsi="Times New Roman" w:cs="Times New Roman"/>
          <w:b/>
          <w:bCs/>
          <w:color w:val="000000" w:themeColor="text1"/>
          <w:sz w:val="24"/>
          <w:szCs w:val="24"/>
        </w:rPr>
        <w:lastRenderedPageBreak/>
        <w:t>4. Conclusion</w:t>
      </w:r>
    </w:p>
    <w:p w14:paraId="64D477AD" w14:textId="77777777" w:rsidR="00D061EA" w:rsidRPr="00AA4DFA" w:rsidRDefault="00D061EA" w:rsidP="00151109">
      <w:pPr>
        <w:spacing w:line="360" w:lineRule="auto"/>
        <w:jc w:val="both"/>
        <w:rPr>
          <w:rFonts w:eastAsia="Calibri"/>
          <w:szCs w:val="20"/>
          <w14:ligatures w14:val="standardContextual"/>
        </w:rPr>
      </w:pPr>
      <w:r w:rsidRPr="00AA4DFA">
        <w:t xml:space="preserve">The present investigation showed that integrated nutrient management significantly improved the growth, flowering, yield and quality attributes of brinjal under the experimental conditions. Among the treatments, T₉ (vermicompost @ 3 t/ha + FYM @ 6.25 t/ha + 50% RDF) was the most effective, as it enhanced vegetative growth, promoted earlier flowering and recorded the highest number of flowers, fruits, fruit yield per plant, fruit yield per hectare and TSS content. However, T₆ (vermicompost @ 3 t/ha + 50% RDF) produced the maximum individual fruit weight, fruit diameter, ascorbic acid content and anthocyanin content. In contrast, T₁ (absolute control) recorded the lowest values for most parameters. The integrated application of vermicompost @ 3 t/ha + FYM @ 6.25 t/ha + 50% RDF therefore appears promising for improving productivity and fruit quality of brinjal under the </w:t>
      </w:r>
      <w:proofErr w:type="spellStart"/>
      <w:r w:rsidRPr="00AA4DFA">
        <w:t>agro</w:t>
      </w:r>
      <w:proofErr w:type="spellEnd"/>
      <w:r w:rsidRPr="00AA4DFA">
        <w:t>-climatic conditions of the experimental area. However, because the findings are based on a single season at a single location, the treatment should be validated through multi-season and multi-location trials, along with economic analysis, before wider field adoption.</w:t>
      </w:r>
    </w:p>
    <w:p w14:paraId="46001146" w14:textId="77777777" w:rsidR="005F7857" w:rsidRPr="00AA4DFA" w:rsidRDefault="00BF2A7E" w:rsidP="005F7857">
      <w:pPr>
        <w:pStyle w:val="Heading1"/>
        <w:spacing w:before="0" w:after="0" w:line="360" w:lineRule="auto"/>
        <w:rPr>
          <w:color w:val="000000" w:themeColor="text1"/>
        </w:rPr>
      </w:pPr>
      <w:r w:rsidRPr="00AA4DFA">
        <w:rPr>
          <w:rFonts w:ascii="Times New Roman" w:hAnsi="Times New Roman" w:cs="Times New Roman"/>
          <w:b/>
          <w:bCs/>
          <w:color w:val="000000" w:themeColor="text1"/>
          <w:sz w:val="24"/>
          <w:szCs w:val="24"/>
        </w:rPr>
        <w:t xml:space="preserve"> Limitations</w:t>
      </w:r>
    </w:p>
    <w:p w14:paraId="0BA373B7" w14:textId="77777777" w:rsidR="005F7857" w:rsidRDefault="00BF2A7E" w:rsidP="005F7857">
      <w:pPr>
        <w:spacing w:line="360" w:lineRule="auto"/>
        <w:jc w:val="both"/>
      </w:pPr>
      <w:r w:rsidRPr="00AA4DFA">
        <w:t>This study was conducted during a single season at one experimental location, which limits the broader generalisation of the findings. Initial soil-test data and the nutrient composition of the farmyard manure and vermicompost were not recorded, and nutrient-use efficiency was not assessed. A formal economic analysis, including cost of cultivation and benefit-cost ratio, was not carried out. Long-term effects on soil health, pest and disease incidence, post-harvest storage quality and consumer acceptability were also outside the scope of the study. Future research should include multi-season and multi-location trials, baseline soil and manure analysis, and formal economic evaluation before wider field recommendation.</w:t>
      </w:r>
    </w:p>
    <w:p w14:paraId="76330020" w14:textId="77777777" w:rsidR="00A81AFD" w:rsidRDefault="00A81AFD" w:rsidP="005F7857">
      <w:pPr>
        <w:spacing w:line="360" w:lineRule="auto"/>
        <w:jc w:val="both"/>
      </w:pPr>
    </w:p>
    <w:p w14:paraId="08C7E1AA" w14:textId="77777777" w:rsidR="00A81AFD" w:rsidRPr="00AA4DFA" w:rsidRDefault="00A81AFD" w:rsidP="005F7857">
      <w:pPr>
        <w:spacing w:line="360" w:lineRule="auto"/>
        <w:jc w:val="both"/>
        <w:rPr>
          <w:rFonts w:eastAsia="Calibri"/>
          <w:szCs w:val="20"/>
        </w:rPr>
      </w:pPr>
    </w:p>
    <w:p w14:paraId="189AD952" w14:textId="77777777" w:rsidR="005F7857" w:rsidRPr="00AA4DFA" w:rsidRDefault="00BF2A7E" w:rsidP="005F7857">
      <w:pPr>
        <w:pStyle w:val="Heading1"/>
        <w:spacing w:before="0" w:after="0" w:line="360" w:lineRule="auto"/>
        <w:rPr>
          <w:color w:val="000000" w:themeColor="text1"/>
        </w:rPr>
      </w:pPr>
      <w:r w:rsidRPr="00AA4DFA">
        <w:rPr>
          <w:rFonts w:ascii="Times New Roman" w:hAnsi="Times New Roman" w:cs="Times New Roman"/>
          <w:b/>
          <w:bCs/>
          <w:color w:val="000000" w:themeColor="text1"/>
          <w:sz w:val="24"/>
          <w:szCs w:val="24"/>
        </w:rPr>
        <w:lastRenderedPageBreak/>
        <w:t xml:space="preserve"> Acknowledgements</w:t>
      </w:r>
    </w:p>
    <w:p w14:paraId="078FEE38" w14:textId="77777777" w:rsidR="004E317B" w:rsidRPr="00AA4DFA" w:rsidRDefault="005F7857" w:rsidP="000C6BD7">
      <w:pPr>
        <w:pStyle w:val="Heading1"/>
        <w:spacing w:before="240" w:after="0" w:line="360" w:lineRule="auto"/>
        <w:ind w:firstLine="720"/>
        <w:jc w:val="both"/>
        <w:rPr>
          <w:rFonts w:ascii="Times New Roman" w:eastAsia="Calibri" w:hAnsi="Times New Roman" w:cs="Times New Roman"/>
          <w:color w:val="auto"/>
          <w:sz w:val="24"/>
          <w:szCs w:val="20"/>
        </w:rPr>
      </w:pPr>
      <w:r w:rsidRPr="00AA4DFA">
        <w:rPr>
          <w:rFonts w:ascii="Times New Roman" w:eastAsia="Calibri" w:hAnsi="Times New Roman" w:cs="Times New Roman"/>
          <w:color w:val="auto"/>
          <w:sz w:val="24"/>
          <w:szCs w:val="20"/>
        </w:rPr>
        <w:t xml:space="preserve">The authors are thankful to Prof. </w:t>
      </w:r>
      <w:proofErr w:type="spellStart"/>
      <w:r w:rsidRPr="00AA4DFA">
        <w:rPr>
          <w:rFonts w:ascii="Times New Roman" w:eastAsia="Calibri" w:hAnsi="Times New Roman" w:cs="Times New Roman"/>
          <w:color w:val="auto"/>
          <w:sz w:val="24"/>
          <w:szCs w:val="20"/>
        </w:rPr>
        <w:t>Shiwanand</w:t>
      </w:r>
      <w:proofErr w:type="spellEnd"/>
      <w:r w:rsidRPr="00AA4DFA">
        <w:rPr>
          <w:rFonts w:ascii="Times New Roman" w:eastAsia="Calibri" w:hAnsi="Times New Roman" w:cs="Times New Roman"/>
          <w:color w:val="auto"/>
          <w:sz w:val="24"/>
          <w:szCs w:val="20"/>
        </w:rPr>
        <w:t xml:space="preserve"> Pandey, Head, Department of Horticulture, SAAST, Chhatrapati Shahu Ji Maharaj University, Kanpur for allowing to carry out this experiment at Horticultural Experimental Field, SAAST, Chhatrapati Shahu Ji Maharaj University, Kanpur. This work is a part of the thesis for M.Sc. work submitted to the Chhatrapati Shahu Ji Maharaj University, Kanpur, Uttar Pradesh, India. The authors are also thankful to Dr Vinay Kumar for his guidance and support during the study.</w:t>
      </w:r>
    </w:p>
    <w:p w14:paraId="37B27C23" w14:textId="77777777" w:rsidR="008D0B95" w:rsidRPr="00AA4DFA" w:rsidRDefault="008D0B95" w:rsidP="008D0B95">
      <w:pPr>
        <w:spacing w:after="160" w:line="278" w:lineRule="auto"/>
        <w:rPr>
          <w:rFonts w:ascii="Arial" w:eastAsia="Calibri" w:hAnsi="Arial" w:cs="Arial"/>
          <w:b/>
          <w:bCs/>
          <w:kern w:val="2"/>
          <w:sz w:val="20"/>
          <w:szCs w:val="20"/>
          <w:lang w:val="en-US" w:eastAsia="en-US" w:bidi="ar-SA"/>
          <w14:ligatures w14:val="standardContextual"/>
        </w:rPr>
      </w:pPr>
      <w:r w:rsidRPr="00AA4DFA">
        <w:rPr>
          <w:rFonts w:ascii="Arial" w:eastAsia="Calibri" w:hAnsi="Arial" w:cs="Arial"/>
          <w:b/>
          <w:bCs/>
          <w:kern w:val="2"/>
          <w:sz w:val="20"/>
          <w:szCs w:val="20"/>
          <w:lang w:val="en-US" w:eastAsia="en-US" w:bidi="ar-SA"/>
          <w14:ligatures w14:val="standardContextual"/>
        </w:rPr>
        <w:t>Declaration of AI Use</w:t>
      </w:r>
    </w:p>
    <w:p w14:paraId="5551217B" w14:textId="77777777" w:rsidR="008D0B95" w:rsidRPr="00AA4DFA" w:rsidRDefault="008D0B95" w:rsidP="008D0B95">
      <w:pPr>
        <w:spacing w:after="160" w:line="278" w:lineRule="auto"/>
        <w:jc w:val="both"/>
        <w:rPr>
          <w:rFonts w:ascii="Arial" w:eastAsia="Calibri" w:hAnsi="Arial" w:cs="Arial"/>
          <w:kern w:val="2"/>
          <w:sz w:val="20"/>
          <w:szCs w:val="20"/>
          <w:lang w:val="en-US" w:eastAsia="en-US" w:bidi="ar-SA"/>
          <w14:ligatures w14:val="standardContextual"/>
        </w:rPr>
      </w:pPr>
      <w:r w:rsidRPr="00AA4DFA">
        <w:rPr>
          <w:rFonts w:ascii="Arial" w:eastAsia="Calibri" w:hAnsi="Arial" w:cs="Arial"/>
          <w:kern w:val="2"/>
          <w:sz w:val="20"/>
          <w:szCs w:val="20"/>
          <w:lang w:val="en-US" w:eastAsia="en-US" w:bidi="ar-SA"/>
          <w14:ligatures w14:val="standardContextual"/>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47E5290" w14:textId="77777777" w:rsidR="008D0B95" w:rsidRPr="00AA4DFA" w:rsidRDefault="008D0B95" w:rsidP="008D0B95"/>
    <w:p w14:paraId="1D3220DA" w14:textId="77777777" w:rsidR="005F7857" w:rsidRPr="00AA4DFA" w:rsidRDefault="005F7857" w:rsidP="004E317B">
      <w:pPr>
        <w:pStyle w:val="Heading1"/>
        <w:spacing w:before="0" w:line="360" w:lineRule="auto"/>
        <w:rPr>
          <w:rFonts w:ascii="Times New Roman" w:hAnsi="Times New Roman" w:cs="Times New Roman"/>
          <w:b/>
          <w:bCs/>
          <w:color w:val="000000" w:themeColor="text1"/>
          <w:sz w:val="24"/>
          <w:szCs w:val="24"/>
        </w:rPr>
      </w:pPr>
    </w:p>
    <w:p w14:paraId="27230A10" w14:textId="77777777" w:rsidR="00BF2A7E" w:rsidRPr="00AA4DFA" w:rsidRDefault="00BF2A7E" w:rsidP="004E317B">
      <w:pPr>
        <w:pStyle w:val="Heading1"/>
        <w:spacing w:before="0" w:line="360" w:lineRule="auto"/>
        <w:rPr>
          <w:rFonts w:ascii="Times New Roman" w:hAnsi="Times New Roman" w:cs="Times New Roman"/>
          <w:b/>
          <w:bCs/>
          <w:color w:val="000000" w:themeColor="text1"/>
          <w:sz w:val="24"/>
          <w:szCs w:val="24"/>
        </w:rPr>
      </w:pPr>
      <w:r w:rsidRPr="00AA4DFA">
        <w:rPr>
          <w:rFonts w:ascii="Times New Roman" w:hAnsi="Times New Roman" w:cs="Times New Roman"/>
          <w:b/>
          <w:bCs/>
          <w:color w:val="000000" w:themeColor="text1"/>
          <w:sz w:val="24"/>
          <w:szCs w:val="24"/>
        </w:rPr>
        <w:t>References</w:t>
      </w:r>
    </w:p>
    <w:p w14:paraId="4D789D88" w14:textId="12DA6A48" w:rsidR="006A4655" w:rsidRPr="006A4655" w:rsidRDefault="006A4655" w:rsidP="006A4655">
      <w:pPr>
        <w:ind w:left="540" w:hanging="540"/>
        <w:jc w:val="both"/>
        <w:rPr>
          <w:lang w:val="en-US" w:eastAsia="en-US" w:bidi="ar-SA"/>
        </w:rPr>
      </w:pPr>
      <w:r>
        <w:t>Ajmeri, A. S., Bairwa, H., Pilania, S., Meena, R., Bunker, R., Meena, R. L., &amp; Chandel, R. (2024). Effect of organic and inorganic fertilizers on growth, yield and quality of radish (</w:t>
      </w:r>
      <w:r>
        <w:rPr>
          <w:rStyle w:val="Emphasis"/>
        </w:rPr>
        <w:t>Raphanus sativus</w:t>
      </w:r>
      <w:r>
        <w:t xml:space="preserve"> L.) cv. Pusa Himani. </w:t>
      </w:r>
      <w:r>
        <w:rPr>
          <w:rStyle w:val="Emphasis"/>
        </w:rPr>
        <w:t>Annual Research &amp; Review in Biology, 39</w:t>
      </w:r>
      <w:r>
        <w:t xml:space="preserve">(10), 99–107. https://doi.org/10.9734/arrb/2024/v39i102145 </w:t>
      </w:r>
    </w:p>
    <w:p w14:paraId="27403E41" w14:textId="507C50F9" w:rsidR="006A4655" w:rsidRDefault="006A4655" w:rsidP="006A4655">
      <w:pPr>
        <w:ind w:left="540" w:hanging="540"/>
        <w:jc w:val="both"/>
      </w:pPr>
      <w:r w:rsidRPr="006A4655">
        <w:rPr>
          <w:lang w:val="nl-BE"/>
        </w:rPr>
        <w:t xml:space="preserve">Al Ali, M., Gençoğlan, C., &amp; Gençoğlan, S. (2019). </w:t>
      </w:r>
      <w:r>
        <w:t>The effects of organic and inorganic fertilizer applications on yield and plant vegetative growth of eggplant (</w:t>
      </w:r>
      <w:r>
        <w:rPr>
          <w:rStyle w:val="Emphasis"/>
        </w:rPr>
        <w:t>Solanum melongena</w:t>
      </w:r>
      <w:r>
        <w:t xml:space="preserve"> L.). </w:t>
      </w:r>
      <w:r>
        <w:rPr>
          <w:rStyle w:val="Emphasis"/>
        </w:rPr>
        <w:t>International Journal of Plant &amp; Soil Science, 29</w:t>
      </w:r>
      <w:r>
        <w:t xml:space="preserve">(1), 1–9. https://doi.org/10.9734/ijpss/2019/v29i130132 </w:t>
      </w:r>
    </w:p>
    <w:p w14:paraId="66A100E7" w14:textId="7BAB7FFE" w:rsidR="006A4655" w:rsidRDefault="006A4655" w:rsidP="006A4655">
      <w:pPr>
        <w:ind w:left="540" w:hanging="540"/>
        <w:jc w:val="both"/>
      </w:pPr>
      <w:r>
        <w:t xml:space="preserve">Indian Council of Agricultural Research. (2024). </w:t>
      </w:r>
      <w:r>
        <w:rPr>
          <w:rStyle w:val="Emphasis"/>
        </w:rPr>
        <w:t>Handbook of horticulture</w:t>
      </w:r>
      <w:r>
        <w:t xml:space="preserve"> (Vols. I–II). ICAR. </w:t>
      </w:r>
      <w:hyperlink r:id="rId20" w:tgtFrame="_new" w:history="1">
        <w:r>
          <w:rPr>
            <w:rStyle w:val="Hyperlink"/>
          </w:rPr>
          <w:t>https://icar.org.in/en/product/122</w:t>
        </w:r>
      </w:hyperlink>
      <w:r>
        <w:t xml:space="preserve"> </w:t>
      </w:r>
    </w:p>
    <w:p w14:paraId="49AC8E16" w14:textId="7F6F8741" w:rsidR="006A4655" w:rsidRDefault="006A4655" w:rsidP="006A4655">
      <w:pPr>
        <w:ind w:left="540" w:hanging="540"/>
        <w:jc w:val="both"/>
      </w:pPr>
      <w:r>
        <w:t>Arivazhagan, E., Kandasamy, R., &amp; Maniram, S. (2019). Influence of organic inputs on the growth, yield and quality of tomato (</w:t>
      </w:r>
      <w:r>
        <w:rPr>
          <w:rStyle w:val="Emphasis"/>
        </w:rPr>
        <w:t xml:space="preserve">Solanum </w:t>
      </w:r>
      <w:proofErr w:type="spellStart"/>
      <w:r>
        <w:rPr>
          <w:rStyle w:val="Emphasis"/>
        </w:rPr>
        <w:t>lycopersicum</w:t>
      </w:r>
      <w:proofErr w:type="spellEnd"/>
      <w:r>
        <w:t xml:space="preserve"> L.) cv. SIVAM. </w:t>
      </w:r>
      <w:r>
        <w:rPr>
          <w:rStyle w:val="Emphasis"/>
        </w:rPr>
        <w:t>Annals of Plant and Soil Research, 21</w:t>
      </w:r>
      <w:r>
        <w:t xml:space="preserve">(4), 367–370. </w:t>
      </w:r>
      <w:hyperlink r:id="rId21" w:tgtFrame="_new" w:history="1">
        <w:r>
          <w:rPr>
            <w:rStyle w:val="Hyperlink"/>
          </w:rPr>
          <w:t>https://gkvsociety.com/control/uploads/40520413.pdf</w:t>
        </w:r>
      </w:hyperlink>
      <w:r>
        <w:t xml:space="preserve"> </w:t>
      </w:r>
    </w:p>
    <w:p w14:paraId="7BD3B89B" w14:textId="5DE133F2" w:rsidR="006A4655" w:rsidRDefault="006A4655" w:rsidP="006A4655">
      <w:pPr>
        <w:ind w:left="540" w:hanging="540"/>
        <w:jc w:val="both"/>
      </w:pPr>
      <w:proofErr w:type="spellStart"/>
      <w:r>
        <w:t>Chatzistathis</w:t>
      </w:r>
      <w:proofErr w:type="spellEnd"/>
      <w:r>
        <w:t xml:space="preserve">, T., </w:t>
      </w:r>
      <w:proofErr w:type="spellStart"/>
      <w:r>
        <w:t>Sarropoulou</w:t>
      </w:r>
      <w:proofErr w:type="spellEnd"/>
      <w:r>
        <w:t xml:space="preserve">, V., Papaioannou, E., &amp; </w:t>
      </w:r>
      <w:proofErr w:type="spellStart"/>
      <w:r>
        <w:t>Giannakoula</w:t>
      </w:r>
      <w:proofErr w:type="spellEnd"/>
      <w:r>
        <w:t xml:space="preserve">, A. (2025). Inorganic and organic fertilization effects on the growth, nutrient uptake, chlorophyll fluorescence and fruit quality in </w:t>
      </w:r>
      <w:r>
        <w:rPr>
          <w:rStyle w:val="Emphasis"/>
        </w:rPr>
        <w:t>Solanum melongena</w:t>
      </w:r>
      <w:r>
        <w:t xml:space="preserve"> L. plants. </w:t>
      </w:r>
      <w:r>
        <w:rPr>
          <w:rStyle w:val="Emphasis"/>
        </w:rPr>
        <w:t>Agronomy, 15</w:t>
      </w:r>
      <w:r>
        <w:t xml:space="preserve">(4), Article 872. </w:t>
      </w:r>
      <w:hyperlink r:id="rId22" w:tgtFrame="_new" w:history="1">
        <w:r>
          <w:rPr>
            <w:rStyle w:val="Hyperlink"/>
          </w:rPr>
          <w:t>https://doi.org/10.3390/agronomy15040872</w:t>
        </w:r>
      </w:hyperlink>
      <w:r>
        <w:t xml:space="preserve"> </w:t>
      </w:r>
    </w:p>
    <w:p w14:paraId="045E119E" w14:textId="5325CDA5" w:rsidR="006A4655" w:rsidRDefault="006A4655" w:rsidP="006A4655">
      <w:pPr>
        <w:ind w:left="540" w:hanging="540"/>
        <w:jc w:val="both"/>
      </w:pPr>
      <w:r>
        <w:t xml:space="preserve">Chauhan, M., Shilpa, S., </w:t>
      </w:r>
      <w:proofErr w:type="spellStart"/>
      <w:r>
        <w:t>Dhanai</w:t>
      </w:r>
      <w:proofErr w:type="spellEnd"/>
      <w:r>
        <w:t xml:space="preserve">, R., Kamran, M., </w:t>
      </w:r>
      <w:proofErr w:type="spellStart"/>
      <w:r>
        <w:t>Bhagta</w:t>
      </w:r>
      <w:proofErr w:type="spellEnd"/>
      <w:r>
        <w:t>, S., Kumari, R., &amp; Sharma, K. (2024). Comparative studies on application of organic and inorganic nutrients on performance of tomato (</w:t>
      </w:r>
      <w:r>
        <w:rPr>
          <w:rStyle w:val="Emphasis"/>
        </w:rPr>
        <w:t xml:space="preserve">Solanum </w:t>
      </w:r>
      <w:proofErr w:type="spellStart"/>
      <w:r>
        <w:rPr>
          <w:rStyle w:val="Emphasis"/>
        </w:rPr>
        <w:t>lycopersicum</w:t>
      </w:r>
      <w:proofErr w:type="spellEnd"/>
      <w:r>
        <w:t xml:space="preserve"> L.) in north western Himalayas. </w:t>
      </w:r>
      <w:r>
        <w:rPr>
          <w:rStyle w:val="Emphasis"/>
        </w:rPr>
        <w:t>Plant Archives, 24</w:t>
      </w:r>
      <w:r>
        <w:t xml:space="preserve">(2), 659–669. https://doi.org/10.51470/PLANTARCHIVES.2024.v24.no.2.092 </w:t>
      </w:r>
    </w:p>
    <w:p w14:paraId="27D67EE4" w14:textId="350D0583" w:rsidR="006A4655" w:rsidRDefault="006A4655" w:rsidP="006A4655">
      <w:pPr>
        <w:ind w:left="540" w:hanging="540"/>
        <w:jc w:val="both"/>
      </w:pPr>
      <w:r>
        <w:lastRenderedPageBreak/>
        <w:t xml:space="preserve">Choudhary, P., &amp; Saxena, S. (2023). Effect of organic farming on growth, yield and quality of solanaceous vegetables under dryland conditions of Jaipur district, Rajasthan. </w:t>
      </w:r>
      <w:r>
        <w:rPr>
          <w:rStyle w:val="Emphasis"/>
        </w:rPr>
        <w:t>Farming and Management, 8</w:t>
      </w:r>
      <w:r>
        <w:t xml:space="preserve">(1), 44–48. https://doi.org/10.31830/2456-8724.2023.FM-118 </w:t>
      </w:r>
    </w:p>
    <w:p w14:paraId="6ACEB5E9" w14:textId="3166486F" w:rsidR="006A4655" w:rsidRDefault="006A4655" w:rsidP="006A4655">
      <w:pPr>
        <w:ind w:left="540" w:hanging="540"/>
        <w:jc w:val="both"/>
      </w:pPr>
      <w:r>
        <w:t xml:space="preserve">Choudhury, B. (1976). </w:t>
      </w:r>
      <w:r>
        <w:rPr>
          <w:rStyle w:val="Emphasis"/>
        </w:rPr>
        <w:t>Vegetables</w:t>
      </w:r>
      <w:r>
        <w:t xml:space="preserve"> (4th ed., pp. 50–58). National Book Trust. </w:t>
      </w:r>
      <w:hyperlink r:id="rId23" w:tgtFrame="_new" w:history="1">
        <w:r>
          <w:rPr>
            <w:rStyle w:val="Hyperlink"/>
          </w:rPr>
          <w:t>https://worldveg.tind.io/record/1966</w:t>
        </w:r>
      </w:hyperlink>
      <w:r>
        <w:t xml:space="preserve"> </w:t>
      </w:r>
    </w:p>
    <w:p w14:paraId="1725979E" w14:textId="633FEC8A" w:rsidR="006A4655" w:rsidRDefault="006A4655" w:rsidP="006A4655">
      <w:pPr>
        <w:ind w:left="540" w:hanging="540"/>
        <w:jc w:val="both"/>
      </w:pPr>
      <w:r>
        <w:t>Chowdhury, M. H., &amp; Billah, S. M. (2020). Effect of organic and inorganic fertilizers on the yield response of red amaranth (</w:t>
      </w:r>
      <w:r>
        <w:rPr>
          <w:rStyle w:val="Emphasis"/>
        </w:rPr>
        <w:t xml:space="preserve">Amaranthus </w:t>
      </w:r>
      <w:proofErr w:type="spellStart"/>
      <w:r>
        <w:rPr>
          <w:rStyle w:val="Emphasis"/>
        </w:rPr>
        <w:t>curentus</w:t>
      </w:r>
      <w:proofErr w:type="spellEnd"/>
      <w:r>
        <w:t xml:space="preserve"> L.). </w:t>
      </w:r>
      <w:r>
        <w:rPr>
          <w:rStyle w:val="Emphasis"/>
        </w:rPr>
        <w:t>International Research Journal of Advanced Science, 1</w:t>
      </w:r>
      <w:r>
        <w:t xml:space="preserve">(2), 38–41. </w:t>
      </w:r>
    </w:p>
    <w:p w14:paraId="18365880" w14:textId="4BBF006A" w:rsidR="006A4655" w:rsidRDefault="006A4655" w:rsidP="006A4655">
      <w:pPr>
        <w:ind w:left="540" w:hanging="540"/>
        <w:jc w:val="both"/>
      </w:pPr>
      <w:r w:rsidRPr="006A4655">
        <w:rPr>
          <w:lang w:val="nl-BE"/>
        </w:rPr>
        <w:t xml:space="preserve">Devi, O. B., &amp; Kanaujia, S. P. (2020). </w:t>
      </w:r>
      <w:r>
        <w:t xml:space="preserve">Performance of various brinjal genotypes under foot-hill condition of Nagaland. </w:t>
      </w:r>
      <w:r>
        <w:rPr>
          <w:rStyle w:val="Emphasis"/>
        </w:rPr>
        <w:t>Annals of Plant and Soil Research, 22</w:t>
      </w:r>
      <w:r>
        <w:t xml:space="preserve">(2), 189–192. </w:t>
      </w:r>
      <w:hyperlink r:id="rId24" w:tgtFrame="_new" w:history="1">
        <w:r>
          <w:rPr>
            <w:rStyle w:val="Hyperlink"/>
          </w:rPr>
          <w:t>https://www.gkvsociety.com/control/uploads/40448917.pdf</w:t>
        </w:r>
      </w:hyperlink>
      <w:r>
        <w:t xml:space="preserve"> </w:t>
      </w:r>
    </w:p>
    <w:p w14:paraId="77EDE0A4" w14:textId="34530693" w:rsidR="006A4655" w:rsidRDefault="006A4655" w:rsidP="006A4655">
      <w:pPr>
        <w:ind w:left="540" w:hanging="540"/>
        <w:jc w:val="both"/>
      </w:pPr>
      <w:r>
        <w:t xml:space="preserve">Dubois, M., Gilles, K. A., Hamilton, J. K., </w:t>
      </w:r>
      <w:proofErr w:type="spellStart"/>
      <w:r>
        <w:t>Rebers</w:t>
      </w:r>
      <w:proofErr w:type="spellEnd"/>
      <w:r>
        <w:t xml:space="preserve">, P. A., &amp; Smith, F. (1956). Colorimetric method for determination of sugars and related substances. </w:t>
      </w:r>
      <w:r>
        <w:rPr>
          <w:rStyle w:val="Emphasis"/>
        </w:rPr>
        <w:t>Analytical Chemistry, 28</w:t>
      </w:r>
      <w:r>
        <w:t xml:space="preserve">(3), 350–356. </w:t>
      </w:r>
      <w:hyperlink r:id="rId25" w:tgtFrame="_new" w:history="1">
        <w:r>
          <w:rPr>
            <w:rStyle w:val="Hyperlink"/>
          </w:rPr>
          <w:t>https://doi.org/10.1021/ac60111a017</w:t>
        </w:r>
      </w:hyperlink>
      <w:r>
        <w:t xml:space="preserve"> </w:t>
      </w:r>
    </w:p>
    <w:p w14:paraId="7BCFF1FB" w14:textId="33FB00F6" w:rsidR="006A4655" w:rsidRDefault="006A4655" w:rsidP="006A4655">
      <w:pPr>
        <w:ind w:left="540" w:hanging="540"/>
        <w:jc w:val="both"/>
      </w:pPr>
      <w:r>
        <w:t>Dutta, M., Borah, D., Baishya, S., &amp; Rathi, S. (2022). Nutrient composition and total antioxidant activity in eggplant (</w:t>
      </w:r>
      <w:r>
        <w:rPr>
          <w:rStyle w:val="Emphasis"/>
        </w:rPr>
        <w:t>Solanum melongena</w:t>
      </w:r>
      <w:r>
        <w:t xml:space="preserve">) germplasm. </w:t>
      </w:r>
      <w:r>
        <w:rPr>
          <w:rStyle w:val="Emphasis"/>
        </w:rPr>
        <w:t>International Journal of Environment and Climate Change, 12</w:t>
      </w:r>
      <w:r>
        <w:t xml:space="preserve">(11), 1419–1425. </w:t>
      </w:r>
      <w:hyperlink r:id="rId26" w:tgtFrame="_new" w:history="1">
        <w:r>
          <w:rPr>
            <w:rStyle w:val="Hyperlink"/>
          </w:rPr>
          <w:t>https://journalijecc.com/index.php/IJECC/article/view/1161</w:t>
        </w:r>
      </w:hyperlink>
      <w:r>
        <w:t xml:space="preserve"> </w:t>
      </w:r>
    </w:p>
    <w:p w14:paraId="73831481" w14:textId="74DE76BC" w:rsidR="006A4655" w:rsidRDefault="006A4655" w:rsidP="006A4655">
      <w:pPr>
        <w:ind w:left="540" w:hanging="540"/>
        <w:jc w:val="both"/>
      </w:pPr>
      <w:proofErr w:type="spellStart"/>
      <w:r>
        <w:t>Elgali</w:t>
      </w:r>
      <w:proofErr w:type="spellEnd"/>
      <w:r>
        <w:t>, H. M., Ahmed, S. E. E., Ismail, I. A., Ahmed, E. H., Suliman, K. H., &amp; Zaied, M. B. (2025). Effect of soil type and chicken manure on cucumber (</w:t>
      </w:r>
      <w:r>
        <w:rPr>
          <w:rStyle w:val="Emphasis"/>
        </w:rPr>
        <w:t>Cucumis sativus</w:t>
      </w:r>
      <w:r>
        <w:t xml:space="preserve"> L.) growth and yield under </w:t>
      </w:r>
      <w:proofErr w:type="spellStart"/>
      <w:r>
        <w:t>green house</w:t>
      </w:r>
      <w:proofErr w:type="spellEnd"/>
      <w:r>
        <w:t xml:space="preserve"> conditions. </w:t>
      </w:r>
      <w:r>
        <w:rPr>
          <w:rStyle w:val="Emphasis"/>
        </w:rPr>
        <w:t>Asian Basic and Applied Research Journal, 7</w:t>
      </w:r>
      <w:r>
        <w:t xml:space="preserve">(1), 94–100. </w:t>
      </w:r>
      <w:hyperlink r:id="rId27" w:tgtFrame="_new" w:history="1">
        <w:r>
          <w:rPr>
            <w:rStyle w:val="Hyperlink"/>
          </w:rPr>
          <w:t>https://doi.org/10.56557/abaarj/2025/v7i1160</w:t>
        </w:r>
      </w:hyperlink>
      <w:r>
        <w:t xml:space="preserve"> </w:t>
      </w:r>
    </w:p>
    <w:p w14:paraId="06B68F7B" w14:textId="2FF57502" w:rsidR="006A4655" w:rsidRDefault="006A4655" w:rsidP="006A4655">
      <w:pPr>
        <w:ind w:left="540" w:hanging="540"/>
        <w:jc w:val="both"/>
      </w:pPr>
      <w:r>
        <w:t xml:space="preserve">Gajieva, G. (2019). Organic and inorganic fertilizers effects on the cabbage nutrient balance and growing efficiency. </w:t>
      </w:r>
      <w:r>
        <w:rPr>
          <w:rStyle w:val="Emphasis"/>
        </w:rPr>
        <w:t>Bulletin of Science and Practice, 5</w:t>
      </w:r>
      <w:r>
        <w:t xml:space="preserve">(11), 212–217. https://doi.org/10.33619/2414-2948/48/22 </w:t>
      </w:r>
    </w:p>
    <w:p w14:paraId="24AB037A" w14:textId="77AF10DC" w:rsidR="006A4655" w:rsidRDefault="006A4655" w:rsidP="006A4655">
      <w:pPr>
        <w:ind w:left="540" w:hanging="540"/>
        <w:jc w:val="both"/>
      </w:pPr>
      <w:r>
        <w:t>Ghimirey, V., Chaurasia, J., Dhungana, R., &amp; Poudel, B. (2025). Organic fertilizers and their efficacy on soil characteristics, growth and yield of cauliflower (</w:t>
      </w:r>
      <w:r>
        <w:rPr>
          <w:rStyle w:val="Emphasis"/>
        </w:rPr>
        <w:t>Brassica oleracea</w:t>
      </w:r>
      <w:r>
        <w:t xml:space="preserve"> var. </w:t>
      </w:r>
      <w:r>
        <w:rPr>
          <w:rStyle w:val="Emphasis"/>
        </w:rPr>
        <w:t>botrytis</w:t>
      </w:r>
      <w:r>
        <w:t xml:space="preserve">) in sandy loam soil of Nepal. </w:t>
      </w:r>
      <w:r>
        <w:rPr>
          <w:rStyle w:val="Emphasis"/>
        </w:rPr>
        <w:t>Frontiers in Soil Science, 5</w:t>
      </w:r>
      <w:r>
        <w:t xml:space="preserve">, Article 1556283. https://doi.org/10.3389/fsoil.2025.1556283 </w:t>
      </w:r>
    </w:p>
    <w:p w14:paraId="4FB13616" w14:textId="0C433D21" w:rsidR="006A4655" w:rsidRDefault="006A4655" w:rsidP="006A4655">
      <w:pPr>
        <w:ind w:left="540" w:hanging="540"/>
        <w:jc w:val="both"/>
      </w:pPr>
      <w:r>
        <w:t xml:space="preserve">Hazarika, J., Borthakur, P. K., &amp; </w:t>
      </w:r>
      <w:proofErr w:type="spellStart"/>
      <w:r>
        <w:t>Patgiri</w:t>
      </w:r>
      <w:proofErr w:type="spellEnd"/>
      <w:r>
        <w:t>, D. K. (2025). Effect of organic inputs and growing conditions on quality parameters of strawberry (</w:t>
      </w:r>
      <w:r>
        <w:rPr>
          <w:rStyle w:val="Emphasis"/>
        </w:rPr>
        <w:t xml:space="preserve">Fragaria × </w:t>
      </w:r>
      <w:proofErr w:type="spellStart"/>
      <w:r>
        <w:rPr>
          <w:rStyle w:val="Emphasis"/>
        </w:rPr>
        <w:t>ananassa</w:t>
      </w:r>
      <w:proofErr w:type="spellEnd"/>
      <w:r>
        <w:t xml:space="preserve">). </w:t>
      </w:r>
      <w:r>
        <w:rPr>
          <w:rStyle w:val="Emphasis"/>
        </w:rPr>
        <w:t>The Indian Journal of Agricultural Sciences, 95</w:t>
      </w:r>
      <w:r>
        <w:t xml:space="preserve">(8), 888–896. https://doi.org/10.56093/ijas.v95i8.140299 </w:t>
      </w:r>
    </w:p>
    <w:p w14:paraId="5C74D0DE" w14:textId="3D7AF802" w:rsidR="006A4655" w:rsidRDefault="006A4655" w:rsidP="006A4655">
      <w:pPr>
        <w:ind w:left="540" w:hanging="540"/>
        <w:jc w:val="both"/>
      </w:pPr>
      <w:r>
        <w:t xml:space="preserve">Hossain, S., &amp; Akter, F. (2020). Effects of </w:t>
      </w:r>
      <w:r>
        <w:rPr>
          <w:rStyle w:val="Emphasis"/>
        </w:rPr>
        <w:t>Trichoderma</w:t>
      </w:r>
      <w:r>
        <w:t>-enriched biofertilizer and farmyard manure on the growth and yield of brinjal (</w:t>
      </w:r>
      <w:r>
        <w:rPr>
          <w:rStyle w:val="Emphasis"/>
        </w:rPr>
        <w:t>Solanum melongena</w:t>
      </w:r>
      <w:r>
        <w:t xml:space="preserve"> L.). </w:t>
      </w:r>
      <w:r>
        <w:rPr>
          <w:rStyle w:val="Emphasis"/>
        </w:rPr>
        <w:t>Dhaka University Journal of Biological Sciences, 29</w:t>
      </w:r>
      <w:r>
        <w:t xml:space="preserve">(1), 1–8. https://doi.org/10.3329/dujbs.v29i1.46525 </w:t>
      </w:r>
    </w:p>
    <w:p w14:paraId="087DBD8D" w14:textId="5FE7ADA3" w:rsidR="006A4655" w:rsidRDefault="006A4655" w:rsidP="006A4655">
      <w:pPr>
        <w:ind w:left="540" w:hanging="540"/>
        <w:jc w:val="both"/>
      </w:pPr>
      <w:r>
        <w:t xml:space="preserve">Jat, A., Soni, A. K., Choudhary, M. R., &amp; </w:t>
      </w:r>
      <w:proofErr w:type="spellStart"/>
      <w:r>
        <w:t>Shivran</w:t>
      </w:r>
      <w:proofErr w:type="spellEnd"/>
      <w:r>
        <w:t>, J. S. (2024). Influence of organic manures and micronutrients on yield and quality of brinjal (</w:t>
      </w:r>
      <w:proofErr w:type="spellStart"/>
      <w:r>
        <w:rPr>
          <w:rStyle w:val="Emphasis"/>
        </w:rPr>
        <w:t>Solanun</w:t>
      </w:r>
      <w:proofErr w:type="spellEnd"/>
      <w:r>
        <w:rPr>
          <w:rStyle w:val="Emphasis"/>
        </w:rPr>
        <w:t xml:space="preserve"> melongena</w:t>
      </w:r>
      <w:r>
        <w:t xml:space="preserve"> L. var. Pusa Uttam). </w:t>
      </w:r>
      <w:r>
        <w:rPr>
          <w:rStyle w:val="Emphasis"/>
        </w:rPr>
        <w:t>Journal of Experimental Agriculture International, 46</w:t>
      </w:r>
      <w:r>
        <w:t xml:space="preserve">(10), 643–649. https://doi.org/10.9734/jeai/2024/v46i102987 </w:t>
      </w:r>
    </w:p>
    <w:p w14:paraId="5ADD8916" w14:textId="13E356B5" w:rsidR="006A4655" w:rsidRDefault="006A4655" w:rsidP="006A4655">
      <w:pPr>
        <w:ind w:left="540" w:hanging="540"/>
        <w:jc w:val="both"/>
      </w:pPr>
      <w:proofErr w:type="spellStart"/>
      <w:r>
        <w:t>Kantharajah</w:t>
      </w:r>
      <w:proofErr w:type="spellEnd"/>
      <w:r>
        <w:t xml:space="preserve">, A., &amp; </w:t>
      </w:r>
      <w:proofErr w:type="spellStart"/>
      <w:r>
        <w:t>Golegaonkar</w:t>
      </w:r>
      <w:proofErr w:type="spellEnd"/>
      <w:r>
        <w:t xml:space="preserve">, P. (2004). Somatic embryogenesis in eggplant. </w:t>
      </w:r>
      <w:r>
        <w:rPr>
          <w:rStyle w:val="Emphasis"/>
        </w:rPr>
        <w:t xml:space="preserve">Scientia </w:t>
      </w:r>
      <w:proofErr w:type="spellStart"/>
      <w:r>
        <w:rPr>
          <w:rStyle w:val="Emphasis"/>
        </w:rPr>
        <w:t>Horticulturae</w:t>
      </w:r>
      <w:proofErr w:type="spellEnd"/>
      <w:r>
        <w:rPr>
          <w:rStyle w:val="Emphasis"/>
        </w:rPr>
        <w:t>, 99</w:t>
      </w:r>
      <w:r>
        <w:t xml:space="preserve">(2), 107–117. https://doi.org/10.1016/S0304-4238(03)00090-6 </w:t>
      </w:r>
    </w:p>
    <w:p w14:paraId="7FE0FA0A" w14:textId="28238A4E" w:rsidR="006A4655" w:rsidRDefault="006A4655" w:rsidP="006A4655">
      <w:pPr>
        <w:ind w:left="540" w:hanging="540"/>
        <w:jc w:val="both"/>
      </w:pPr>
      <w:r>
        <w:t xml:space="preserve">Kaur, N., Sharma, A., </w:t>
      </w:r>
      <w:proofErr w:type="spellStart"/>
      <w:r>
        <w:t>Pangtu</w:t>
      </w:r>
      <w:proofErr w:type="spellEnd"/>
      <w:r>
        <w:t xml:space="preserve">, S., &amp; Sharma, S. (2025). Growth and yield responses of Kasuri </w:t>
      </w:r>
      <w:proofErr w:type="spellStart"/>
      <w:r>
        <w:t>methi</w:t>
      </w:r>
      <w:proofErr w:type="spellEnd"/>
      <w:r>
        <w:t xml:space="preserve"> to different organic and inorganic fertilizer sources. </w:t>
      </w:r>
      <w:r>
        <w:rPr>
          <w:rStyle w:val="Emphasis"/>
        </w:rPr>
        <w:t>International Journal of Economic Plants, 12</w:t>
      </w:r>
      <w:r>
        <w:t xml:space="preserve">(5), 1–5. </w:t>
      </w:r>
      <w:hyperlink r:id="rId28" w:tgtFrame="_new" w:history="1">
        <w:r>
          <w:rPr>
            <w:rStyle w:val="Hyperlink"/>
          </w:rPr>
          <w:t>https://agris.fao.org/search/en/providers/122436/records/691db8ca49e41686f792e670</w:t>
        </w:r>
      </w:hyperlink>
      <w:r>
        <w:t xml:space="preserve"> </w:t>
      </w:r>
    </w:p>
    <w:p w14:paraId="74E544CB" w14:textId="138214E7" w:rsidR="006A4655" w:rsidRDefault="006A4655" w:rsidP="006A4655">
      <w:pPr>
        <w:ind w:left="540" w:hanging="540"/>
        <w:jc w:val="both"/>
      </w:pPr>
      <w:r>
        <w:lastRenderedPageBreak/>
        <w:t xml:space="preserve">Kaushal, V. (2002). </w:t>
      </w:r>
      <w:r>
        <w:rPr>
          <w:rStyle w:val="Emphasis"/>
        </w:rPr>
        <w:t>Studies on long-term effects of chemical fertilizers and amendments on sustainable use of soil in wet temperate zone of western Himalayas</w:t>
      </w:r>
      <w:r>
        <w:t xml:space="preserve"> [Doctoral dissertation, Department of Soil Science, CSKHPKV]. </w:t>
      </w:r>
    </w:p>
    <w:p w14:paraId="1A8D26FF" w14:textId="55C464E9" w:rsidR="006A4655" w:rsidRDefault="006A4655" w:rsidP="006A4655">
      <w:pPr>
        <w:ind w:left="540" w:hanging="540"/>
        <w:jc w:val="both"/>
      </w:pPr>
      <w:r>
        <w:t xml:space="preserve">Khan, M. Y., Haque, M. M., Molla, A. H., Rahman, M. M., &amp; Alam, M. Z. (2017). Antioxidant compounds and minerals in tomatoes by </w:t>
      </w:r>
      <w:r>
        <w:rPr>
          <w:rStyle w:val="Emphasis"/>
        </w:rPr>
        <w:t>Trichoderma</w:t>
      </w:r>
      <w:r>
        <w:t xml:space="preserve">-enriched biofertilizer and their relationship with the soil environment. </w:t>
      </w:r>
      <w:r>
        <w:rPr>
          <w:rStyle w:val="Emphasis"/>
        </w:rPr>
        <w:t>Journal of Integrative Agriculture, 16</w:t>
      </w:r>
      <w:r>
        <w:t xml:space="preserve">(3), 691–703. https://doi.org/10.1016/S2095-3119(16)61350-3 </w:t>
      </w:r>
    </w:p>
    <w:p w14:paraId="341DB2DE" w14:textId="43B8F79A" w:rsidR="006A4655" w:rsidRDefault="006A4655" w:rsidP="006A4655">
      <w:pPr>
        <w:ind w:left="540" w:hanging="540"/>
        <w:jc w:val="both"/>
      </w:pPr>
      <w:r>
        <w:t xml:space="preserve">Khatri, R., Adhikari, S., Pokharel, N. P., Adhikari, S., Khanal, Y., Thapaliya, K. P., Pathak, S., Nepali, U., &amp; Ghimire, B. (2025). Evaluating the effect of biofertilizer dosages on growth and yield parameters of cauliflower in Mugu district, Nepal. </w:t>
      </w:r>
      <w:r>
        <w:rPr>
          <w:rStyle w:val="Emphasis"/>
        </w:rPr>
        <w:t>International Journal of Agriculture, Environment and Food Sciences, 9</w:t>
      </w:r>
      <w:r>
        <w:t xml:space="preserve">(3), 733–742. https://doi.org/10.31015/2025.3.11 </w:t>
      </w:r>
    </w:p>
    <w:p w14:paraId="7263CB42" w14:textId="38586F7D" w:rsidR="006A4655" w:rsidRPr="006A4655" w:rsidRDefault="006A4655" w:rsidP="006A4655">
      <w:pPr>
        <w:ind w:left="540" w:hanging="540"/>
        <w:jc w:val="both"/>
        <w:rPr>
          <w:b/>
          <w:bCs/>
        </w:rPr>
      </w:pPr>
      <w:r w:rsidRPr="006A4655">
        <w:rPr>
          <w:rStyle w:val="Strong"/>
          <w:b w:val="0"/>
          <w:bCs w:val="0"/>
        </w:rPr>
        <w:t>Pravallika, M., &amp; Deepanshu. (2020). Effect of organic manures and inorganic fertilizers on growth and yield of bottle gourd (</w:t>
      </w:r>
      <w:r w:rsidRPr="006A4655">
        <w:rPr>
          <w:rStyle w:val="Emphasis"/>
          <w:b/>
          <w:bCs/>
        </w:rPr>
        <w:t>Lagenaria siceraria</w:t>
      </w:r>
      <w:r w:rsidRPr="006A4655">
        <w:rPr>
          <w:rStyle w:val="Strong"/>
          <w:b w:val="0"/>
          <w:bCs w:val="0"/>
        </w:rPr>
        <w:t xml:space="preserve"> Mol.) </w:t>
      </w:r>
      <w:proofErr w:type="spellStart"/>
      <w:r w:rsidRPr="006A4655">
        <w:rPr>
          <w:rStyle w:val="Strong"/>
          <w:b w:val="0"/>
          <w:bCs w:val="0"/>
        </w:rPr>
        <w:t>Standl</w:t>
      </w:r>
      <w:proofErr w:type="spellEnd"/>
      <w:r w:rsidRPr="006A4655">
        <w:rPr>
          <w:rStyle w:val="Strong"/>
          <w:b w:val="0"/>
          <w:bCs w:val="0"/>
        </w:rPr>
        <w:t xml:space="preserve">. </w:t>
      </w:r>
      <w:r w:rsidRPr="006A4655">
        <w:rPr>
          <w:rStyle w:val="Emphasis"/>
          <w:b/>
          <w:bCs/>
        </w:rPr>
        <w:t>International Journal of Current Microbiology and Applied Sciences, 9</w:t>
      </w:r>
      <w:r w:rsidRPr="006A4655">
        <w:rPr>
          <w:rStyle w:val="Strong"/>
          <w:b w:val="0"/>
          <w:bCs w:val="0"/>
        </w:rPr>
        <w:t>(12), 3009–3014. https://doi.org/10.20546/ijcmas.2020.912.343</w:t>
      </w:r>
      <w:r w:rsidRPr="006A4655">
        <w:rPr>
          <w:b/>
          <w:bCs/>
        </w:rPr>
        <w:t xml:space="preserve"> </w:t>
      </w:r>
    </w:p>
    <w:p w14:paraId="7979904B" w14:textId="090FC503" w:rsidR="006A4655" w:rsidRDefault="006A4655" w:rsidP="006A4655">
      <w:pPr>
        <w:ind w:left="540" w:hanging="540"/>
        <w:jc w:val="both"/>
      </w:pPr>
      <w:r>
        <w:t xml:space="preserve">Kumar, J., Silas, V. J., Yadav, A., Kumar, S., </w:t>
      </w:r>
      <w:proofErr w:type="spellStart"/>
      <w:r>
        <w:t>Quatadah</w:t>
      </w:r>
      <w:proofErr w:type="spellEnd"/>
      <w:r>
        <w:t>, S. M., &amp; Srivastava, A. (2024). Impact of organic and inorganic fertilizers on capsicum (</w:t>
      </w:r>
      <w:r>
        <w:rPr>
          <w:rStyle w:val="Emphasis"/>
        </w:rPr>
        <w:t>Capsicum annuum</w:t>
      </w:r>
      <w:r>
        <w:t xml:space="preserve"> var. </w:t>
      </w:r>
      <w:r>
        <w:rPr>
          <w:rStyle w:val="Emphasis"/>
        </w:rPr>
        <w:t>grossum</w:t>
      </w:r>
      <w:r>
        <w:t xml:space="preserve">) growth, yield and quality. </w:t>
      </w:r>
      <w:r>
        <w:rPr>
          <w:rStyle w:val="Emphasis"/>
        </w:rPr>
        <w:t>International Journal of Advanced Biochemistry Research, 8</w:t>
      </w:r>
      <w:r>
        <w:t xml:space="preserve">(5S), 210–215. https://doi.org/10.33545/26174693.2024.v8.i5Sc.1163 </w:t>
      </w:r>
    </w:p>
    <w:p w14:paraId="47A18E0C" w14:textId="7D4FE038" w:rsidR="006A4655" w:rsidRDefault="006A4655" w:rsidP="006A4655">
      <w:pPr>
        <w:ind w:left="540" w:hanging="540"/>
        <w:jc w:val="both"/>
      </w:pPr>
      <w:r w:rsidRPr="006A4655">
        <w:rPr>
          <w:lang w:val="nl-BE"/>
        </w:rPr>
        <w:t xml:space="preserve">Saikumar, R., &amp; Jeevan Rao, K. (2017). </w:t>
      </w:r>
      <w:r>
        <w:t xml:space="preserve">Effect of urban compost, sewage sludge and poultry manure with chemical fertilizers on yield, nutrient content and uptake in brinjal-cauliflower cropping system. </w:t>
      </w:r>
      <w:r>
        <w:rPr>
          <w:rStyle w:val="Emphasis"/>
        </w:rPr>
        <w:t>International Journal of Current Microbiology and Applied Sciences, 6</w:t>
      </w:r>
      <w:r>
        <w:t xml:space="preserve">(6), 1313–1321. https://doi.org/10.20546/ijcmas.2017.606.154  </w:t>
      </w:r>
    </w:p>
    <w:p w14:paraId="1BD3457E" w14:textId="7D4C638D" w:rsidR="006A4655" w:rsidRDefault="006A4655" w:rsidP="006A4655">
      <w:pPr>
        <w:ind w:left="540" w:hanging="540"/>
        <w:jc w:val="both"/>
      </w:pPr>
      <w:r>
        <w:t>Kumar, V. (2016). Use of integrated nutrient management to enhance soil fertility and crop yield of hybrid cultivar of brinjal (</w:t>
      </w:r>
      <w:r>
        <w:rPr>
          <w:rStyle w:val="Emphasis"/>
        </w:rPr>
        <w:t>Solanum melongena</w:t>
      </w:r>
      <w:r>
        <w:t xml:space="preserve"> L.) under field conditions. </w:t>
      </w:r>
      <w:r>
        <w:rPr>
          <w:rStyle w:val="Emphasis"/>
        </w:rPr>
        <w:t>Advances in Plants &amp; Agriculture Research, 4</w:t>
      </w:r>
      <w:r>
        <w:t xml:space="preserve">(2), Article 00130. https://doi.org/10.15406/apar.2016.04.00130 </w:t>
      </w:r>
    </w:p>
    <w:p w14:paraId="131DB22A" w14:textId="713733D6" w:rsidR="006A4655" w:rsidRDefault="006A4655" w:rsidP="006A4655">
      <w:pPr>
        <w:ind w:left="540" w:hanging="540"/>
        <w:jc w:val="both"/>
      </w:pPr>
      <w:r>
        <w:t>Kumar, P. S., Prasad, V. M., &amp; Singh, D. (2020). Effect to standardize the best treatment combination of organic and inorganic source for better growth and yield of brinjal (</w:t>
      </w:r>
      <w:r>
        <w:rPr>
          <w:rStyle w:val="Emphasis"/>
        </w:rPr>
        <w:t>Solanum melongena</w:t>
      </w:r>
      <w:r>
        <w:t xml:space="preserve"> L.). </w:t>
      </w:r>
      <w:r>
        <w:rPr>
          <w:rStyle w:val="Emphasis"/>
        </w:rPr>
        <w:t>International Journal of Chemical Studies, 8</w:t>
      </w:r>
      <w:r>
        <w:t xml:space="preserve">(4), 3193–3195. </w:t>
      </w:r>
      <w:hyperlink r:id="rId29" w:tgtFrame="_new" w:history="1">
        <w:r>
          <w:rPr>
            <w:rStyle w:val="Hyperlink"/>
          </w:rPr>
          <w:t>https://doi.org/10.22271/chemi.2020.v8.i4am.10143</w:t>
        </w:r>
      </w:hyperlink>
      <w:r>
        <w:t xml:space="preserve"> </w:t>
      </w:r>
    </w:p>
    <w:p w14:paraId="7548C25B" w14:textId="1FE46571" w:rsidR="006A4655" w:rsidRDefault="006A4655" w:rsidP="006A4655">
      <w:pPr>
        <w:ind w:left="540" w:hanging="540"/>
        <w:jc w:val="both"/>
      </w:pPr>
      <w:r>
        <w:t>Kumari, A., Horo, P., Sinha, A. K., Ekka, S., &amp; Rani, J. (2025). Effect of inorganic fertilizers, organic manures and biofertilizers on growth and yield in brinjal (</w:t>
      </w:r>
      <w:r>
        <w:rPr>
          <w:rStyle w:val="Emphasis"/>
        </w:rPr>
        <w:t>Solanum melongena</w:t>
      </w:r>
      <w:r>
        <w:t xml:space="preserve"> L.) cv. Swarna Pratibha. </w:t>
      </w:r>
      <w:r>
        <w:rPr>
          <w:rStyle w:val="Emphasis"/>
        </w:rPr>
        <w:t>International Journal of Plant &amp; Soil Science, 37</w:t>
      </w:r>
      <w:r>
        <w:t xml:space="preserve">(3), 328–334. </w:t>
      </w:r>
      <w:hyperlink r:id="rId30" w:tgtFrame="_new" w:history="1">
        <w:r>
          <w:rPr>
            <w:rStyle w:val="Hyperlink"/>
          </w:rPr>
          <w:t>https://doi.org/10.9734/ijpss/2025/v37i35370</w:t>
        </w:r>
      </w:hyperlink>
      <w:r>
        <w:t xml:space="preserve"> </w:t>
      </w:r>
    </w:p>
    <w:p w14:paraId="035519BE" w14:textId="7A6903CA" w:rsidR="006A4655" w:rsidRDefault="006A4655" w:rsidP="006A4655">
      <w:pPr>
        <w:ind w:left="540" w:hanging="540"/>
        <w:jc w:val="both"/>
      </w:pPr>
      <w:r>
        <w:t xml:space="preserve">Kuzhalarasi, J. P., Paramasivan, M., </w:t>
      </w:r>
      <w:proofErr w:type="spellStart"/>
      <w:r>
        <w:t>Leninraja</w:t>
      </w:r>
      <w:proofErr w:type="spellEnd"/>
      <w:r>
        <w:t xml:space="preserve">, D., </w:t>
      </w:r>
      <w:proofErr w:type="spellStart"/>
      <w:r>
        <w:t>Jeberlin</w:t>
      </w:r>
      <w:proofErr w:type="spellEnd"/>
      <w:r>
        <w:t>, B. P., &amp; Manivannan, M. I. (2024). Effect of organic amendments on growth and yield of brinjal (</w:t>
      </w:r>
      <w:r>
        <w:rPr>
          <w:rStyle w:val="Emphasis"/>
        </w:rPr>
        <w:t>Solanum melongena</w:t>
      </w:r>
      <w:r>
        <w:t xml:space="preserve"> L.) and </w:t>
      </w:r>
      <w:proofErr w:type="spellStart"/>
      <w:r>
        <w:t>physico</w:t>
      </w:r>
      <w:proofErr w:type="spellEnd"/>
      <w:r>
        <w:t xml:space="preserve">-chemical properties of </w:t>
      </w:r>
      <w:proofErr w:type="spellStart"/>
      <w:r>
        <w:t>Alfisols</w:t>
      </w:r>
      <w:proofErr w:type="spellEnd"/>
      <w:r>
        <w:t xml:space="preserve"> of </w:t>
      </w:r>
      <w:proofErr w:type="spellStart"/>
      <w:r>
        <w:t>Tamirabarani</w:t>
      </w:r>
      <w:proofErr w:type="spellEnd"/>
      <w:r>
        <w:t xml:space="preserve"> tract. </w:t>
      </w:r>
      <w:r>
        <w:rPr>
          <w:rStyle w:val="Emphasis"/>
        </w:rPr>
        <w:t>Plant Science Today, 11</w:t>
      </w:r>
      <w:r>
        <w:t xml:space="preserve">(sp4), 1–6. https://doi.org/10.14719/pst.5828 </w:t>
      </w:r>
    </w:p>
    <w:p w14:paraId="72C94B16" w14:textId="56A62637" w:rsidR="006A4655" w:rsidRDefault="006A4655" w:rsidP="006A4655">
      <w:pPr>
        <w:ind w:left="540" w:hanging="540"/>
        <w:jc w:val="both"/>
      </w:pPr>
      <w:r>
        <w:t xml:space="preserve">Mahajan, A., &amp; Gupta, R. D. (2009). </w:t>
      </w:r>
      <w:r>
        <w:rPr>
          <w:rStyle w:val="Emphasis"/>
        </w:rPr>
        <w:t>Integrated nutrient management (INM) in a sustainable rice-wheat cropping system</w:t>
      </w:r>
      <w:r>
        <w:t xml:space="preserve">. Springer. https://doi.org/10.1007/978-1-4020-9875-8 </w:t>
      </w:r>
    </w:p>
    <w:p w14:paraId="2F528C9F" w14:textId="6FE7AADA" w:rsidR="006A4655" w:rsidRDefault="006A4655" w:rsidP="006A4655">
      <w:pPr>
        <w:ind w:left="540" w:hanging="540"/>
        <w:jc w:val="both"/>
      </w:pPr>
      <w:r>
        <w:t>Mohit, M. K., Singh, M. K., Singh, S. P., &amp; Naresh, R. K. (2019). Effect of integrated use of organic and inorganic sources of nutrients on growth, yield, quality and profitability of tomato (</w:t>
      </w:r>
      <w:r>
        <w:rPr>
          <w:rStyle w:val="Emphasis"/>
        </w:rPr>
        <w:t>Lycopersicon esculentum</w:t>
      </w:r>
      <w:r>
        <w:t xml:space="preserve"> Mill.) var. Pusa Rohini. </w:t>
      </w:r>
      <w:r>
        <w:rPr>
          <w:rStyle w:val="Emphasis"/>
        </w:rPr>
        <w:t xml:space="preserve">International Journal of </w:t>
      </w:r>
      <w:r>
        <w:rPr>
          <w:rStyle w:val="Emphasis"/>
        </w:rPr>
        <w:lastRenderedPageBreak/>
        <w:t>Agricultural and Statistical Sciences, 15</w:t>
      </w:r>
      <w:r>
        <w:t xml:space="preserve">(1), 57–66. https://connectjournals.com/file_html_pdf/2978901H_57-66a.pdf </w:t>
      </w:r>
    </w:p>
    <w:p w14:paraId="0CE98376" w14:textId="01788DF4" w:rsidR="006A4655" w:rsidRDefault="006A4655" w:rsidP="006A4655">
      <w:pPr>
        <w:ind w:left="540" w:hanging="540"/>
        <w:jc w:val="both"/>
      </w:pPr>
      <w:r>
        <w:t xml:space="preserve">Noda, Y., </w:t>
      </w:r>
      <w:proofErr w:type="spellStart"/>
      <w:r>
        <w:t>Kneyuki</w:t>
      </w:r>
      <w:proofErr w:type="spellEnd"/>
      <w:r>
        <w:t xml:space="preserve">, T., Igarashi, K., Mori, A., &amp; Packer, L. (2000). Antioxidant activity of </w:t>
      </w:r>
      <w:proofErr w:type="spellStart"/>
      <w:r>
        <w:t>nasunin</w:t>
      </w:r>
      <w:proofErr w:type="spellEnd"/>
      <w:r>
        <w:t xml:space="preserve">, an anthocyanin in eggplant peels. </w:t>
      </w:r>
      <w:r>
        <w:rPr>
          <w:rStyle w:val="Emphasis"/>
        </w:rPr>
        <w:t>Toxicology, 148</w:t>
      </w:r>
      <w:r>
        <w:t xml:space="preserve">(2–3), 119–123. https://doi.org/10.1016/S0300-483X(00)00202-X </w:t>
      </w:r>
    </w:p>
    <w:p w14:paraId="7564F538" w14:textId="5A309D60" w:rsidR="006A4655" w:rsidRDefault="006A4655" w:rsidP="006A4655">
      <w:pPr>
        <w:ind w:left="540" w:hanging="540"/>
        <w:jc w:val="both"/>
      </w:pPr>
      <w:proofErr w:type="spellStart"/>
      <w:r>
        <w:t>Padhiary</w:t>
      </w:r>
      <w:proofErr w:type="spellEnd"/>
      <w:r>
        <w:t>, G. G., &amp; Dubey, A. K. (2022). Response of biofertilizers on growth and yield parameters of brinjal (</w:t>
      </w:r>
      <w:r>
        <w:rPr>
          <w:rStyle w:val="Emphasis"/>
        </w:rPr>
        <w:t>Solanum melongena</w:t>
      </w:r>
      <w:r>
        <w:t xml:space="preserve"> L.) cv. Azad B-3. </w:t>
      </w:r>
      <w:r>
        <w:rPr>
          <w:rStyle w:val="Emphasis"/>
        </w:rPr>
        <w:t>International Journal of Environment and Climate Change, 12</w:t>
      </w:r>
      <w:r>
        <w:t xml:space="preserve">(12), 261–266. https://doi.org/10.9734/IJECC/2022/V12I121462 </w:t>
      </w:r>
    </w:p>
    <w:p w14:paraId="3D205DC1" w14:textId="0418476A" w:rsidR="006A4655" w:rsidRDefault="006A4655" w:rsidP="006A4655">
      <w:pPr>
        <w:ind w:left="540" w:hanging="540"/>
        <w:jc w:val="both"/>
      </w:pPr>
      <w:r>
        <w:t xml:space="preserve">Palia, M., Saravanan, S., Prasad, V. M., Upadhyay, R. G., &amp; </w:t>
      </w:r>
      <w:proofErr w:type="spellStart"/>
      <w:r>
        <w:t>Kasera</w:t>
      </w:r>
      <w:proofErr w:type="spellEnd"/>
      <w:r>
        <w:t>, S. (2021). Effect of different levels of organic and inorganic fertilizers on growth, yield and quality of brinjal (</w:t>
      </w:r>
      <w:r>
        <w:rPr>
          <w:rStyle w:val="Emphasis"/>
        </w:rPr>
        <w:t>Solanum melongena</w:t>
      </w:r>
      <w:r>
        <w:t xml:space="preserve"> L.). </w:t>
      </w:r>
      <w:r>
        <w:rPr>
          <w:rStyle w:val="Emphasis"/>
        </w:rPr>
        <w:t>Agricultural Science Digest, 41</w:t>
      </w:r>
      <w:r>
        <w:t xml:space="preserve">, 203–206. https://doi.org/10.18805/ag.D-5157 </w:t>
      </w:r>
    </w:p>
    <w:p w14:paraId="1DB98B0F" w14:textId="7C59CD02" w:rsidR="006A4655" w:rsidRDefault="006A4655" w:rsidP="006A4655">
      <w:pPr>
        <w:ind w:left="540" w:hanging="540"/>
        <w:jc w:val="both"/>
      </w:pPr>
      <w:r>
        <w:t xml:space="preserve">Panse, V. G., &amp; </w:t>
      </w:r>
      <w:proofErr w:type="spellStart"/>
      <w:r>
        <w:t>Sukhatme</w:t>
      </w:r>
      <w:proofErr w:type="spellEnd"/>
      <w:r>
        <w:t xml:space="preserve">, P. V. (1961). </w:t>
      </w:r>
      <w:r>
        <w:rPr>
          <w:rStyle w:val="Emphasis"/>
        </w:rPr>
        <w:t>Statistical methods for agricultural workers</w:t>
      </w:r>
      <w:r>
        <w:t xml:space="preserve"> (2nd ed.). Indian Council of Agricultural Research. </w:t>
      </w:r>
    </w:p>
    <w:p w14:paraId="72187F09" w14:textId="1C1AD1EB" w:rsidR="006A4655" w:rsidRDefault="006A4655" w:rsidP="006A4655">
      <w:pPr>
        <w:ind w:left="540" w:hanging="540"/>
        <w:jc w:val="both"/>
      </w:pPr>
      <w:r>
        <w:t xml:space="preserve">Paswan, A., Choudhary, A. S., Raj, S., </w:t>
      </w:r>
      <w:proofErr w:type="spellStart"/>
      <w:r>
        <w:t>Sonloi</w:t>
      </w:r>
      <w:proofErr w:type="spellEnd"/>
      <w:r>
        <w:t xml:space="preserve">, P., &amp; </w:t>
      </w:r>
      <w:proofErr w:type="spellStart"/>
      <w:r>
        <w:t>Sonwani</w:t>
      </w:r>
      <w:proofErr w:type="spellEnd"/>
      <w:r>
        <w:t>, A. (2022). Effect of integrated nutrient management on yield of brinjal (</w:t>
      </w:r>
      <w:r>
        <w:rPr>
          <w:rStyle w:val="Emphasis"/>
        </w:rPr>
        <w:t>Solanum melongena</w:t>
      </w:r>
      <w:r>
        <w:t xml:space="preserve"> L.). </w:t>
      </w:r>
      <w:r>
        <w:rPr>
          <w:rStyle w:val="Emphasis"/>
        </w:rPr>
        <w:t>International Journal of Agriculture and Food Science, 4</w:t>
      </w:r>
      <w:r>
        <w:t xml:space="preserve">(1), 12–16. </w:t>
      </w:r>
    </w:p>
    <w:p w14:paraId="30CE6C24" w14:textId="4BF3F884" w:rsidR="006A4655" w:rsidRDefault="006A4655" w:rsidP="006A4655">
      <w:pPr>
        <w:ind w:left="540" w:hanging="540"/>
        <w:jc w:val="both"/>
      </w:pPr>
      <w:r>
        <w:t>Pathak, M., Dash, S. K., Sahu, G. S., Tripathy, P., Mishra, A., &amp; Nayak, R. K. (2022). Response of organic, inorganic and bio-fertilizers on qualitative, yield and economics of bottle gourd (</w:t>
      </w:r>
      <w:r>
        <w:rPr>
          <w:rStyle w:val="Emphasis"/>
        </w:rPr>
        <w:t>Lagenaria siceraria</w:t>
      </w:r>
      <w:r>
        <w:t xml:space="preserve"> [Molina] </w:t>
      </w:r>
      <w:proofErr w:type="spellStart"/>
      <w:r>
        <w:t>Standl</w:t>
      </w:r>
      <w:proofErr w:type="spellEnd"/>
      <w:r>
        <w:t xml:space="preserve">.) c.v. BB0G-3-1. </w:t>
      </w:r>
      <w:r>
        <w:rPr>
          <w:rStyle w:val="Emphasis"/>
        </w:rPr>
        <w:t>International Journal of Environment and Climate Change, 12</w:t>
      </w:r>
      <w:r>
        <w:t xml:space="preserve">(10), 714–722. </w:t>
      </w:r>
    </w:p>
    <w:p w14:paraId="7A175BE5" w14:textId="066912E3" w:rsidR="006A4655" w:rsidRPr="006A4655" w:rsidRDefault="006A4655" w:rsidP="006A4655">
      <w:pPr>
        <w:ind w:left="540" w:hanging="540"/>
        <w:jc w:val="both"/>
        <w:rPr>
          <w:b/>
          <w:bCs/>
        </w:rPr>
      </w:pPr>
      <w:r w:rsidRPr="006A4655">
        <w:rPr>
          <w:rStyle w:val="Strong"/>
          <w:b w:val="0"/>
          <w:bCs w:val="0"/>
        </w:rPr>
        <w:t xml:space="preserve">Vimala, P., Salbiah, H., Zaharah, T., &amp; Ruwaida, M. (2001). Yield responses of vegetables to organic fertilizers. </w:t>
      </w:r>
      <w:r w:rsidRPr="006A4655">
        <w:rPr>
          <w:rStyle w:val="Emphasis"/>
          <w:b/>
          <w:bCs/>
        </w:rPr>
        <w:t>Journal of Tropical Agriculture and Food Science, 29</w:t>
      </w:r>
      <w:r w:rsidRPr="006A4655">
        <w:rPr>
          <w:rStyle w:val="Strong"/>
          <w:b w:val="0"/>
          <w:bCs w:val="0"/>
        </w:rPr>
        <w:t>(1), 17–28.</w:t>
      </w:r>
    </w:p>
    <w:p w14:paraId="6D2D5095" w14:textId="632D3752" w:rsidR="006A4655" w:rsidRDefault="006A4655" w:rsidP="006A4655">
      <w:pPr>
        <w:ind w:left="540" w:hanging="540"/>
        <w:jc w:val="both"/>
      </w:pPr>
      <w:r>
        <w:t>Raj, M. A., Vignesh, S., Mansingh, M. D. I., &amp; Aravinthan, M. (2019). Influence of organic and inorganic sources of nitrogen on growth and yield of brinjal (</w:t>
      </w:r>
      <w:r>
        <w:rPr>
          <w:rStyle w:val="Emphasis"/>
        </w:rPr>
        <w:t>Solanum melongena</w:t>
      </w:r>
      <w:r>
        <w:t xml:space="preserve"> L.). </w:t>
      </w:r>
      <w:r>
        <w:rPr>
          <w:rStyle w:val="Emphasis"/>
        </w:rPr>
        <w:t>Journal of Pharmacognosy and Phytochemistry, 8</w:t>
      </w:r>
      <w:r>
        <w:t xml:space="preserve">(3), 4656–4659. </w:t>
      </w:r>
      <w:hyperlink r:id="rId31" w:tgtFrame="_new" w:history="1">
        <w:r>
          <w:rPr>
            <w:rStyle w:val="Hyperlink"/>
          </w:rPr>
          <w:t>https://www.phytojournal.com/archives/view-pdf/8777/8-3-566</w:t>
        </w:r>
      </w:hyperlink>
      <w:r>
        <w:t xml:space="preserve"> </w:t>
      </w:r>
    </w:p>
    <w:p w14:paraId="7E794FA6" w14:textId="13884FB4" w:rsidR="006A4655" w:rsidRDefault="006A4655" w:rsidP="006A4655">
      <w:pPr>
        <w:ind w:left="540" w:hanging="540"/>
        <w:jc w:val="both"/>
      </w:pPr>
      <w:r>
        <w:t xml:space="preserve">Rathore, G., Kaushal, R., Sharma, V., Sharma, G., Chaudhary, S., Dhaliwal, S. S., </w:t>
      </w:r>
      <w:proofErr w:type="spellStart"/>
      <w:r>
        <w:t>Alsuhaibani</w:t>
      </w:r>
      <w:proofErr w:type="spellEnd"/>
      <w:r>
        <w:t>, A. M., Gaber, A., &amp; Hossain, A. (2023). Evaluation of the usefulness of fermented liquid organic formulations and manures for improving the soil fertility and productivity of brinjal (</w:t>
      </w:r>
      <w:r>
        <w:rPr>
          <w:rStyle w:val="Emphasis"/>
        </w:rPr>
        <w:t>Solanum melongena</w:t>
      </w:r>
      <w:r>
        <w:t xml:space="preserve"> L.). </w:t>
      </w:r>
      <w:r>
        <w:rPr>
          <w:rStyle w:val="Emphasis"/>
        </w:rPr>
        <w:t>Agriculture, 13</w:t>
      </w:r>
      <w:r>
        <w:t xml:space="preserve">(2), Article 417. </w:t>
      </w:r>
      <w:hyperlink r:id="rId32" w:tgtFrame="_new" w:history="1">
        <w:r>
          <w:rPr>
            <w:rStyle w:val="Hyperlink"/>
          </w:rPr>
          <w:t>https://doi.org/10.3390/agriculture13020417</w:t>
        </w:r>
      </w:hyperlink>
      <w:r>
        <w:t xml:space="preserve"> </w:t>
      </w:r>
    </w:p>
    <w:p w14:paraId="0EF18653" w14:textId="08063EA6" w:rsidR="006A4655" w:rsidRDefault="006A4655" w:rsidP="006A4655">
      <w:pPr>
        <w:ind w:left="540" w:hanging="540"/>
        <w:jc w:val="both"/>
      </w:pPr>
      <w:r>
        <w:t xml:space="preserve">Sadasivam, S., &amp; Balasubramanian, T. (1987). </w:t>
      </w:r>
      <w:r>
        <w:rPr>
          <w:rStyle w:val="Emphasis"/>
        </w:rPr>
        <w:t>Practical manual in biochemistry</w:t>
      </w:r>
      <w:r>
        <w:t xml:space="preserve">. Tamil Nadu Agricultural University. </w:t>
      </w:r>
    </w:p>
    <w:p w14:paraId="62BACABC" w14:textId="7E48977D" w:rsidR="006A4655" w:rsidRDefault="006A4655" w:rsidP="006A4655">
      <w:pPr>
        <w:ind w:left="540" w:hanging="540"/>
        <w:jc w:val="both"/>
      </w:pPr>
      <w:r>
        <w:t xml:space="preserve">Samanta, S., &amp; Sengupta, S. (2024). Integrated nutrient management (INM) in sustainable plant nutrition. </w:t>
      </w:r>
      <w:r>
        <w:rPr>
          <w:rStyle w:val="Emphasis"/>
        </w:rPr>
        <w:t>International Journal of Agriculture and Food Science, 6</w:t>
      </w:r>
      <w:r>
        <w:t xml:space="preserve">(2), 128–130. https://doi.org/10.33545/2664844X.2024.v6.i2b.216 </w:t>
      </w:r>
    </w:p>
    <w:p w14:paraId="33006B0F" w14:textId="474D3D83" w:rsidR="006A4655" w:rsidRDefault="006A4655" w:rsidP="006A4655">
      <w:pPr>
        <w:ind w:left="540" w:hanging="540"/>
        <w:jc w:val="both"/>
      </w:pPr>
      <w:r>
        <w:t xml:space="preserve">Sande, T. J., Tindwa, H. J., </w:t>
      </w:r>
      <w:proofErr w:type="spellStart"/>
      <w:r>
        <w:t>Alovisi</w:t>
      </w:r>
      <w:proofErr w:type="spellEnd"/>
      <w:r>
        <w:t xml:space="preserve">, A. M. T., </w:t>
      </w:r>
      <w:proofErr w:type="spellStart"/>
      <w:r>
        <w:t>Shitindi</w:t>
      </w:r>
      <w:proofErr w:type="spellEnd"/>
      <w:r>
        <w:t xml:space="preserve">, M. J., &amp; </w:t>
      </w:r>
      <w:proofErr w:type="spellStart"/>
      <w:r>
        <w:t>Semoka</w:t>
      </w:r>
      <w:proofErr w:type="spellEnd"/>
      <w:r>
        <w:t xml:space="preserve">, J. M. (2024). Enhancing sustainable crop production through integrated nutrient management: A focus on vermicompost, bio-enriched rock phosphate, and inorganic fertilisers—A systematic review. </w:t>
      </w:r>
      <w:r>
        <w:rPr>
          <w:rStyle w:val="Emphasis"/>
        </w:rPr>
        <w:t>Frontiers in Agronomy, 6</w:t>
      </w:r>
      <w:r>
        <w:t xml:space="preserve">, Article 1422876. </w:t>
      </w:r>
      <w:hyperlink r:id="rId33" w:tgtFrame="_new" w:history="1">
        <w:r>
          <w:rPr>
            <w:rStyle w:val="Hyperlink"/>
          </w:rPr>
          <w:t>https://doi.org/10.3389/fagro.2024.1422876</w:t>
        </w:r>
      </w:hyperlink>
      <w:r>
        <w:t xml:space="preserve"> </w:t>
      </w:r>
    </w:p>
    <w:p w14:paraId="3217F358" w14:textId="0C93A284" w:rsidR="006A4655" w:rsidRDefault="006A4655" w:rsidP="006A4655">
      <w:pPr>
        <w:ind w:left="540" w:hanging="540"/>
        <w:jc w:val="both"/>
      </w:pPr>
      <w:r>
        <w:t xml:space="preserve">Sharma, M. M., Meena, D. C., Maurya, R. P., Bundela, M. K., Kumar, M., </w:t>
      </w:r>
      <w:proofErr w:type="spellStart"/>
      <w:r>
        <w:t>Naruka</w:t>
      </w:r>
      <w:proofErr w:type="spellEnd"/>
      <w:r>
        <w:t>, P., &amp; Tanwar, N. (2024). Effect of organic and inorganic fertilizers on growth, yield and quality of brinjal (</w:t>
      </w:r>
      <w:r>
        <w:rPr>
          <w:rStyle w:val="Emphasis"/>
        </w:rPr>
        <w:t>Solanum melongena</w:t>
      </w:r>
      <w:r>
        <w:t xml:space="preserve"> L.). </w:t>
      </w:r>
      <w:r>
        <w:rPr>
          <w:rStyle w:val="Emphasis"/>
        </w:rPr>
        <w:t>Journal of Advances in Biology &amp; Biotechnology, 27</w:t>
      </w:r>
      <w:r>
        <w:t xml:space="preserve">(11), 1293–1299. https://doi.org/10.9734/jabb/2024/v27i111715 </w:t>
      </w:r>
    </w:p>
    <w:p w14:paraId="5BDF4917" w14:textId="21A799E9" w:rsidR="006A4655" w:rsidRDefault="006A4655" w:rsidP="006A4655">
      <w:pPr>
        <w:ind w:left="540" w:hanging="540"/>
        <w:jc w:val="both"/>
      </w:pPr>
      <w:proofErr w:type="spellStart"/>
      <w:r>
        <w:lastRenderedPageBreak/>
        <w:t>Shivran</w:t>
      </w:r>
      <w:proofErr w:type="spellEnd"/>
      <w:r>
        <w:t xml:space="preserve">, U., </w:t>
      </w:r>
      <w:proofErr w:type="spellStart"/>
      <w:r>
        <w:t>Lakhawat</w:t>
      </w:r>
      <w:proofErr w:type="spellEnd"/>
      <w:r>
        <w:t>, S. S., Bairwa, H. L., Yadav, K., Saharan, V., Upadhyay, B., &amp; Verma, A. (2024). Impact of organic nutrient inputs on growth and yield attribute of brinjal (</w:t>
      </w:r>
      <w:r>
        <w:rPr>
          <w:rStyle w:val="Emphasis"/>
        </w:rPr>
        <w:t>Solanum melongena</w:t>
      </w:r>
      <w:r>
        <w:t xml:space="preserve"> L.) cv. Pusa Shyamala. </w:t>
      </w:r>
      <w:r>
        <w:rPr>
          <w:rStyle w:val="Emphasis"/>
        </w:rPr>
        <w:t>Ecology, Environment &amp; Conservation, 30</w:t>
      </w:r>
      <w:r>
        <w:t xml:space="preserve">(4), 1546–1549. https://www.envirobiotechjournals.com/EEC/Vol30Issue42024/EEC-12_20250106_064405.pdf </w:t>
      </w:r>
    </w:p>
    <w:p w14:paraId="2003D432" w14:textId="2BA99C87" w:rsidR="006A4655" w:rsidRDefault="006A4655" w:rsidP="006A4655">
      <w:pPr>
        <w:ind w:left="540" w:hanging="540"/>
        <w:jc w:val="both"/>
      </w:pPr>
      <w:r>
        <w:t xml:space="preserve">Singh, K. P., Singh, B. K., Singh, A. K., Singh, R., Singh, S., Pandey, S. R., &amp; Sarika, K. (2025). Influence of organic, inorganic and biofertilizers on the growth and yield of chilli. </w:t>
      </w:r>
      <w:r>
        <w:rPr>
          <w:rStyle w:val="Emphasis"/>
        </w:rPr>
        <w:t>Journal of Experimental Agriculture International, 47</w:t>
      </w:r>
      <w:r>
        <w:t xml:space="preserve">(10), 33–43. https://doi.org/10.9734/jeai/2025/v47i103786 </w:t>
      </w:r>
    </w:p>
    <w:p w14:paraId="4DF037AA" w14:textId="07A8A6CE" w:rsidR="006A4655" w:rsidRDefault="006A4655" w:rsidP="006A4655">
      <w:pPr>
        <w:ind w:left="540" w:hanging="540"/>
        <w:jc w:val="both"/>
      </w:pPr>
      <w:r>
        <w:t>Singh, M., &amp; Thakur, A. (2018). Integrated nutrient management effect on yield and quality of brinjal (</w:t>
      </w:r>
      <w:r>
        <w:rPr>
          <w:rStyle w:val="Emphasis"/>
        </w:rPr>
        <w:t>Solanum melongena</w:t>
      </w:r>
      <w:r>
        <w:t xml:space="preserve"> L.). </w:t>
      </w:r>
      <w:r>
        <w:rPr>
          <w:rStyle w:val="Emphasis"/>
        </w:rPr>
        <w:t>The Bioscan, 13</w:t>
      </w:r>
      <w:r>
        <w:t xml:space="preserve">(Supplement 1), 267–272. </w:t>
      </w:r>
      <w:hyperlink r:id="rId34" w:tgtFrame="_new" w:history="1">
        <w:r>
          <w:rPr>
            <w:rStyle w:val="Hyperlink"/>
          </w:rPr>
          <w:t>https://thebioscan.com/index.php/pub/article/view/1563</w:t>
        </w:r>
      </w:hyperlink>
      <w:r>
        <w:t xml:space="preserve"> </w:t>
      </w:r>
    </w:p>
    <w:p w14:paraId="139442C3" w14:textId="52FA7293" w:rsidR="006A4655" w:rsidRDefault="006A4655" w:rsidP="006A4655">
      <w:pPr>
        <w:ind w:left="540" w:hanging="540"/>
        <w:jc w:val="both"/>
      </w:pPr>
      <w:r>
        <w:t xml:space="preserve">Singh, V., Prasad, V. M., </w:t>
      </w:r>
      <w:proofErr w:type="spellStart"/>
      <w:r>
        <w:t>Kasera</w:t>
      </w:r>
      <w:proofErr w:type="spellEnd"/>
      <w:r>
        <w:t>, S., Singh, B. P., &amp; Mishra, S. K. (2017). Influence of different organic and inorganic fertilizer combinations on growth, yield and quality of cucumber (</w:t>
      </w:r>
      <w:r>
        <w:rPr>
          <w:rStyle w:val="Emphasis"/>
        </w:rPr>
        <w:t>Cucumis sativus</w:t>
      </w:r>
      <w:r>
        <w:t xml:space="preserve"> L.) under protected cultivation. </w:t>
      </w:r>
      <w:r>
        <w:rPr>
          <w:rStyle w:val="Emphasis"/>
        </w:rPr>
        <w:t>Journal of Pharmacognosy and Phytochemistry, 6</w:t>
      </w:r>
      <w:r>
        <w:t xml:space="preserve">(4), 1079–1082. </w:t>
      </w:r>
      <w:hyperlink r:id="rId35" w:tgtFrame="_new" w:history="1">
        <w:r>
          <w:rPr>
            <w:rStyle w:val="Hyperlink"/>
          </w:rPr>
          <w:t>https://www.phytojournal.com/archives/2017/vol6issue4/PartP/6-4-65-342.pdf</w:t>
        </w:r>
      </w:hyperlink>
      <w:r>
        <w:t xml:space="preserve"> </w:t>
      </w:r>
    </w:p>
    <w:p w14:paraId="39D1E9B0" w14:textId="114F6222" w:rsidR="006A4655" w:rsidRDefault="006A4655" w:rsidP="006A4655">
      <w:pPr>
        <w:ind w:left="540" w:hanging="540"/>
        <w:jc w:val="both"/>
      </w:pPr>
      <w:r>
        <w:t>Sireesha, I., &amp; Singh, D. (2022). Effect of organic manures and inorganic fertilizers on growth, yield and quality of bottle gourd (</w:t>
      </w:r>
      <w:r>
        <w:rPr>
          <w:rStyle w:val="Emphasis"/>
        </w:rPr>
        <w:t>Lagenaria siceraria</w:t>
      </w:r>
      <w:r>
        <w:t xml:space="preserve"> L.). </w:t>
      </w:r>
      <w:r>
        <w:rPr>
          <w:rStyle w:val="Emphasis"/>
        </w:rPr>
        <w:t>International Journal of Plant &amp; Soil Science, 34</w:t>
      </w:r>
      <w:r>
        <w:t xml:space="preserve">(22), 18–24. https://doi.org/10.9734/ijpss/2022/v34i2231348 </w:t>
      </w:r>
    </w:p>
    <w:p w14:paraId="44FEDD47" w14:textId="0E6DC9FC" w:rsidR="006A4655" w:rsidRDefault="006A4655" w:rsidP="006A4655">
      <w:pPr>
        <w:ind w:left="540" w:hanging="540"/>
        <w:jc w:val="both"/>
      </w:pPr>
      <w:r w:rsidRPr="006A4655">
        <w:rPr>
          <w:lang w:val="nl-BE"/>
        </w:rPr>
        <w:t xml:space="preserve">Sneha, M. S., Deepanshu, &amp; Noushad, R. (2023). </w:t>
      </w:r>
      <w:r>
        <w:t>Influence of organic manures and inorganic fertilizers on growth, yield and quality of turnip (</w:t>
      </w:r>
      <w:r>
        <w:rPr>
          <w:rStyle w:val="Emphasis"/>
        </w:rPr>
        <w:t>Brassica rapa</w:t>
      </w:r>
      <w:r>
        <w:t xml:space="preserve"> L.). </w:t>
      </w:r>
      <w:r>
        <w:rPr>
          <w:rStyle w:val="Emphasis"/>
        </w:rPr>
        <w:t>International Journal of Environment and Climate Change, 13</w:t>
      </w:r>
      <w:r>
        <w:t xml:space="preserve">(9), 3038–3045. https://doi.org/10.9734/ijecc/2023/v13i92544 </w:t>
      </w:r>
    </w:p>
    <w:p w14:paraId="007BCC8E" w14:textId="729E11E9" w:rsidR="006A4655" w:rsidRDefault="006A4655" w:rsidP="006A4655">
      <w:pPr>
        <w:ind w:left="540" w:hanging="540"/>
        <w:jc w:val="both"/>
      </w:pPr>
      <w:r>
        <w:t xml:space="preserve">Srivastava, R. P., &amp; Kumar, S. (2002). </w:t>
      </w:r>
      <w:r>
        <w:rPr>
          <w:rStyle w:val="Emphasis"/>
        </w:rPr>
        <w:t>Fruit and vegetable preservation: Principles and practices</w:t>
      </w:r>
      <w:r>
        <w:t xml:space="preserve"> (3rd ed.). IBDC Publishers. </w:t>
      </w:r>
    </w:p>
    <w:p w14:paraId="28631C4F" w14:textId="1B2E5887" w:rsidR="006A4655" w:rsidRDefault="006A4655" w:rsidP="006A4655">
      <w:pPr>
        <w:ind w:left="540" w:hanging="540"/>
        <w:jc w:val="both"/>
      </w:pPr>
      <w:r w:rsidRPr="006A4655">
        <w:rPr>
          <w:lang w:val="nl-BE"/>
        </w:rPr>
        <w:t xml:space="preserve">Thanh, D. T., Ty, N. M., Hien, N. V., Berg, H., Nguyen, T. K. O., Vũ, P. T., Minh, V. Q., &amp; Da, C. T. (2023). </w:t>
      </w:r>
      <w:r>
        <w:t xml:space="preserve">Effects of organic fertilizers produced from fish pond sediment on growth performances and yield of Malabar and Amaranthus vegetables. </w:t>
      </w:r>
      <w:r>
        <w:rPr>
          <w:rStyle w:val="Emphasis"/>
        </w:rPr>
        <w:t>Frontiers in Sustainable Food Systems, 7</w:t>
      </w:r>
      <w:r>
        <w:t xml:space="preserve">, Article 1045592. https://doi.org/10.3389/fsufs.2023.1045592 </w:t>
      </w:r>
    </w:p>
    <w:p w14:paraId="7D41C96E" w14:textId="647C120E" w:rsidR="006A4655" w:rsidRDefault="006A4655" w:rsidP="006A4655">
      <w:pPr>
        <w:ind w:left="540" w:hanging="540"/>
        <w:jc w:val="both"/>
      </w:pPr>
      <w:r w:rsidRPr="006A4655">
        <w:rPr>
          <w:lang w:val="nl-BE"/>
        </w:rPr>
        <w:t xml:space="preserve">Ujjwal, V., Dev, P., Kumar, S., Malik, A., &amp; Kumar, R. (2022). </w:t>
      </w:r>
      <w:r>
        <w:t>Effect of organic manures and bio-fertilizers on vegetative and yield parameters of brinjal (</w:t>
      </w:r>
      <w:r>
        <w:rPr>
          <w:rStyle w:val="Emphasis"/>
        </w:rPr>
        <w:t>Solanum melongena</w:t>
      </w:r>
      <w:r>
        <w:t xml:space="preserve">) cv. Pant Rituraj. </w:t>
      </w:r>
      <w:r>
        <w:rPr>
          <w:rStyle w:val="Emphasis"/>
        </w:rPr>
        <w:t>Flora and Fauna, 28</w:t>
      </w:r>
      <w:r>
        <w:t xml:space="preserve">(1), 27–30. https://doi.org/10.33451/florafauna.v28i1pp27-30 </w:t>
      </w:r>
    </w:p>
    <w:p w14:paraId="5FD97848" w14:textId="25A7701E" w:rsidR="006A4655" w:rsidRDefault="006A4655" w:rsidP="006A4655">
      <w:pPr>
        <w:ind w:left="540" w:hanging="540"/>
        <w:jc w:val="both"/>
      </w:pPr>
      <w:r>
        <w:t xml:space="preserve">Vardanian, I., Sargsyan, G., Sementchouk, O., Martirosyan, H., Khachatryan, L., Tsereteli, I., Avagyan, A., &amp; Tadevosyan, L. (2024). Enhancing the content of biologically active components in cluster tomatoes using organic fertilizers. </w:t>
      </w:r>
      <w:r>
        <w:rPr>
          <w:rStyle w:val="Emphasis"/>
        </w:rPr>
        <w:t>Bioactive Compounds in Health and Disease, 7</w:t>
      </w:r>
      <w:r>
        <w:t xml:space="preserve">(12), 609–622. https://doi.org/10.31989/bchd.v7i12.1512 </w:t>
      </w:r>
    </w:p>
    <w:p w14:paraId="34E8595E" w14:textId="35220CE9" w:rsidR="006A4655" w:rsidRDefault="006A4655" w:rsidP="006A4655">
      <w:pPr>
        <w:ind w:left="540" w:hanging="540"/>
        <w:jc w:val="both"/>
      </w:pPr>
      <w:r>
        <w:t xml:space="preserve">Vavilov, N. I. (1929). Studies on the origin of cultivated plants. </w:t>
      </w:r>
      <w:r>
        <w:rPr>
          <w:rStyle w:val="Emphasis"/>
        </w:rPr>
        <w:t>Bulletin of Applied Botany, Genetics and Plant Breeding, 16</w:t>
      </w:r>
      <w:r>
        <w:t xml:space="preserve">, 1–248. </w:t>
      </w:r>
    </w:p>
    <w:p w14:paraId="50B9449D" w14:textId="49527A3C" w:rsidR="006A4655" w:rsidRDefault="006A4655" w:rsidP="006A4655">
      <w:pPr>
        <w:ind w:left="540" w:hanging="540"/>
        <w:jc w:val="both"/>
      </w:pPr>
      <w:r w:rsidRPr="006A4655">
        <w:rPr>
          <w:lang w:val="nl-BE"/>
        </w:rPr>
        <w:t xml:space="preserve">Verma, S., Chauhan, M., Kumar, S., &amp; Kumar, R. (2025). </w:t>
      </w:r>
      <w:r>
        <w:t>Growth, yield and soil fertility of brinjal (</w:t>
      </w:r>
      <w:r>
        <w:rPr>
          <w:rStyle w:val="Emphasis"/>
        </w:rPr>
        <w:t>Solanum melongena</w:t>
      </w:r>
      <w:r>
        <w:t xml:space="preserve"> L.) as influenced by integrated nutrient management practices. </w:t>
      </w:r>
      <w:r>
        <w:rPr>
          <w:rStyle w:val="Emphasis"/>
        </w:rPr>
        <w:t>International Journal of Research in Agronomy, 8</w:t>
      </w:r>
      <w:r>
        <w:t xml:space="preserve">(1S), 85–89. https://doi.org/10.33545/2618060x.2025.v8.i1sb.2323 </w:t>
      </w:r>
    </w:p>
    <w:p w14:paraId="6E8A103A" w14:textId="450776A6" w:rsidR="006A4655" w:rsidRDefault="006A4655" w:rsidP="006A4655">
      <w:pPr>
        <w:ind w:left="540" w:hanging="540"/>
        <w:jc w:val="both"/>
      </w:pPr>
      <w:r>
        <w:t>Guedes, V. H. F., Oliveira, D. M. A., Santos, R. L., Oliveira, G. A. A., &amp; Oliveira, F. L. N. (2018). The effects of a biofertilizer containing growth-promoting bacteria on the eggplant (</w:t>
      </w:r>
      <w:r>
        <w:rPr>
          <w:rStyle w:val="Emphasis"/>
        </w:rPr>
        <w:t xml:space="preserve">Solanum </w:t>
      </w:r>
      <w:r>
        <w:rPr>
          <w:rStyle w:val="Emphasis"/>
        </w:rPr>
        <w:lastRenderedPageBreak/>
        <w:t>melongena</w:t>
      </w:r>
      <w:r>
        <w:t xml:space="preserve"> L.). </w:t>
      </w:r>
      <w:r>
        <w:rPr>
          <w:rStyle w:val="Emphasis"/>
        </w:rPr>
        <w:t>Journal of Experimental Agriculture International, 26</w:t>
      </w:r>
      <w:r>
        <w:t xml:space="preserve">(6), 1–8. https://doi.org/10.9734/JEAI/2018/44045 </w:t>
      </w:r>
    </w:p>
    <w:p w14:paraId="419D6F11" w14:textId="2524D92A" w:rsidR="006A4655" w:rsidRDefault="006A4655" w:rsidP="006A4655">
      <w:pPr>
        <w:ind w:left="540" w:hanging="540"/>
        <w:jc w:val="both"/>
      </w:pPr>
      <w:proofErr w:type="spellStart"/>
      <w:r>
        <w:t>Warghane</w:t>
      </w:r>
      <w:proofErr w:type="spellEnd"/>
      <w:r>
        <w:t xml:space="preserve">, A., Thakkar, J., Chauhan, K., Zala, D., Patel, H., Bhatt, V., &amp; </w:t>
      </w:r>
      <w:proofErr w:type="spellStart"/>
      <w:r>
        <w:t>Chopade</w:t>
      </w:r>
      <w:proofErr w:type="spellEnd"/>
      <w:r>
        <w:t xml:space="preserve">, B. A. (2025). Evaluating the impact of natural fertilizers on growth dynamics and yield performance of </w:t>
      </w:r>
      <w:r>
        <w:rPr>
          <w:rStyle w:val="Emphasis"/>
        </w:rPr>
        <w:t>Solanum melongena</w:t>
      </w:r>
      <w:r>
        <w:t xml:space="preserve"> L. </w:t>
      </w:r>
      <w:r>
        <w:rPr>
          <w:rStyle w:val="Emphasis"/>
        </w:rPr>
        <w:t>Frontiers in Sustainable Food Systems, 9</w:t>
      </w:r>
      <w:r>
        <w:t xml:space="preserve">, Article 1668080. </w:t>
      </w:r>
      <w:hyperlink r:id="rId36" w:tgtFrame="_new" w:history="1">
        <w:r>
          <w:rPr>
            <w:rStyle w:val="Hyperlink"/>
          </w:rPr>
          <w:t>https://doi.org/10.3389/fsufs.2025.1668080</w:t>
        </w:r>
      </w:hyperlink>
      <w:r>
        <w:t xml:space="preserve"> </w:t>
      </w:r>
    </w:p>
    <w:p w14:paraId="4FBAAB87" w14:textId="49068622" w:rsidR="006A4655" w:rsidRDefault="006A4655" w:rsidP="006A4655">
      <w:pPr>
        <w:ind w:left="540" w:hanging="540"/>
        <w:jc w:val="both"/>
      </w:pPr>
      <w:r>
        <w:t xml:space="preserve">Xu, X., Xiao, C., Bi, R., Jiao, Y., Wang, B., Dong, Y., &amp; Xiong, Z. (2024). Optimizing organic fertilization towards sustainable vegetable production evaluated by long-term field measurement and multi-level fuzzy comprehensive model. </w:t>
      </w:r>
      <w:r>
        <w:rPr>
          <w:rStyle w:val="Emphasis"/>
        </w:rPr>
        <w:t>Agriculture, Ecosystems &amp; Environment, 368</w:t>
      </w:r>
      <w:r>
        <w:t xml:space="preserve">, Article 109008. https://doi.org/10.1016/j.agee.2024.109008 </w:t>
      </w:r>
    </w:p>
    <w:p w14:paraId="1859AA8F" w14:textId="61F57D1C" w:rsidR="00453784" w:rsidRDefault="006A4655" w:rsidP="006A4655">
      <w:pPr>
        <w:ind w:left="540" w:hanging="540"/>
        <w:jc w:val="both"/>
      </w:pPr>
      <w:r>
        <w:t>Zhang, Y., Hu, Z., Chu, G., Huang, C., Tian, S., Zhao, Z., &amp; Chen, G. (2014). Anthocyanin accumulation and molecular analysis of anthocyanin biosynthesis-associated genes in eggplant (</w:t>
      </w:r>
      <w:r>
        <w:rPr>
          <w:rStyle w:val="Emphasis"/>
        </w:rPr>
        <w:t>Solanum melongena</w:t>
      </w:r>
      <w:r>
        <w:t xml:space="preserve"> L.). </w:t>
      </w:r>
      <w:r>
        <w:rPr>
          <w:rStyle w:val="Emphasis"/>
        </w:rPr>
        <w:t>Journal of Agricultural and Food Chemistry, 62</w:t>
      </w:r>
      <w:r>
        <w:t xml:space="preserve">(13), 2906–2912. </w:t>
      </w:r>
      <w:hyperlink r:id="rId37" w:tgtFrame="_new" w:history="1">
        <w:r>
          <w:rPr>
            <w:rStyle w:val="Hyperlink"/>
          </w:rPr>
          <w:t>https://doi.org/10.1021/jf404574c</w:t>
        </w:r>
      </w:hyperlink>
    </w:p>
    <w:sectPr w:rsidR="00453784" w:rsidSect="0022715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7A3B6" w14:textId="77777777" w:rsidR="004D45AC" w:rsidRDefault="004D45AC" w:rsidP="0022715B">
      <w:r>
        <w:separator/>
      </w:r>
    </w:p>
  </w:endnote>
  <w:endnote w:type="continuationSeparator" w:id="0">
    <w:p w14:paraId="2BAF3899" w14:textId="77777777" w:rsidR="004D45AC" w:rsidRDefault="004D45AC" w:rsidP="00227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C6B34" w14:textId="77777777" w:rsidR="004D45AC" w:rsidRDefault="004D45AC" w:rsidP="0022715B">
      <w:r>
        <w:separator/>
      </w:r>
    </w:p>
  </w:footnote>
  <w:footnote w:type="continuationSeparator" w:id="0">
    <w:p w14:paraId="506A6D75" w14:textId="77777777" w:rsidR="004D45AC" w:rsidRDefault="004D45AC" w:rsidP="002271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1C26A0"/>
    <w:multiLevelType w:val="hybridMultilevel"/>
    <w:tmpl w:val="E7DA4B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763720A"/>
    <w:multiLevelType w:val="hybridMultilevel"/>
    <w:tmpl w:val="77B4D2E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9194180">
    <w:abstractNumId w:val="0"/>
  </w:num>
  <w:num w:numId="2" w16cid:durableId="4219965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c2M7awMLewNDazMDBX0lEKTi0uzszPAykwrAUAWOgnCSwAAAA="/>
  </w:docVars>
  <w:rsids>
    <w:rsidRoot w:val="003A4D9F"/>
    <w:rsid w:val="00025988"/>
    <w:rsid w:val="000525E0"/>
    <w:rsid w:val="000A0568"/>
    <w:rsid w:val="000A1570"/>
    <w:rsid w:val="000C0859"/>
    <w:rsid w:val="000C6BD7"/>
    <w:rsid w:val="000D1B30"/>
    <w:rsid w:val="000F25D4"/>
    <w:rsid w:val="00151109"/>
    <w:rsid w:val="00177049"/>
    <w:rsid w:val="001C6FE5"/>
    <w:rsid w:val="001E7385"/>
    <w:rsid w:val="0022715B"/>
    <w:rsid w:val="00240C2C"/>
    <w:rsid w:val="00246665"/>
    <w:rsid w:val="00263844"/>
    <w:rsid w:val="0026772F"/>
    <w:rsid w:val="0028653C"/>
    <w:rsid w:val="002A64B0"/>
    <w:rsid w:val="002A658B"/>
    <w:rsid w:val="002D5539"/>
    <w:rsid w:val="002D638B"/>
    <w:rsid w:val="002E38F5"/>
    <w:rsid w:val="002F1CDD"/>
    <w:rsid w:val="003714E4"/>
    <w:rsid w:val="00371FDC"/>
    <w:rsid w:val="00383EBB"/>
    <w:rsid w:val="00387AAE"/>
    <w:rsid w:val="003A4D9F"/>
    <w:rsid w:val="003C0F59"/>
    <w:rsid w:val="003C63CF"/>
    <w:rsid w:val="003D6703"/>
    <w:rsid w:val="003F521C"/>
    <w:rsid w:val="00453784"/>
    <w:rsid w:val="00457AE6"/>
    <w:rsid w:val="00462258"/>
    <w:rsid w:val="004A2C34"/>
    <w:rsid w:val="004C0DDC"/>
    <w:rsid w:val="004D45AC"/>
    <w:rsid w:val="004D6418"/>
    <w:rsid w:val="004E317B"/>
    <w:rsid w:val="004E5851"/>
    <w:rsid w:val="005240EA"/>
    <w:rsid w:val="00535926"/>
    <w:rsid w:val="005948C9"/>
    <w:rsid w:val="005D40F8"/>
    <w:rsid w:val="005F7857"/>
    <w:rsid w:val="00643C6D"/>
    <w:rsid w:val="00683634"/>
    <w:rsid w:val="006919C8"/>
    <w:rsid w:val="006A4655"/>
    <w:rsid w:val="006B1B2D"/>
    <w:rsid w:val="00731DF4"/>
    <w:rsid w:val="00733C16"/>
    <w:rsid w:val="00764B5A"/>
    <w:rsid w:val="00780EFB"/>
    <w:rsid w:val="0078471C"/>
    <w:rsid w:val="007C50BD"/>
    <w:rsid w:val="007D696C"/>
    <w:rsid w:val="008B4833"/>
    <w:rsid w:val="008D0B95"/>
    <w:rsid w:val="00946834"/>
    <w:rsid w:val="00956927"/>
    <w:rsid w:val="009A096D"/>
    <w:rsid w:val="009C4732"/>
    <w:rsid w:val="00A02FAC"/>
    <w:rsid w:val="00A03164"/>
    <w:rsid w:val="00A256D5"/>
    <w:rsid w:val="00A346D4"/>
    <w:rsid w:val="00A62A97"/>
    <w:rsid w:val="00A81AFD"/>
    <w:rsid w:val="00A8321C"/>
    <w:rsid w:val="00A93B43"/>
    <w:rsid w:val="00A971C3"/>
    <w:rsid w:val="00AA4DFA"/>
    <w:rsid w:val="00AB04A5"/>
    <w:rsid w:val="00AC0460"/>
    <w:rsid w:val="00AC179F"/>
    <w:rsid w:val="00B2004D"/>
    <w:rsid w:val="00B2387E"/>
    <w:rsid w:val="00B8779A"/>
    <w:rsid w:val="00BB5C55"/>
    <w:rsid w:val="00BF2A7E"/>
    <w:rsid w:val="00BF5DAB"/>
    <w:rsid w:val="00C17BF5"/>
    <w:rsid w:val="00C26BBD"/>
    <w:rsid w:val="00CB7B0B"/>
    <w:rsid w:val="00CD2242"/>
    <w:rsid w:val="00D03707"/>
    <w:rsid w:val="00D061EA"/>
    <w:rsid w:val="00D304B1"/>
    <w:rsid w:val="00D929E5"/>
    <w:rsid w:val="00DB07C5"/>
    <w:rsid w:val="00DC0309"/>
    <w:rsid w:val="00DD2C0E"/>
    <w:rsid w:val="00E0270D"/>
    <w:rsid w:val="00E757E5"/>
    <w:rsid w:val="00E816B4"/>
    <w:rsid w:val="00EC4199"/>
    <w:rsid w:val="00EF52D2"/>
    <w:rsid w:val="00EF7138"/>
    <w:rsid w:val="00F713FE"/>
    <w:rsid w:val="00F93268"/>
    <w:rsid w:val="00F94DC9"/>
    <w:rsid w:val="00FA2C19"/>
    <w:rsid w:val="00FB338E"/>
    <w:rsid w:val="00FD19D5"/>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D6E37"/>
  <w15:chartTrackingRefBased/>
  <w15:docId w15:val="{C82E309C-3B9E-4B3C-915D-A7A19B0ED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D9F"/>
    <w:pPr>
      <w:spacing w:after="0" w:line="240" w:lineRule="auto"/>
    </w:pPr>
    <w:rPr>
      <w:rFonts w:ascii="Times New Roman" w:eastAsia="Times New Roman" w:hAnsi="Times New Roman" w:cs="Times New Roman"/>
      <w:kern w:val="0"/>
      <w:lang w:val="en-IN" w:eastAsia="en-IN" w:bidi="hi-IN"/>
      <w14:ligatures w14:val="none"/>
    </w:rPr>
  </w:style>
  <w:style w:type="paragraph" w:styleId="Heading1">
    <w:name w:val="heading 1"/>
    <w:basedOn w:val="Normal"/>
    <w:next w:val="Normal"/>
    <w:link w:val="Heading1Char"/>
    <w:uiPriority w:val="9"/>
    <w:qFormat/>
    <w:rsid w:val="003A4D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A4D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A4D9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A4D9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A4D9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A4D9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4D9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4D9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4D9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4D9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A4D9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A4D9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A4D9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A4D9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A4D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4D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4D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4D9F"/>
    <w:rPr>
      <w:rFonts w:eastAsiaTheme="majorEastAsia" w:cstheme="majorBidi"/>
      <w:color w:val="272727" w:themeColor="text1" w:themeTint="D8"/>
    </w:rPr>
  </w:style>
  <w:style w:type="paragraph" w:styleId="Title">
    <w:name w:val="Title"/>
    <w:basedOn w:val="Normal"/>
    <w:next w:val="Normal"/>
    <w:link w:val="TitleChar"/>
    <w:uiPriority w:val="10"/>
    <w:qFormat/>
    <w:rsid w:val="003A4D9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4D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4D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4D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4D9F"/>
    <w:pPr>
      <w:spacing w:before="160"/>
      <w:jc w:val="center"/>
    </w:pPr>
    <w:rPr>
      <w:i/>
      <w:iCs/>
      <w:color w:val="404040" w:themeColor="text1" w:themeTint="BF"/>
    </w:rPr>
  </w:style>
  <w:style w:type="character" w:customStyle="1" w:styleId="QuoteChar">
    <w:name w:val="Quote Char"/>
    <w:basedOn w:val="DefaultParagraphFont"/>
    <w:link w:val="Quote"/>
    <w:uiPriority w:val="29"/>
    <w:rsid w:val="003A4D9F"/>
    <w:rPr>
      <w:i/>
      <w:iCs/>
      <w:color w:val="404040" w:themeColor="text1" w:themeTint="BF"/>
    </w:rPr>
  </w:style>
  <w:style w:type="paragraph" w:styleId="ListParagraph">
    <w:name w:val="List Paragraph"/>
    <w:basedOn w:val="Normal"/>
    <w:uiPriority w:val="34"/>
    <w:qFormat/>
    <w:rsid w:val="003A4D9F"/>
    <w:pPr>
      <w:ind w:left="720"/>
      <w:contextualSpacing/>
    </w:pPr>
  </w:style>
  <w:style w:type="character" w:styleId="IntenseEmphasis">
    <w:name w:val="Intense Emphasis"/>
    <w:basedOn w:val="DefaultParagraphFont"/>
    <w:uiPriority w:val="21"/>
    <w:qFormat/>
    <w:rsid w:val="003A4D9F"/>
    <w:rPr>
      <w:i/>
      <w:iCs/>
      <w:color w:val="2F5496" w:themeColor="accent1" w:themeShade="BF"/>
    </w:rPr>
  </w:style>
  <w:style w:type="paragraph" w:styleId="IntenseQuote">
    <w:name w:val="Intense Quote"/>
    <w:basedOn w:val="Normal"/>
    <w:next w:val="Normal"/>
    <w:link w:val="IntenseQuoteChar"/>
    <w:uiPriority w:val="30"/>
    <w:qFormat/>
    <w:rsid w:val="003A4D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A4D9F"/>
    <w:rPr>
      <w:i/>
      <w:iCs/>
      <w:color w:val="2F5496" w:themeColor="accent1" w:themeShade="BF"/>
    </w:rPr>
  </w:style>
  <w:style w:type="character" w:styleId="IntenseReference">
    <w:name w:val="Intense Reference"/>
    <w:basedOn w:val="DefaultParagraphFont"/>
    <w:uiPriority w:val="32"/>
    <w:qFormat/>
    <w:rsid w:val="003A4D9F"/>
    <w:rPr>
      <w:b/>
      <w:bCs/>
      <w:smallCaps/>
      <w:color w:val="2F5496" w:themeColor="accent1" w:themeShade="BF"/>
      <w:spacing w:val="5"/>
    </w:rPr>
  </w:style>
  <w:style w:type="paragraph" w:styleId="Header">
    <w:name w:val="header"/>
    <w:basedOn w:val="Normal"/>
    <w:link w:val="HeaderChar"/>
    <w:uiPriority w:val="99"/>
    <w:unhideWhenUsed/>
    <w:rsid w:val="0022715B"/>
    <w:pPr>
      <w:tabs>
        <w:tab w:val="center" w:pos="4680"/>
        <w:tab w:val="right" w:pos="9360"/>
      </w:tabs>
    </w:pPr>
    <w:rPr>
      <w:rFonts w:cs="Mangal"/>
      <w:szCs w:val="21"/>
    </w:rPr>
  </w:style>
  <w:style w:type="character" w:customStyle="1" w:styleId="HeaderChar">
    <w:name w:val="Header Char"/>
    <w:basedOn w:val="DefaultParagraphFont"/>
    <w:link w:val="Header"/>
    <w:uiPriority w:val="99"/>
    <w:rsid w:val="0022715B"/>
    <w:rPr>
      <w:rFonts w:ascii="Times New Roman" w:eastAsia="Times New Roman" w:hAnsi="Times New Roman" w:cs="Mangal"/>
      <w:kern w:val="0"/>
      <w:szCs w:val="21"/>
      <w:lang w:val="en-IN" w:eastAsia="en-IN" w:bidi="hi-IN"/>
      <w14:ligatures w14:val="none"/>
    </w:rPr>
  </w:style>
  <w:style w:type="paragraph" w:styleId="Footer">
    <w:name w:val="footer"/>
    <w:basedOn w:val="Normal"/>
    <w:link w:val="FooterChar"/>
    <w:uiPriority w:val="99"/>
    <w:unhideWhenUsed/>
    <w:rsid w:val="0022715B"/>
    <w:pPr>
      <w:tabs>
        <w:tab w:val="center" w:pos="4680"/>
        <w:tab w:val="right" w:pos="9360"/>
      </w:tabs>
    </w:pPr>
    <w:rPr>
      <w:rFonts w:cs="Mangal"/>
      <w:szCs w:val="21"/>
    </w:rPr>
  </w:style>
  <w:style w:type="character" w:customStyle="1" w:styleId="FooterChar">
    <w:name w:val="Footer Char"/>
    <w:basedOn w:val="DefaultParagraphFont"/>
    <w:link w:val="Footer"/>
    <w:uiPriority w:val="99"/>
    <w:rsid w:val="0022715B"/>
    <w:rPr>
      <w:rFonts w:ascii="Times New Roman" w:eastAsia="Times New Roman" w:hAnsi="Times New Roman" w:cs="Mangal"/>
      <w:kern w:val="0"/>
      <w:szCs w:val="21"/>
      <w:lang w:val="en-IN" w:eastAsia="en-IN" w:bidi="hi-IN"/>
      <w14:ligatures w14:val="none"/>
    </w:rPr>
  </w:style>
  <w:style w:type="paragraph" w:styleId="NormalWeb">
    <w:name w:val="Normal (Web)"/>
    <w:basedOn w:val="Normal"/>
    <w:uiPriority w:val="99"/>
    <w:semiHidden/>
    <w:unhideWhenUsed/>
    <w:rsid w:val="002D638B"/>
    <w:rPr>
      <w:rFonts w:cs="Mangal"/>
      <w:szCs w:val="21"/>
    </w:rPr>
  </w:style>
  <w:style w:type="paragraph" w:customStyle="1" w:styleId="pdq2pgselectionanchorcontainer">
    <w:name w:val="pdq2pg_selectionanchorcontainer"/>
    <w:basedOn w:val="Normal"/>
    <w:rsid w:val="00BB5C55"/>
    <w:pPr>
      <w:spacing w:before="100" w:beforeAutospacing="1" w:after="100" w:afterAutospacing="1"/>
    </w:pPr>
    <w:rPr>
      <w:lang w:val="en-US" w:eastAsia="en-US" w:bidi="ar-SA"/>
    </w:rPr>
  </w:style>
  <w:style w:type="character" w:styleId="Emphasis">
    <w:name w:val="Emphasis"/>
    <w:basedOn w:val="DefaultParagraphFont"/>
    <w:uiPriority w:val="20"/>
    <w:qFormat/>
    <w:rsid w:val="00BB5C55"/>
    <w:rPr>
      <w:i/>
      <w:iCs/>
    </w:rPr>
  </w:style>
  <w:style w:type="character" w:styleId="Hyperlink">
    <w:name w:val="Hyperlink"/>
    <w:basedOn w:val="DefaultParagraphFont"/>
    <w:uiPriority w:val="99"/>
    <w:semiHidden/>
    <w:unhideWhenUsed/>
    <w:rsid w:val="006A4655"/>
    <w:rPr>
      <w:color w:val="0000FF"/>
      <w:u w:val="single"/>
    </w:rPr>
  </w:style>
  <w:style w:type="character" w:styleId="Strong">
    <w:name w:val="Strong"/>
    <w:basedOn w:val="DefaultParagraphFont"/>
    <w:uiPriority w:val="22"/>
    <w:qFormat/>
    <w:rsid w:val="006A46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hyperlink" Target="https://journalijecc.com/index.php/IJECC/article/view/1161?utm_source=chatgpt.com" TargetMode="External"/><Relationship Id="rId39" Type="http://schemas.openxmlformats.org/officeDocument/2006/relationships/theme" Target="theme/theme1.xml"/><Relationship Id="rId21" Type="http://schemas.openxmlformats.org/officeDocument/2006/relationships/hyperlink" Target="https://gkvsociety.com/control/uploads/40520413.pdf?utm_source=chatgpt.com" TargetMode="External"/><Relationship Id="rId34" Type="http://schemas.openxmlformats.org/officeDocument/2006/relationships/hyperlink" Target="https://thebioscan.com/index.php/pub/article/view/1563?utm_source=chatgpt.com" TargetMode="Externa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hyperlink" Target="https://doi.org/10.1021/ac60111a017" TargetMode="External"/><Relationship Id="rId33" Type="http://schemas.openxmlformats.org/officeDocument/2006/relationships/hyperlink" Target="https://doi.org/10.3389/fagro.2024.1422876"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hyperlink" Target="https://icar.org.in/en/product/122?utm_source=chatgpt.com" TargetMode="External"/><Relationship Id="rId29" Type="http://schemas.openxmlformats.org/officeDocument/2006/relationships/hyperlink" Target="https://doi.org/10.22271/chemi.2020.v8.i4am.1014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www.gkvsociety.com/control/uploads/40448917.pdf?utm_source=chatgpt.com" TargetMode="External"/><Relationship Id="rId32" Type="http://schemas.openxmlformats.org/officeDocument/2006/relationships/hyperlink" Target="https://doi.org/10.3390/agriculture13020417" TargetMode="External"/><Relationship Id="rId37" Type="http://schemas.openxmlformats.org/officeDocument/2006/relationships/hyperlink" Target="https://doi.org/10.1021/jf404574c" TargetMode="Externa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hyperlink" Target="https://worldveg.tind.io/record/1966?utm_source=chatgpt.com" TargetMode="External"/><Relationship Id="rId28" Type="http://schemas.openxmlformats.org/officeDocument/2006/relationships/hyperlink" Target="https://agris.fao.org/search/en/providers/122436/records/691db8ca49e41686f792e670?utm_source=chatgpt.com" TargetMode="External"/><Relationship Id="rId36" Type="http://schemas.openxmlformats.org/officeDocument/2006/relationships/hyperlink" Target="https://doi.org/10.3389/fsufs.2025.1668080" TargetMode="External"/><Relationship Id="rId10" Type="http://schemas.openxmlformats.org/officeDocument/2006/relationships/image" Target="media/image3.jpeg"/><Relationship Id="rId19" Type="http://schemas.openxmlformats.org/officeDocument/2006/relationships/chart" Target="charts/chart8.xml"/><Relationship Id="rId31" Type="http://schemas.openxmlformats.org/officeDocument/2006/relationships/hyperlink" Target="https://www.phytojournal.com/archives/view-pdf/8777/8-3-566?utm_source=chatgpt.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3.xml"/><Relationship Id="rId22" Type="http://schemas.openxmlformats.org/officeDocument/2006/relationships/hyperlink" Target="https://doi.org/10.3390/agronomy15040872" TargetMode="External"/><Relationship Id="rId27" Type="http://schemas.openxmlformats.org/officeDocument/2006/relationships/hyperlink" Target="https://doi.org/10.56557/abaarj/2025/v7i1160" TargetMode="External"/><Relationship Id="rId30" Type="http://schemas.openxmlformats.org/officeDocument/2006/relationships/hyperlink" Target="https://doi.org/10.9734/ijpss/2025/v37i35370" TargetMode="External"/><Relationship Id="rId35" Type="http://schemas.openxmlformats.org/officeDocument/2006/relationships/hyperlink" Target="https://www.phytojournal.com/archives/2017/vol6issue4/PartP/6-4-65-342.pdf?utm_source=chatgpt.com" TargetMode="External"/><Relationship Id="rId8" Type="http://schemas.openxmlformats.org/officeDocument/2006/relationships/image" Target="media/image1.jpe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LENOVO\Music\sonali%20thesis\table_fixed_final.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LENOVO\Music\sonali%20thesis\table_fixed_final.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LENOVO\Music\sonali%20thesis\table_fixed_final.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LENOVO\Music\sonali%20thesis\table_fixed_final.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LENOVO\Music\sonali%20thesis\table_fixed_final.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LENOVO\Music\sonali%20thesis\table_fixed_final.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LENOVO\Music\sonali%20thesis\table_fixed_final.xlsx"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file:///C:\Users\LENOVO\Music\sonali%20thesis\table_fixed_final.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Plant height 30 DAT</c:v>
          </c:tx>
          <c:spPr>
            <a:solidFill>
              <a:srgbClr val="53F4FF">
                <a:alpha val="84706"/>
              </a:srgbClr>
            </a:solidFill>
            <a:ln w="9525">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Sheet1!$B$3:$B$11</c:f>
              <c:numCache>
                <c:formatCode>0.00</c:formatCode>
                <c:ptCount val="9"/>
                <c:pt idx="0">
                  <c:v>11.776999999999999</c:v>
                </c:pt>
                <c:pt idx="1">
                  <c:v>21.523</c:v>
                </c:pt>
                <c:pt idx="2">
                  <c:v>18.72</c:v>
                </c:pt>
                <c:pt idx="3">
                  <c:v>15.183</c:v>
                </c:pt>
                <c:pt idx="4">
                  <c:v>24.4</c:v>
                </c:pt>
                <c:pt idx="5">
                  <c:v>26.466999999999999</c:v>
                </c:pt>
                <c:pt idx="6">
                  <c:v>20.533000000000001</c:v>
                </c:pt>
                <c:pt idx="7">
                  <c:v>23.367000000000001</c:v>
                </c:pt>
                <c:pt idx="8">
                  <c:v>28.4</c:v>
                </c:pt>
              </c:numCache>
            </c:numRef>
          </c:val>
          <c:extLst>
            <c:ext xmlns:c16="http://schemas.microsoft.com/office/drawing/2014/chart" uri="{C3380CC4-5D6E-409C-BE32-E72D297353CC}">
              <c16:uniqueId val="{00000000-A2C9-4C97-AD06-9935DE85C556}"/>
            </c:ext>
          </c:extLst>
        </c:ser>
        <c:ser>
          <c:idx val="1"/>
          <c:order val="1"/>
          <c:tx>
            <c:v>Plant height 60 DAT</c:v>
          </c:tx>
          <c:spPr>
            <a:solidFill>
              <a:srgbClr val="AF2BBF">
                <a:alpha val="84706"/>
              </a:srgbClr>
            </a:solidFill>
            <a:ln w="9525">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Sheet1!$C$3:$C$11</c:f>
              <c:numCache>
                <c:formatCode>0.00</c:formatCode>
                <c:ptCount val="9"/>
                <c:pt idx="0">
                  <c:v>18.97</c:v>
                </c:pt>
                <c:pt idx="1">
                  <c:v>30.472999999999999</c:v>
                </c:pt>
                <c:pt idx="2">
                  <c:v>26.867000000000001</c:v>
                </c:pt>
                <c:pt idx="3">
                  <c:v>23.402999999999999</c:v>
                </c:pt>
                <c:pt idx="4">
                  <c:v>33.143000000000001</c:v>
                </c:pt>
                <c:pt idx="5">
                  <c:v>38.887</c:v>
                </c:pt>
                <c:pt idx="6">
                  <c:v>31.34</c:v>
                </c:pt>
                <c:pt idx="7">
                  <c:v>32.677</c:v>
                </c:pt>
                <c:pt idx="8">
                  <c:v>42.59</c:v>
                </c:pt>
              </c:numCache>
            </c:numRef>
          </c:val>
          <c:extLst>
            <c:ext xmlns:c16="http://schemas.microsoft.com/office/drawing/2014/chart" uri="{C3380CC4-5D6E-409C-BE32-E72D297353CC}">
              <c16:uniqueId val="{00000001-A2C9-4C97-AD06-9935DE85C556}"/>
            </c:ext>
          </c:extLst>
        </c:ser>
        <c:ser>
          <c:idx val="2"/>
          <c:order val="2"/>
          <c:tx>
            <c:v> Plant height 90 DAT</c:v>
          </c:tx>
          <c:spPr>
            <a:solidFill>
              <a:schemeClr val="accent3">
                <a:alpha val="85000"/>
              </a:schemeClr>
            </a:solidFill>
            <a:ln w="9525">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Sheet1!$D$3:$D$11</c:f>
              <c:numCache>
                <c:formatCode>0.00</c:formatCode>
                <c:ptCount val="9"/>
                <c:pt idx="0">
                  <c:v>30.637</c:v>
                </c:pt>
                <c:pt idx="1">
                  <c:v>50.472999999999999</c:v>
                </c:pt>
                <c:pt idx="2">
                  <c:v>48.533000000000001</c:v>
                </c:pt>
                <c:pt idx="3">
                  <c:v>43.737000000000002</c:v>
                </c:pt>
                <c:pt idx="4">
                  <c:v>54.143000000000001</c:v>
                </c:pt>
                <c:pt idx="5">
                  <c:v>57.887</c:v>
                </c:pt>
                <c:pt idx="6">
                  <c:v>51.673000000000002</c:v>
                </c:pt>
                <c:pt idx="7">
                  <c:v>53.677</c:v>
                </c:pt>
                <c:pt idx="8">
                  <c:v>62.59</c:v>
                </c:pt>
              </c:numCache>
            </c:numRef>
          </c:val>
          <c:extLst>
            <c:ext xmlns:c16="http://schemas.microsoft.com/office/drawing/2014/chart" uri="{C3380CC4-5D6E-409C-BE32-E72D297353CC}">
              <c16:uniqueId val="{00000002-A2C9-4C97-AD06-9935DE85C556}"/>
            </c:ext>
          </c:extLst>
        </c:ser>
        <c:dLbls>
          <c:showLegendKey val="0"/>
          <c:showVal val="0"/>
          <c:showCatName val="0"/>
          <c:showSerName val="0"/>
          <c:showPercent val="0"/>
          <c:showBubbleSize val="0"/>
        </c:dLbls>
        <c:gapWidth val="65"/>
        <c:axId val="1484206432"/>
        <c:axId val="1484207392"/>
      </c:barChart>
      <c:catAx>
        <c:axId val="1484206432"/>
        <c:scaling>
          <c:orientation val="minMax"/>
        </c:scaling>
        <c:delete val="0"/>
        <c:axPos val="b"/>
        <c:numFmt formatCode="General" sourceLinked="1"/>
        <c:majorTickMark val="none"/>
        <c:minorTickMark val="none"/>
        <c:tickLblPos val="nextTo"/>
        <c:spPr>
          <a:noFill/>
          <a:ln w="19050">
            <a:solidFill>
              <a:schemeClr val="dk1">
                <a:lumMod val="75000"/>
                <a:lumOff val="25000"/>
              </a:schemeClr>
            </a:solidFill>
            <a:round/>
          </a:ln>
          <a:effectLst/>
        </c:spPr>
        <c:txPr>
          <a:bodyPr rot="-60000000" spcFirstLastPara="1" vertOverflow="ellipsis" vert="horz" wrap="square" anchor="ctr" anchorCtr="1"/>
          <a:lstStyle/>
          <a:p>
            <a:pPr>
              <a:defRPr sz="700" b="1" i="0" u="none" strike="noStrike" kern="1200" cap="none"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crossAx val="1484207392"/>
        <c:crosses val="autoZero"/>
        <c:auto val="1"/>
        <c:lblAlgn val="ctr"/>
        <c:lblOffset val="100"/>
        <c:noMultiLvlLbl val="0"/>
      </c:catAx>
      <c:valAx>
        <c:axId val="1484207392"/>
        <c:scaling>
          <c:orientation val="minMax"/>
          <c:max val="70"/>
        </c:scaling>
        <c:delete val="0"/>
        <c:axPos val="l"/>
        <c:majorGridlines>
          <c:spPr>
            <a:ln w="9525">
              <a:gradFill rotWithShape="1">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quot;cm&quot;" sourceLinked="0"/>
        <c:majorTickMark val="none"/>
        <c:minorTickMark val="none"/>
        <c:tickLblPos val="high"/>
        <c:spPr>
          <a:noFill/>
          <a:ln>
            <a:solidFill>
              <a:schemeClr val="accent1"/>
            </a:solidFill>
          </a:ln>
          <a:effectLst/>
        </c:spPr>
        <c:txPr>
          <a:bodyPr rot="0" spcFirstLastPara="1" vertOverflow="ellipsis" wrap="square" anchor="b"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484206432"/>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1" i="1" u="sng"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No of leaves per plant 30 DAT</c:v>
          </c:tx>
          <c:spPr>
            <a:solidFill>
              <a:srgbClr val="53F4FF">
                <a:alpha val="84706"/>
              </a:srgbClr>
            </a:solidFill>
            <a:ln w="9525">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Sheet9!$A$3:$A$11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Sheet9!$B$3:$B$11</c:f>
              <c:numCache>
                <c:formatCode>0.00</c:formatCode>
                <c:ptCount val="9"/>
                <c:pt idx="0">
                  <c:v>9.5670000000000002</c:v>
                </c:pt>
                <c:pt idx="1">
                  <c:v>14.667</c:v>
                </c:pt>
                <c:pt idx="2">
                  <c:v>14.467000000000001</c:v>
                </c:pt>
                <c:pt idx="3">
                  <c:v>13.567</c:v>
                </c:pt>
                <c:pt idx="4">
                  <c:v>16.2</c:v>
                </c:pt>
                <c:pt idx="5">
                  <c:v>17.5</c:v>
                </c:pt>
                <c:pt idx="6">
                  <c:v>15.3</c:v>
                </c:pt>
                <c:pt idx="7">
                  <c:v>15.167</c:v>
                </c:pt>
                <c:pt idx="8">
                  <c:v>18.600000000000001</c:v>
                </c:pt>
              </c:numCache>
            </c:numRef>
          </c:val>
          <c:extLst>
            <c:ext xmlns:c16="http://schemas.microsoft.com/office/drawing/2014/chart" uri="{C3380CC4-5D6E-409C-BE32-E72D297353CC}">
              <c16:uniqueId val="{00000000-73B4-4474-A942-14B0EBA2E46F}"/>
            </c:ext>
          </c:extLst>
        </c:ser>
        <c:ser>
          <c:idx val="1"/>
          <c:order val="1"/>
          <c:tx>
            <c:v>No of leaves per plant 60 DAT</c:v>
          </c:tx>
          <c:spPr>
            <a:solidFill>
              <a:srgbClr val="AF2BBF">
                <a:alpha val="84706"/>
              </a:srgbClr>
            </a:solidFill>
            <a:ln w="9525">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Sheet9!$A$3:$A$11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Sheet9!$C$3:$C$11</c:f>
              <c:numCache>
                <c:formatCode>0.00</c:formatCode>
                <c:ptCount val="9"/>
                <c:pt idx="0">
                  <c:v>15.333</c:v>
                </c:pt>
                <c:pt idx="1">
                  <c:v>26.266999999999999</c:v>
                </c:pt>
                <c:pt idx="2">
                  <c:v>25.167000000000002</c:v>
                </c:pt>
                <c:pt idx="3">
                  <c:v>25.233000000000001</c:v>
                </c:pt>
                <c:pt idx="4">
                  <c:v>28.7</c:v>
                </c:pt>
                <c:pt idx="5">
                  <c:v>30.266999999999999</c:v>
                </c:pt>
                <c:pt idx="6">
                  <c:v>25.6</c:v>
                </c:pt>
                <c:pt idx="7">
                  <c:v>26.067</c:v>
                </c:pt>
                <c:pt idx="8">
                  <c:v>33.433</c:v>
                </c:pt>
              </c:numCache>
            </c:numRef>
          </c:val>
          <c:extLst>
            <c:ext xmlns:c16="http://schemas.microsoft.com/office/drawing/2014/chart" uri="{C3380CC4-5D6E-409C-BE32-E72D297353CC}">
              <c16:uniqueId val="{00000001-73B4-4474-A942-14B0EBA2E46F}"/>
            </c:ext>
          </c:extLst>
        </c:ser>
        <c:ser>
          <c:idx val="2"/>
          <c:order val="2"/>
          <c:tx>
            <c:v>No of leaves per plant 90 DAT</c:v>
          </c:tx>
          <c:spPr>
            <a:solidFill>
              <a:schemeClr val="accent3">
                <a:alpha val="85000"/>
              </a:schemeClr>
            </a:solidFill>
            <a:ln w="9525">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Sheet9!$A$3:$A$11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Sheet9!$D$3:$D$11</c:f>
              <c:numCache>
                <c:formatCode>0.00</c:formatCode>
                <c:ptCount val="9"/>
                <c:pt idx="0">
                  <c:v>28.632999999999999</c:v>
                </c:pt>
                <c:pt idx="1">
                  <c:v>43.933</c:v>
                </c:pt>
                <c:pt idx="2">
                  <c:v>38.5</c:v>
                </c:pt>
                <c:pt idx="3">
                  <c:v>35.232999999999997</c:v>
                </c:pt>
                <c:pt idx="4">
                  <c:v>49.033000000000001</c:v>
                </c:pt>
                <c:pt idx="5">
                  <c:v>52.933</c:v>
                </c:pt>
                <c:pt idx="6">
                  <c:v>43.6</c:v>
                </c:pt>
                <c:pt idx="7">
                  <c:v>45.732999999999997</c:v>
                </c:pt>
                <c:pt idx="8">
                  <c:v>54.1</c:v>
                </c:pt>
              </c:numCache>
            </c:numRef>
          </c:val>
          <c:extLst>
            <c:ext xmlns:c16="http://schemas.microsoft.com/office/drawing/2014/chart" uri="{C3380CC4-5D6E-409C-BE32-E72D297353CC}">
              <c16:uniqueId val="{00000002-73B4-4474-A942-14B0EBA2E46F}"/>
            </c:ext>
          </c:extLst>
        </c:ser>
        <c:dLbls>
          <c:showLegendKey val="0"/>
          <c:showVal val="0"/>
          <c:showCatName val="0"/>
          <c:showSerName val="0"/>
          <c:showPercent val="0"/>
          <c:showBubbleSize val="0"/>
        </c:dLbls>
        <c:gapWidth val="65"/>
        <c:axId val="1484206432"/>
        <c:axId val="1484207392"/>
      </c:barChart>
      <c:catAx>
        <c:axId val="1484206432"/>
        <c:scaling>
          <c:orientation val="minMax"/>
        </c:scaling>
        <c:delete val="0"/>
        <c:axPos val="b"/>
        <c:numFmt formatCode="General" sourceLinked="1"/>
        <c:majorTickMark val="none"/>
        <c:minorTickMark val="none"/>
        <c:tickLblPos val="nextTo"/>
        <c:spPr>
          <a:noFill/>
          <a:ln w="19050">
            <a:solidFill>
              <a:schemeClr val="dk1">
                <a:lumMod val="75000"/>
                <a:lumOff val="25000"/>
              </a:schemeClr>
            </a:solidFill>
            <a:round/>
          </a:ln>
          <a:effectLst/>
        </c:spPr>
        <c:txPr>
          <a:bodyPr rot="-60000000" spcFirstLastPara="1" vertOverflow="ellipsis" vert="horz" wrap="square" anchor="ctr" anchorCtr="1"/>
          <a:lstStyle/>
          <a:p>
            <a:pPr>
              <a:defRPr sz="700" b="1" i="0" u="none" strike="noStrike" kern="1200" cap="none"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crossAx val="1484207392"/>
        <c:crosses val="autoZero"/>
        <c:auto val="1"/>
        <c:lblAlgn val="ctr"/>
        <c:lblOffset val="100"/>
        <c:noMultiLvlLbl val="0"/>
      </c:catAx>
      <c:valAx>
        <c:axId val="1484207392"/>
        <c:scaling>
          <c:orientation val="minMax"/>
          <c:max val="60"/>
        </c:scaling>
        <c:delete val="0"/>
        <c:axPos val="l"/>
        <c:majorGridlines>
          <c:spPr>
            <a:ln w="9525">
              <a:gradFill rotWithShape="1">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0"/>
        <c:majorTickMark val="none"/>
        <c:minorTickMark val="none"/>
        <c:tickLblPos val="high"/>
        <c:spPr>
          <a:noFill/>
          <a:ln>
            <a:solidFill>
              <a:schemeClr val="accent1"/>
            </a:solidFill>
          </a:ln>
          <a:effectLst/>
        </c:spPr>
        <c:txPr>
          <a:bodyPr rot="0" spcFirstLastPara="1" vertOverflow="ellipsis" wrap="square" anchor="b"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484206432"/>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1000" b="1" i="0" u="sng"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No of branches/plant</c:v>
          </c:tx>
          <c:spPr>
            <a:solidFill>
              <a:schemeClr val="accent1">
                <a:alpha val="85000"/>
              </a:schemeClr>
            </a:solidFill>
            <a:ln w="9525">
              <a:solidFill>
                <a:schemeClr val="lt1">
                  <a:alpha val="50000"/>
                </a:schemeClr>
              </a:solidFill>
              <a:round/>
            </a:ln>
            <a:effectLst/>
          </c:spPr>
          <c:invertIfNegative val="0"/>
          <c:dLbls>
            <c:numFmt formatCode="General"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Sheet2!$A$3:$A$11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Sheet2!$B$3:$B$11</c:f>
              <c:numCache>
                <c:formatCode>General</c:formatCode>
                <c:ptCount val="9"/>
                <c:pt idx="0">
                  <c:v>7.47</c:v>
                </c:pt>
                <c:pt idx="1">
                  <c:v>10.130000000000001</c:v>
                </c:pt>
                <c:pt idx="2">
                  <c:v>8.8699999999999992</c:v>
                </c:pt>
                <c:pt idx="3">
                  <c:v>8.73</c:v>
                </c:pt>
                <c:pt idx="4">
                  <c:v>11.07</c:v>
                </c:pt>
                <c:pt idx="5">
                  <c:v>11.33</c:v>
                </c:pt>
                <c:pt idx="6">
                  <c:v>11.4</c:v>
                </c:pt>
                <c:pt idx="7">
                  <c:v>11.2</c:v>
                </c:pt>
                <c:pt idx="8">
                  <c:v>12.93</c:v>
                </c:pt>
              </c:numCache>
            </c:numRef>
          </c:val>
          <c:extLst>
            <c:ext xmlns:c16="http://schemas.microsoft.com/office/drawing/2014/chart" uri="{C3380CC4-5D6E-409C-BE32-E72D297353CC}">
              <c16:uniqueId val="{00000000-E5C8-4266-8C5C-E21EE1851A1B}"/>
            </c:ext>
          </c:extLst>
        </c:ser>
        <c:dLbls>
          <c:dLblPos val="inEnd"/>
          <c:showLegendKey val="0"/>
          <c:showVal val="1"/>
          <c:showCatName val="0"/>
          <c:showSerName val="0"/>
          <c:showPercent val="0"/>
          <c:showBubbleSize val="0"/>
        </c:dLbls>
        <c:gapWidth val="65"/>
        <c:overlap val="14"/>
        <c:axId val="1673509568"/>
        <c:axId val="1673521568"/>
      </c:barChart>
      <c:lineChart>
        <c:grouping val="standard"/>
        <c:varyColors val="0"/>
        <c:ser>
          <c:idx val="1"/>
          <c:order val="1"/>
          <c:tx>
            <c:v>Stem girth (cm)</c:v>
          </c:tx>
          <c:spPr>
            <a:ln w="31750" cap="rnd">
              <a:solidFill>
                <a:schemeClr val="accent2">
                  <a:alpha val="85000"/>
                </a:schemeClr>
              </a:solidFill>
              <a:round/>
            </a:ln>
            <a:effectLst/>
          </c:spPr>
          <c:marker>
            <c:symbol val="circle"/>
            <c:size val="7"/>
            <c:spPr>
              <a:solidFill>
                <a:schemeClr val="accent2">
                  <a:alpha val="85000"/>
                </a:schemeClr>
              </a:solidFill>
              <a:ln>
                <a:noFill/>
              </a:ln>
              <a:effectLst/>
            </c:spPr>
          </c:marker>
          <c:dLbls>
            <c:dLbl>
              <c:idx val="1"/>
              <c:layout>
                <c:manualLayout>
                  <c:x val="-8.6956521739130696E-3"/>
                  <c:y val="-3.56347438752783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5C8-4266-8C5C-E21EE1851A1B}"/>
                </c:ext>
              </c:extLst>
            </c:dLbl>
            <c:dLbl>
              <c:idx val="4"/>
              <c:layout>
                <c:manualLayout>
                  <c:x val="-7.246376811594203E-3"/>
                  <c:y val="-3.56347438752784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5C8-4266-8C5C-E21EE1851A1B}"/>
                </c:ext>
              </c:extLst>
            </c:dLbl>
            <c:numFmt formatCode="General&quot;cm&quot;"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Sheet2!$A$3:$A$11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Sheet2!$C$3:$C$11</c:f>
              <c:numCache>
                <c:formatCode>General</c:formatCode>
                <c:ptCount val="9"/>
                <c:pt idx="0">
                  <c:v>2.2999999999999998</c:v>
                </c:pt>
                <c:pt idx="1">
                  <c:v>2.83</c:v>
                </c:pt>
                <c:pt idx="2">
                  <c:v>2.71</c:v>
                </c:pt>
                <c:pt idx="3">
                  <c:v>2.5499999999999998</c:v>
                </c:pt>
                <c:pt idx="4">
                  <c:v>3.04</c:v>
                </c:pt>
                <c:pt idx="5">
                  <c:v>3.12</c:v>
                </c:pt>
                <c:pt idx="6">
                  <c:v>2.67</c:v>
                </c:pt>
                <c:pt idx="7">
                  <c:v>2.95</c:v>
                </c:pt>
                <c:pt idx="8">
                  <c:v>3.18</c:v>
                </c:pt>
              </c:numCache>
            </c:numRef>
          </c:val>
          <c:smooth val="0"/>
          <c:extLst>
            <c:ext xmlns:c16="http://schemas.microsoft.com/office/drawing/2014/chart" uri="{C3380CC4-5D6E-409C-BE32-E72D297353CC}">
              <c16:uniqueId val="{00000003-E5C8-4266-8C5C-E21EE1851A1B}"/>
            </c:ext>
          </c:extLst>
        </c:ser>
        <c:dLbls>
          <c:showLegendKey val="0"/>
          <c:showVal val="0"/>
          <c:showCatName val="0"/>
          <c:showSerName val="0"/>
          <c:showPercent val="0"/>
          <c:showBubbleSize val="0"/>
        </c:dLbls>
        <c:marker val="1"/>
        <c:smooth val="0"/>
        <c:axId val="1484206432"/>
        <c:axId val="1484207392"/>
      </c:lineChart>
      <c:catAx>
        <c:axId val="1484206432"/>
        <c:scaling>
          <c:orientation val="minMax"/>
        </c:scaling>
        <c:delete val="0"/>
        <c:axPos val="b"/>
        <c:majorGridlines>
          <c:spPr>
            <a:ln w="9525">
              <a:gradFill rotWithShape="1">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w="19050">
            <a:solidFill>
              <a:schemeClr val="dk1">
                <a:lumMod val="75000"/>
                <a:lumOff val="25000"/>
              </a:schemeClr>
            </a:solidFill>
            <a:round/>
          </a:ln>
          <a:effectLst/>
        </c:spPr>
        <c:txPr>
          <a:bodyPr rot="-60000000" spcFirstLastPara="1" vertOverflow="ellipsis" vert="horz" wrap="square" anchor="ctr" anchorCtr="1"/>
          <a:lstStyle/>
          <a:p>
            <a:pPr>
              <a:defRPr sz="700" b="1" i="0" u="none" strike="noStrike" kern="1200" cap="none"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crossAx val="1484207392"/>
        <c:crosses val="autoZero"/>
        <c:auto val="1"/>
        <c:lblAlgn val="ctr"/>
        <c:lblOffset val="100"/>
        <c:noMultiLvlLbl val="0"/>
      </c:catAx>
      <c:valAx>
        <c:axId val="1484207392"/>
        <c:scaling>
          <c:orientation val="minMax"/>
        </c:scaling>
        <c:delete val="0"/>
        <c:axPos val="l"/>
        <c:majorGridlines>
          <c:spPr>
            <a:ln w="9525">
              <a:gradFill rotWithShape="1">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quot;cm&quot;" sourceLinked="0"/>
        <c:majorTickMark val="none"/>
        <c:minorTickMark val="none"/>
        <c:tickLblPos val="high"/>
        <c:spPr>
          <a:noFill/>
          <a:ln>
            <a:solidFill>
              <a:schemeClr val="accent1"/>
            </a:solidFill>
          </a:ln>
          <a:effectLst/>
        </c:spPr>
        <c:txPr>
          <a:bodyPr rot="0" spcFirstLastPara="1" vertOverflow="ellipsis" wrap="square" anchor="b"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484206432"/>
        <c:crosses val="autoZero"/>
        <c:crossBetween val="between"/>
      </c:valAx>
      <c:valAx>
        <c:axId val="1673521568"/>
        <c:scaling>
          <c:orientation val="minMax"/>
          <c:max val="18"/>
        </c:scaling>
        <c:delete val="0"/>
        <c:axPos val="l"/>
        <c:numFmt formatCode="General"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673509568"/>
        <c:crosses val="autoZero"/>
        <c:crossBetween val="between"/>
      </c:valAx>
      <c:catAx>
        <c:axId val="1673509568"/>
        <c:scaling>
          <c:orientation val="minMax"/>
        </c:scaling>
        <c:delete val="1"/>
        <c:axPos val="b"/>
        <c:numFmt formatCode="General" sourceLinked="1"/>
        <c:majorTickMark val="out"/>
        <c:minorTickMark val="none"/>
        <c:tickLblPos val="nextTo"/>
        <c:crossAx val="1673521568"/>
        <c:crosses val="autoZero"/>
        <c:auto val="1"/>
        <c:lblAlgn val="ctr"/>
        <c:lblOffset val="100"/>
        <c:noMultiLvlLbl val="0"/>
      </c:cat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1100" b="1" i="0" u="sng"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Days to first flowering</c:v>
          </c:tx>
          <c:spPr>
            <a:solidFill>
              <a:schemeClr val="accent1">
                <a:alpha val="85000"/>
              </a:schemeClr>
            </a:solidFill>
            <a:ln w="9525">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Sheet3!$A$3:$A$11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Sheet3!$B$3:$B$11</c:f>
              <c:numCache>
                <c:formatCode>General</c:formatCode>
                <c:ptCount val="9"/>
                <c:pt idx="0">
                  <c:v>53.33</c:v>
                </c:pt>
                <c:pt idx="1">
                  <c:v>51.67</c:v>
                </c:pt>
                <c:pt idx="2">
                  <c:v>51.67</c:v>
                </c:pt>
                <c:pt idx="3">
                  <c:v>51</c:v>
                </c:pt>
                <c:pt idx="4">
                  <c:v>47.67</c:v>
                </c:pt>
                <c:pt idx="5">
                  <c:v>47.67</c:v>
                </c:pt>
                <c:pt idx="6">
                  <c:v>49.33</c:v>
                </c:pt>
                <c:pt idx="7">
                  <c:v>48.33</c:v>
                </c:pt>
                <c:pt idx="8">
                  <c:v>47.33</c:v>
                </c:pt>
              </c:numCache>
            </c:numRef>
          </c:val>
          <c:extLst>
            <c:ext xmlns:c16="http://schemas.microsoft.com/office/drawing/2014/chart" uri="{C3380CC4-5D6E-409C-BE32-E72D297353CC}">
              <c16:uniqueId val="{00000000-DA64-4F38-8FD6-9ECED7C7FC52}"/>
            </c:ext>
          </c:extLst>
        </c:ser>
        <c:ser>
          <c:idx val="1"/>
          <c:order val="1"/>
          <c:tx>
            <c:v>No of flowers / plant</c:v>
          </c:tx>
          <c:spPr>
            <a:solidFill>
              <a:schemeClr val="accent2">
                <a:alpha val="85000"/>
              </a:schemeClr>
            </a:solidFill>
            <a:ln w="9525">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Sheet3!$A$3:$A$11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Sheet3!$C$3:$C$11</c:f>
              <c:numCache>
                <c:formatCode>General</c:formatCode>
                <c:ptCount val="9"/>
                <c:pt idx="0">
                  <c:v>30.66</c:v>
                </c:pt>
                <c:pt idx="1">
                  <c:v>40.33</c:v>
                </c:pt>
                <c:pt idx="2">
                  <c:v>36.549999999999997</c:v>
                </c:pt>
                <c:pt idx="3">
                  <c:v>34.78</c:v>
                </c:pt>
                <c:pt idx="4">
                  <c:v>42</c:v>
                </c:pt>
                <c:pt idx="5">
                  <c:v>43.44</c:v>
                </c:pt>
                <c:pt idx="6">
                  <c:v>37.549999999999997</c:v>
                </c:pt>
                <c:pt idx="7">
                  <c:v>42</c:v>
                </c:pt>
                <c:pt idx="8">
                  <c:v>46.55</c:v>
                </c:pt>
              </c:numCache>
            </c:numRef>
          </c:val>
          <c:extLst>
            <c:ext xmlns:c16="http://schemas.microsoft.com/office/drawing/2014/chart" uri="{C3380CC4-5D6E-409C-BE32-E72D297353CC}">
              <c16:uniqueId val="{00000001-DA64-4F38-8FD6-9ECED7C7FC52}"/>
            </c:ext>
          </c:extLst>
        </c:ser>
        <c:dLbls>
          <c:dLblPos val="inEnd"/>
          <c:showLegendKey val="0"/>
          <c:showVal val="1"/>
          <c:showCatName val="0"/>
          <c:showSerName val="0"/>
          <c:showPercent val="0"/>
          <c:showBubbleSize val="0"/>
        </c:dLbls>
        <c:gapWidth val="65"/>
        <c:axId val="1484206432"/>
        <c:axId val="1484207392"/>
      </c:barChart>
      <c:lineChart>
        <c:grouping val="standard"/>
        <c:varyColors val="0"/>
        <c:ser>
          <c:idx val="2"/>
          <c:order val="2"/>
          <c:tx>
            <c:v>Days to 50% flowering</c:v>
          </c:tx>
          <c:spPr>
            <a:ln w="31750" cap="rnd">
              <a:solidFill>
                <a:schemeClr val="accent3">
                  <a:alpha val="85000"/>
                </a:schemeClr>
              </a:solidFill>
              <a:round/>
            </a:ln>
            <a:effectLst/>
          </c:spPr>
          <c:marker>
            <c:symbol val="circle"/>
            <c:size val="6"/>
            <c:spPr>
              <a:solidFill>
                <a:schemeClr val="accent3">
                  <a:alpha val="85000"/>
                </a:schemeClr>
              </a:solidFill>
              <a:ln w="31750">
                <a:solidFill>
                  <a:srgbClr val="6C91BF"/>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Sheet3!$A$3:$A$11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Sheet3!$D$3:$D$11</c:f>
              <c:numCache>
                <c:formatCode>General</c:formatCode>
                <c:ptCount val="9"/>
                <c:pt idx="0">
                  <c:v>59</c:v>
                </c:pt>
                <c:pt idx="1">
                  <c:v>56.67</c:v>
                </c:pt>
                <c:pt idx="2">
                  <c:v>57.33</c:v>
                </c:pt>
                <c:pt idx="3">
                  <c:v>57.67</c:v>
                </c:pt>
                <c:pt idx="4">
                  <c:v>54.33</c:v>
                </c:pt>
                <c:pt idx="5">
                  <c:v>53.33</c:v>
                </c:pt>
                <c:pt idx="6">
                  <c:v>56</c:v>
                </c:pt>
                <c:pt idx="7">
                  <c:v>55</c:v>
                </c:pt>
                <c:pt idx="8">
                  <c:v>52</c:v>
                </c:pt>
              </c:numCache>
            </c:numRef>
          </c:val>
          <c:smooth val="0"/>
          <c:extLst>
            <c:ext xmlns:c16="http://schemas.microsoft.com/office/drawing/2014/chart" uri="{C3380CC4-5D6E-409C-BE32-E72D297353CC}">
              <c16:uniqueId val="{00000002-DA64-4F38-8FD6-9ECED7C7FC52}"/>
            </c:ext>
          </c:extLst>
        </c:ser>
        <c:dLbls>
          <c:showLegendKey val="0"/>
          <c:showVal val="0"/>
          <c:showCatName val="0"/>
          <c:showSerName val="0"/>
          <c:showPercent val="0"/>
          <c:showBubbleSize val="0"/>
        </c:dLbls>
        <c:marker val="1"/>
        <c:smooth val="0"/>
        <c:axId val="1673468768"/>
        <c:axId val="1673488448"/>
      </c:lineChart>
      <c:catAx>
        <c:axId val="1484206432"/>
        <c:scaling>
          <c:orientation val="minMax"/>
        </c:scaling>
        <c:delete val="0"/>
        <c:axPos val="b"/>
        <c:numFmt formatCode="General" sourceLinked="1"/>
        <c:majorTickMark val="none"/>
        <c:minorTickMark val="none"/>
        <c:tickLblPos val="nextTo"/>
        <c:spPr>
          <a:noFill/>
          <a:ln w="19050">
            <a:solidFill>
              <a:schemeClr val="dk1">
                <a:lumMod val="75000"/>
                <a:lumOff val="25000"/>
              </a:schemeClr>
            </a:solidFill>
            <a:round/>
          </a:ln>
          <a:effectLst/>
        </c:spPr>
        <c:txPr>
          <a:bodyPr rot="0" spcFirstLastPara="1" vertOverflow="ellipsis" wrap="square" anchor="ctr" anchorCtr="1"/>
          <a:lstStyle/>
          <a:p>
            <a:pPr>
              <a:defRPr sz="700" b="1" i="0" u="none" strike="noStrike" kern="1200" cap="none"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crossAx val="1484207392"/>
        <c:crossesAt val="0"/>
        <c:auto val="1"/>
        <c:lblAlgn val="ctr"/>
        <c:lblOffset val="100"/>
        <c:noMultiLvlLbl val="0"/>
      </c:catAx>
      <c:valAx>
        <c:axId val="1484207392"/>
        <c:scaling>
          <c:orientation val="minMax"/>
          <c:max val="60"/>
        </c:scaling>
        <c:delete val="0"/>
        <c:axPos val="l"/>
        <c:majorGridlines>
          <c:spPr>
            <a:ln w="9525">
              <a:gradFill rotWithShape="1">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0"/>
        <c:majorTickMark val="none"/>
        <c:minorTickMark val="none"/>
        <c:tickLblPos val="high"/>
        <c:spPr>
          <a:noFill/>
          <a:ln>
            <a:solidFill>
              <a:schemeClr val="accent1"/>
            </a:solidFill>
          </a:ln>
          <a:effectLst/>
        </c:spPr>
        <c:txPr>
          <a:bodyPr rot="0" spcFirstLastPara="1" vertOverflow="ellipsis" wrap="square" anchor="b"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484206432"/>
        <c:crosses val="autoZero"/>
        <c:crossBetween val="between"/>
      </c:valAx>
      <c:valAx>
        <c:axId val="1673488448"/>
        <c:scaling>
          <c:orientation val="minMax"/>
        </c:scaling>
        <c:delete val="1"/>
        <c:axPos val="r"/>
        <c:numFmt formatCode="General" sourceLinked="0"/>
        <c:majorTickMark val="out"/>
        <c:minorTickMark val="none"/>
        <c:tickLblPos val="high"/>
        <c:crossAx val="1673468768"/>
        <c:crosses val="max"/>
        <c:crossBetween val="between"/>
      </c:valAx>
      <c:catAx>
        <c:axId val="1673468768"/>
        <c:scaling>
          <c:orientation val="minMax"/>
        </c:scaling>
        <c:delete val="1"/>
        <c:axPos val="b"/>
        <c:numFmt formatCode="General" sourceLinked="1"/>
        <c:majorTickMark val="out"/>
        <c:minorTickMark val="none"/>
        <c:tickLblPos val="nextTo"/>
        <c:crossAx val="1673488448"/>
        <c:crosses val="autoZero"/>
        <c:auto val="1"/>
        <c:lblAlgn val="ctr"/>
        <c:lblOffset val="100"/>
        <c:noMultiLvlLbl val="0"/>
      </c:cat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1000" b="1" i="0" u="sng"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No of fruits / plant</c:v>
          </c:tx>
          <c:spPr>
            <a:solidFill>
              <a:schemeClr val="accent1">
                <a:alpha val="85000"/>
              </a:schemeClr>
            </a:solidFill>
            <a:ln w="9525">
              <a:solidFill>
                <a:schemeClr val="lt1">
                  <a:alpha val="50000"/>
                </a:schemeClr>
              </a:solidFill>
              <a:round/>
            </a:ln>
            <a:effectLst/>
          </c:spPr>
          <c:invertIfNegative val="0"/>
          <c:dLbls>
            <c:numFmt formatCode="General"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Sheet4!$A$3:$A$11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Sheet4!$B$3:$B$11</c:f>
              <c:numCache>
                <c:formatCode>General</c:formatCode>
                <c:ptCount val="9"/>
                <c:pt idx="0">
                  <c:v>6.8</c:v>
                </c:pt>
                <c:pt idx="1">
                  <c:v>8.6</c:v>
                </c:pt>
                <c:pt idx="2">
                  <c:v>7.47</c:v>
                </c:pt>
                <c:pt idx="3">
                  <c:v>7.4</c:v>
                </c:pt>
                <c:pt idx="4">
                  <c:v>9.6</c:v>
                </c:pt>
                <c:pt idx="5">
                  <c:v>9.73</c:v>
                </c:pt>
                <c:pt idx="6">
                  <c:v>8.8699999999999992</c:v>
                </c:pt>
                <c:pt idx="7">
                  <c:v>9.4700000000000006</c:v>
                </c:pt>
                <c:pt idx="8">
                  <c:v>10.33</c:v>
                </c:pt>
              </c:numCache>
            </c:numRef>
          </c:val>
          <c:extLst>
            <c:ext xmlns:c16="http://schemas.microsoft.com/office/drawing/2014/chart" uri="{C3380CC4-5D6E-409C-BE32-E72D297353CC}">
              <c16:uniqueId val="{00000000-CBAD-4E9C-8397-1131C7378576}"/>
            </c:ext>
          </c:extLst>
        </c:ser>
        <c:dLbls>
          <c:dLblPos val="inEnd"/>
          <c:showLegendKey val="0"/>
          <c:showVal val="1"/>
          <c:showCatName val="0"/>
          <c:showSerName val="0"/>
          <c:showPercent val="0"/>
          <c:showBubbleSize val="0"/>
        </c:dLbls>
        <c:gapWidth val="65"/>
        <c:overlap val="14"/>
        <c:axId val="1673509568"/>
        <c:axId val="1673521568"/>
      </c:barChart>
      <c:lineChart>
        <c:grouping val="standard"/>
        <c:varyColors val="0"/>
        <c:ser>
          <c:idx val="1"/>
          <c:order val="1"/>
          <c:tx>
            <c:v>Weight of indiviual fruit (g)</c:v>
          </c:tx>
          <c:spPr>
            <a:ln w="31750" cap="rnd">
              <a:solidFill>
                <a:schemeClr val="accent2">
                  <a:alpha val="85000"/>
                </a:schemeClr>
              </a:solidFill>
              <a:round/>
            </a:ln>
            <a:effectLst/>
          </c:spPr>
          <c:marker>
            <c:symbol val="circle"/>
            <c:size val="7"/>
            <c:spPr>
              <a:solidFill>
                <a:schemeClr val="accent2">
                  <a:alpha val="85000"/>
                </a:schemeClr>
              </a:solidFill>
              <a:ln>
                <a:noFill/>
              </a:ln>
              <a:effectLst/>
            </c:spPr>
          </c:marker>
          <c:dLbls>
            <c:numFmt formatCode="General&quot;g&quot;"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Sheet4!$A$3:$A$11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Sheet4!$C$3:$C$11</c:f>
              <c:numCache>
                <c:formatCode>General</c:formatCode>
                <c:ptCount val="9"/>
                <c:pt idx="0">
                  <c:v>125.4</c:v>
                </c:pt>
                <c:pt idx="1">
                  <c:v>154.4</c:v>
                </c:pt>
                <c:pt idx="2">
                  <c:v>144.87</c:v>
                </c:pt>
                <c:pt idx="3">
                  <c:v>141.72999999999999</c:v>
                </c:pt>
                <c:pt idx="4">
                  <c:v>159.19999999999999</c:v>
                </c:pt>
                <c:pt idx="5">
                  <c:v>174.6</c:v>
                </c:pt>
                <c:pt idx="6">
                  <c:v>153.27000000000001</c:v>
                </c:pt>
                <c:pt idx="7">
                  <c:v>157.27000000000001</c:v>
                </c:pt>
                <c:pt idx="8">
                  <c:v>167.27</c:v>
                </c:pt>
              </c:numCache>
            </c:numRef>
          </c:val>
          <c:smooth val="0"/>
          <c:extLst>
            <c:ext xmlns:c16="http://schemas.microsoft.com/office/drawing/2014/chart" uri="{C3380CC4-5D6E-409C-BE32-E72D297353CC}">
              <c16:uniqueId val="{00000001-CBAD-4E9C-8397-1131C7378576}"/>
            </c:ext>
          </c:extLst>
        </c:ser>
        <c:dLbls>
          <c:showLegendKey val="0"/>
          <c:showVal val="0"/>
          <c:showCatName val="0"/>
          <c:showSerName val="0"/>
          <c:showPercent val="0"/>
          <c:showBubbleSize val="0"/>
        </c:dLbls>
        <c:marker val="1"/>
        <c:smooth val="0"/>
        <c:axId val="1484206432"/>
        <c:axId val="1484207392"/>
      </c:lineChart>
      <c:catAx>
        <c:axId val="1484206432"/>
        <c:scaling>
          <c:orientation val="minMax"/>
        </c:scaling>
        <c:delete val="0"/>
        <c:axPos val="b"/>
        <c:majorGridlines>
          <c:spPr>
            <a:ln w="9525">
              <a:gradFill rotWithShape="1">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w="19050">
            <a:solidFill>
              <a:schemeClr val="dk1">
                <a:lumMod val="75000"/>
                <a:lumOff val="25000"/>
              </a:schemeClr>
            </a:solidFill>
            <a:round/>
          </a:ln>
          <a:effectLst/>
        </c:spPr>
        <c:txPr>
          <a:bodyPr rot="-60000000" spcFirstLastPara="1" vertOverflow="ellipsis" vert="horz" wrap="square" anchor="ctr" anchorCtr="1"/>
          <a:lstStyle/>
          <a:p>
            <a:pPr>
              <a:defRPr sz="700" b="1" i="0" u="none" strike="noStrike" kern="1200" cap="none"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crossAx val="1484207392"/>
        <c:crosses val="autoZero"/>
        <c:auto val="1"/>
        <c:lblAlgn val="ctr"/>
        <c:lblOffset val="100"/>
        <c:noMultiLvlLbl val="0"/>
      </c:catAx>
      <c:valAx>
        <c:axId val="1484207392"/>
        <c:scaling>
          <c:orientation val="minMax"/>
        </c:scaling>
        <c:delete val="0"/>
        <c:axPos val="l"/>
        <c:majorGridlines>
          <c:spPr>
            <a:ln w="9525">
              <a:gradFill rotWithShape="1">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quot;g&quot;" sourceLinked="0"/>
        <c:majorTickMark val="none"/>
        <c:minorTickMark val="none"/>
        <c:tickLblPos val="high"/>
        <c:spPr>
          <a:noFill/>
          <a:ln>
            <a:solidFill>
              <a:schemeClr val="accent1"/>
            </a:solidFill>
          </a:ln>
          <a:effectLst/>
        </c:spPr>
        <c:txPr>
          <a:bodyPr rot="0" spcFirstLastPara="1" vertOverflow="ellipsis" wrap="square" anchor="b"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484206432"/>
        <c:crosses val="autoZero"/>
        <c:crossBetween val="between"/>
      </c:valAx>
      <c:valAx>
        <c:axId val="1673521568"/>
        <c:scaling>
          <c:orientation val="minMax"/>
          <c:max val="16"/>
        </c:scaling>
        <c:delete val="0"/>
        <c:axPos val="l"/>
        <c:numFmt formatCode="General"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673509568"/>
        <c:crosses val="autoZero"/>
        <c:crossBetween val="between"/>
      </c:valAx>
      <c:catAx>
        <c:axId val="1673509568"/>
        <c:scaling>
          <c:orientation val="minMax"/>
        </c:scaling>
        <c:delete val="1"/>
        <c:axPos val="b"/>
        <c:numFmt formatCode="General" sourceLinked="1"/>
        <c:majorTickMark val="out"/>
        <c:minorTickMark val="none"/>
        <c:tickLblPos val="nextTo"/>
        <c:crossAx val="1673521568"/>
        <c:crosses val="autoZero"/>
        <c:auto val="1"/>
        <c:lblAlgn val="ctr"/>
        <c:lblOffset val="100"/>
        <c:noMultiLvlLbl val="0"/>
      </c:cat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1050" b="1" i="0" u="sng"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v>Length of fruit (cm)</c:v>
          </c:tx>
          <c:spPr>
            <a:solidFill>
              <a:srgbClr val="53F4FF">
                <a:alpha val="84706"/>
              </a:srgbClr>
            </a:solidFill>
            <a:ln w="9525">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Sheet5!$A$3:$A$11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Sheet5!$B$3:$B$11</c:f>
              <c:numCache>
                <c:formatCode>General</c:formatCode>
                <c:ptCount val="9"/>
                <c:pt idx="0">
                  <c:v>6.1</c:v>
                </c:pt>
                <c:pt idx="1">
                  <c:v>7.49</c:v>
                </c:pt>
                <c:pt idx="2">
                  <c:v>7.38</c:v>
                </c:pt>
                <c:pt idx="3">
                  <c:v>7.22</c:v>
                </c:pt>
                <c:pt idx="4">
                  <c:v>7.83</c:v>
                </c:pt>
                <c:pt idx="5">
                  <c:v>8.02</c:v>
                </c:pt>
                <c:pt idx="6">
                  <c:v>7.33</c:v>
                </c:pt>
                <c:pt idx="7">
                  <c:v>7.95</c:v>
                </c:pt>
                <c:pt idx="8">
                  <c:v>8.24</c:v>
                </c:pt>
              </c:numCache>
            </c:numRef>
          </c:val>
          <c:extLst>
            <c:ext xmlns:c16="http://schemas.microsoft.com/office/drawing/2014/chart" uri="{C3380CC4-5D6E-409C-BE32-E72D297353CC}">
              <c16:uniqueId val="{00000000-EEC3-4672-968C-3AE9C84ABE06}"/>
            </c:ext>
          </c:extLst>
        </c:ser>
        <c:ser>
          <c:idx val="1"/>
          <c:order val="1"/>
          <c:tx>
            <c:v>Diameter of fruit (cm)</c:v>
          </c:tx>
          <c:spPr>
            <a:solidFill>
              <a:srgbClr val="AF2BBF">
                <a:alpha val="84706"/>
              </a:srgbClr>
            </a:solidFill>
            <a:ln w="9525">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Sheet5!$A$3:$A$11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Sheet5!$C$3:$C$11</c:f>
              <c:numCache>
                <c:formatCode>General</c:formatCode>
                <c:ptCount val="9"/>
                <c:pt idx="0">
                  <c:v>5.13</c:v>
                </c:pt>
                <c:pt idx="1">
                  <c:v>6.95</c:v>
                </c:pt>
                <c:pt idx="2">
                  <c:v>6.65</c:v>
                </c:pt>
                <c:pt idx="3">
                  <c:v>5.96</c:v>
                </c:pt>
                <c:pt idx="4">
                  <c:v>6.84</c:v>
                </c:pt>
                <c:pt idx="5">
                  <c:v>7.45</c:v>
                </c:pt>
                <c:pt idx="6">
                  <c:v>6.75</c:v>
                </c:pt>
                <c:pt idx="7">
                  <c:v>6.14</c:v>
                </c:pt>
                <c:pt idx="8">
                  <c:v>7.39</c:v>
                </c:pt>
              </c:numCache>
            </c:numRef>
          </c:val>
          <c:extLst>
            <c:ext xmlns:c16="http://schemas.microsoft.com/office/drawing/2014/chart" uri="{C3380CC4-5D6E-409C-BE32-E72D297353CC}">
              <c16:uniqueId val="{00000001-EEC3-4672-968C-3AE9C84ABE06}"/>
            </c:ext>
          </c:extLst>
        </c:ser>
        <c:dLbls>
          <c:dLblPos val="inEnd"/>
          <c:showLegendKey val="0"/>
          <c:showVal val="1"/>
          <c:showCatName val="0"/>
          <c:showSerName val="0"/>
          <c:showPercent val="0"/>
          <c:showBubbleSize val="0"/>
        </c:dLbls>
        <c:gapWidth val="65"/>
        <c:axId val="1484206432"/>
        <c:axId val="1484207392"/>
      </c:barChart>
      <c:catAx>
        <c:axId val="1484206432"/>
        <c:scaling>
          <c:orientation val="maxMin"/>
        </c:scaling>
        <c:delete val="0"/>
        <c:axPos val="l"/>
        <c:numFmt formatCode="General" sourceLinked="1"/>
        <c:majorTickMark val="none"/>
        <c:minorTickMark val="none"/>
        <c:tickLblPos val="nextTo"/>
        <c:spPr>
          <a:noFill/>
          <a:ln w="19050">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none" baseline="0">
                <a:solidFill>
                  <a:schemeClr val="dk1">
                    <a:lumMod val="75000"/>
                    <a:lumOff val="25000"/>
                  </a:schemeClr>
                </a:solidFill>
                <a:latin typeface="+mn-lt"/>
                <a:ea typeface="+mn-ea"/>
                <a:cs typeface="+mn-cs"/>
              </a:defRPr>
            </a:pPr>
            <a:endParaRPr lang="en-US"/>
          </a:p>
        </c:txPr>
        <c:crossAx val="1484207392"/>
        <c:crosses val="autoZero"/>
        <c:auto val="1"/>
        <c:lblAlgn val="ctr"/>
        <c:lblOffset val="100"/>
        <c:noMultiLvlLbl val="0"/>
      </c:catAx>
      <c:valAx>
        <c:axId val="1484207392"/>
        <c:scaling>
          <c:orientation val="minMax"/>
          <c:max val="10"/>
          <c:min val="1"/>
        </c:scaling>
        <c:delete val="0"/>
        <c:axPos val="t"/>
        <c:majorGridlines>
          <c:spPr>
            <a:ln w="9525">
              <a:gradFill rotWithShape="1">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quot;cm&quot;" sourceLinked="0"/>
        <c:majorTickMark val="none"/>
        <c:minorTickMark val="none"/>
        <c:tickLblPos val="high"/>
        <c:spPr>
          <a:noFill/>
          <a:ln>
            <a:solidFill>
              <a:schemeClr val="accent1"/>
            </a:solidFill>
          </a:ln>
          <a:effectLst/>
        </c:spPr>
        <c:txPr>
          <a:bodyPr rot="0" spcFirstLastPara="1" vertOverflow="ellipsis" wrap="square" anchor="b"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484206432"/>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1050" b="1" i="0" u="sng"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Yield of fruit per hectare (q/ha)</c:v>
          </c:tx>
          <c:spPr>
            <a:solidFill>
              <a:srgbClr val="53F4FF">
                <a:alpha val="84706"/>
              </a:srgbClr>
            </a:solidFill>
            <a:ln w="9525">
              <a:solidFill>
                <a:schemeClr val="lt1">
                  <a:alpha val="50000"/>
                </a:schemeClr>
              </a:solidFill>
              <a:round/>
            </a:ln>
            <a:effectLst/>
          </c:spPr>
          <c:invertIfNegative val="0"/>
          <c:dLbls>
            <c:numFmt formatCode="General&quot;q/ha&quot;" sourceLinked="0"/>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Sheet11!$A$3:$A$11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Sheet11!$B$3:$B$11</c:f>
              <c:numCache>
                <c:formatCode>General</c:formatCode>
                <c:ptCount val="9"/>
                <c:pt idx="0">
                  <c:v>315.69</c:v>
                </c:pt>
                <c:pt idx="1">
                  <c:v>491.79</c:v>
                </c:pt>
                <c:pt idx="2">
                  <c:v>412.9</c:v>
                </c:pt>
                <c:pt idx="3">
                  <c:v>388.39</c:v>
                </c:pt>
                <c:pt idx="4">
                  <c:v>565.71</c:v>
                </c:pt>
                <c:pt idx="5">
                  <c:v>609</c:v>
                </c:pt>
                <c:pt idx="6">
                  <c:v>502.72</c:v>
                </c:pt>
                <c:pt idx="7">
                  <c:v>551.30999999999995</c:v>
                </c:pt>
                <c:pt idx="8">
                  <c:v>615.45000000000005</c:v>
                </c:pt>
              </c:numCache>
            </c:numRef>
          </c:val>
          <c:extLst>
            <c:ext xmlns:c16="http://schemas.microsoft.com/office/drawing/2014/chart" uri="{C3380CC4-5D6E-409C-BE32-E72D297353CC}">
              <c16:uniqueId val="{00000000-23C9-4694-9C20-3CE10DAD7512}"/>
            </c:ext>
          </c:extLst>
        </c:ser>
        <c:dLbls>
          <c:dLblPos val="inEnd"/>
          <c:showLegendKey val="0"/>
          <c:showVal val="1"/>
          <c:showCatName val="0"/>
          <c:showSerName val="0"/>
          <c:showPercent val="0"/>
          <c:showBubbleSize val="0"/>
        </c:dLbls>
        <c:gapWidth val="65"/>
        <c:overlap val="14"/>
        <c:axId val="1673509568"/>
        <c:axId val="1673521568"/>
      </c:barChart>
      <c:lineChart>
        <c:grouping val="standard"/>
        <c:varyColors val="0"/>
        <c:ser>
          <c:idx val="1"/>
          <c:order val="1"/>
          <c:tx>
            <c:v>Yield of fruit per plant (g)</c:v>
          </c:tx>
          <c:spPr>
            <a:ln w="31750" cap="rnd">
              <a:solidFill>
                <a:schemeClr val="accent2">
                  <a:alpha val="85000"/>
                </a:schemeClr>
              </a:solidFill>
              <a:round/>
            </a:ln>
            <a:effectLst/>
          </c:spPr>
          <c:marker>
            <c:symbol val="circle"/>
            <c:size val="7"/>
            <c:spPr>
              <a:solidFill>
                <a:schemeClr val="accent2">
                  <a:alpha val="85000"/>
                </a:schemeClr>
              </a:solidFill>
              <a:ln>
                <a:noFill/>
              </a:ln>
              <a:effectLst/>
            </c:spPr>
          </c:marker>
          <c:dLbls>
            <c:dLbl>
              <c:idx val="0"/>
              <c:layout>
                <c:manualLayout>
                  <c:x val="-3.7532332627605837E-2"/>
                  <c:y val="-7.1269487750556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3C9-4694-9C20-3CE10DAD7512}"/>
                </c:ext>
              </c:extLst>
            </c:dLbl>
            <c:dLbl>
              <c:idx val="1"/>
              <c:layout>
                <c:manualLayout>
                  <c:x val="-1.4492753623188432E-2"/>
                  <c:y val="-2.67260579064588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3C9-4694-9C20-3CE10DAD7512}"/>
                </c:ext>
              </c:extLst>
            </c:dLbl>
            <c:dLbl>
              <c:idx val="2"/>
              <c:layout>
                <c:manualLayout>
                  <c:x val="-2.318840579710145E-2"/>
                  <c:y val="-3.26651818856718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3C9-4694-9C20-3CE10DAD7512}"/>
                </c:ext>
              </c:extLst>
            </c:dLbl>
            <c:dLbl>
              <c:idx val="3"/>
              <c:layout>
                <c:manualLayout>
                  <c:x val="-2.4169184290030163E-2"/>
                  <c:y val="-5.34521158129176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3C9-4694-9C20-3CE10DAD7512}"/>
                </c:ext>
              </c:extLst>
            </c:dLbl>
            <c:dLbl>
              <c:idx val="4"/>
              <c:layout>
                <c:manualLayout>
                  <c:x val="-2.1739130434782608E-2"/>
                  <c:y val="-3.56347438752784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3C9-4694-9C20-3CE10DAD7512}"/>
                </c:ext>
              </c:extLst>
            </c:dLbl>
            <c:dLbl>
              <c:idx val="5"/>
              <c:layout>
                <c:manualLayout>
                  <c:x val="-3.0434782608695653E-2"/>
                  <c:y val="-3.26651818856718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3C9-4694-9C20-3CE10DAD7512}"/>
                </c:ext>
              </c:extLst>
            </c:dLbl>
            <c:dLbl>
              <c:idx val="6"/>
              <c:layout>
                <c:manualLayout>
                  <c:x val="-2.2229517382834699E-2"/>
                  <c:y val="-5.64216778025241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3C9-4694-9C20-3CE10DAD7512}"/>
                </c:ext>
              </c:extLst>
            </c:dLbl>
            <c:dLbl>
              <c:idx val="8"/>
              <c:layout>
                <c:manualLayout>
                  <c:x val="-3.2225579053373615E-2"/>
                  <c:y val="-1.78173719376392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3C9-4694-9C20-3CE10DAD7512}"/>
                </c:ext>
              </c:extLst>
            </c:dLbl>
            <c:numFmt formatCode="General&quot;g&quot;"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Sheet11!$A$3:$A$11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Sheet11!$C$3:$C$11</c:f>
              <c:numCache>
                <c:formatCode>General</c:formatCode>
                <c:ptCount val="9"/>
                <c:pt idx="0">
                  <c:v>852.36</c:v>
                </c:pt>
                <c:pt idx="1">
                  <c:v>1327.83</c:v>
                </c:pt>
                <c:pt idx="2">
                  <c:v>1114.83</c:v>
                </c:pt>
                <c:pt idx="3">
                  <c:v>1048.6500000000001</c:v>
                </c:pt>
                <c:pt idx="4">
                  <c:v>1527.41</c:v>
                </c:pt>
                <c:pt idx="5">
                  <c:v>1644.29</c:v>
                </c:pt>
                <c:pt idx="6">
                  <c:v>1357.36</c:v>
                </c:pt>
                <c:pt idx="7">
                  <c:v>1488.53</c:v>
                </c:pt>
                <c:pt idx="8">
                  <c:v>1661.71</c:v>
                </c:pt>
              </c:numCache>
            </c:numRef>
          </c:val>
          <c:smooth val="0"/>
          <c:extLst>
            <c:ext xmlns:c16="http://schemas.microsoft.com/office/drawing/2014/chart" uri="{C3380CC4-5D6E-409C-BE32-E72D297353CC}">
              <c16:uniqueId val="{00000009-23C9-4694-9C20-3CE10DAD7512}"/>
            </c:ext>
          </c:extLst>
        </c:ser>
        <c:dLbls>
          <c:showLegendKey val="0"/>
          <c:showVal val="0"/>
          <c:showCatName val="0"/>
          <c:showSerName val="0"/>
          <c:showPercent val="0"/>
          <c:showBubbleSize val="0"/>
        </c:dLbls>
        <c:marker val="1"/>
        <c:smooth val="0"/>
        <c:axId val="1484206432"/>
        <c:axId val="1484207392"/>
      </c:lineChart>
      <c:catAx>
        <c:axId val="1484206432"/>
        <c:scaling>
          <c:orientation val="minMax"/>
        </c:scaling>
        <c:delete val="0"/>
        <c:axPos val="b"/>
        <c:majorGridlines>
          <c:spPr>
            <a:ln w="9525">
              <a:gradFill rotWithShape="1">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w="19050">
            <a:solidFill>
              <a:schemeClr val="dk1">
                <a:lumMod val="75000"/>
                <a:lumOff val="25000"/>
              </a:schemeClr>
            </a:solidFill>
            <a:round/>
          </a:ln>
          <a:effectLst/>
        </c:spPr>
        <c:txPr>
          <a:bodyPr rot="-60000000" spcFirstLastPara="1" vertOverflow="ellipsis" vert="horz" wrap="square" anchor="ctr" anchorCtr="1"/>
          <a:lstStyle/>
          <a:p>
            <a:pPr>
              <a:defRPr sz="600" b="1" i="0" u="none" strike="noStrike" kern="1200" cap="none"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crossAx val="1484207392"/>
        <c:crosses val="autoZero"/>
        <c:auto val="1"/>
        <c:lblAlgn val="ctr"/>
        <c:lblOffset val="100"/>
        <c:noMultiLvlLbl val="0"/>
      </c:catAx>
      <c:valAx>
        <c:axId val="1484207392"/>
        <c:scaling>
          <c:orientation val="minMax"/>
        </c:scaling>
        <c:delete val="0"/>
        <c:axPos val="l"/>
        <c:majorGridlines>
          <c:spPr>
            <a:ln w="9525">
              <a:gradFill rotWithShape="1">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quot;g&quot;" sourceLinked="0"/>
        <c:majorTickMark val="none"/>
        <c:minorTickMark val="none"/>
        <c:tickLblPos val="high"/>
        <c:spPr>
          <a:noFill/>
          <a:ln>
            <a:solidFill>
              <a:schemeClr val="accent1"/>
            </a:solidFill>
          </a:ln>
          <a:effectLst/>
        </c:spPr>
        <c:txPr>
          <a:bodyPr rot="0" spcFirstLastPara="1" vertOverflow="ellipsis" wrap="square" anchor="b"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484206432"/>
        <c:crosses val="autoZero"/>
        <c:crossBetween val="between"/>
      </c:valAx>
      <c:valAx>
        <c:axId val="1673521568"/>
        <c:scaling>
          <c:orientation val="minMax"/>
          <c:max val="1000"/>
        </c:scaling>
        <c:delete val="0"/>
        <c:axPos val="l"/>
        <c:numFmt formatCode="General&quot;q/ha&quot;"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673509568"/>
        <c:crosses val="autoZero"/>
        <c:crossBetween val="between"/>
      </c:valAx>
      <c:catAx>
        <c:axId val="1673509568"/>
        <c:scaling>
          <c:orientation val="minMax"/>
        </c:scaling>
        <c:delete val="1"/>
        <c:axPos val="b"/>
        <c:numFmt formatCode="General" sourceLinked="1"/>
        <c:majorTickMark val="out"/>
        <c:minorTickMark val="none"/>
        <c:tickLblPos val="nextTo"/>
        <c:crossAx val="1673521568"/>
        <c:crosses val="autoZero"/>
        <c:auto val="1"/>
        <c:lblAlgn val="ctr"/>
        <c:lblOffset val="100"/>
        <c:noMultiLvlLbl val="0"/>
      </c:cat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1050" b="1" i="1" u="sng"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Total soluble solids (oBrix)</c:v>
          </c:tx>
          <c:spPr>
            <a:solidFill>
              <a:srgbClr val="53F4FF">
                <a:alpha val="84706"/>
              </a:srgb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Sheet12!$A$3:$A$11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Sheet12!$B$3:$B$11</c:f>
              <c:numCache>
                <c:formatCode>General</c:formatCode>
                <c:ptCount val="9"/>
                <c:pt idx="0">
                  <c:v>4.17</c:v>
                </c:pt>
                <c:pt idx="1">
                  <c:v>4.3899999999999997</c:v>
                </c:pt>
                <c:pt idx="2">
                  <c:v>4.3600000000000003</c:v>
                </c:pt>
                <c:pt idx="3">
                  <c:v>4.3099999999999996</c:v>
                </c:pt>
                <c:pt idx="4">
                  <c:v>4.4800000000000004</c:v>
                </c:pt>
                <c:pt idx="5">
                  <c:v>4.53</c:v>
                </c:pt>
                <c:pt idx="6">
                  <c:v>4.3499999999999996</c:v>
                </c:pt>
                <c:pt idx="7">
                  <c:v>4.4400000000000004</c:v>
                </c:pt>
                <c:pt idx="8">
                  <c:v>4.63</c:v>
                </c:pt>
              </c:numCache>
            </c:numRef>
          </c:val>
          <c:extLst>
            <c:ext xmlns:c16="http://schemas.microsoft.com/office/drawing/2014/chart" uri="{C3380CC4-5D6E-409C-BE32-E72D297353CC}">
              <c16:uniqueId val="{00000000-624A-44B5-AB51-DB34AA975A88}"/>
            </c:ext>
          </c:extLst>
        </c:ser>
        <c:ser>
          <c:idx val="1"/>
          <c:order val="1"/>
          <c:tx>
            <c:v>Ascorbic acid content (mg/100g)</c:v>
          </c:tx>
          <c:spPr>
            <a:solidFill>
              <a:srgbClr val="AF2BBF">
                <a:alpha val="84706"/>
              </a:srgb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Sheet12!$A$3:$A$11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Sheet12!$C$3:$C$11</c:f>
              <c:numCache>
                <c:formatCode>General</c:formatCode>
                <c:ptCount val="9"/>
                <c:pt idx="0">
                  <c:v>11.98</c:v>
                </c:pt>
                <c:pt idx="1">
                  <c:v>12.32</c:v>
                </c:pt>
                <c:pt idx="2">
                  <c:v>12.29</c:v>
                </c:pt>
                <c:pt idx="3">
                  <c:v>12.36</c:v>
                </c:pt>
                <c:pt idx="4">
                  <c:v>12.43</c:v>
                </c:pt>
                <c:pt idx="5">
                  <c:v>12.62</c:v>
                </c:pt>
                <c:pt idx="6">
                  <c:v>12.39</c:v>
                </c:pt>
                <c:pt idx="7">
                  <c:v>12.33</c:v>
                </c:pt>
                <c:pt idx="8">
                  <c:v>12.59</c:v>
                </c:pt>
              </c:numCache>
            </c:numRef>
          </c:val>
          <c:extLst>
            <c:ext xmlns:c16="http://schemas.microsoft.com/office/drawing/2014/chart" uri="{C3380CC4-5D6E-409C-BE32-E72D297353CC}">
              <c16:uniqueId val="{00000001-624A-44B5-AB51-DB34AA975A88}"/>
            </c:ext>
          </c:extLst>
        </c:ser>
        <c:ser>
          <c:idx val="2"/>
          <c:order val="2"/>
          <c:tx>
            <c:v>Anthocyanin content (mg/100g)</c:v>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Sheet12!$A$3:$A$11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Sheet12!$D$3:$D$11</c:f>
              <c:numCache>
                <c:formatCode>General</c:formatCode>
                <c:ptCount val="9"/>
                <c:pt idx="0">
                  <c:v>21.38</c:v>
                </c:pt>
                <c:pt idx="1">
                  <c:v>22.13</c:v>
                </c:pt>
                <c:pt idx="2">
                  <c:v>21.55</c:v>
                </c:pt>
                <c:pt idx="3">
                  <c:v>21.81</c:v>
                </c:pt>
                <c:pt idx="4">
                  <c:v>22.23</c:v>
                </c:pt>
                <c:pt idx="5">
                  <c:v>22.35</c:v>
                </c:pt>
                <c:pt idx="6">
                  <c:v>22.01</c:v>
                </c:pt>
                <c:pt idx="7">
                  <c:v>22.14</c:v>
                </c:pt>
                <c:pt idx="8">
                  <c:v>22.25</c:v>
                </c:pt>
              </c:numCache>
            </c:numRef>
          </c:val>
          <c:extLst>
            <c:ext xmlns:c16="http://schemas.microsoft.com/office/drawing/2014/chart" uri="{C3380CC4-5D6E-409C-BE32-E72D297353CC}">
              <c16:uniqueId val="{00000002-624A-44B5-AB51-DB34AA975A88}"/>
            </c:ext>
          </c:extLst>
        </c:ser>
        <c:dLbls>
          <c:showLegendKey val="0"/>
          <c:showVal val="0"/>
          <c:showCatName val="0"/>
          <c:showSerName val="0"/>
          <c:showPercent val="0"/>
          <c:showBubbleSize val="0"/>
        </c:dLbls>
        <c:gapWidth val="65"/>
        <c:axId val="1484206432"/>
        <c:axId val="1484207392"/>
      </c:barChart>
      <c:catAx>
        <c:axId val="148420643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600" b="1" i="0" u="none" strike="noStrike" kern="1200" cap="none" baseline="0">
                <a:solidFill>
                  <a:schemeClr val="dk1">
                    <a:lumMod val="75000"/>
                    <a:lumOff val="2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en-US"/>
          </a:p>
        </c:txPr>
        <c:crossAx val="1484207392"/>
        <c:crosses val="autoZero"/>
        <c:auto val="1"/>
        <c:lblAlgn val="ctr"/>
        <c:lblOffset val="100"/>
        <c:noMultiLvlLbl val="0"/>
      </c:catAx>
      <c:valAx>
        <c:axId val="1484207392"/>
        <c:scaling>
          <c:orientation val="minMax"/>
          <c:max val="25"/>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0"/>
        <c:majorTickMark val="none"/>
        <c:minorTickMark val="none"/>
        <c:tickLblPos val="high"/>
        <c:spPr>
          <a:noFill/>
          <a:ln>
            <a:solidFill>
              <a:schemeClr val="accent1"/>
            </a:solidFill>
          </a:ln>
          <a:effectLst/>
        </c:spPr>
        <c:txPr>
          <a:bodyPr rot="0" spcFirstLastPara="1" vertOverflow="ellipsis" wrap="square" anchor="b"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484206432"/>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1" i="0" u="sng"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a:solidFill>
          <a:schemeClr val="dk1">
            <a:lumMod val="75000"/>
            <a:lumOff val="25000"/>
          </a:schemeClr>
        </a:solidFill>
        <a:round/>
      </a:ln>
    </cs:spPr>
    <cs:defRPr sz="900" kern="1200" cap="none" baseline="0"/>
  </cs:categoryAxis>
  <cs:chartArea>
    <cs:lnRef idx="0"/>
    <cs:fillRef idx="0"/>
    <cs:effectRef idx="0"/>
    <cs:fontRef idx="minor">
      <a:schemeClr val="dk1"/>
    </cs:fontRef>
    <cs:spPr>
      <a:gradFill rotWithShape="1">
        <a:gsLst>
          <a:gs pos="0">
            <a:schemeClr val="lt1"/>
          </a:gs>
          <a:gs pos="39000">
            <a:schemeClr val="lt1"/>
          </a:gs>
          <a:gs pos="100000">
            <a:schemeClr val="lt1">
              <a:lumMod val="75000"/>
            </a:schemeClr>
          </a:gs>
        </a:gsLst>
        <a:path path="circle">
          <a:fillToRect l="50000" t="-80000" r="50000" b="180000"/>
        </a:path>
      </a:gradFill>
      <a:ln w="9525">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gradFill rotWithShape="1">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rotWithShape="1">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a:solidFill>
          <a:schemeClr val="dk1">
            <a:lumMod val="75000"/>
            <a:lumOff val="25000"/>
          </a:schemeClr>
        </a:solidFill>
        <a:round/>
      </a:ln>
    </cs:spPr>
    <cs:defRPr sz="900" kern="1200" cap="none" baseline="0"/>
  </cs:categoryAxis>
  <cs:chartArea>
    <cs:lnRef idx="0"/>
    <cs:fillRef idx="0"/>
    <cs:effectRef idx="0"/>
    <cs:fontRef idx="minor">
      <a:schemeClr val="dk1"/>
    </cs:fontRef>
    <cs:spPr>
      <a:gradFill rotWithShape="1">
        <a:gsLst>
          <a:gs pos="0">
            <a:schemeClr val="lt1"/>
          </a:gs>
          <a:gs pos="39000">
            <a:schemeClr val="lt1"/>
          </a:gs>
          <a:gs pos="100000">
            <a:schemeClr val="lt1">
              <a:lumMod val="75000"/>
            </a:schemeClr>
          </a:gs>
        </a:gsLst>
        <a:path path="circle">
          <a:fillToRect l="50000" t="-80000" r="50000" b="180000"/>
        </a:path>
      </a:gradFill>
      <a:ln w="9525">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gradFill rotWithShape="1">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rotWithShape="1">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a:solidFill>
          <a:schemeClr val="dk1">
            <a:lumMod val="75000"/>
            <a:lumOff val="25000"/>
          </a:schemeClr>
        </a:solidFill>
        <a:round/>
      </a:ln>
    </cs:spPr>
    <cs:defRPr sz="900" kern="1200" cap="none" baseline="0"/>
  </cs:categoryAxis>
  <cs:chartArea>
    <cs:lnRef idx="0"/>
    <cs:fillRef idx="0"/>
    <cs:effectRef idx="0"/>
    <cs:fontRef idx="minor">
      <a:schemeClr val="dk1"/>
    </cs:fontRef>
    <cs:spPr>
      <a:gradFill rotWithShape="1">
        <a:gsLst>
          <a:gs pos="0">
            <a:schemeClr val="lt1"/>
          </a:gs>
          <a:gs pos="39000">
            <a:schemeClr val="lt1"/>
          </a:gs>
          <a:gs pos="100000">
            <a:schemeClr val="lt1">
              <a:lumMod val="75000"/>
            </a:schemeClr>
          </a:gs>
        </a:gsLst>
        <a:path path="circle">
          <a:fillToRect l="50000" t="-80000" r="50000" b="180000"/>
        </a:path>
      </a:gradFill>
      <a:ln w="9525">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gradFill rotWithShape="1">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rotWithShape="1">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a:solidFill>
          <a:schemeClr val="dk1">
            <a:lumMod val="75000"/>
            <a:lumOff val="25000"/>
          </a:schemeClr>
        </a:solidFill>
        <a:round/>
      </a:ln>
    </cs:spPr>
    <cs:defRPr sz="900" kern="1200" cap="none" baseline="0"/>
  </cs:categoryAxis>
  <cs:chartArea>
    <cs:lnRef idx="0"/>
    <cs:fillRef idx="0"/>
    <cs:effectRef idx="0"/>
    <cs:fontRef idx="minor">
      <a:schemeClr val="dk1"/>
    </cs:fontRef>
    <cs:spPr>
      <a:gradFill rotWithShape="1">
        <a:gsLst>
          <a:gs pos="0">
            <a:schemeClr val="lt1"/>
          </a:gs>
          <a:gs pos="39000">
            <a:schemeClr val="lt1"/>
          </a:gs>
          <a:gs pos="100000">
            <a:schemeClr val="lt1">
              <a:lumMod val="75000"/>
            </a:schemeClr>
          </a:gs>
        </a:gsLst>
        <a:path path="circle">
          <a:fillToRect l="50000" t="-80000" r="50000" b="180000"/>
        </a:path>
      </a:gradFill>
      <a:ln w="9525">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gradFill rotWithShape="1">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rotWithShape="1">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a:solidFill>
          <a:schemeClr val="dk1">
            <a:lumMod val="75000"/>
            <a:lumOff val="25000"/>
          </a:schemeClr>
        </a:solidFill>
        <a:round/>
      </a:ln>
    </cs:spPr>
    <cs:defRPr sz="900" kern="1200" cap="none" baseline="0"/>
  </cs:categoryAxis>
  <cs:chartArea>
    <cs:lnRef idx="0"/>
    <cs:fillRef idx="0"/>
    <cs:effectRef idx="0"/>
    <cs:fontRef idx="minor">
      <a:schemeClr val="dk1"/>
    </cs:fontRef>
    <cs:spPr>
      <a:gradFill rotWithShape="1">
        <a:gsLst>
          <a:gs pos="0">
            <a:schemeClr val="lt1"/>
          </a:gs>
          <a:gs pos="39000">
            <a:schemeClr val="lt1"/>
          </a:gs>
          <a:gs pos="100000">
            <a:schemeClr val="lt1">
              <a:lumMod val="75000"/>
            </a:schemeClr>
          </a:gs>
        </a:gsLst>
        <a:path path="circle">
          <a:fillToRect l="50000" t="-80000" r="50000" b="180000"/>
        </a:path>
      </a:gradFill>
      <a:ln w="9525">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gradFill rotWithShape="1">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rotWithShape="1">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a:solidFill>
          <a:schemeClr val="dk1">
            <a:lumMod val="75000"/>
            <a:lumOff val="25000"/>
          </a:schemeClr>
        </a:solidFill>
        <a:round/>
      </a:ln>
    </cs:spPr>
    <cs:defRPr sz="900" kern="1200" cap="none" baseline="0"/>
  </cs:categoryAxis>
  <cs:chartArea>
    <cs:lnRef idx="0"/>
    <cs:fillRef idx="0"/>
    <cs:effectRef idx="0"/>
    <cs:fontRef idx="minor">
      <a:schemeClr val="dk1"/>
    </cs:fontRef>
    <cs:spPr>
      <a:gradFill rotWithShape="1">
        <a:gsLst>
          <a:gs pos="0">
            <a:schemeClr val="lt1"/>
          </a:gs>
          <a:gs pos="39000">
            <a:schemeClr val="lt1"/>
          </a:gs>
          <a:gs pos="100000">
            <a:schemeClr val="lt1">
              <a:lumMod val="75000"/>
            </a:schemeClr>
          </a:gs>
        </a:gsLst>
        <a:path path="circle">
          <a:fillToRect l="50000" t="-80000" r="50000" b="180000"/>
        </a:path>
      </a:gradFill>
      <a:ln w="9525">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gradFill rotWithShape="1">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rotWithShape="1">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a:solidFill>
          <a:schemeClr val="dk1">
            <a:lumMod val="75000"/>
            <a:lumOff val="25000"/>
          </a:schemeClr>
        </a:solidFill>
        <a:round/>
      </a:ln>
    </cs:spPr>
    <cs:defRPr sz="900" kern="1200" cap="none" baseline="0"/>
  </cs:categoryAxis>
  <cs:chartArea>
    <cs:lnRef idx="0"/>
    <cs:fillRef idx="0"/>
    <cs:effectRef idx="0"/>
    <cs:fontRef idx="minor">
      <a:schemeClr val="dk1"/>
    </cs:fontRef>
    <cs:spPr>
      <a:gradFill rotWithShape="1">
        <a:gsLst>
          <a:gs pos="0">
            <a:schemeClr val="lt1"/>
          </a:gs>
          <a:gs pos="39000">
            <a:schemeClr val="lt1"/>
          </a:gs>
          <a:gs pos="100000">
            <a:schemeClr val="lt1">
              <a:lumMod val="75000"/>
            </a:schemeClr>
          </a:gs>
        </a:gsLst>
        <a:path path="circle">
          <a:fillToRect l="50000" t="-80000" r="50000" b="180000"/>
        </a:path>
      </a:gradFill>
      <a:ln w="9525">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gradFill rotWithShape="1">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rotWithShape="1">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none"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DA8430-9C9E-4BC0-9754-C496E93C2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21</Pages>
  <Words>7063</Words>
  <Characters>40263</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naimish rajput</dc:creator>
  <cp:keywords/>
  <dc:description/>
  <cp:lastModifiedBy>SDI CPU 1117</cp:lastModifiedBy>
  <cp:revision>14</cp:revision>
  <dcterms:created xsi:type="dcterms:W3CDTF">2026-06-14T11:15:00Z</dcterms:created>
  <dcterms:modified xsi:type="dcterms:W3CDTF">2026-07-01T13:05:00Z</dcterms:modified>
</cp:coreProperties>
</file>