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F2BAB" w14:textId="77777777" w:rsidR="00786B94" w:rsidRDefault="00786B94" w:rsidP="00786B94">
      <w:pPr>
        <w:pStyle w:val="NormalWeb"/>
        <w:jc w:val="center"/>
        <w:rPr>
          <w:rStyle w:val="Strong"/>
        </w:rPr>
      </w:pPr>
      <w:r w:rsidRPr="005A6352">
        <w:rPr>
          <w:rStyle w:val="Strong"/>
        </w:rPr>
        <w:t>Harnessing Combining Ability and Multi-Environment Evaluation to Identify Superior Parents and Heterotic Hybrids for Sustainable Rice Yield Improvement</w:t>
      </w:r>
    </w:p>
    <w:p w14:paraId="71BB2F36" w14:textId="77777777" w:rsidR="00E20068" w:rsidRDefault="00E20068" w:rsidP="0072317A">
      <w:pPr>
        <w:spacing w:before="100" w:beforeAutospacing="1" w:after="100" w:afterAutospacing="1" w:line="240" w:lineRule="auto"/>
        <w:rPr>
          <w:rFonts w:ascii="Times New Roman" w:eastAsia="Times New Roman" w:hAnsi="Times New Roman" w:cs="Times New Roman"/>
          <w:b/>
          <w:bCs/>
          <w:sz w:val="24"/>
          <w:szCs w:val="24"/>
          <w:lang w:eastAsia="en-GB"/>
        </w:rPr>
      </w:pPr>
    </w:p>
    <w:p w14:paraId="350F20A1" w14:textId="77777777"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sidRPr="00FF43F9">
        <w:rPr>
          <w:rFonts w:ascii="Times New Roman" w:eastAsia="Times New Roman" w:hAnsi="Times New Roman" w:cs="Times New Roman"/>
          <w:b/>
          <w:bCs/>
          <w:sz w:val="24"/>
          <w:szCs w:val="24"/>
          <w:lang w:eastAsia="en-GB"/>
        </w:rPr>
        <w:t>Abstract</w:t>
      </w:r>
    </w:p>
    <w:p w14:paraId="20639DA0" w14:textId="77777777"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Pr>
          <w:highlight w:val="yellow"/>
        </w:rPr>
        <w:t>The present investigation was conducted to assess combining ability, gene action and promising hybrid combinations for grain yield and associated traits in rice across multiple environments. Four WA-CMS lines, namely APMS 6A, IR79156A, IR68897A and PUSA 5A, were crossed with twelve elite restorer lines to generate 48 F1 hybrids. The hybrids, parents and three standard checks were evaluated during Rabi 2016-17 at Rudrur, Warangal and Rajendranagar using a randomised complete block design with two replications. Observations were recorded for eleven agronomic traits, including days to 50% flowering, plant height, panicle length, panicle weight, total tillers per plant, productive tillers per plant, filled grains per panicle, spikelet fertility, 1000-grain weight, grain yield per plant and days to maturity. Combining ability analysis indicated substantial variability among lines, testers and hybrids. Specific combining ability variance was greater than general combining ability variance for most yield and yield-contributing traits, suggesting the predominance of non-additive gene action. In contrast, days to 50% flowering and days to maturity showed a greater influence of additive gene action. Among the CMS lines, APMS 6A and IR79156A were identified as useful general combiners for grain yield and related traits, while TCP-718, TCP-783, TCP-963 and PSV-49 were promising restorers. The hybrids APMS 6A × TCP-718, PUSA 5A × TCP-795, APMS 6A × PSV-49, IR79156A × TCP-964 and IR68897A × TCP-783 showed desirable specific combining ability and favourable performance for grain yield and associated traits. These parental lines and hybrid combinations may be useful in further hybrid rice breeding and evaluation programmes.</w:t>
      </w:r>
    </w:p>
    <w:p w14:paraId="28A2D480"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 xml:space="preserve">Keywords: Rice, </w:t>
      </w:r>
      <w:proofErr w:type="gramStart"/>
      <w:r w:rsidRPr="00786B94">
        <w:rPr>
          <w:rFonts w:ascii="Times New Roman" w:eastAsia="Times New Roman" w:hAnsi="Times New Roman" w:cs="Times New Roman"/>
          <w:sz w:val="24"/>
          <w:szCs w:val="24"/>
        </w:rPr>
        <w:t>Combining</w:t>
      </w:r>
      <w:proofErr w:type="gramEnd"/>
      <w:r w:rsidRPr="00786B94">
        <w:rPr>
          <w:rFonts w:ascii="Times New Roman" w:eastAsia="Times New Roman" w:hAnsi="Times New Roman" w:cs="Times New Roman"/>
          <w:sz w:val="24"/>
          <w:szCs w:val="24"/>
        </w:rPr>
        <w:t xml:space="preserve"> ability, Hybrid rice, General combining ability, Specifi</w:t>
      </w:r>
      <w:r w:rsidR="00B769B3">
        <w:rPr>
          <w:rFonts w:ascii="Times New Roman" w:eastAsia="Times New Roman" w:hAnsi="Times New Roman" w:cs="Times New Roman"/>
          <w:sz w:val="24"/>
          <w:szCs w:val="24"/>
        </w:rPr>
        <w:t xml:space="preserve">c combining ability, Heterosis and </w:t>
      </w:r>
      <w:r w:rsidRPr="00786B94">
        <w:rPr>
          <w:rFonts w:ascii="Times New Roman" w:eastAsia="Times New Roman" w:hAnsi="Times New Roman" w:cs="Times New Roman"/>
          <w:sz w:val="24"/>
          <w:szCs w:val="24"/>
        </w:rPr>
        <w:t>Line × Tester.</w:t>
      </w:r>
    </w:p>
    <w:p w14:paraId="09BEF005" w14:textId="77777777" w:rsidR="00786B94" w:rsidRPr="00786B94" w:rsidRDefault="00786B94" w:rsidP="00786B94">
      <w:pPr>
        <w:numPr>
          <w:ilvl w:val="0"/>
          <w:numId w:val="1"/>
        </w:numPr>
        <w:spacing w:before="100" w:beforeAutospacing="1" w:after="100" w:afterAutospacing="1" w:line="240" w:lineRule="auto"/>
        <w:jc w:val="both"/>
        <w:rPr>
          <w:rFonts w:ascii="Times New Roman" w:eastAsia="Times New Roman" w:hAnsi="Times New Roman" w:cs="Times New Roman"/>
          <w:b/>
          <w:sz w:val="24"/>
          <w:szCs w:val="24"/>
        </w:rPr>
      </w:pPr>
      <w:r w:rsidRPr="00786B94">
        <w:rPr>
          <w:rFonts w:ascii="Times New Roman" w:eastAsia="Times New Roman" w:hAnsi="Times New Roman" w:cs="Times New Roman"/>
          <w:b/>
          <w:sz w:val="24"/>
          <w:szCs w:val="24"/>
        </w:rPr>
        <w:t>INTRODUCTION</w:t>
      </w:r>
    </w:p>
    <w:p w14:paraId="7D0AA829"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Rice (</w:t>
      </w:r>
      <w:r>
        <w:rPr>
          <w:i/>
          <w:highlight w:val="yellow"/>
        </w:rPr>
        <w:t>Oryza sativa</w:t>
      </w:r>
      <w:r>
        <w:rPr>
          <w:highlight w:val="yellow"/>
        </w:rPr>
        <w:t xml:space="preserve"> L.) is the principal staple food crop and supports more than half of the global population. Increasing food demand under shrinking natural resources necessitates the development of high-yielding cultivars with enhanced adaptability. Hybrid rice technology offers a viable approach to overcoming yield limitations through the exploitation of heterosis (Ma &amp; Yuan, 2015; Virmani &amp; Kumar, 2004; Yuan, 2017).</w:t>
      </w:r>
    </w:p>
    <w:p w14:paraId="1CE21D84" w14:textId="77777777" w:rsidR="00B05A80" w:rsidRPr="009A4D03" w:rsidRDefault="00000000">
      <w:pPr>
        <w:spacing w:before="100" w:after="100" w:line="240" w:lineRule="auto"/>
        <w:jc w:val="both"/>
        <w:rPr>
          <w:bCs/>
        </w:rPr>
      </w:pPr>
      <w:r w:rsidRPr="009A4D03">
        <w:rPr>
          <w:bCs/>
          <w:highlight w:val="yellow"/>
        </w:rPr>
        <w:t>Recent genomic evidence also indicates that favourable allele combinations and genetic complementation can support the improvement of hybrid performance in rice, which is consistent with the continued use of heterosis-based breeding approaches (Gu et al., 2023; Gu &amp; Han, 2024).</w:t>
      </w:r>
    </w:p>
    <w:p w14:paraId="299304BB"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Combining ability analysis provides valuable information regarding the breeding value of parental lines and the genetic architecture controlling economically important traits. General combining ability (GCA) reflects additive genetic effects, whereas specific combining ability (SCA) represents non-additive genetic effects, including dominance and epistasis. Knowledge of GCA and SCA facilitates the identification of superior parents and cross combinations for hybrid development (Sprague &amp; Tatum, 1942; Griffing, 1956; Singh &amp; Chaudhary, 1985).</w:t>
      </w:r>
    </w:p>
    <w:p w14:paraId="0829411F" w14:textId="77777777" w:rsidR="00B05A80" w:rsidRPr="009A4D03" w:rsidRDefault="00000000">
      <w:pPr>
        <w:spacing w:before="100" w:after="100" w:line="240" w:lineRule="auto"/>
        <w:jc w:val="both"/>
        <w:rPr>
          <w:bCs/>
        </w:rPr>
      </w:pPr>
      <w:r w:rsidRPr="009A4D03">
        <w:rPr>
          <w:bCs/>
          <w:highlight w:val="yellow"/>
        </w:rPr>
        <w:lastRenderedPageBreak/>
        <w:t>Evidence from segregating rice crosses further shows that contrasting parental lines can generate useful variation for yield-related traits, reinforcing the importance of selecting genetically diverse parents for breeding programmes (Prasanna &amp; Joshi, 2024).</w:t>
      </w:r>
    </w:p>
    <w:p w14:paraId="31B3E4CE" w14:textId="77777777" w:rsidR="00786B94" w:rsidRPr="009A4D03"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Line × tester analysis proposed by Kempthorne (1957) remains one of the most effective methods for evaluating combining ability in crop plants. In rice, several studies have demonstrated the importance of combining ability analysis for improving grain yield, flowering behaviour, plant architecture and grain quality traits (Dalvi &amp; Patel, 2009; Satheesh Kumar et al., 2010).</w:t>
      </w:r>
    </w:p>
    <w:p w14:paraId="5D5D828F" w14:textId="77777777" w:rsidR="00B05A80" w:rsidRPr="009A4D03" w:rsidRDefault="00000000">
      <w:pPr>
        <w:spacing w:before="100" w:after="100" w:line="240" w:lineRule="auto"/>
        <w:jc w:val="both"/>
        <w:rPr>
          <w:bCs/>
        </w:rPr>
      </w:pPr>
      <w:r w:rsidRPr="009A4D03">
        <w:rPr>
          <w:highlight w:val="yellow"/>
        </w:rPr>
        <w:t>A recent line × tester study in rice also reported significant differences among lines, testers and hybrids and identified promising parental materials on the basis of GCA, SCA and heterosis,</w:t>
      </w:r>
      <w:r w:rsidRPr="009A4D03">
        <w:rPr>
          <w:bCs/>
          <w:highlight w:val="yellow"/>
        </w:rPr>
        <w:t xml:space="preserve"> supporting the relevance of combining ability analysis for hybrid selection (Kushal et al., 2023).</w:t>
      </w:r>
    </w:p>
    <w:p w14:paraId="67668BFA" w14:textId="77777777" w:rsidR="00B05A80" w:rsidRPr="009A4D03" w:rsidRDefault="00000000">
      <w:pPr>
        <w:spacing w:before="100" w:after="100" w:line="240" w:lineRule="auto"/>
        <w:jc w:val="both"/>
        <w:rPr>
          <w:bCs/>
        </w:rPr>
      </w:pPr>
      <w:r w:rsidRPr="009A4D03">
        <w:rPr>
          <w:bCs/>
          <w:highlight w:val="yellow"/>
        </w:rPr>
        <w:t>Recent evaluation of heterosis and combining ability under graded soil phosphorus conditions also indicated that parental and hybrid responses may differ across evaluation conditions, supporting pooled and environment-aware interpretation of combining ability estimates in hybrid rice breeding (Madhusudan et al., 2025).</w:t>
      </w:r>
    </w:p>
    <w:p w14:paraId="6414E277"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However, information on the combining ability of WA-CMS lines and elite restorer lines across multiple environments remains necessary for identifying parents and hybrid combinations with consistent yield potential.</w:t>
      </w:r>
    </w:p>
    <w:p w14:paraId="1040D79C" w14:textId="77777777" w:rsidR="00B05A80" w:rsidRPr="009A4D03" w:rsidRDefault="00000000">
      <w:pPr>
        <w:spacing w:before="100" w:after="100" w:line="240" w:lineRule="auto"/>
        <w:jc w:val="both"/>
        <w:rPr>
          <w:bCs/>
        </w:rPr>
      </w:pPr>
      <w:r w:rsidRPr="009A4D03">
        <w:rPr>
          <w:bCs/>
          <w:highlight w:val="yellow"/>
        </w:rPr>
        <w:t>Despite this background, the combined evaluation of the present WA-CMS lines, elite restorers and derived hybrids across the three testing environments has not been sufficiently documented; this limits the identification of consistently useful parents and heterotic combinations within the present breeding material.</w:t>
      </w:r>
    </w:p>
    <w:p w14:paraId="229C3020"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Therefore, the present investigation was undertaken to identify superior combiners and promising hybrids for grain yield and related traits across diverse environments.</w:t>
      </w:r>
    </w:p>
    <w:p w14:paraId="5CEEF4CB" w14:textId="77777777" w:rsidR="00786B94" w:rsidRPr="00786B94" w:rsidRDefault="00786B94" w:rsidP="00786B94">
      <w:pPr>
        <w:numPr>
          <w:ilvl w:val="0"/>
          <w:numId w:val="2"/>
        </w:numPr>
        <w:spacing w:before="100" w:beforeAutospacing="1" w:after="100" w:afterAutospacing="1" w:line="240" w:lineRule="auto"/>
        <w:jc w:val="both"/>
        <w:rPr>
          <w:rFonts w:ascii="Times New Roman" w:eastAsia="Times New Roman" w:hAnsi="Times New Roman" w:cs="Times New Roman"/>
          <w:b/>
          <w:sz w:val="24"/>
          <w:szCs w:val="24"/>
        </w:rPr>
      </w:pPr>
      <w:r w:rsidRPr="00786B94">
        <w:rPr>
          <w:rFonts w:ascii="Times New Roman" w:eastAsia="Times New Roman" w:hAnsi="Times New Roman" w:cs="Times New Roman"/>
          <w:b/>
          <w:sz w:val="24"/>
          <w:szCs w:val="24"/>
        </w:rPr>
        <w:t>MATERIALS AND METHODS</w:t>
      </w:r>
    </w:p>
    <w:p w14:paraId="5632004A"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2.1 Experimental Materials</w:t>
      </w:r>
    </w:p>
    <w:p w14:paraId="5741E9FA"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 xml:space="preserve">Four WA-CMS lines (APMS 6A, IR79156A, IR68897A and PUSA 5A) were crossed with twelve elite restorers (TCP-718, TCP-783, TCP-795, TCP-801, PSV-15, PSV-41, PSV-49, TCP-950, TCP-951, TCP-960, TCP-963 and TCP-964) during </w:t>
      </w:r>
      <w:r>
        <w:rPr>
          <w:i/>
          <w:highlight w:val="yellow"/>
        </w:rPr>
        <w:t>Kharif</w:t>
      </w:r>
      <w:r>
        <w:rPr>
          <w:highlight w:val="yellow"/>
        </w:rPr>
        <w:t xml:space="preserve"> 2016 to generate 48 F1 hybrids.</w:t>
      </w:r>
    </w:p>
    <w:p w14:paraId="16BA0685"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2.2 Experimental Sites</w:t>
      </w:r>
    </w:p>
    <w:p w14:paraId="7998E8F7"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 xml:space="preserve">The evaluation was conducted during </w:t>
      </w:r>
      <w:r>
        <w:rPr>
          <w:i/>
          <w:highlight w:val="yellow"/>
        </w:rPr>
        <w:t>Rabi</w:t>
      </w:r>
      <w:r>
        <w:rPr>
          <w:highlight w:val="yellow"/>
        </w:rPr>
        <w:t xml:space="preserve"> 2016-17 at RS&amp;RRS, Rudrur; RARS, Warangal; and ICAR-IIRR, Rajendranagar.</w:t>
      </w:r>
    </w:p>
    <w:p w14:paraId="7A2E44F6"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2.3 Experimental Design</w:t>
      </w:r>
    </w:p>
    <w:p w14:paraId="5C188DAC"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The hybrids, parents and checks were evaluated in a randomised complete block design with two replications. Each entry was grown in a 3 m row with a spacing of 20 cm × 15 cm.</w:t>
      </w:r>
    </w:p>
    <w:p w14:paraId="34FFE683"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2.4 Data Recorded</w:t>
      </w:r>
    </w:p>
    <w:p w14:paraId="583B0010"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Eleven traits were recorded:</w:t>
      </w:r>
    </w:p>
    <w:p w14:paraId="6A7E42CC"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lastRenderedPageBreak/>
        <w:t>Days to 50% flowering</w:t>
      </w:r>
    </w:p>
    <w:p w14:paraId="08D575E9"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Plant height (cm)</w:t>
      </w:r>
    </w:p>
    <w:p w14:paraId="00193168"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Panicle length (cm)</w:t>
      </w:r>
    </w:p>
    <w:p w14:paraId="61891A60"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Panicle weight (g)</w:t>
      </w:r>
    </w:p>
    <w:p w14:paraId="63C5CC89"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Total tillers plant−1</w:t>
      </w:r>
    </w:p>
    <w:p w14:paraId="36448E52"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Productive tillers plant−1</w:t>
      </w:r>
    </w:p>
    <w:p w14:paraId="7F149E80"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Filled grains panicle−1</w:t>
      </w:r>
    </w:p>
    <w:p w14:paraId="551195FA"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Spikelet fertility (%)</w:t>
      </w:r>
    </w:p>
    <w:p w14:paraId="1EB36CDE"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1000-grain weight (g)</w:t>
      </w:r>
    </w:p>
    <w:p w14:paraId="64643A57"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Grain yield plant−1 (g)</w:t>
      </w:r>
    </w:p>
    <w:p w14:paraId="741F168F" w14:textId="77777777" w:rsidR="00786B94" w:rsidRPr="005A6352"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Days to maturity</w:t>
      </w:r>
    </w:p>
    <w:p w14:paraId="67B16EEC"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2.5 Statistical Analysis</w:t>
      </w:r>
    </w:p>
    <w:p w14:paraId="1CF9410F"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t>Combining ability analysis was performed according to Kempthorne (1957). Variance components for GCA and SCA were estimated and pooled across locations.</w:t>
      </w:r>
    </w:p>
    <w:p w14:paraId="21419074" w14:textId="77777777" w:rsidR="00786B94" w:rsidRPr="005A6352" w:rsidRDefault="00786B94" w:rsidP="00B1320C">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5A6352">
        <w:rPr>
          <w:rFonts w:ascii="Times New Roman" w:eastAsia="Times New Roman" w:hAnsi="Times New Roman" w:cs="Times New Roman"/>
          <w:b/>
          <w:bCs/>
          <w:kern w:val="36"/>
          <w:sz w:val="24"/>
          <w:szCs w:val="24"/>
        </w:rPr>
        <w:t>3. RESULTS AND DISCUSSION</w:t>
      </w:r>
    </w:p>
    <w:p w14:paraId="6B4F67DD" w14:textId="77777777" w:rsidR="00786B94" w:rsidRPr="005A6352" w:rsidRDefault="00786B94" w:rsidP="00B1320C">
      <w:pPr>
        <w:spacing w:before="100" w:beforeAutospacing="1" w:after="100" w:afterAutospacing="1" w:line="240" w:lineRule="auto"/>
        <w:ind w:left="360"/>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3.1 Analysis of Variance and Combining Ability</w:t>
      </w:r>
    </w:p>
    <w:p w14:paraId="60506C30" w14:textId="77777777" w:rsidR="00786B94" w:rsidRPr="00A67319" w:rsidRDefault="00786B94" w:rsidP="00ED3EEB">
      <w:pPr>
        <w:spacing w:before="100" w:beforeAutospacing="1" w:after="100" w:afterAutospacing="1" w:line="240" w:lineRule="auto"/>
        <w:ind w:firstLine="360"/>
        <w:jc w:val="both"/>
        <w:rPr>
          <w:rFonts w:ascii="Times New Roman" w:eastAsia="Times New Roman" w:hAnsi="Times New Roman" w:cs="Times New Roman"/>
          <w:sz w:val="24"/>
          <w:szCs w:val="24"/>
        </w:rPr>
      </w:pPr>
      <w:r>
        <w:rPr>
          <w:highlight w:val="yellow"/>
        </w:rPr>
        <w:t>The analysis of variance conducted across three environments (Rudrur, Warangal and Rajendranagar) revealed highly significant differences among genotypes for all eleven traits studied, indicating the existence of substantial genetic variability among the parental lines and their derived hybrids. Significant mean squares due to lines, testers and line × tester interactions suggested the involvement of both additive and non-additive genetic effects in the inheritance of yield- and yield-attributing traits. The significance of parents versus crosses further indicated the presence of considerable heterosis among the hybrid combinations. Similar observations were reported by Akter et al. (2010) and Rahman et al. (2022), who demonstrated significant genetic variability and heterotic expression in hybrid rice populations.</w:t>
      </w:r>
    </w:p>
    <w:p w14:paraId="085364A7" w14:textId="77777777" w:rsidR="00786B94" w:rsidRPr="00A67319" w:rsidRDefault="00786B94" w:rsidP="00ED3EEB">
      <w:pPr>
        <w:spacing w:before="100" w:beforeAutospacing="1" w:after="100" w:afterAutospacing="1" w:line="240" w:lineRule="auto"/>
        <w:ind w:firstLine="360"/>
        <w:jc w:val="both"/>
        <w:rPr>
          <w:rFonts w:ascii="Times New Roman" w:eastAsia="Times New Roman" w:hAnsi="Times New Roman" w:cs="Times New Roman"/>
          <w:sz w:val="24"/>
          <w:szCs w:val="24"/>
        </w:rPr>
      </w:pPr>
      <w:r>
        <w:rPr>
          <w:highlight w:val="yellow"/>
        </w:rPr>
        <w:t>The pooled analysis further revealed significant genotype × environment interactions for most traits, indicating that environmental factors influenced the expression of yield and related traits. Significant line × tester × environment interactions suggested differential hybrid responses across locations. Such interactions are common in rice because grain yield is a complex trait influenced by environmental conditions, genotype performance and their interaction. Therefore, multilocation evaluation remains essential for identifying stable and widely adapted hybrids (Eberhart &amp; Russell, 1966).</w:t>
      </w:r>
    </w:p>
    <w:p w14:paraId="02490DC6" w14:textId="77777777" w:rsidR="00786B94" w:rsidRPr="00A67319" w:rsidRDefault="00786B94" w:rsidP="00ED3EEB">
      <w:pPr>
        <w:spacing w:before="100" w:beforeAutospacing="1" w:after="100" w:afterAutospacing="1" w:line="240" w:lineRule="auto"/>
        <w:ind w:firstLine="360"/>
        <w:jc w:val="both"/>
        <w:rPr>
          <w:rFonts w:ascii="Times New Roman" w:eastAsia="Times New Roman" w:hAnsi="Times New Roman" w:cs="Times New Roman"/>
          <w:sz w:val="24"/>
          <w:szCs w:val="24"/>
        </w:rPr>
      </w:pPr>
      <w:r>
        <w:rPr>
          <w:highlight w:val="yellow"/>
        </w:rPr>
        <w:t>The estimates of combining ability variances showed that specific combining ability (SCA) variances exceeded general combining ability (GCA) variances for plant height, panicle length, panicle weight, total tillers, productive tillers, filled grains per panicle, spikelet fertility, 1000-grain weight and grain yield per plant. This indicates the predominance of non-additive gene action involving dominance and epistatic effects. In contrast, days to 50% flowering and days to maturity exhibited higher GCA variances than SCA variances, indicating the predominance of additive gene action. These findings are in agreement with those of Akter et al. (2010), Padmavathi et al. (2012) and Wang et al. (2023), who reported that flowering and maturity traits are generally controlled by additive genes, whereas grain yield and its components are predominantly governed by non-additive gene effects.</w:t>
      </w:r>
    </w:p>
    <w:p w14:paraId="47A213C2" w14:textId="77777777" w:rsidR="00786B94" w:rsidRPr="00A67319" w:rsidRDefault="00786B94" w:rsidP="00ED3EEB">
      <w:pPr>
        <w:spacing w:before="100" w:beforeAutospacing="1" w:after="100" w:afterAutospacing="1" w:line="240" w:lineRule="auto"/>
        <w:ind w:firstLine="360"/>
        <w:jc w:val="both"/>
        <w:rPr>
          <w:rFonts w:ascii="Times New Roman" w:eastAsia="Times New Roman" w:hAnsi="Times New Roman" w:cs="Times New Roman"/>
          <w:sz w:val="24"/>
          <w:szCs w:val="24"/>
        </w:rPr>
      </w:pPr>
      <w:r>
        <w:rPr>
          <w:highlight w:val="yellow"/>
        </w:rPr>
        <w:t>The predominance of non-additive gene action for grain yield and associated traits suggests that heterosis breeding would be more effective than conventional selection approaches for improving rice productivity. Similar conclusions were drawn by Viana et al. (2018) and Labroo et al. (2021), who emphasised the importance of exploiting dominance effects through hybrid breeding strategies.</w:t>
      </w:r>
    </w:p>
    <w:p w14:paraId="2FDCE77A" w14:textId="77777777" w:rsidR="00786B94" w:rsidRPr="005A6352" w:rsidRDefault="00786B94" w:rsidP="00B1320C">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3.2 Days to 50% Flowering</w:t>
      </w:r>
    </w:p>
    <w:p w14:paraId="48A8F050"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Early flowering is an important trait in rice breeding because it facilitates crop escape from terminal drought and allows inclusion in multiple cropping systems. Among the CMS lines, IR68897A exhibited significant negative GCA effects across all environments and the pooled analysis, indicating its superiority as a donor parent for earliness. Among the restorers, TCP-783, TCP-795 and TCP-960 also showed significant negative GCA effects and can therefore be considered desirable general combiners for early flowering.</w:t>
      </w:r>
    </w:p>
    <w:p w14:paraId="1418015C"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Among the hybrids, IR68897A × TCP-950, IR68897A × TCP-718, APMS 6A × PSV-49 and PUSA 5A × PSV-41 exhibited significant negative SCA effects, indicating their potential utility for developing early-duration hybrids. The superiority of these combinations may be attributed to favourable additive × dominance interactions. Similar results were reported by Upadhyay and Jaiswal (2015), who observed that earliness in rice is predominantly governed by additive gene action, thereby facilitating effective selection.</w:t>
      </w:r>
    </w:p>
    <w:p w14:paraId="77F8E728" w14:textId="77777777" w:rsidR="00786B94" w:rsidRPr="005A6352" w:rsidRDefault="00786B94" w:rsidP="00B1320C">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3.3 Plant Height</w:t>
      </w:r>
    </w:p>
    <w:p w14:paraId="22C8E757"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Plant height is a key trait influencing lodging resistance and harvest index. Semi-dwarf hybrids are generally preferred because they exhibit better lodging tolerance and fertiliser responsiveness. Among the CMS lines, IR68897A and PUSA 5A recorded significant negative GCA effects, indicating their usefulness in developing semi-dwarf hybrids. Among the restorers, TCP-795, TCP-951, TCP-960 and TCP-963 emerged as desirable general combiners.</w:t>
      </w:r>
    </w:p>
    <w:p w14:paraId="105FA72F"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The hybrids IR68897A × TCP-963, IR68897A × TCP-950, PUSA 5A × TCP-960 and APMS 6A × PSV-49 exhibited significant negative SCA effects and therefore represent promising combinations for reducing plant height. The predominance of SCA variance over GCA variance suggests that dominance effects play an important role in controlling plant height. Similar observations have been reported by Gramaje et al. (2020) and Rahman et al. (2022).</w:t>
      </w:r>
    </w:p>
    <w:p w14:paraId="409D80DA" w14:textId="77777777" w:rsidR="00786B94" w:rsidRPr="005A6352" w:rsidRDefault="00786B94" w:rsidP="00B1320C">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3.4 Panicle Length and Panicle Weight</w:t>
      </w:r>
    </w:p>
    <w:p w14:paraId="75650FAC"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Panicle architecture plays a crucial role in determining sink capacity and grain production. The CMS line IR79156A exhibited positive GCA effects for panicle length and was identified as the best general combiner for this trait. Among the restorers, TCP-718, TCP-795, TCP-801 and PSV-49 recorded favourable GCA effects.</w:t>
      </w:r>
    </w:p>
    <w:p w14:paraId="41172994"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The hybrid IR68897A × TCP-951 showed the highest positive SCA effects for panicle length across environments and the pooled analysis, suggesting strong non-additive gene interactions. Similar findings have been reported by Akter et al. (2010), who emphasised the importance of panicle length in increasing grain-bearing capacity.</w:t>
      </w:r>
    </w:p>
    <w:p w14:paraId="30A2E26A"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 xml:space="preserve">For panicle weight, APMS 6A emerged as the best general combiner among the CMS lines, while TCP-801, TCP-950 and TCP-963 exhibited superior GCA effects among the restorers. Hybrids APMS 6A × TCP-718, APMS 6A × TCP-950, IR79156A × TCP-964 and IR68897A × TCP-950 recorded </w:t>
      </w:r>
      <w:r>
        <w:rPr>
          <w:highlight w:val="yellow"/>
        </w:rPr>
        <w:lastRenderedPageBreak/>
        <w:t>significant positive SCA effects and superior per se performance. The positive association between panicle weight and grain yield observed in the present study supports previous findings that heavier panicles contribute substantially to yield improvement.</w:t>
      </w:r>
    </w:p>
    <w:p w14:paraId="73D4D991" w14:textId="77777777" w:rsidR="00786B94" w:rsidRPr="005A6352" w:rsidRDefault="00786B94" w:rsidP="00B1320C">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3.5 Total Tillers and Productive Tillers per Plant</w:t>
      </w:r>
    </w:p>
    <w:p w14:paraId="47AB8071"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Tillering ability determines the number of productive panicles and ultimately influences grain yield. APMS 6A exhibited positive GCA effects for both total and productive tillers, indicating its usefulness as a donor parent. Among the restorers, TCP-718, TCP-795 and TCP-963 emerged as superior general combiners.</w:t>
      </w:r>
    </w:p>
    <w:p w14:paraId="196B5721"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The hybrids APMS 6A × TCP-718, PUSA 5A × TCP-795, APMS 6A × PSV-49 and IR79156A × TCP-964 exhibited significant positive SCA effects for productive tillers and showed superior field performance. These hybrids may possess favourable dominance interactions contributing to enhanced tillering ability. Similar results have been reported by Devi and Lal (2015) and Akter et al. (2010).</w:t>
      </w:r>
    </w:p>
    <w:p w14:paraId="45FA4BEE" w14:textId="77777777" w:rsidR="00786B94" w:rsidRPr="005A6352" w:rsidRDefault="00786B94" w:rsidP="005A6352">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3.6 Filled Grains per Panicle and Spikelet Fertility</w:t>
      </w:r>
    </w:p>
    <w:p w14:paraId="2E3FB31E"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Filled grains per panicle and spikelet fertility are among the most important yield determinants because they directly influence grain number and sink realisation. APMS 6A and IR79156A exhibited positive GCA effects for filled grains per panicle, while TCP-718, PSV-49 and TCP-963 were identified as superior restorers.</w:t>
      </w:r>
    </w:p>
    <w:p w14:paraId="5CC74E94"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The hybrids APMS 6A × PSV-49, APMS 6A × TCP-718, PUSA 5A × TCP-795 and IR79156A × TCP-964 exhibited significant positive SCA effects and superior performance for filled grains per panicle. These results indicate the presence of favourable dominance and epistatic interactions governing grain filling.</w:t>
      </w:r>
    </w:p>
    <w:p w14:paraId="651E64F2"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For spikelet fertility, APMS 6A and TCP-783 emerged as superior general combiners. The hybrids APMS 6A × TCP-783, IR68897A × PSV-15 and IR79156A × TCP-783 recorded high positive SCA effects. Effective fertility restoration is critical in CMS-based hybrid breeding programmes, and the identified combinations can therefore serve as valuable breeding resources.</w:t>
      </w:r>
    </w:p>
    <w:p w14:paraId="5A13884E" w14:textId="77777777" w:rsidR="00786B94" w:rsidRPr="005A6352" w:rsidRDefault="00786B94" w:rsidP="005A6352">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3.7 Thousand Grain Weight</w:t>
      </w:r>
    </w:p>
    <w:p w14:paraId="3A6103DC"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Thousand-grain weight is a relatively stable yield component that contributes directly to grain yield and market acceptability. APMS 6A and IR79156A recorded favourable GCA effects among the CMS lines, whereas TCP-718, TCP-795 and TCP-963 emerged as superior restorers.</w:t>
      </w:r>
    </w:p>
    <w:p w14:paraId="36DDDB80" w14:textId="77777777" w:rsidR="00786B94"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Among the hybrids, PUSA 5A × TCP-795, IR79156A × PSV-41 and APMS 6A × TCP-718 exhibited significant positive SCA effects, indicating their potential utility for improving grain weight. Similar observations have been reported by Wang et al. (2023), who highlighted grain weight as a critical component contributing to yield enhancement.</w:t>
      </w:r>
    </w:p>
    <w:p w14:paraId="783A8966" w14:textId="77777777" w:rsidR="001B19EE" w:rsidRPr="005A6352" w:rsidRDefault="001B19EE" w:rsidP="005A6352">
      <w:pPr>
        <w:spacing w:before="100" w:beforeAutospacing="1" w:after="100" w:afterAutospacing="1" w:line="240" w:lineRule="auto"/>
        <w:jc w:val="both"/>
        <w:rPr>
          <w:rFonts w:ascii="Times New Roman" w:eastAsia="Times New Roman" w:hAnsi="Times New Roman" w:cs="Times New Roman"/>
          <w:sz w:val="24"/>
          <w:szCs w:val="24"/>
        </w:rPr>
      </w:pPr>
    </w:p>
    <w:p w14:paraId="78B60E54" w14:textId="77777777" w:rsidR="00786B94" w:rsidRPr="005A6352" w:rsidRDefault="00786B94" w:rsidP="005A6352">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3.8 Grain Yield per Plant</w:t>
      </w:r>
    </w:p>
    <w:p w14:paraId="7B50AB84"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 xml:space="preserve">Grain yield per plant is the ultimate target trait in rice breeding. The pooled combining ability analysis identified APMS 6A and IR79156A as superior general combiners among the CMS lines, </w:t>
      </w:r>
      <w:r>
        <w:rPr>
          <w:highlight w:val="yellow"/>
        </w:rPr>
        <w:lastRenderedPageBreak/>
        <w:t>while TCP-718, TCP-783, TCP-963 and PSV-49 emerged as excellent restorers. These parents possessed favourable additive alleles for yield and its contributing traits.</w:t>
      </w:r>
    </w:p>
    <w:p w14:paraId="60D0E2A8"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Among the hybrids, APMS 6A × TCP-718, PUSA 5A × TCP-795, APMS 6A × PSV-49, IR79156A × TCP-964 and IR68897A × TCP-783 recorded significant positive SCA effects, superior per se performance and favourable expression of several yield-contributing traits. The superiority of these hybrids may be attributed to the combined effects of productive tillers, filled grains per panicle, spikelet fertility and panicle weight (Table 1; Fig. 1 and Fig. 2).</w:t>
      </w:r>
    </w:p>
    <w:p w14:paraId="4894430A"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The predominance of non-additive gene action for grain yield confirms that hybrid breeding remains an effective approach for achieving yield improvement in rice. Similar conclusions were reached by Akter et al. (2010), Labroo et al. (2021) and Rahman et al. (2022).</w:t>
      </w:r>
    </w:p>
    <w:p w14:paraId="7ADCA1B5" w14:textId="77777777" w:rsidR="00786B94" w:rsidRPr="005A6352" w:rsidRDefault="00786B94" w:rsidP="005A6352">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3.9 Breeding Implications</w:t>
      </w:r>
    </w:p>
    <w:p w14:paraId="7D349D1A"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The present investigation demonstrated that APMS 6A and IR79156A are valuable CMS lines for hybrid rice breeding, while TCP-718, TCP-783, TCP-963 and PSV-49 represent promising restorer lines. The hybrids APMS 6A × TCP-718, PUSA 5A × TCP-795, APMS 6A × PSV-49, IR79156A × TCP-964 and IR68897A × TCP-783 consistently exhibited superior performance across environments and therefore deserve further evaluation through multilocation trials and large-scale testing. The predominance of non-additive gene action for grain yield and most yield components supports the continued utilisation of heterosis breeding strategies for enhancing rice productivity under diverse agro-climatic conditions.</w:t>
      </w:r>
    </w:p>
    <w:p w14:paraId="667BF47D" w14:textId="77777777"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sidRPr="00FF43F9">
        <w:rPr>
          <w:rFonts w:ascii="Times New Roman" w:eastAsia="Times New Roman" w:hAnsi="Times New Roman" w:cs="Times New Roman"/>
          <w:b/>
          <w:bCs/>
          <w:sz w:val="24"/>
          <w:szCs w:val="24"/>
          <w:lang w:eastAsia="en-GB"/>
        </w:rPr>
        <w:t>Conclusion</w:t>
      </w:r>
    </w:p>
    <w:p w14:paraId="3C5F5DF7" w14:textId="77777777"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Pr>
          <w:highlight w:val="yellow"/>
        </w:rPr>
        <w:t>The study revealed appreciable genetic variability among the evaluated rice parents and hybrids across the tested environments. The combining ability analysis indicated that non-additive gene action was important for grain yield and most yield-contributing traits, including plant height, panicle length, panicle weight, total tillers per plant, productive tillers per plant, filled grains per panicle, spikelet fertility and 1000-grain weight. This suggests that hybrid breeding can be an effective approach for improving these traits. In contrast, days to 50% flowering and days to maturity were mainly influenced by additive gene action, indicating the possible usefulness of selection for these traits. Among the CMS lines, APMS 6A and IR79156A showed desirable general combining ability for grain yield and associated characters. Among the restorer lines, TCP-718, TCP-783, TCP-963 and PSV-49 were identified as promising combiners. The hybrids APMS 6A × TCP-718, PUSA 5A × TCP-795, APMS 6A × PSV-49, IR79156A × TCP-964 and IR68897A × TCP-783 expressed favourable specific combining ability and desirable performance for yield-related traits. These parents and cross combinations may be considered useful genetic resources for further testing, validation and utilisation in hybrid rice improvement programmes.</w:t>
      </w:r>
    </w:p>
    <w:p w14:paraId="31A49E8E" w14:textId="77777777"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sidRPr="00FF43F9">
        <w:rPr>
          <w:rFonts w:ascii="Times New Roman" w:eastAsia="Times New Roman" w:hAnsi="Times New Roman" w:cs="Times New Roman"/>
          <w:b/>
          <w:bCs/>
          <w:sz w:val="24"/>
          <w:szCs w:val="24"/>
          <w:lang w:eastAsia="en-GB"/>
        </w:rPr>
        <w:t>Limitations</w:t>
      </w:r>
    </w:p>
    <w:p w14:paraId="13636E8D" w14:textId="4E9CC305"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Pr>
          <w:highlight w:val="yellow"/>
        </w:rPr>
        <w:t xml:space="preserve">The findings of the present study should be interpreted in relation to the experimental conditions under which the evaluation was conducted. Although the hybrids, parents and checks were tested across three locations, the study was limited to one season and two replications. Therefore, additional testing over more seasons and locations would be useful for confirming the consistency of parental performance and hybrid superiority. The study focused on combining ability and agronomic traits, while grain quality, biotic stress resistance, abiotic stress tolerance and farmer-preferred traits were not evaluated in detail. The identified hybrids showed desirable performance for yield and associated traits, but their commercial potential requires further multilocation testing, larger plot </w:t>
      </w:r>
      <w:r>
        <w:rPr>
          <w:highlight w:val="yellow"/>
        </w:rPr>
        <w:lastRenderedPageBreak/>
        <w:t>evaluation and comparison with relevant standard checks. In addition, the interpretation of gene action was based on combining ability estimates, and further genetic or molecular analysis may provide a deeper understanding of the inheritance of important traits. These limitations should be considered before advancing the identified hybrids for large-scale breeding or cultivation programmes.</w:t>
      </w:r>
    </w:p>
    <w:p w14:paraId="6894DD34" w14:textId="77777777" w:rsidR="0072317A" w:rsidRDefault="0072317A" w:rsidP="0072317A"/>
    <w:p w14:paraId="31F706C2"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b/>
          <w:sz w:val="24"/>
          <w:szCs w:val="24"/>
        </w:rPr>
      </w:pPr>
      <w:r w:rsidRPr="00786B94">
        <w:rPr>
          <w:rFonts w:ascii="Times New Roman" w:eastAsia="Times New Roman" w:hAnsi="Times New Roman" w:cs="Times New Roman"/>
          <w:b/>
          <w:sz w:val="24"/>
          <w:szCs w:val="24"/>
        </w:rPr>
        <w:t>CONFLICT OF INTEREST</w:t>
      </w:r>
    </w:p>
    <w:p w14:paraId="6CCB0568" w14:textId="77777777" w:rsid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The authors declare no conflict of interest.</w:t>
      </w:r>
    </w:p>
    <w:p w14:paraId="439B6B2E" w14:textId="77777777" w:rsidR="0072317A" w:rsidRPr="000839CE" w:rsidRDefault="0072317A" w:rsidP="0072317A">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3C6B9C0D" w14:textId="77777777" w:rsidR="0072317A" w:rsidRPr="000839CE" w:rsidRDefault="0072317A" w:rsidP="0072317A">
      <w:pPr>
        <w:spacing w:after="0" w:line="240" w:lineRule="auto"/>
        <w:rPr>
          <w:rFonts w:ascii="Times New Roman" w:hAnsi="Times New Roman" w:cs="Times New Roman"/>
        </w:rPr>
      </w:pPr>
    </w:p>
    <w:p w14:paraId="074E7E7C" w14:textId="77777777" w:rsidR="0072317A" w:rsidRPr="000839CE" w:rsidRDefault="0072317A" w:rsidP="0072317A">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95713C4" w14:textId="77777777" w:rsidR="0072317A" w:rsidRDefault="0072317A" w:rsidP="00786B94">
      <w:pPr>
        <w:spacing w:before="100" w:beforeAutospacing="1" w:after="100" w:afterAutospacing="1" w:line="240" w:lineRule="auto"/>
        <w:jc w:val="both"/>
        <w:rPr>
          <w:rFonts w:ascii="Times New Roman" w:eastAsia="Times New Roman" w:hAnsi="Times New Roman" w:cs="Times New Roman"/>
          <w:sz w:val="24"/>
          <w:szCs w:val="24"/>
        </w:rPr>
      </w:pPr>
    </w:p>
    <w:p w14:paraId="4C9E334C" w14:textId="77777777" w:rsidR="00F56F8E" w:rsidRPr="00786B94" w:rsidRDefault="00F56F8E" w:rsidP="00786B94">
      <w:pPr>
        <w:spacing w:before="100" w:beforeAutospacing="1" w:after="100" w:afterAutospacing="1" w:line="240" w:lineRule="auto"/>
        <w:jc w:val="both"/>
        <w:rPr>
          <w:rFonts w:ascii="Times New Roman" w:eastAsia="Times New Roman" w:hAnsi="Times New Roman" w:cs="Times New Roman"/>
          <w:b/>
          <w:sz w:val="40"/>
          <w:szCs w:val="24"/>
        </w:rPr>
      </w:pPr>
      <w:r w:rsidRPr="00F56F8E">
        <w:rPr>
          <w:rFonts w:ascii="Times New Roman" w:hAnsi="Times New Roman" w:cs="Times New Roman"/>
          <w:b/>
          <w:sz w:val="24"/>
          <w:szCs w:val="16"/>
          <w:shd w:val="clear" w:color="auto" w:fill="FFFFFF"/>
        </w:rPr>
        <w:t>References</w:t>
      </w:r>
    </w:p>
    <w:p>
      <w:pPr>
        <w:spacing w:after="0"/>
        <w:ind w:left="720" w:hanging="720"/>
      </w:pPr>
      <w:r>
        <w:rPr>
          <w:i w:val="0"/>
        </w:rPr>
        <w:t xml:space="preserve">Sprague, G. F., &amp; Tatum, L. A. (1942). General vs. specific combining ability in single crosses of corn. </w:t>
      </w:r>
      <w:r>
        <w:rPr>
          <w:i/>
        </w:rPr>
        <w:t>Agronomy Journal, 34</w:t>
      </w:r>
      <w:r>
        <w:rPr>
          <w:i w:val="0"/>
        </w:rPr>
        <w:t xml:space="preserve">(10), 923–932. </w:t>
      </w:r>
      <w:hyperlink r:id="rId17">
        <w:r>
          <w:rPr>
            <w:rStyle w:val="Hyperlink"/>
          </w:rPr>
          <w:t>https://doi.org/10.2134/agronj1942.00021962003400100008x</w:t>
        </w:r>
      </w:hyperlink>
    </w:p>
    <w:p>
      <w:pPr>
        <w:spacing w:after="0"/>
        <w:ind w:left="720" w:hanging="720"/>
      </w:pPr>
      <w:r>
        <w:rPr>
          <w:i w:val="0"/>
        </w:rPr>
        <w:t xml:space="preserve">Griffing, B. (1956). Concept of general and specific combining ability in relation to diallel crossing systems. </w:t>
      </w:r>
      <w:r>
        <w:rPr>
          <w:i/>
        </w:rPr>
        <w:t>Australian Journal of Biological Sciences, 9</w:t>
      </w:r>
      <w:r>
        <w:rPr>
          <w:i w:val="0"/>
        </w:rPr>
        <w:t xml:space="preserve">(4), 463–493. </w:t>
      </w:r>
      <w:hyperlink r:id="rId18">
        <w:r>
          <w:rPr>
            <w:rStyle w:val="Hyperlink"/>
          </w:rPr>
          <w:t>https://doi.org/10.1071/BI9560463</w:t>
        </w:r>
      </w:hyperlink>
    </w:p>
    <w:p>
      <w:pPr>
        <w:spacing w:after="0"/>
        <w:ind w:left="720" w:hanging="720"/>
      </w:pPr>
      <w:r>
        <w:rPr>
          <w:i w:val="0"/>
        </w:rPr>
        <w:t xml:space="preserve">Kempthorne, O. (1957). </w:t>
      </w:r>
      <w:r>
        <w:rPr>
          <w:i/>
        </w:rPr>
        <w:t>An introduction to genetic statistics</w:t>
      </w:r>
      <w:r>
        <w:rPr>
          <w:i w:val="0"/>
        </w:rPr>
        <w:t xml:space="preserve">. John Wiley &amp; Sons. </w:t>
      </w:r>
      <w:hyperlink r:id="rId19">
        <w:r>
          <w:rPr>
            <w:rStyle w:val="Hyperlink"/>
          </w:rPr>
          <w:t>https://search.library.nyu.edu/discovery/fulldisplay/alma990027801510107876/01NYU_INST:NYU</w:t>
        </w:r>
      </w:hyperlink>
    </w:p>
    <w:p>
      <w:pPr>
        <w:spacing w:after="0"/>
        <w:ind w:left="720" w:hanging="720"/>
      </w:pPr>
      <w:r>
        <w:rPr>
          <w:i w:val="0"/>
        </w:rPr>
        <w:t xml:space="preserve">Singh, R. K., &amp; Chaudhary, B. D. (1985). </w:t>
      </w:r>
      <w:r>
        <w:rPr>
          <w:i/>
        </w:rPr>
        <w:t>Biometrical methods in quantitative genetic analysis</w:t>
      </w:r>
      <w:r>
        <w:rPr>
          <w:i w:val="0"/>
        </w:rPr>
        <w:t xml:space="preserve">. Kalyani Publishers. </w:t>
      </w:r>
      <w:hyperlink r:id="rId20">
        <w:r>
          <w:rPr>
            <w:rStyle w:val="Hyperlink"/>
          </w:rPr>
          <w:t>https://kalyanipublishers.co.in/single-product.php?product=UGlNR3BZZHJscmFKMWEzMzZ1MUREZz09</w:t>
        </w:r>
      </w:hyperlink>
    </w:p>
    <w:p>
      <w:pPr>
        <w:spacing w:after="0"/>
        <w:ind w:left="720" w:hanging="720"/>
      </w:pPr>
      <w:r>
        <w:rPr>
          <w:i w:val="0"/>
        </w:rPr>
        <w:t xml:space="preserve">Eberhart, S. A., &amp; Russell, W. A. (1966). Stability parameters for comparing varieties. </w:t>
      </w:r>
      <w:r>
        <w:rPr>
          <w:i/>
        </w:rPr>
        <w:t>Crop Science, 6</w:t>
      </w:r>
      <w:r>
        <w:rPr>
          <w:i w:val="0"/>
        </w:rPr>
        <w:t xml:space="preserve">(1), 36–40. </w:t>
      </w:r>
      <w:hyperlink r:id="rId21">
        <w:r>
          <w:rPr>
            <w:rStyle w:val="Hyperlink"/>
          </w:rPr>
          <w:t>https://doi.org/10.2135/cropsci1966.0011183X000600010011x</w:t>
        </w:r>
      </w:hyperlink>
    </w:p>
    <w:p>
      <w:pPr>
        <w:spacing w:after="0"/>
        <w:ind w:left="720" w:hanging="720"/>
      </w:pPr>
      <w:r>
        <w:rPr>
          <w:i w:val="0"/>
        </w:rPr>
        <w:t xml:space="preserve">Virmani, S. S., &amp; Kumar, I. (2004). Development and use of hybrid rice technology to increase rice productivity in the tropics. </w:t>
      </w:r>
      <w:r>
        <w:rPr>
          <w:i/>
        </w:rPr>
        <w:t>International Rice Research Notes, 29</w:t>
      </w:r>
      <w:r>
        <w:rPr>
          <w:i w:val="0"/>
        </w:rPr>
        <w:t xml:space="preserve">(1), 10–20. </w:t>
      </w:r>
      <w:hyperlink r:id="rId22">
        <w:r>
          <w:rPr>
            <w:rStyle w:val="Hyperlink"/>
          </w:rPr>
          <w:t>https://doi.org/10.5281/zenodo.6880696</w:t>
        </w:r>
      </w:hyperlink>
    </w:p>
    <w:p>
      <w:pPr>
        <w:spacing w:after="0"/>
        <w:ind w:left="720" w:hanging="720"/>
      </w:pPr>
      <w:r>
        <w:rPr>
          <w:i w:val="0"/>
        </w:rPr>
        <w:t xml:space="preserve">Yuan, L. (2017). Progress in super-hybrid rice breeding. </w:t>
      </w:r>
      <w:r>
        <w:rPr>
          <w:i/>
        </w:rPr>
        <w:t>The Crop Journal, 5</w:t>
      </w:r>
      <w:r>
        <w:rPr>
          <w:i w:val="0"/>
        </w:rPr>
        <w:t xml:space="preserve">(2), 100–102. </w:t>
      </w:r>
      <w:hyperlink r:id="rId23">
        <w:r>
          <w:rPr>
            <w:rStyle w:val="Hyperlink"/>
          </w:rPr>
          <w:t>https://doi.org/10.1016/j.cj.2017.02.001</w:t>
        </w:r>
      </w:hyperlink>
    </w:p>
    <w:p>
      <w:pPr>
        <w:spacing w:after="0"/>
        <w:ind w:left="720" w:hanging="720"/>
      </w:pPr>
      <w:r>
        <w:rPr>
          <w:i w:val="0"/>
        </w:rPr>
        <w:t xml:space="preserve">Dalvi, V. V., &amp; Patel, D. U. (2009). Combining ability analysis for yield in hybrid rice. </w:t>
      </w:r>
      <w:r>
        <w:rPr>
          <w:i/>
        </w:rPr>
        <w:t>Oryza, 46</w:t>
      </w:r>
      <w:r>
        <w:rPr>
          <w:i w:val="0"/>
        </w:rPr>
        <w:t xml:space="preserve">(2), 97–102. </w:t>
      </w:r>
      <w:hyperlink r:id="rId24">
        <w:r>
          <w:rPr>
            <w:rStyle w:val="Hyperlink"/>
          </w:rPr>
          <w:t>https://arrworyza.com/AdminPanel/download/Combining%20ability%20analysis%20for%20yield%20in%20hybrid%20rice.pdf</w:t>
        </w:r>
      </w:hyperlink>
    </w:p>
    <w:p>
      <w:pPr>
        <w:spacing w:after="0"/>
        <w:ind w:left="720" w:hanging="720"/>
      </w:pPr>
      <w:r>
        <w:rPr>
          <w:i w:val="0"/>
        </w:rPr>
        <w:t>Satheesh Kumar, P., Saravanan, K., &amp; Sabesan, T. (2010). Combining ability for yield and yield-contributing characters in rice (</w:t>
      </w:r>
      <w:r>
        <w:rPr>
          <w:i/>
        </w:rPr>
        <w:t>Oryza sativa</w:t>
      </w:r>
      <w:r>
        <w:rPr>
          <w:i w:val="0"/>
        </w:rPr>
        <w:t xml:space="preserve"> L.). </w:t>
      </w:r>
      <w:r>
        <w:rPr>
          <w:i/>
        </w:rPr>
        <w:t>Electronic Journal of Plant Breeding, 1</w:t>
      </w:r>
      <w:r>
        <w:rPr>
          <w:i w:val="0"/>
        </w:rPr>
        <w:t xml:space="preserve">(5), 1290–1293. </w:t>
      </w:r>
      <w:hyperlink r:id="rId25">
        <w:r>
          <w:rPr>
            <w:rStyle w:val="Hyperlink"/>
          </w:rPr>
          <w:t>https://doaj.org/article/b0e0f896ea524bde8bd2fc135e17a29e</w:t>
        </w:r>
      </w:hyperlink>
    </w:p>
    <w:p>
      <w:pPr>
        <w:spacing w:after="0"/>
        <w:ind w:left="720" w:hanging="720"/>
      </w:pPr>
      <w:r>
        <w:rPr>
          <w:i w:val="0"/>
        </w:rPr>
        <w:t>Padmavathi, P. V., Satyanarayana, P. V., Lal Ahamed, M., Ashoka Rani, Y., &amp; Srinivasa Rao, V. (2012). Combining ability studies for yield and yield components trait in hybrid rice (</w:t>
      </w:r>
      <w:r>
        <w:rPr>
          <w:i/>
        </w:rPr>
        <w:t>Oryza sativa</w:t>
      </w:r>
      <w:r>
        <w:rPr>
          <w:i w:val="0"/>
        </w:rPr>
        <w:t xml:space="preserve"> L.). </w:t>
      </w:r>
      <w:r>
        <w:rPr>
          <w:i/>
        </w:rPr>
        <w:t>Electronic Journal of Plant Breeding, 3</w:t>
      </w:r>
      <w:r>
        <w:rPr>
          <w:i w:val="0"/>
        </w:rPr>
        <w:t xml:space="preserve">(3), 836–842. </w:t>
      </w:r>
      <w:hyperlink r:id="rId26">
        <w:r>
          <w:rPr>
            <w:rStyle w:val="Hyperlink"/>
          </w:rPr>
          <w:t>https://agris.fao.org/search/ru/records/675acd1f0ce2cede71d18852</w:t>
        </w:r>
      </w:hyperlink>
    </w:p>
    <w:p>
      <w:pPr>
        <w:spacing w:after="0"/>
        <w:ind w:left="720" w:hanging="720"/>
      </w:pPr>
      <w:r>
        <w:rPr>
          <w:i w:val="0"/>
        </w:rPr>
        <w:t xml:space="preserve">Gramaje, L. V., Caguiat, J. D., Enriquez, J. O. S., dela Cruz, Q. D., Millas, R. A., Carampatana, J. E., &amp; Tabanao, D. A. A. (2020). Heterosis and combining ability analysis in CMS hybrid rice. </w:t>
      </w:r>
      <w:r>
        <w:rPr>
          <w:i/>
        </w:rPr>
        <w:t>Euphytica, 216</w:t>
      </w:r>
      <w:r>
        <w:rPr>
          <w:i w:val="0"/>
        </w:rPr>
        <w:t xml:space="preserve">, Article 14. </w:t>
      </w:r>
      <w:hyperlink r:id="rId27">
        <w:r>
          <w:rPr>
            <w:rStyle w:val="Hyperlink"/>
          </w:rPr>
          <w:t>https://doi.org/10.1007/s10681-019-2542-y</w:t>
        </w:r>
      </w:hyperlink>
    </w:p>
    <w:p>
      <w:pPr>
        <w:spacing w:after="0"/>
        <w:ind w:left="720" w:hanging="720"/>
      </w:pPr>
      <w:r>
        <w:rPr>
          <w:i w:val="0"/>
        </w:rPr>
        <w:t>Devi, B., &amp; Lal, G. M. (2015). Combining ability analysis for yield and yield components in rice (</w:t>
      </w:r>
      <w:r>
        <w:rPr>
          <w:i/>
        </w:rPr>
        <w:t>Oryza sativa</w:t>
      </w:r>
      <w:r>
        <w:rPr>
          <w:i w:val="0"/>
        </w:rPr>
        <w:t xml:space="preserve"> L.). </w:t>
      </w:r>
      <w:r>
        <w:rPr>
          <w:i/>
        </w:rPr>
        <w:t>Electronic Journal of Plant Breeding, 6</w:t>
      </w:r>
      <w:r>
        <w:rPr>
          <w:i w:val="0"/>
        </w:rPr>
        <w:t xml:space="preserve">(2), 360–365. </w:t>
      </w:r>
      <w:hyperlink r:id="rId28">
        <w:r>
          <w:rPr>
            <w:rStyle w:val="Hyperlink"/>
          </w:rPr>
          <w:t>https://www.ejplantbreeding.org/index.php/EJPB/issue/view/50</w:t>
        </w:r>
      </w:hyperlink>
    </w:p>
    <w:p>
      <w:pPr>
        <w:spacing w:after="0"/>
        <w:ind w:left="720" w:hanging="720"/>
      </w:pPr>
      <w:r>
        <w:rPr>
          <w:i w:val="0"/>
        </w:rPr>
        <w:t>Upadhyay, M. N., &amp; Jaiswal, H. K. (2015). Combining ability analysis for yield and earliness in hybrid rice (</w:t>
      </w:r>
      <w:r>
        <w:rPr>
          <w:i/>
        </w:rPr>
        <w:t>Oryza sativa</w:t>
      </w:r>
      <w:r>
        <w:rPr>
          <w:i w:val="0"/>
        </w:rPr>
        <w:t xml:space="preserve"> L.). </w:t>
      </w:r>
      <w:r>
        <w:rPr>
          <w:i/>
        </w:rPr>
        <w:t>Asian Journal of Crop Science, 7</w:t>
      </w:r>
      <w:r>
        <w:rPr>
          <w:i w:val="0"/>
        </w:rPr>
        <w:t xml:space="preserve">(1), 81–86. </w:t>
      </w:r>
      <w:hyperlink r:id="rId29">
        <w:r>
          <w:rPr>
            <w:rStyle w:val="Hyperlink"/>
          </w:rPr>
          <w:t>https://doi.org/10.3923/ajcs.2015.81.86</w:t>
        </w:r>
      </w:hyperlink>
    </w:p>
    <w:p>
      <w:pPr>
        <w:spacing w:after="0"/>
        <w:ind w:left="720" w:hanging="720"/>
      </w:pPr>
      <w:r>
        <w:rPr>
          <w:i w:val="0"/>
        </w:rPr>
        <w:t>Akter, A. A., Hasan, M. J., Begum, H., Kulsum, M. U., &amp; Hossain, M. K. (2010). Combining ability analysis in rice (</w:t>
      </w:r>
      <w:r>
        <w:rPr>
          <w:i/>
        </w:rPr>
        <w:t>Oryza sativa</w:t>
      </w:r>
      <w:r>
        <w:rPr>
          <w:i w:val="0"/>
        </w:rPr>
        <w:t xml:space="preserve"> L.). </w:t>
      </w:r>
      <w:r>
        <w:rPr>
          <w:i/>
        </w:rPr>
        <w:t>Bangladesh Journal of Plant Breeding and Genetics, 23</w:t>
      </w:r>
      <w:r>
        <w:rPr>
          <w:i w:val="0"/>
        </w:rPr>
        <w:t xml:space="preserve">(2), 7–13. </w:t>
      </w:r>
      <w:hyperlink r:id="rId30">
        <w:r>
          <w:rPr>
            <w:rStyle w:val="Hyperlink"/>
          </w:rPr>
          <w:t>https://www.researchgate.net/profile/Md-Hossain-115/publication/328162524_COMBINING_ABILITY_ANALYSIS_IN_RICE_Oryza_Sativa_L</w:t>
        </w:r>
      </w:hyperlink>
    </w:p>
    <w:p>
      <w:pPr>
        <w:spacing w:after="0"/>
        <w:ind w:left="720" w:hanging="720"/>
      </w:pPr>
      <w:r>
        <w:rPr>
          <w:i w:val="0"/>
        </w:rPr>
        <w:t xml:space="preserve">Viana, J. M. S., Pereira, H. D., Mundim, G. B., Piepho, H.-P., &amp; Silva, F. F. (2018). Efficiency of genomic prediction of non-assessed single crosses. </w:t>
      </w:r>
      <w:r>
        <w:rPr>
          <w:i/>
        </w:rPr>
        <w:t>Heredity, 120</w:t>
      </w:r>
      <w:r>
        <w:rPr>
          <w:i w:val="0"/>
        </w:rPr>
        <w:t xml:space="preserve">, 283–295. </w:t>
      </w:r>
      <w:hyperlink r:id="rId31">
        <w:r>
          <w:rPr>
            <w:rStyle w:val="Hyperlink"/>
          </w:rPr>
          <w:t>https://doi.org/10.1038/s41437-017-0027-0</w:t>
        </w:r>
      </w:hyperlink>
    </w:p>
    <w:p>
      <w:pPr>
        <w:spacing w:after="0"/>
        <w:ind w:left="720" w:hanging="720"/>
      </w:pPr>
      <w:r>
        <w:rPr>
          <w:i w:val="0"/>
        </w:rPr>
        <w:t xml:space="preserve">Wang, S., Wu, H., Lu, Z., Liu, W., Wang, X., Fang, Z., &amp; He, X. (2023). Combining ability analysis of yield-related traits of two elite rice restorer lines in Chinese hybrid rice. </w:t>
      </w:r>
      <w:r>
        <w:rPr>
          <w:i/>
        </w:rPr>
        <w:t>International Journal of Molecular Sciences, 24</w:t>
      </w:r>
      <w:r>
        <w:rPr>
          <w:i w:val="0"/>
        </w:rPr>
        <w:t xml:space="preserve">(15), Article 12395. </w:t>
      </w:r>
      <w:hyperlink r:id="rId32">
        <w:r>
          <w:rPr>
            <w:rStyle w:val="Hyperlink"/>
          </w:rPr>
          <w:t>https://doi.org/10.3390/ijms241512395</w:t>
        </w:r>
      </w:hyperlink>
    </w:p>
    <w:p>
      <w:pPr>
        <w:spacing w:after="0"/>
        <w:ind w:left="720" w:hanging="720"/>
      </w:pPr>
      <w:r>
        <w:rPr>
          <w:i w:val="0"/>
        </w:rPr>
        <w:t xml:space="preserve">Rahman, M. M., Sarker, U., Swapan, M. A. H., Raihan, M. S., Oba, S., Alamri, S., &amp; Siddiqui, M. H. (2022). Combining ability analysis and marker-based prediction of heterosis in yield reveal prominent heterotic combinations from diallel population of rice. </w:t>
      </w:r>
      <w:r>
        <w:rPr>
          <w:i/>
        </w:rPr>
        <w:t>Agronomy, 12</w:t>
      </w:r>
      <w:r>
        <w:rPr>
          <w:i w:val="0"/>
        </w:rPr>
        <w:t xml:space="preserve">(8), Article 1797. </w:t>
      </w:r>
      <w:hyperlink r:id="rId33">
        <w:r>
          <w:rPr>
            <w:rStyle w:val="Hyperlink"/>
          </w:rPr>
          <w:t>https://doi.org/10.3390/agronomy12081797</w:t>
        </w:r>
      </w:hyperlink>
    </w:p>
    <w:p>
      <w:pPr>
        <w:spacing w:after="0"/>
        <w:ind w:left="720" w:hanging="720"/>
      </w:pPr>
      <w:r>
        <w:rPr>
          <w:i w:val="0"/>
        </w:rPr>
        <w:t xml:space="preserve">Labroo, M. R., Studer, A. J., &amp; Rutkoski, J. E. (2021). Heterosis and hybrid crop breeding: A multidisciplinary review. </w:t>
      </w:r>
      <w:r>
        <w:rPr>
          <w:i/>
        </w:rPr>
        <w:t>Frontiers in Genetics, 12</w:t>
      </w:r>
      <w:r>
        <w:rPr>
          <w:i w:val="0"/>
        </w:rPr>
        <w:t xml:space="preserve">, Article 643761. </w:t>
      </w:r>
      <w:hyperlink r:id="rId34">
        <w:r>
          <w:rPr>
            <w:rStyle w:val="Hyperlink"/>
          </w:rPr>
          <w:t>https://doi.org/10.3389/fgene.2021.643761</w:t>
        </w:r>
      </w:hyperlink>
    </w:p>
    <w:p>
      <w:pPr>
        <w:spacing w:after="0"/>
        <w:ind w:left="720" w:hanging="720"/>
      </w:pPr>
      <w:r>
        <w:rPr>
          <w:i w:val="0"/>
        </w:rPr>
        <w:t xml:space="preserve">Ma, G.-H., &amp; Yuan, L.-P. (2015). Hybrid rice achievements, development and prospect in China. </w:t>
      </w:r>
      <w:r>
        <w:rPr>
          <w:i/>
        </w:rPr>
        <w:t>Journal of Integrative Agriculture, 14</w:t>
      </w:r>
      <w:r>
        <w:rPr>
          <w:i w:val="0"/>
        </w:rPr>
        <w:t xml:space="preserve">(2), 197–205. </w:t>
      </w:r>
      <w:hyperlink r:id="rId35">
        <w:r>
          <w:rPr>
            <w:rStyle w:val="Hyperlink"/>
          </w:rPr>
          <w:t>https://doi.org/10.1016/S2095-3119(14)60922-9</w:t>
        </w:r>
      </w:hyperlink>
    </w:p>
    <w:p>
      <w:pPr>
        <w:spacing w:after="0"/>
        <w:ind w:left="720" w:hanging="720"/>
      </w:pPr>
      <w:r>
        <w:rPr>
          <w:i w:val="0"/>
        </w:rPr>
        <w:t xml:space="preserve">Gu, Z., Gong, J., Zhu, Z., Li, Z., Feng, Q., Wang, C., Zhao, Y., Zhan, Q., Zhou, C., Wang, A., Huang, T., Zhang, L., Tian, Q., Fan, D., Lu, Y., Zhao, Q., Huang, X., Yang, S., &amp; Han, B. (2023). Structure and function of rice hybrid genomes reveal genetic basis and optimal performance of heterosis. </w:t>
      </w:r>
      <w:r>
        <w:rPr>
          <w:i/>
        </w:rPr>
        <w:t>Nature Genetics, 55</w:t>
      </w:r>
      <w:r>
        <w:rPr>
          <w:i w:val="0"/>
        </w:rPr>
        <w:t xml:space="preserve">(10), 1745–1756. </w:t>
      </w:r>
      <w:hyperlink r:id="rId36">
        <w:r>
          <w:rPr>
            <w:rStyle w:val="Hyperlink"/>
          </w:rPr>
          <w:t>https://doi.org/10.1038/s41588-023-01495-8</w:t>
        </w:r>
      </w:hyperlink>
    </w:p>
    <w:p>
      <w:pPr>
        <w:spacing w:after="0"/>
        <w:ind w:left="720" w:hanging="720"/>
      </w:pPr>
      <w:r>
        <w:rPr>
          <w:i w:val="0"/>
        </w:rPr>
        <w:t xml:space="preserve">Gu, Z., &amp; Han, B. (2024). Unlocking the mystery of heterosis opens the era of intelligent rice breeding. </w:t>
      </w:r>
      <w:r>
        <w:rPr>
          <w:i/>
        </w:rPr>
        <w:t>Plant Physiology, 196</w:t>
      </w:r>
      <w:r>
        <w:rPr>
          <w:i w:val="0"/>
        </w:rPr>
        <w:t xml:space="preserve">(2), 735–744. </w:t>
      </w:r>
      <w:hyperlink r:id="rId37">
        <w:r>
          <w:rPr>
            <w:rStyle w:val="Hyperlink"/>
          </w:rPr>
          <w:t>https://doi.org/10.1093/plphys/kiae385</w:t>
        </w:r>
      </w:hyperlink>
    </w:p>
    <w:p>
      <w:pPr>
        <w:spacing w:after="0"/>
        <w:ind w:left="720" w:hanging="720"/>
      </w:pPr>
      <w:r>
        <w:rPr>
          <w:i w:val="0"/>
        </w:rPr>
        <w:t>Kushal, G., Suresh, J., Sreedhar, S., &amp; Hari, Y. (2023). Study of combining ability in association with heterosis in rice (</w:t>
      </w:r>
      <w:r>
        <w:rPr>
          <w:i/>
        </w:rPr>
        <w:t>Oryza sativa</w:t>
      </w:r>
      <w:r>
        <w:rPr>
          <w:i w:val="0"/>
        </w:rPr>
        <w:t xml:space="preserve"> L.). </w:t>
      </w:r>
      <w:r>
        <w:rPr>
          <w:i/>
        </w:rPr>
        <w:t>International Journal of Environment and Climate Change, 13</w:t>
      </w:r>
      <w:r>
        <w:rPr>
          <w:i w:val="0"/>
        </w:rPr>
        <w:t xml:space="preserve">(9), 2829–2847. </w:t>
      </w:r>
      <w:hyperlink r:id="rId38">
        <w:r>
          <w:rPr>
            <w:rStyle w:val="Hyperlink"/>
          </w:rPr>
          <w:t>https://doi.org/10.9734/ijecc/2023/v13i92566</w:t>
        </w:r>
      </w:hyperlink>
    </w:p>
    <w:p>
      <w:pPr>
        <w:spacing w:after="0"/>
        <w:ind w:left="720" w:hanging="720"/>
      </w:pPr>
      <w:r>
        <w:rPr>
          <w:i w:val="0"/>
        </w:rPr>
        <w:t>Madhusudan, N., Senguttuvel, P., Sundaram, R. M., Anantha, M. S., Gobinath, R., Hari Prasad, A. S., Subrahmanyam, D., &amp; RadhaKrishna, K. V. (2025). Estimation of heterosis and combining ability under low soil phosphorus condition in rice (</w:t>
      </w:r>
      <w:r>
        <w:rPr>
          <w:i/>
        </w:rPr>
        <w:t>Oryza sativa</w:t>
      </w:r>
      <w:r>
        <w:rPr>
          <w:i w:val="0"/>
        </w:rPr>
        <w:t xml:space="preserve"> L.). </w:t>
      </w:r>
      <w:r>
        <w:rPr>
          <w:i/>
        </w:rPr>
        <w:t>Scientific Reports, 15</w:t>
      </w:r>
      <w:r>
        <w:rPr>
          <w:i w:val="0"/>
        </w:rPr>
        <w:t xml:space="preserve">, Article 36623. </w:t>
      </w:r>
      <w:hyperlink r:id="rId39">
        <w:r>
          <w:rPr>
            <w:rStyle w:val="Hyperlink"/>
          </w:rPr>
          <w:t>https://doi.org/10.1038/s41598-025-20344-8</w:t>
        </w:r>
      </w:hyperlink>
    </w:p>
    <w:p>
      <w:pPr>
        <w:spacing w:after="0"/>
        <w:ind w:left="720" w:hanging="720"/>
      </w:pPr>
      <w:r>
        <w:rPr>
          <w:i w:val="0"/>
        </w:rPr>
        <w:t>Prasanna, G. S. S., &amp; Joshi, J. L. (2024). Identification of transgressive segregation for yield and resistance to yellow stem borer (</w:t>
      </w:r>
      <w:r>
        <w:rPr>
          <w:i/>
        </w:rPr>
        <w:t>Scirpophaga incertulas</w:t>
      </w:r>
      <w:r>
        <w:rPr>
          <w:i w:val="0"/>
        </w:rPr>
        <w:t xml:space="preserve"> Walker) in F2 segregating generation of six rice crosses (</w:t>
      </w:r>
      <w:r>
        <w:rPr>
          <w:i/>
        </w:rPr>
        <w:t>Oryza sativa</w:t>
      </w:r>
      <w:r>
        <w:rPr>
          <w:i w:val="0"/>
        </w:rPr>
        <w:t xml:space="preserve"> L.). </w:t>
      </w:r>
      <w:r>
        <w:rPr>
          <w:i/>
        </w:rPr>
        <w:t>Uttar Pradesh Journal of Zoology, 45</w:t>
      </w:r>
      <w:r>
        <w:rPr>
          <w:i w:val="0"/>
        </w:rPr>
        <w:t xml:space="preserve">(11), 50–58. </w:t>
      </w:r>
      <w:hyperlink r:id="rId40">
        <w:r>
          <w:rPr>
            <w:rStyle w:val="Hyperlink"/>
          </w:rPr>
          <w:t>https://doi.org/10.56557/upjoz/2024/v45i114069</w:t>
        </w:r>
      </w:hyperlink>
    </w:p>
    <w:p w14:paraId="4B21EF20" w14:textId="77777777" w:rsidR="00D806E8" w:rsidRPr="00D806E8" w:rsidRDefault="00D806E8" w:rsidP="00D806E8">
      <w:pPr>
        <w:spacing w:after="0" w:line="240" w:lineRule="auto"/>
        <w:ind w:right="-284"/>
        <w:jc w:val="both"/>
        <w:rPr>
          <w:rFonts w:ascii="Times New Roman" w:eastAsia="Times New Roman" w:hAnsi="Times New Roman" w:cs="Times New Roman"/>
          <w:b/>
          <w:szCs w:val="24"/>
          <w:lang w:val="en-US" w:eastAsia="en-US"/>
        </w:rPr>
      </w:pPr>
      <w:r w:rsidRPr="00D806E8">
        <w:rPr>
          <w:rFonts w:ascii="Times New Roman" w:eastAsia="Times New Roman" w:hAnsi="Times New Roman" w:cs="Times New Roman"/>
          <w:b/>
          <w:sz w:val="24"/>
          <w:szCs w:val="24"/>
          <w:lang w:val="en-US" w:eastAsia="en-US"/>
        </w:rPr>
        <w:t xml:space="preserve">Table </w:t>
      </w:r>
      <w:r>
        <w:rPr>
          <w:rFonts w:ascii="Times New Roman" w:eastAsia="Times New Roman" w:hAnsi="Times New Roman" w:cs="Times New Roman"/>
          <w:b/>
          <w:sz w:val="24"/>
          <w:szCs w:val="24"/>
          <w:lang w:val="en-US" w:eastAsia="en-US"/>
        </w:rPr>
        <w:t>1</w:t>
      </w:r>
      <w:r w:rsidRPr="00D806E8">
        <w:rPr>
          <w:rFonts w:ascii="Times New Roman" w:eastAsia="Times New Roman" w:hAnsi="Times New Roman" w:cs="Times New Roman"/>
          <w:b/>
          <w:sz w:val="24"/>
          <w:szCs w:val="24"/>
          <w:lang w:val="en-US" w:eastAsia="en-US"/>
        </w:rPr>
        <w:t xml:space="preserve">: </w:t>
      </w:r>
      <w:r w:rsidRPr="00D806E8">
        <w:rPr>
          <w:rFonts w:ascii="Times New Roman" w:eastAsia="Times New Roman" w:hAnsi="Times New Roman" w:cs="Times New Roman"/>
          <w:b/>
          <w:szCs w:val="24"/>
          <w:lang w:val="en-US" w:eastAsia="en-US"/>
        </w:rPr>
        <w:t>Promising general combiners and specific combiners for yield and yield contributing traits.</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1"/>
        <w:gridCol w:w="3207"/>
        <w:gridCol w:w="5540"/>
      </w:tblGrid>
      <w:tr w:rsidR="001B5404" w:rsidRPr="009C64D8" w14:paraId="7E776679" w14:textId="77777777" w:rsidTr="00BD2009">
        <w:trPr>
          <w:trHeight w:val="720"/>
          <w:jc w:val="center"/>
        </w:trPr>
        <w:tc>
          <w:tcPr>
            <w:tcW w:w="881" w:type="dxa"/>
            <w:noWrap/>
            <w:vAlign w:val="bottom"/>
          </w:tcPr>
          <w:p w14:paraId="6FDF6FD8" w14:textId="77777777" w:rsidR="001B5404" w:rsidRPr="009C64D8" w:rsidRDefault="001B5404" w:rsidP="00BD2009">
            <w:pPr>
              <w:spacing w:after="0" w:line="240" w:lineRule="auto"/>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S.NO.</w:t>
            </w:r>
          </w:p>
        </w:tc>
        <w:tc>
          <w:tcPr>
            <w:tcW w:w="3207" w:type="dxa"/>
            <w:noWrap/>
            <w:vAlign w:val="bottom"/>
          </w:tcPr>
          <w:p w14:paraId="69D2ADC6" w14:textId="77777777" w:rsidR="001B5404" w:rsidRPr="009C64D8" w:rsidRDefault="001B5404" w:rsidP="00BD2009">
            <w:pPr>
              <w:spacing w:after="0" w:line="240" w:lineRule="auto"/>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CROSS COMBINATION</w:t>
            </w:r>
          </w:p>
        </w:tc>
        <w:tc>
          <w:tcPr>
            <w:tcW w:w="5540" w:type="dxa"/>
            <w:noWrap/>
            <w:vAlign w:val="bottom"/>
          </w:tcPr>
          <w:p w14:paraId="52616BF5" w14:textId="77777777" w:rsidR="001B5404" w:rsidRPr="009C64D8" w:rsidRDefault="001B5404" w:rsidP="00BD2009">
            <w:pPr>
              <w:spacing w:after="0" w:line="240" w:lineRule="auto"/>
              <w:jc w:val="center"/>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CHARACTERS</w:t>
            </w:r>
          </w:p>
        </w:tc>
      </w:tr>
      <w:tr w:rsidR="001B5404" w:rsidRPr="009C64D8" w14:paraId="4693C6CF" w14:textId="77777777" w:rsidTr="00BD2009">
        <w:trPr>
          <w:trHeight w:val="255"/>
          <w:jc w:val="center"/>
        </w:trPr>
        <w:tc>
          <w:tcPr>
            <w:tcW w:w="881" w:type="dxa"/>
            <w:noWrap/>
            <w:vAlign w:val="center"/>
          </w:tcPr>
          <w:p w14:paraId="45A3334E"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1</w:t>
            </w:r>
          </w:p>
        </w:tc>
        <w:tc>
          <w:tcPr>
            <w:tcW w:w="3207" w:type="dxa"/>
            <w:noWrap/>
            <w:vAlign w:val="center"/>
          </w:tcPr>
          <w:p w14:paraId="20F42136"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PUSA-5A X TCP-795</w:t>
            </w:r>
          </w:p>
        </w:tc>
        <w:tc>
          <w:tcPr>
            <w:tcW w:w="5540" w:type="dxa"/>
            <w:noWrap/>
            <w:vAlign w:val="bottom"/>
          </w:tcPr>
          <w:p w14:paraId="50AAE158" w14:textId="77777777" w:rsidR="001B5404" w:rsidRPr="009C64D8" w:rsidRDefault="001B5404" w:rsidP="00BD2009">
            <w:pPr>
              <w:spacing w:after="0" w:line="240" w:lineRule="auto"/>
              <w:jc w:val="both"/>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 xml:space="preserve">Grain yield per plant, 1000-grain weight, filled grains per panicle, panicle weight, plant height, number of total </w:t>
            </w:r>
            <w:proofErr w:type="spellStart"/>
            <w:r w:rsidRPr="009C64D8">
              <w:rPr>
                <w:rFonts w:ascii="Times New Roman" w:eastAsia="Times New Roman" w:hAnsi="Times New Roman" w:cs="Times New Roman"/>
                <w:sz w:val="20"/>
                <w:szCs w:val="20"/>
                <w:lang w:val="en-US" w:eastAsia="en-US"/>
              </w:rPr>
              <w:t>total</w:t>
            </w:r>
            <w:proofErr w:type="spellEnd"/>
            <w:r w:rsidRPr="009C64D8">
              <w:rPr>
                <w:rFonts w:ascii="Times New Roman" w:eastAsia="Times New Roman" w:hAnsi="Times New Roman" w:cs="Times New Roman"/>
                <w:sz w:val="20"/>
                <w:szCs w:val="20"/>
                <w:lang w:val="en-US" w:eastAsia="en-US"/>
              </w:rPr>
              <w:t xml:space="preserve"> tillers per plant and productive tillers per plant</w:t>
            </w:r>
          </w:p>
        </w:tc>
      </w:tr>
      <w:tr w:rsidR="001B5404" w:rsidRPr="009C64D8" w14:paraId="5D56E6B1" w14:textId="77777777" w:rsidTr="00BD2009">
        <w:trPr>
          <w:trHeight w:val="255"/>
          <w:jc w:val="center"/>
        </w:trPr>
        <w:tc>
          <w:tcPr>
            <w:tcW w:w="881" w:type="dxa"/>
            <w:noWrap/>
            <w:vAlign w:val="center"/>
          </w:tcPr>
          <w:p w14:paraId="2E3EC4DF"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2</w:t>
            </w:r>
          </w:p>
        </w:tc>
        <w:tc>
          <w:tcPr>
            <w:tcW w:w="3207" w:type="dxa"/>
            <w:noWrap/>
            <w:vAlign w:val="center"/>
          </w:tcPr>
          <w:p w14:paraId="39137867"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IR68897A X TCP-783</w:t>
            </w:r>
          </w:p>
        </w:tc>
        <w:tc>
          <w:tcPr>
            <w:tcW w:w="5540" w:type="dxa"/>
            <w:noWrap/>
            <w:vAlign w:val="bottom"/>
          </w:tcPr>
          <w:p w14:paraId="3AFED5A5" w14:textId="77777777" w:rsidR="001B5404" w:rsidRPr="009C64D8" w:rsidRDefault="001B5404" w:rsidP="00BD2009">
            <w:pPr>
              <w:spacing w:after="0" w:line="240" w:lineRule="auto"/>
              <w:jc w:val="both"/>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filled grains per panicle, panicle weight, days to 50% flowering and days to maturity</w:t>
            </w:r>
          </w:p>
        </w:tc>
      </w:tr>
      <w:tr w:rsidR="001B5404" w:rsidRPr="009C64D8" w14:paraId="2FB0749C" w14:textId="77777777" w:rsidTr="00BD2009">
        <w:trPr>
          <w:trHeight w:val="255"/>
          <w:jc w:val="center"/>
        </w:trPr>
        <w:tc>
          <w:tcPr>
            <w:tcW w:w="881" w:type="dxa"/>
            <w:noWrap/>
            <w:vAlign w:val="center"/>
          </w:tcPr>
          <w:p w14:paraId="69DD06A4"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3</w:t>
            </w:r>
          </w:p>
        </w:tc>
        <w:tc>
          <w:tcPr>
            <w:tcW w:w="3207" w:type="dxa"/>
            <w:noWrap/>
            <w:vAlign w:val="center"/>
          </w:tcPr>
          <w:p w14:paraId="5F54A275"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APMS-6A X PSV-49</w:t>
            </w:r>
          </w:p>
        </w:tc>
        <w:tc>
          <w:tcPr>
            <w:tcW w:w="5540" w:type="dxa"/>
            <w:noWrap/>
            <w:vAlign w:val="bottom"/>
          </w:tcPr>
          <w:p w14:paraId="4CE95D63" w14:textId="77777777" w:rsidR="001B5404" w:rsidRPr="009C64D8" w:rsidRDefault="001B5404" w:rsidP="00BD2009">
            <w:pPr>
              <w:spacing w:after="0" w:line="240" w:lineRule="auto"/>
              <w:jc w:val="both"/>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 xml:space="preserve">Grain yield per plant, 1000-grain weight, filled grains per panicle, spikelet fertility, panicle weight and panicle length,  </w:t>
            </w:r>
          </w:p>
        </w:tc>
      </w:tr>
      <w:tr w:rsidR="001B5404" w:rsidRPr="009C64D8" w14:paraId="6D92B436" w14:textId="77777777" w:rsidTr="00BD2009">
        <w:trPr>
          <w:trHeight w:val="255"/>
          <w:jc w:val="center"/>
        </w:trPr>
        <w:tc>
          <w:tcPr>
            <w:tcW w:w="881" w:type="dxa"/>
            <w:noWrap/>
            <w:vAlign w:val="center"/>
          </w:tcPr>
          <w:p w14:paraId="1F764FC1"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4</w:t>
            </w:r>
          </w:p>
        </w:tc>
        <w:tc>
          <w:tcPr>
            <w:tcW w:w="3207" w:type="dxa"/>
            <w:noWrap/>
            <w:vAlign w:val="center"/>
          </w:tcPr>
          <w:p w14:paraId="18DE52BE"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IR79156A X TCP-964</w:t>
            </w:r>
          </w:p>
        </w:tc>
        <w:tc>
          <w:tcPr>
            <w:tcW w:w="5540" w:type="dxa"/>
            <w:noWrap/>
            <w:vAlign w:val="bottom"/>
          </w:tcPr>
          <w:p w14:paraId="2418FC45" w14:textId="77777777" w:rsidR="001B5404" w:rsidRPr="009C64D8" w:rsidRDefault="001B5404" w:rsidP="00BD2009">
            <w:pPr>
              <w:spacing w:after="0" w:line="240" w:lineRule="auto"/>
              <w:jc w:val="both"/>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 xml:space="preserve">Grain yield per plant, spikelet fertility, panicle length and productive tillers per plant </w:t>
            </w:r>
          </w:p>
        </w:tc>
      </w:tr>
      <w:tr w:rsidR="001B5404" w:rsidRPr="009C64D8" w14:paraId="4BCD1D15" w14:textId="77777777" w:rsidTr="00BD2009">
        <w:trPr>
          <w:trHeight w:val="255"/>
          <w:jc w:val="center"/>
        </w:trPr>
        <w:tc>
          <w:tcPr>
            <w:tcW w:w="881" w:type="dxa"/>
            <w:noWrap/>
            <w:vAlign w:val="center"/>
          </w:tcPr>
          <w:p w14:paraId="301870F5"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5</w:t>
            </w:r>
          </w:p>
        </w:tc>
        <w:tc>
          <w:tcPr>
            <w:tcW w:w="3207" w:type="dxa"/>
            <w:noWrap/>
            <w:vAlign w:val="center"/>
          </w:tcPr>
          <w:p w14:paraId="34B22BDD"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APMS-6A X TCP-718</w:t>
            </w:r>
          </w:p>
        </w:tc>
        <w:tc>
          <w:tcPr>
            <w:tcW w:w="5540" w:type="dxa"/>
            <w:noWrap/>
            <w:vAlign w:val="bottom"/>
          </w:tcPr>
          <w:p w14:paraId="3249945A" w14:textId="77777777" w:rsidR="001B5404" w:rsidRPr="009C64D8" w:rsidRDefault="001B5404" w:rsidP="00BD2009">
            <w:pPr>
              <w:spacing w:after="0" w:line="240" w:lineRule="auto"/>
              <w:jc w:val="both"/>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 xml:space="preserve">Grain yield per plant, 1000-grain weight, filled grains per panicle, spikelet fertility, panicle weight, panicle length, total tillers per </w:t>
            </w:r>
            <w:r w:rsidRPr="009C64D8">
              <w:rPr>
                <w:rFonts w:ascii="Times New Roman" w:eastAsia="Times New Roman" w:hAnsi="Times New Roman" w:cs="Times New Roman"/>
                <w:sz w:val="20"/>
                <w:szCs w:val="20"/>
                <w:lang w:val="en-US" w:eastAsia="en-US"/>
              </w:rPr>
              <w:lastRenderedPageBreak/>
              <w:t>plant and productive tillers per plant</w:t>
            </w:r>
          </w:p>
        </w:tc>
      </w:tr>
    </w:tbl>
    <w:p w14:paraId="16E1870C" w14:textId="77777777" w:rsidR="00D806E8" w:rsidRPr="00D806E8" w:rsidRDefault="00D806E8" w:rsidP="00D806E8">
      <w:pPr>
        <w:spacing w:after="0" w:line="240" w:lineRule="auto"/>
        <w:ind w:right="-284"/>
        <w:jc w:val="both"/>
        <w:rPr>
          <w:rFonts w:ascii="Times New Roman" w:eastAsia="Times New Roman" w:hAnsi="Times New Roman" w:cs="Times New Roman"/>
          <w:b/>
          <w:sz w:val="24"/>
          <w:szCs w:val="24"/>
          <w:lang w:val="en-US" w:eastAsia="en-US"/>
        </w:rPr>
      </w:pPr>
    </w:p>
    <w:tbl>
      <w:tblPr>
        <w:tblpPr w:leftFromText="180" w:rightFromText="180" w:vertAnchor="text" w:horzAnchor="margin" w:tblpY="-3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
        <w:gridCol w:w="1509"/>
        <w:gridCol w:w="7176"/>
      </w:tblGrid>
      <w:tr w:rsidR="00D806E8" w:rsidRPr="009C64D8" w14:paraId="196D04A9" w14:textId="77777777" w:rsidTr="00625C09">
        <w:trPr>
          <w:trHeight w:val="720"/>
        </w:trPr>
        <w:tc>
          <w:tcPr>
            <w:tcW w:w="921" w:type="dxa"/>
            <w:noWrap/>
            <w:vAlign w:val="bottom"/>
          </w:tcPr>
          <w:p w14:paraId="650697B9" w14:textId="77777777" w:rsidR="00D806E8" w:rsidRPr="009C64D8" w:rsidRDefault="00D806E8" w:rsidP="00625C09">
            <w:pPr>
              <w:spacing w:after="0" w:line="240" w:lineRule="auto"/>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S.NO.</w:t>
            </w:r>
          </w:p>
        </w:tc>
        <w:tc>
          <w:tcPr>
            <w:tcW w:w="1509" w:type="dxa"/>
            <w:noWrap/>
            <w:vAlign w:val="bottom"/>
          </w:tcPr>
          <w:p w14:paraId="48F76F2B" w14:textId="77777777" w:rsidR="00D806E8" w:rsidRPr="009C64D8" w:rsidRDefault="00D806E8" w:rsidP="00625C09">
            <w:pPr>
              <w:spacing w:after="0" w:line="240" w:lineRule="auto"/>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PARENT</w:t>
            </w:r>
          </w:p>
        </w:tc>
        <w:tc>
          <w:tcPr>
            <w:tcW w:w="7176" w:type="dxa"/>
            <w:noWrap/>
            <w:vAlign w:val="bottom"/>
          </w:tcPr>
          <w:p w14:paraId="5770B217" w14:textId="77777777" w:rsidR="00D806E8" w:rsidRPr="009C64D8" w:rsidRDefault="00D806E8" w:rsidP="00625C09">
            <w:pPr>
              <w:spacing w:after="0" w:line="240" w:lineRule="auto"/>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CHARACTERS</w:t>
            </w:r>
          </w:p>
        </w:tc>
      </w:tr>
      <w:tr w:rsidR="00D806E8" w:rsidRPr="009C64D8" w14:paraId="47D9C9BC" w14:textId="77777777" w:rsidTr="00625C09">
        <w:trPr>
          <w:trHeight w:val="535"/>
        </w:trPr>
        <w:tc>
          <w:tcPr>
            <w:tcW w:w="921" w:type="dxa"/>
            <w:noWrap/>
            <w:vAlign w:val="center"/>
          </w:tcPr>
          <w:p w14:paraId="065874E1"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1</w:t>
            </w:r>
          </w:p>
        </w:tc>
        <w:tc>
          <w:tcPr>
            <w:tcW w:w="1509" w:type="dxa"/>
            <w:noWrap/>
            <w:vAlign w:val="center"/>
          </w:tcPr>
          <w:p w14:paraId="0A889909"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APMS 6A</w:t>
            </w:r>
          </w:p>
        </w:tc>
        <w:tc>
          <w:tcPr>
            <w:tcW w:w="7176" w:type="dxa"/>
            <w:noWrap/>
            <w:vAlign w:val="center"/>
          </w:tcPr>
          <w:p w14:paraId="356391B6"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1000-grain weight, filled grains per panicle, spikelet fertility, panicle weight, panicle length, total tillers per plant and productive tillers per plant</w:t>
            </w:r>
            <w:r w:rsidRPr="009C64D8">
              <w:rPr>
                <w:rFonts w:ascii="Times New Roman" w:eastAsia="Times New Roman" w:hAnsi="Times New Roman" w:cs="Times New Roman"/>
                <w:sz w:val="20"/>
                <w:szCs w:val="20"/>
                <w:lang w:val="en-US" w:eastAsia="en-US"/>
              </w:rPr>
              <w:br/>
            </w:r>
          </w:p>
        </w:tc>
      </w:tr>
      <w:tr w:rsidR="00D806E8" w:rsidRPr="009C64D8" w14:paraId="5EB708D9" w14:textId="77777777" w:rsidTr="00625C09">
        <w:trPr>
          <w:trHeight w:val="546"/>
        </w:trPr>
        <w:tc>
          <w:tcPr>
            <w:tcW w:w="921" w:type="dxa"/>
            <w:noWrap/>
            <w:vAlign w:val="center"/>
          </w:tcPr>
          <w:p w14:paraId="091D0A3E"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2</w:t>
            </w:r>
          </w:p>
        </w:tc>
        <w:tc>
          <w:tcPr>
            <w:tcW w:w="1509" w:type="dxa"/>
            <w:noWrap/>
            <w:vAlign w:val="center"/>
          </w:tcPr>
          <w:p w14:paraId="3A1E90F0"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IR-79156 A</w:t>
            </w:r>
          </w:p>
        </w:tc>
        <w:tc>
          <w:tcPr>
            <w:tcW w:w="7176" w:type="dxa"/>
            <w:noWrap/>
            <w:vAlign w:val="center"/>
          </w:tcPr>
          <w:p w14:paraId="41AB2BAB"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plant height, filled grains per panicle, spikelet fertility, panicle weight, panicle length, total tillers per plant and productive tillers per plant</w:t>
            </w:r>
            <w:r w:rsidRPr="009C64D8">
              <w:rPr>
                <w:rFonts w:ascii="Times New Roman" w:eastAsia="Times New Roman" w:hAnsi="Times New Roman" w:cs="Times New Roman"/>
                <w:sz w:val="20"/>
                <w:szCs w:val="20"/>
                <w:lang w:val="en-US" w:eastAsia="en-US"/>
              </w:rPr>
              <w:br/>
            </w:r>
          </w:p>
        </w:tc>
      </w:tr>
      <w:tr w:rsidR="00D806E8" w:rsidRPr="009C64D8" w14:paraId="3785C933" w14:textId="77777777" w:rsidTr="00625C09">
        <w:trPr>
          <w:trHeight w:val="570"/>
        </w:trPr>
        <w:tc>
          <w:tcPr>
            <w:tcW w:w="921" w:type="dxa"/>
            <w:noWrap/>
            <w:vAlign w:val="center"/>
          </w:tcPr>
          <w:p w14:paraId="2EDB62D8"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3</w:t>
            </w:r>
          </w:p>
        </w:tc>
        <w:tc>
          <w:tcPr>
            <w:tcW w:w="1509" w:type="dxa"/>
            <w:noWrap/>
            <w:vAlign w:val="center"/>
          </w:tcPr>
          <w:p w14:paraId="316BD588"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TCP-963</w:t>
            </w:r>
          </w:p>
        </w:tc>
        <w:tc>
          <w:tcPr>
            <w:tcW w:w="7176" w:type="dxa"/>
            <w:noWrap/>
            <w:vAlign w:val="center"/>
          </w:tcPr>
          <w:p w14:paraId="10EB8CD0"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1000-grain weight, filled grains per panicle, spikelet fertility, panicle weight, total tillers per plant and productive tillers per plant</w:t>
            </w:r>
            <w:r w:rsidRPr="009C64D8">
              <w:rPr>
                <w:rFonts w:ascii="Times New Roman" w:eastAsia="Times New Roman" w:hAnsi="Times New Roman" w:cs="Times New Roman"/>
                <w:sz w:val="20"/>
                <w:szCs w:val="20"/>
                <w:lang w:val="en-US" w:eastAsia="en-US"/>
              </w:rPr>
              <w:br/>
            </w:r>
          </w:p>
        </w:tc>
      </w:tr>
      <w:tr w:rsidR="00D806E8" w:rsidRPr="009C64D8" w14:paraId="7DC20899" w14:textId="77777777" w:rsidTr="00625C09">
        <w:trPr>
          <w:trHeight w:val="706"/>
        </w:trPr>
        <w:tc>
          <w:tcPr>
            <w:tcW w:w="921" w:type="dxa"/>
            <w:noWrap/>
            <w:vAlign w:val="center"/>
          </w:tcPr>
          <w:p w14:paraId="228487DD"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4</w:t>
            </w:r>
          </w:p>
        </w:tc>
        <w:tc>
          <w:tcPr>
            <w:tcW w:w="1509" w:type="dxa"/>
            <w:noWrap/>
            <w:vAlign w:val="center"/>
          </w:tcPr>
          <w:p w14:paraId="515CF70F"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TCP-718</w:t>
            </w:r>
          </w:p>
        </w:tc>
        <w:tc>
          <w:tcPr>
            <w:tcW w:w="7176" w:type="dxa"/>
            <w:noWrap/>
            <w:vAlign w:val="center"/>
          </w:tcPr>
          <w:p w14:paraId="767EE91E"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1000-grain weight, filled grains per panicle, spikelet fertility, panicle weight, panicle length, days to 50% flowering, productive tillers per plant and days to maturity</w:t>
            </w:r>
          </w:p>
        </w:tc>
      </w:tr>
      <w:tr w:rsidR="00D806E8" w:rsidRPr="009C64D8" w14:paraId="564BE765" w14:textId="77777777" w:rsidTr="00625C09">
        <w:trPr>
          <w:trHeight w:val="560"/>
        </w:trPr>
        <w:tc>
          <w:tcPr>
            <w:tcW w:w="921" w:type="dxa"/>
            <w:noWrap/>
            <w:vAlign w:val="center"/>
          </w:tcPr>
          <w:p w14:paraId="17D0DA95"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5</w:t>
            </w:r>
          </w:p>
        </w:tc>
        <w:tc>
          <w:tcPr>
            <w:tcW w:w="1509" w:type="dxa"/>
            <w:noWrap/>
            <w:vAlign w:val="center"/>
          </w:tcPr>
          <w:p w14:paraId="425E497D"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TCP-783</w:t>
            </w:r>
          </w:p>
        </w:tc>
        <w:tc>
          <w:tcPr>
            <w:tcW w:w="7176" w:type="dxa"/>
            <w:noWrap/>
            <w:vAlign w:val="center"/>
          </w:tcPr>
          <w:p w14:paraId="36362590"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1000-grain weight, spikelet fertility, panicle weight, days to 50% flowering and days to maturity</w:t>
            </w:r>
          </w:p>
        </w:tc>
      </w:tr>
    </w:tbl>
    <w:p w14:paraId="38F8DE9D" w14:textId="77777777" w:rsidR="00D806E8" w:rsidRDefault="00E47E58" w:rsidP="00D806E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1417EF2" wp14:editId="48AFA8DC">
            <wp:extent cx="2901488" cy="2166851"/>
            <wp:effectExtent l="19050" t="0" r="0" b="0"/>
            <wp:docPr id="1" name="Picture 1" descr="C:\Users\Agronomy HOD\Desktop\Elite_General_Combiners_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ronomy HOD\Desktop\Elite_General_Combiners_Diagram.png"/>
                    <pic:cNvPicPr>
                      <a:picLocks noChangeAspect="1" noChangeArrowheads="1"/>
                    </pic:cNvPicPr>
                  </pic:nvPicPr>
                  <pic:blipFill>
                    <a:blip r:embed="rId7" cstate="print"/>
                    <a:srcRect/>
                    <a:stretch>
                      <a:fillRect/>
                    </a:stretch>
                  </pic:blipFill>
                  <pic:spPr bwMode="auto">
                    <a:xfrm>
                      <a:off x="0" y="0"/>
                      <a:ext cx="2904083" cy="2168789"/>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14:anchorId="15EDDA70" wp14:editId="60E1C9CF">
            <wp:extent cx="2713067" cy="2198968"/>
            <wp:effectExtent l="19050" t="0" r="0" b="0"/>
            <wp:docPr id="2" name="Picture 2" descr="C:\Users\Agronomy HOD\Desktop\Table4_37_Journal_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ronomy HOD\Desktop\Table4_37_Journal_Diagram.png"/>
                    <pic:cNvPicPr>
                      <a:picLocks noChangeAspect="1" noChangeArrowheads="1"/>
                    </pic:cNvPicPr>
                  </pic:nvPicPr>
                  <pic:blipFill>
                    <a:blip r:embed="rId8" cstate="print"/>
                    <a:srcRect/>
                    <a:stretch>
                      <a:fillRect/>
                    </a:stretch>
                  </pic:blipFill>
                  <pic:spPr bwMode="auto">
                    <a:xfrm>
                      <a:off x="0" y="0"/>
                      <a:ext cx="2715218" cy="2200711"/>
                    </a:xfrm>
                    <a:prstGeom prst="rect">
                      <a:avLst/>
                    </a:prstGeom>
                    <a:noFill/>
                    <a:ln w="9525">
                      <a:noFill/>
                      <a:miter lim="800000"/>
                      <a:headEnd/>
                      <a:tailEnd/>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007F13" w:rsidRPr="00477AF4" w14:paraId="77EE85AA" w14:textId="77777777" w:rsidTr="00926159">
        <w:tc>
          <w:tcPr>
            <w:tcW w:w="9242" w:type="dxa"/>
          </w:tcPr>
          <w:p w14:paraId="3E810D78" w14:textId="77777777" w:rsidR="00007F13" w:rsidRPr="00477AF4" w:rsidRDefault="00007F13" w:rsidP="00926159">
            <w:pPr>
              <w:jc w:val="both"/>
            </w:pPr>
            <w:r w:rsidRPr="00477AF4">
              <w:rPr>
                <w:rFonts w:ascii="Times New Roman" w:hAnsi="Times New Roman" w:cs="Times New Roman"/>
                <w:szCs w:val="24"/>
              </w:rPr>
              <w:t>Fig.1</w:t>
            </w:r>
            <w:r w:rsidR="00AF36C1" w:rsidRPr="00477AF4">
              <w:rPr>
                <w:rFonts w:ascii="Times New Roman" w:hAnsi="Times New Roman" w:cs="Times New Roman"/>
                <w:szCs w:val="24"/>
              </w:rPr>
              <w:t>.</w:t>
            </w:r>
            <w:r w:rsidRPr="00477AF4">
              <w:rPr>
                <w:rFonts w:ascii="Times New Roman" w:hAnsi="Times New Roman" w:cs="Times New Roman"/>
                <w:szCs w:val="24"/>
              </w:rPr>
              <w:t xml:space="preserve"> Top </w:t>
            </w:r>
            <w:r w:rsidR="000E41BD" w:rsidRPr="00477AF4">
              <w:rPr>
                <w:rFonts w:ascii="Times New Roman" w:hAnsi="Times New Roman" w:cs="Times New Roman"/>
                <w:szCs w:val="24"/>
              </w:rPr>
              <w:t xml:space="preserve">Five </w:t>
            </w:r>
            <w:r w:rsidRPr="00477AF4">
              <w:rPr>
                <w:rFonts w:ascii="Times New Roman" w:hAnsi="Times New Roman" w:cs="Times New Roman"/>
                <w:szCs w:val="24"/>
              </w:rPr>
              <w:t xml:space="preserve">General Combiners  </w:t>
            </w:r>
            <w:r w:rsidR="00926159" w:rsidRPr="00477AF4">
              <w:rPr>
                <w:rFonts w:ascii="Times New Roman" w:hAnsi="Times New Roman" w:cs="Times New Roman"/>
                <w:szCs w:val="24"/>
              </w:rPr>
              <w:t xml:space="preserve">                   </w:t>
            </w:r>
            <w:r w:rsidR="000E41BD" w:rsidRPr="00477AF4">
              <w:rPr>
                <w:rFonts w:ascii="Times New Roman" w:hAnsi="Times New Roman" w:cs="Times New Roman"/>
                <w:szCs w:val="24"/>
              </w:rPr>
              <w:t xml:space="preserve">                      </w:t>
            </w:r>
            <w:r w:rsidR="00926159" w:rsidRPr="00477AF4">
              <w:rPr>
                <w:rFonts w:ascii="Times New Roman" w:hAnsi="Times New Roman" w:cs="Times New Roman"/>
                <w:szCs w:val="24"/>
              </w:rPr>
              <w:t xml:space="preserve"> </w:t>
            </w:r>
            <w:r w:rsidRPr="00477AF4">
              <w:rPr>
                <w:rFonts w:ascii="Times New Roman" w:hAnsi="Times New Roman" w:cs="Times New Roman"/>
                <w:szCs w:val="24"/>
              </w:rPr>
              <w:t>Fig.2</w:t>
            </w:r>
            <w:r w:rsidR="00AF36C1" w:rsidRPr="00477AF4">
              <w:rPr>
                <w:rFonts w:ascii="Times New Roman" w:hAnsi="Times New Roman" w:cs="Times New Roman"/>
                <w:szCs w:val="24"/>
              </w:rPr>
              <w:t>.</w:t>
            </w:r>
            <w:r w:rsidRPr="00477AF4">
              <w:rPr>
                <w:rFonts w:ascii="Times New Roman" w:hAnsi="Times New Roman" w:cs="Times New Roman"/>
                <w:szCs w:val="24"/>
              </w:rPr>
              <w:t xml:space="preserve"> Top</w:t>
            </w:r>
            <w:r w:rsidR="000E41BD" w:rsidRPr="00477AF4">
              <w:rPr>
                <w:rFonts w:ascii="Times New Roman" w:hAnsi="Times New Roman" w:cs="Times New Roman"/>
                <w:szCs w:val="24"/>
              </w:rPr>
              <w:t xml:space="preserve"> Five</w:t>
            </w:r>
            <w:r w:rsidRPr="00477AF4">
              <w:rPr>
                <w:rFonts w:ascii="Times New Roman" w:hAnsi="Times New Roman" w:cs="Times New Roman"/>
                <w:szCs w:val="24"/>
              </w:rPr>
              <w:t xml:space="preserve"> </w:t>
            </w:r>
            <w:r w:rsidR="00926159" w:rsidRPr="00477AF4">
              <w:rPr>
                <w:rFonts w:ascii="Times New Roman" w:hAnsi="Times New Roman" w:cs="Times New Roman"/>
                <w:szCs w:val="24"/>
              </w:rPr>
              <w:t>Specific</w:t>
            </w:r>
            <w:r w:rsidRPr="00477AF4">
              <w:rPr>
                <w:rFonts w:ascii="Times New Roman" w:hAnsi="Times New Roman" w:cs="Times New Roman"/>
                <w:szCs w:val="24"/>
              </w:rPr>
              <w:t xml:space="preserve"> Combiners</w:t>
            </w:r>
          </w:p>
        </w:tc>
      </w:tr>
    </w:tbl>
    <w:p w14:paraId="148AB921" w14:textId="77777777" w:rsidR="002963AF" w:rsidRDefault="002963AF"/>
    <w:sectPr w:rsidR="002963A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A30A6" w14:textId="77777777" w:rsidR="002A13AD" w:rsidRDefault="002A13AD" w:rsidP="00E20068">
      <w:pPr>
        <w:spacing w:after="0" w:line="240" w:lineRule="auto"/>
      </w:pPr>
      <w:r>
        <w:separator/>
      </w:r>
    </w:p>
  </w:endnote>
  <w:endnote w:type="continuationSeparator" w:id="0">
    <w:p w14:paraId="31A28428" w14:textId="77777777" w:rsidR="002A13AD" w:rsidRDefault="002A13AD" w:rsidP="00E20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6F398" w14:textId="77777777" w:rsidR="00E20068" w:rsidRDefault="00E20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0F489" w14:textId="77777777" w:rsidR="00E20068" w:rsidRDefault="00E200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F66CD" w14:textId="77777777" w:rsidR="00E20068" w:rsidRDefault="00E20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F6652" w14:textId="77777777" w:rsidR="002A13AD" w:rsidRDefault="002A13AD" w:rsidP="00E20068">
      <w:pPr>
        <w:spacing w:after="0" w:line="240" w:lineRule="auto"/>
      </w:pPr>
      <w:r>
        <w:separator/>
      </w:r>
    </w:p>
  </w:footnote>
  <w:footnote w:type="continuationSeparator" w:id="0">
    <w:p w14:paraId="7BA31939" w14:textId="77777777" w:rsidR="002A13AD" w:rsidRDefault="002A13AD" w:rsidP="00E20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F580E" w14:textId="77777777" w:rsidR="00E20068" w:rsidRDefault="00000000">
    <w:pPr>
      <w:pStyle w:val="Header"/>
    </w:pPr>
    <w:r>
      <w:rPr>
        <w:noProof/>
      </w:rPr>
      <w:pict w14:anchorId="1E6CC9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14228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9ADA4" w14:textId="77777777" w:rsidR="00E20068" w:rsidRDefault="00000000">
    <w:pPr>
      <w:pStyle w:val="Header"/>
    </w:pPr>
    <w:r>
      <w:rPr>
        <w:noProof/>
      </w:rPr>
      <w:pict w14:anchorId="4B52A1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14228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10E7" w14:textId="77777777" w:rsidR="00E20068" w:rsidRDefault="00000000">
    <w:pPr>
      <w:pStyle w:val="Header"/>
    </w:pPr>
    <w:r>
      <w:rPr>
        <w:noProof/>
      </w:rPr>
      <w:pict w14:anchorId="4D298F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14228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796E"/>
    <w:multiLevelType w:val="multilevel"/>
    <w:tmpl w:val="6C2668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435CF"/>
    <w:multiLevelType w:val="hybridMultilevel"/>
    <w:tmpl w:val="FF3A1E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CB300A0"/>
    <w:multiLevelType w:val="multilevel"/>
    <w:tmpl w:val="2C9A7E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9D2D1E"/>
    <w:multiLevelType w:val="multilevel"/>
    <w:tmpl w:val="20164B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214EDE"/>
    <w:multiLevelType w:val="hybridMultilevel"/>
    <w:tmpl w:val="47E4839C"/>
    <w:lvl w:ilvl="0" w:tplc="838E462A">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AAD1B21"/>
    <w:multiLevelType w:val="multilevel"/>
    <w:tmpl w:val="E33875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611929"/>
    <w:multiLevelType w:val="multilevel"/>
    <w:tmpl w:val="7ECE3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401A00"/>
    <w:multiLevelType w:val="multilevel"/>
    <w:tmpl w:val="4DFE8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7351063">
    <w:abstractNumId w:val="6"/>
  </w:num>
  <w:num w:numId="2" w16cid:durableId="389038141">
    <w:abstractNumId w:val="5"/>
  </w:num>
  <w:num w:numId="3" w16cid:durableId="415321291">
    <w:abstractNumId w:val="7"/>
  </w:num>
  <w:num w:numId="4" w16cid:durableId="462844258">
    <w:abstractNumId w:val="3"/>
  </w:num>
  <w:num w:numId="5" w16cid:durableId="919175094">
    <w:abstractNumId w:val="2"/>
  </w:num>
  <w:num w:numId="6" w16cid:durableId="277228269">
    <w:abstractNumId w:val="0"/>
  </w:num>
  <w:num w:numId="7" w16cid:durableId="644238659">
    <w:abstractNumId w:val="1"/>
  </w:num>
  <w:num w:numId="8" w16cid:durableId="253057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86B94"/>
    <w:rsid w:val="00007F13"/>
    <w:rsid w:val="000918F8"/>
    <w:rsid w:val="000E41BD"/>
    <w:rsid w:val="001B19EE"/>
    <w:rsid w:val="001B5404"/>
    <w:rsid w:val="001D4C58"/>
    <w:rsid w:val="002963AF"/>
    <w:rsid w:val="002975C7"/>
    <w:rsid w:val="002A13AD"/>
    <w:rsid w:val="003000EE"/>
    <w:rsid w:val="00400EB7"/>
    <w:rsid w:val="00477AF4"/>
    <w:rsid w:val="005934E1"/>
    <w:rsid w:val="005A6352"/>
    <w:rsid w:val="006324F0"/>
    <w:rsid w:val="006B3AE3"/>
    <w:rsid w:val="006C7C5B"/>
    <w:rsid w:val="006E1992"/>
    <w:rsid w:val="0072317A"/>
    <w:rsid w:val="00786B94"/>
    <w:rsid w:val="008138DB"/>
    <w:rsid w:val="00826898"/>
    <w:rsid w:val="00854F4B"/>
    <w:rsid w:val="00926159"/>
    <w:rsid w:val="00994A7C"/>
    <w:rsid w:val="009A4D03"/>
    <w:rsid w:val="00A262AC"/>
    <w:rsid w:val="00A60AAB"/>
    <w:rsid w:val="00A67319"/>
    <w:rsid w:val="00A92622"/>
    <w:rsid w:val="00AF36C1"/>
    <w:rsid w:val="00B05A80"/>
    <w:rsid w:val="00B07FE8"/>
    <w:rsid w:val="00B1320C"/>
    <w:rsid w:val="00B769B3"/>
    <w:rsid w:val="00BD2009"/>
    <w:rsid w:val="00C22D6C"/>
    <w:rsid w:val="00C354CF"/>
    <w:rsid w:val="00C574F2"/>
    <w:rsid w:val="00CC4317"/>
    <w:rsid w:val="00D61361"/>
    <w:rsid w:val="00D806E8"/>
    <w:rsid w:val="00D87655"/>
    <w:rsid w:val="00E20068"/>
    <w:rsid w:val="00E47AA1"/>
    <w:rsid w:val="00E47E58"/>
    <w:rsid w:val="00ED3EEB"/>
    <w:rsid w:val="00F465AA"/>
    <w:rsid w:val="00F56F8E"/>
    <w:rsid w:val="00FB5D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80E95"/>
  <w15:docId w15:val="{DCBDC7E0-2C45-47E9-8FDD-1027ECA2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6B9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86B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786B9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86B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86B9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86B94"/>
    <w:rPr>
      <w:rFonts w:ascii="Times New Roman" w:eastAsia="Times New Roman" w:hAnsi="Times New Roman" w:cs="Times New Roman"/>
      <w:b/>
      <w:bCs/>
      <w:sz w:val="36"/>
      <w:szCs w:val="36"/>
    </w:rPr>
  </w:style>
  <w:style w:type="paragraph" w:styleId="ListParagraph">
    <w:name w:val="List Paragraph"/>
    <w:basedOn w:val="Normal"/>
    <w:uiPriority w:val="34"/>
    <w:qFormat/>
    <w:rsid w:val="00786B94"/>
    <w:pPr>
      <w:ind w:left="720"/>
      <w:contextualSpacing/>
    </w:pPr>
  </w:style>
  <w:style w:type="character" w:styleId="Strong">
    <w:name w:val="Strong"/>
    <w:basedOn w:val="DefaultParagraphFont"/>
    <w:uiPriority w:val="22"/>
    <w:qFormat/>
    <w:rsid w:val="00786B94"/>
    <w:rPr>
      <w:b/>
      <w:bCs/>
    </w:rPr>
  </w:style>
  <w:style w:type="paragraph" w:styleId="BalloonText">
    <w:name w:val="Balloon Text"/>
    <w:basedOn w:val="Normal"/>
    <w:link w:val="BalloonTextChar"/>
    <w:uiPriority w:val="99"/>
    <w:semiHidden/>
    <w:unhideWhenUsed/>
    <w:rsid w:val="00E47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E58"/>
    <w:rPr>
      <w:rFonts w:ascii="Tahoma" w:hAnsi="Tahoma" w:cs="Tahoma"/>
      <w:sz w:val="16"/>
      <w:szCs w:val="16"/>
    </w:rPr>
  </w:style>
  <w:style w:type="table" w:styleId="TableGrid">
    <w:name w:val="Table Grid"/>
    <w:basedOn w:val="TableNormal"/>
    <w:uiPriority w:val="59"/>
    <w:rsid w:val="00007F1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20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068"/>
  </w:style>
  <w:style w:type="paragraph" w:styleId="Footer">
    <w:name w:val="footer"/>
    <w:basedOn w:val="Normal"/>
    <w:link w:val="FooterChar"/>
    <w:uiPriority w:val="99"/>
    <w:unhideWhenUsed/>
    <w:rsid w:val="00E20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34304">
      <w:bodyDiv w:val="1"/>
      <w:marLeft w:val="0"/>
      <w:marRight w:val="0"/>
      <w:marTop w:val="0"/>
      <w:marBottom w:val="0"/>
      <w:divBdr>
        <w:top w:val="none" w:sz="0" w:space="0" w:color="auto"/>
        <w:left w:val="none" w:sz="0" w:space="0" w:color="auto"/>
        <w:bottom w:val="none" w:sz="0" w:space="0" w:color="auto"/>
        <w:right w:val="none" w:sz="0" w:space="0" w:color="auto"/>
      </w:divBdr>
    </w:div>
    <w:div w:id="274212283">
      <w:bodyDiv w:val="1"/>
      <w:marLeft w:val="0"/>
      <w:marRight w:val="0"/>
      <w:marTop w:val="0"/>
      <w:marBottom w:val="0"/>
      <w:divBdr>
        <w:top w:val="none" w:sz="0" w:space="0" w:color="auto"/>
        <w:left w:val="none" w:sz="0" w:space="0" w:color="auto"/>
        <w:bottom w:val="none" w:sz="0" w:space="0" w:color="auto"/>
        <w:right w:val="none" w:sz="0" w:space="0" w:color="auto"/>
      </w:divBdr>
    </w:div>
    <w:div w:id="359235370">
      <w:bodyDiv w:val="1"/>
      <w:marLeft w:val="0"/>
      <w:marRight w:val="0"/>
      <w:marTop w:val="0"/>
      <w:marBottom w:val="0"/>
      <w:divBdr>
        <w:top w:val="none" w:sz="0" w:space="0" w:color="auto"/>
        <w:left w:val="none" w:sz="0" w:space="0" w:color="auto"/>
        <w:bottom w:val="none" w:sz="0" w:space="0" w:color="auto"/>
        <w:right w:val="none" w:sz="0" w:space="0" w:color="auto"/>
      </w:divBdr>
    </w:div>
    <w:div w:id="666909117">
      <w:bodyDiv w:val="1"/>
      <w:marLeft w:val="0"/>
      <w:marRight w:val="0"/>
      <w:marTop w:val="0"/>
      <w:marBottom w:val="0"/>
      <w:divBdr>
        <w:top w:val="none" w:sz="0" w:space="0" w:color="auto"/>
        <w:left w:val="none" w:sz="0" w:space="0" w:color="auto"/>
        <w:bottom w:val="none" w:sz="0" w:space="0" w:color="auto"/>
        <w:right w:val="none" w:sz="0" w:space="0" w:color="auto"/>
      </w:divBdr>
    </w:div>
    <w:div w:id="20876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17" Type="http://schemas.openxmlformats.org/officeDocument/2006/relationships/hyperlink" Target="https://doi.org/10.2134/agronj1942.00021962003400100008x" TargetMode="External"/><Relationship Id="rId18" Type="http://schemas.openxmlformats.org/officeDocument/2006/relationships/hyperlink" Target="https://doi.org/10.1071/BI9560463" TargetMode="External"/><Relationship Id="rId19" Type="http://schemas.openxmlformats.org/officeDocument/2006/relationships/hyperlink" Target="https://search.library.nyu.edu/discovery/fulldisplay/alma990027801510107876/01NYU_INST:NYU" TargetMode="External"/><Relationship Id="rId20" Type="http://schemas.openxmlformats.org/officeDocument/2006/relationships/hyperlink" Target="https://kalyanipublishers.co.in/single-product.php?product=UGlNR3BZZHJscmFKMWEzMzZ1MUREZz09" TargetMode="External"/><Relationship Id="rId21" Type="http://schemas.openxmlformats.org/officeDocument/2006/relationships/hyperlink" Target="https://doi.org/10.2135/cropsci1966.0011183X000600010011x" TargetMode="External"/><Relationship Id="rId22" Type="http://schemas.openxmlformats.org/officeDocument/2006/relationships/hyperlink" Target="https://doi.org/10.5281/zenodo.6880696" TargetMode="External"/><Relationship Id="rId23" Type="http://schemas.openxmlformats.org/officeDocument/2006/relationships/hyperlink" Target="https://doi.org/10.1016/j.cj.2017.02.001" TargetMode="External"/><Relationship Id="rId24" Type="http://schemas.openxmlformats.org/officeDocument/2006/relationships/hyperlink" Target="https://arrworyza.com/AdminPanel/download/Combining%20ability%20analysis%20for%20yield%20in%20hybrid%20rice.pdf" TargetMode="External"/><Relationship Id="rId25" Type="http://schemas.openxmlformats.org/officeDocument/2006/relationships/hyperlink" Target="https://doaj.org/article/b0e0f896ea524bde8bd2fc135e17a29e" TargetMode="External"/><Relationship Id="rId26" Type="http://schemas.openxmlformats.org/officeDocument/2006/relationships/hyperlink" Target="https://agris.fao.org/search/ru/records/675acd1f0ce2cede71d18852" TargetMode="External"/><Relationship Id="rId27" Type="http://schemas.openxmlformats.org/officeDocument/2006/relationships/hyperlink" Target="https://doi.org/10.1007/s10681-019-2542-y" TargetMode="External"/><Relationship Id="rId28" Type="http://schemas.openxmlformats.org/officeDocument/2006/relationships/hyperlink" Target="https://www.ejplantbreeding.org/index.php/EJPB/issue/view/50" TargetMode="External"/><Relationship Id="rId29" Type="http://schemas.openxmlformats.org/officeDocument/2006/relationships/hyperlink" Target="https://doi.org/10.3923/ajcs.2015.81.86" TargetMode="External"/><Relationship Id="rId30" Type="http://schemas.openxmlformats.org/officeDocument/2006/relationships/hyperlink" Target="https://www.researchgate.net/profile/Md-Hossain-115/publication/328162524_COMBINING_ABILITY_ANALYSIS_IN_RICE_Oryza_Sativa_L" TargetMode="External"/><Relationship Id="rId31" Type="http://schemas.openxmlformats.org/officeDocument/2006/relationships/hyperlink" Target="https://doi.org/10.1038/s41437-017-0027-0" TargetMode="External"/><Relationship Id="rId32" Type="http://schemas.openxmlformats.org/officeDocument/2006/relationships/hyperlink" Target="https://doi.org/10.3390/ijms241512395" TargetMode="External"/><Relationship Id="rId33" Type="http://schemas.openxmlformats.org/officeDocument/2006/relationships/hyperlink" Target="https://doi.org/10.3390/agronomy12081797" TargetMode="External"/><Relationship Id="rId34" Type="http://schemas.openxmlformats.org/officeDocument/2006/relationships/hyperlink" Target="https://doi.org/10.3389/fgene.2021.643761" TargetMode="External"/><Relationship Id="rId35" Type="http://schemas.openxmlformats.org/officeDocument/2006/relationships/hyperlink" Target="https://doi.org/10.1016/S2095-3119(14)60922-9" TargetMode="External"/><Relationship Id="rId36" Type="http://schemas.openxmlformats.org/officeDocument/2006/relationships/hyperlink" Target="https://doi.org/10.1038/s41588-023-01495-8" TargetMode="External"/><Relationship Id="rId37" Type="http://schemas.openxmlformats.org/officeDocument/2006/relationships/hyperlink" Target="https://doi.org/10.1093/plphys/kiae385" TargetMode="External"/><Relationship Id="rId38" Type="http://schemas.openxmlformats.org/officeDocument/2006/relationships/hyperlink" Target="https://doi.org/10.9734/ijecc/2023/v13i92566" TargetMode="External"/><Relationship Id="rId39" Type="http://schemas.openxmlformats.org/officeDocument/2006/relationships/hyperlink" Target="https://doi.org/10.1038/s41598-025-20344-8" TargetMode="External"/><Relationship Id="rId40" Type="http://schemas.openxmlformats.org/officeDocument/2006/relationships/hyperlink" Target="https://doi.org/10.56557/upjoz/2024/v45i1140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9</Pages>
  <Words>3825</Words>
  <Characters>21809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Agronomy HOD</dc:creator>
  <cp:keywords/>
  <dc:description/>
  <cp:lastModifiedBy>SDI 1065</cp:lastModifiedBy>
  <cp:revision>234</cp:revision>
  <dcterms:created xsi:type="dcterms:W3CDTF">2026-06-19T12:40:00Z</dcterms:created>
  <dcterms:modified xsi:type="dcterms:W3CDTF">2026-06-30T13:15:00Z</dcterms:modified>
</cp:coreProperties>
</file>