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EB91D" w14:textId="77777777" w:rsidR="008D1172" w:rsidRPr="002B6ABA" w:rsidRDefault="008D1172" w:rsidP="008D1172">
      <w:pPr>
        <w:spacing w:after="360"/>
        <w:jc w:val="both"/>
        <w:rPr>
          <w:rFonts w:ascii="Times New Roman" w:eastAsia="Times New Roman" w:hAnsi="Times New Roman" w:cs="Times New Roman"/>
          <w:b/>
          <w:bCs/>
          <w:sz w:val="28"/>
          <w:szCs w:val="32"/>
        </w:rPr>
      </w:pPr>
      <w:r w:rsidRPr="002B6ABA">
        <w:rPr>
          <w:rFonts w:ascii="Times New Roman" w:eastAsia="Times New Roman" w:hAnsi="Times New Roman" w:cs="Times New Roman"/>
          <w:b/>
          <w:bCs/>
          <w:sz w:val="28"/>
          <w:szCs w:val="32"/>
        </w:rPr>
        <w:t>Improvement in yield and fruit quality of banana by pre-harvest treatment of GA</w:t>
      </w:r>
      <w:r w:rsidRPr="002B6ABA">
        <w:rPr>
          <w:rFonts w:ascii="Times New Roman" w:eastAsia="Times New Roman" w:hAnsi="Times New Roman" w:cs="Times New Roman"/>
          <w:b/>
          <w:bCs/>
          <w:sz w:val="28"/>
          <w:szCs w:val="32"/>
          <w:vertAlign w:val="subscript"/>
        </w:rPr>
        <w:t xml:space="preserve">3 </w:t>
      </w:r>
      <w:r w:rsidRPr="002B6ABA">
        <w:rPr>
          <w:rFonts w:ascii="Times New Roman" w:eastAsia="Times New Roman" w:hAnsi="Times New Roman" w:cs="Times New Roman"/>
          <w:b/>
          <w:bCs/>
          <w:sz w:val="28"/>
          <w:szCs w:val="32"/>
        </w:rPr>
        <w:t>and Chitosan</w:t>
      </w:r>
    </w:p>
    <w:p w14:paraId="1E707EE7" w14:textId="77777777" w:rsidR="005F1951" w:rsidRPr="002B6ABA" w:rsidRDefault="005F1951" w:rsidP="005F1951">
      <w:pPr>
        <w:spacing w:before="100" w:beforeAutospacing="1" w:after="100" w:afterAutospacing="1" w:line="240" w:lineRule="auto"/>
        <w:rPr>
          <w:rFonts w:ascii="Times New Roman" w:eastAsia="Times New Roman" w:hAnsi="Times New Roman" w:cs="Times New Roman"/>
          <w:sz w:val="24"/>
          <w:szCs w:val="24"/>
          <w:lang w:eastAsia="en-GB"/>
        </w:rPr>
      </w:pPr>
      <w:r w:rsidRPr="002B6ABA">
        <w:rPr>
          <w:rFonts w:ascii="Times New Roman" w:eastAsia="Times New Roman" w:hAnsi="Times New Roman" w:cs="Times New Roman"/>
          <w:b/>
          <w:bCs/>
          <w:sz w:val="24"/>
          <w:szCs w:val="24"/>
          <w:lang w:eastAsia="en-GB"/>
        </w:rPr>
        <w:t>Abstract</w:t>
      </w:r>
    </w:p>
    <w:p w14:paraId="1C0FCE6E" w14:textId="77777777" w:rsidR="00294FEA" w:rsidRPr="002B6ABA" w:rsidRDefault="00294FEA" w:rsidP="00703077">
      <w:pPr>
        <w:spacing w:line="360" w:lineRule="auto"/>
        <w:jc w:val="both"/>
      </w:pPr>
      <w:r w:rsidRPr="002B6ABA">
        <w:t xml:space="preserve">The present study evaluated the influence of pre-harvest application of gibberellic acid (GA₃) and chitosan on yield-contributing traits and fruit quality of banana cv. BARI Banana 1. The experiment was conducted at the Horticulture Farm of Sher-e-Bangla Agricultural University, Dhaka, Bangladesh, from July 2024 to June 2025. Treatments comprised three GA₃ levels (control, 100 ppm and 200 ppm) and three chitosan levels (control, 1 g/L and 2 g/L), arranged in nine combinations. Sprays were applied twice, at bunch emergence and 15 days after the first application. The combined application of GA₃ and chitosan influenced yield and quality attributes. Among the treatment combinations, GA₃ at 100 ppm with chitosan at 2 g/L produced the highest bunch weight (24.77 kg), bunch length (89.67 cm), number of fingers per bunch (145.00), total soluble solids (28.00 °Brix), vitamin C content (13.72 mg/100 g), reducing sugar content (10.85 mg/g), phenol content (20.45 mg/g) and improved peel </w:t>
      </w:r>
      <w:proofErr w:type="spellStart"/>
      <w:r w:rsidRPr="002B6ABA">
        <w:t>colour</w:t>
      </w:r>
      <w:proofErr w:type="spellEnd"/>
      <w:r w:rsidRPr="002B6ABA">
        <w:t xml:space="preserve"> values. The same treatment also recorded low titratable acidity (0.08%) and pH (4.48). Untreated plants generally showed the lowest values for most yield and quality parameters. These findings indicate that pre-harvest spraying of GA₃ at 100 ppm combined with chitosan at 2 g/L may improve banana yield and selected fruit quality attributes under the conditions of the present study.</w:t>
      </w:r>
    </w:p>
    <w:p w14:paraId="2FBD4506" w14:textId="77777777" w:rsidR="00294FEA" w:rsidRPr="002B6ABA" w:rsidRDefault="00294FEA" w:rsidP="00703077">
      <w:pPr>
        <w:spacing w:line="360" w:lineRule="auto"/>
        <w:jc w:val="both"/>
      </w:pPr>
    </w:p>
    <w:p w14:paraId="7B6858C9" w14:textId="256F091C" w:rsidR="00ED21BD" w:rsidRPr="002B6ABA" w:rsidRDefault="00ED21BD" w:rsidP="00703077">
      <w:pPr>
        <w:spacing w:line="360" w:lineRule="auto"/>
        <w:jc w:val="both"/>
      </w:pPr>
      <w:r w:rsidRPr="002B6ABA">
        <w:rPr>
          <w:i/>
        </w:rPr>
        <w:t>Keywords:</w:t>
      </w:r>
      <w:r w:rsidRPr="002B6ABA">
        <w:t xml:space="preserve"> </w:t>
      </w:r>
      <w:r w:rsidR="00294FEA" w:rsidRPr="002B6ABA">
        <w:t>Banana; BARI Banana 1; gibberellic acid; chitosan; pre-harvest spray; bunch weight; fruit quality; total soluble solids; vitamin C; phenolic content.</w:t>
      </w:r>
    </w:p>
    <w:p w14:paraId="28C3348D" w14:textId="77777777" w:rsidR="00294FEA" w:rsidRPr="002B6ABA" w:rsidRDefault="00294FEA" w:rsidP="00703077">
      <w:pPr>
        <w:spacing w:line="360" w:lineRule="auto"/>
        <w:jc w:val="both"/>
        <w:rPr>
          <w:rFonts w:ascii="Times New Roman" w:hAnsi="Times New Roman" w:cs="Times New Roman"/>
          <w:sz w:val="24"/>
          <w:szCs w:val="21"/>
        </w:rPr>
      </w:pPr>
    </w:p>
    <w:p w14:paraId="6D230A08" w14:textId="77777777" w:rsidR="00703077" w:rsidRPr="002B6ABA" w:rsidRDefault="008D1172" w:rsidP="00703077">
      <w:pPr>
        <w:spacing w:after="120"/>
        <w:jc w:val="both"/>
        <w:rPr>
          <w:rFonts w:ascii="Times New Roman" w:eastAsia="Times New Roman" w:hAnsi="Times New Roman" w:cs="Times New Roman"/>
          <w:b/>
          <w:bCs/>
          <w:i/>
          <w:sz w:val="24"/>
          <w:szCs w:val="32"/>
        </w:rPr>
      </w:pPr>
      <w:r w:rsidRPr="002B6ABA">
        <w:rPr>
          <w:rFonts w:ascii="Times New Roman" w:eastAsia="Times New Roman" w:hAnsi="Times New Roman" w:cs="Times New Roman"/>
          <w:b/>
          <w:bCs/>
          <w:sz w:val="24"/>
          <w:szCs w:val="32"/>
        </w:rPr>
        <w:t xml:space="preserve">1. INTRODUCTION </w:t>
      </w:r>
    </w:p>
    <w:p w14:paraId="7444CE36" w14:textId="77777777" w:rsidR="00AE34E0" w:rsidRPr="002B6ABA" w:rsidRDefault="00296A33" w:rsidP="00E15B53">
      <w:pPr>
        <w:spacing w:after="120" w:line="360" w:lineRule="auto"/>
        <w:jc w:val="both"/>
        <w:rPr>
          <w:rFonts w:ascii="Times New Roman" w:eastAsia="Times New Roman" w:hAnsi="Times New Roman" w:cs="Times New Roman"/>
          <w:bCs/>
          <w:sz w:val="24"/>
          <w:szCs w:val="32"/>
        </w:rPr>
      </w:pPr>
      <w:r w:rsidRPr="002B6ABA">
        <w:t>Banana (</w:t>
      </w:r>
      <w:r w:rsidRPr="002B6ABA">
        <w:rPr>
          <w:i/>
        </w:rPr>
        <w:t>Musa paradisiaca</w:t>
      </w:r>
      <w:r w:rsidRPr="002B6ABA">
        <w:t xml:space="preserve"> L.), a member of the Musaceae family, is one of the most important tropical fruit crops worldwide. It is consumed fresh and dried and is regarded as an affordable, nutritious and high-energy fruit (Al-Dairi </w:t>
      </w:r>
      <w:r w:rsidRPr="002B6ABA">
        <w:rPr>
          <w:i/>
        </w:rPr>
        <w:t>et al.</w:t>
      </w:r>
      <w:r w:rsidRPr="002B6ABA">
        <w:t xml:space="preserve">, 2023). It is also one of the major commercial fruit crops in tropical and subtropical regions and ranks among the leading fruit crops globally. Because bananas are available throughout the year, they are consumed widely and are considered an important food and dietary supplement in more than 130 countries (Sardos </w:t>
      </w:r>
      <w:r w:rsidRPr="002B6ABA">
        <w:rPr>
          <w:i/>
        </w:rPr>
        <w:t>et al.</w:t>
      </w:r>
      <w:r w:rsidRPr="002B6ABA">
        <w:t xml:space="preserve">, 2025). Banana contains ascorbic acid, riboflavin, </w:t>
      </w:r>
      <w:r w:rsidRPr="002B6ABA">
        <w:lastRenderedPageBreak/>
        <w:t xml:space="preserve">niacin, protein, fat, ash, phosphorus, calcium, iron, β-carotene and crude fibre, making it a nutrient-dense fruit crop (Kwok </w:t>
      </w:r>
      <w:r w:rsidRPr="002B6ABA">
        <w:rPr>
          <w:i/>
        </w:rPr>
        <w:t>et al.</w:t>
      </w:r>
      <w:r w:rsidRPr="002B6ABA">
        <w:t>, 2025).</w:t>
      </w:r>
    </w:p>
    <w:p w14:paraId="0EA7F0D2" w14:textId="77777777" w:rsidR="00703077" w:rsidRPr="002B6ABA" w:rsidRDefault="00703077" w:rsidP="00E15B53">
      <w:pPr>
        <w:spacing w:after="120" w:line="360" w:lineRule="auto"/>
        <w:jc w:val="both"/>
        <w:rPr>
          <w:rFonts w:ascii="Times New Roman" w:eastAsia="Times New Roman" w:hAnsi="Times New Roman" w:cs="Times New Roman"/>
          <w:bCs/>
          <w:sz w:val="24"/>
          <w:szCs w:val="32"/>
        </w:rPr>
      </w:pPr>
      <w:r w:rsidRPr="002B6ABA">
        <w:t xml:space="preserve">Despite its significance, Bangladesh's banana industry faces several challenges, including yield constraints, postharvest losses and low-quality fruits (Tumaini </w:t>
      </w:r>
      <w:r w:rsidRPr="002B6ABA">
        <w:rPr>
          <w:i/>
        </w:rPr>
        <w:t>et al.</w:t>
      </w:r>
      <w:r w:rsidRPr="002B6ABA">
        <w:t xml:space="preserve">, 2024). Bangladesh has a substantial yield gap in banana cultivation. The country produces an average of 14 tonnes of bananas per hectare, whereas commercial cultivation has the potential to increase production to 30 tonnes (Mohibul Hossen &amp; Islam, 2025). Because bananas are climacteric fruits, they ripen rapidly after harvest and deteriorate quickly. Excessive heat, humidity, improper postharvest handling and limited awareness of postharvest technologies contribute substantially to banana losses in Bangladesh (Munira </w:t>
      </w:r>
      <w:r w:rsidRPr="002B6ABA">
        <w:rPr>
          <w:i/>
        </w:rPr>
        <w:t>et al.</w:t>
      </w:r>
      <w:r w:rsidRPr="002B6ABA">
        <w:t xml:space="preserve">, 2025). The average annual postharvest loss of bananas in Bangladesh is 24.62%, whereas loss rates in developed countries range from 5% to 25% (Aziz </w:t>
      </w:r>
      <w:r w:rsidRPr="002B6ABA">
        <w:rPr>
          <w:i/>
        </w:rPr>
        <w:t>et al.</w:t>
      </w:r>
      <w:r w:rsidRPr="002B6ABA">
        <w:t xml:space="preserve">, 2021). Recent work on banana fruit spoilage further indicates that microbial contamination during handling and marketing can contribute to deterioration, reinforcing the need for practical pre- and postharvest quality-management measures (Okeh </w:t>
      </w:r>
      <w:r w:rsidRPr="002B6ABA">
        <w:rPr>
          <w:i/>
        </w:rPr>
        <w:t>et al.</w:t>
      </w:r>
      <w:r w:rsidRPr="002B6ABA">
        <w:t>, 2026).</w:t>
      </w:r>
    </w:p>
    <w:p w14:paraId="5BCE5DDD" w14:textId="77777777" w:rsidR="00703077" w:rsidRPr="002B6ABA" w:rsidRDefault="00703077" w:rsidP="00E15B53">
      <w:pPr>
        <w:spacing w:after="120" w:line="360" w:lineRule="auto"/>
        <w:jc w:val="both"/>
        <w:rPr>
          <w:rFonts w:ascii="Times New Roman" w:eastAsia="Times New Roman" w:hAnsi="Times New Roman" w:cs="Times New Roman"/>
          <w:bCs/>
          <w:sz w:val="24"/>
          <w:szCs w:val="32"/>
        </w:rPr>
      </w:pPr>
      <w:r w:rsidRPr="002B6ABA">
        <w:t>Plant growth regulators, particularly GA</w:t>
      </w:r>
      <w:r w:rsidRPr="002B6ABA">
        <w:rPr>
          <w:vertAlign w:val="subscript"/>
        </w:rPr>
        <w:t>3</w:t>
      </w:r>
      <w:r w:rsidRPr="002B6ABA">
        <w:t xml:space="preserve">, play an important role in fruit development, and advances in plant physiology have contributed to improved banana production. Kumar </w:t>
      </w:r>
      <w:r w:rsidRPr="002B6ABA">
        <w:rPr>
          <w:i/>
        </w:rPr>
        <w:t>et al.</w:t>
      </w:r>
      <w:r w:rsidRPr="002B6ABA">
        <w:t xml:space="preserve"> (2025) stated that GA</w:t>
      </w:r>
      <w:r w:rsidRPr="002B6ABA">
        <w:rPr>
          <w:vertAlign w:val="subscript"/>
        </w:rPr>
        <w:t>3</w:t>
      </w:r>
      <w:r w:rsidRPr="002B6ABA">
        <w:t xml:space="preserve"> enhances physiological processes such as cell division, cell elongation and nutrient transfer, thereby increasing fruit growth. Alhassan and Ndomakaah (2024) stated that pre-harvest chemical and growth regulator applications are needed to extend shelf life while maintaining quality and reducing postharvest losses because bananas are climacteric and highly perishable. Recent evidence from a tropical fruit system also indicates that reproductive-stage GA</w:t>
      </w:r>
      <w:r w:rsidRPr="002B6ABA">
        <w:rPr>
          <w:vertAlign w:val="subscript"/>
        </w:rPr>
        <w:t>3</w:t>
      </w:r>
      <w:r w:rsidRPr="002B6ABA">
        <w:t xml:space="preserve"> application can influence fruit retention, productivity and selected quality attributes in a dose-dependent manner, supporting the need to optimise timing and concentration for each crop (Gomasta </w:t>
      </w:r>
      <w:r w:rsidRPr="002B6ABA">
        <w:rPr>
          <w:i/>
        </w:rPr>
        <w:t>et al.</w:t>
      </w:r>
      <w:r w:rsidRPr="002B6ABA">
        <w:t>, 2026).</w:t>
      </w:r>
    </w:p>
    <w:p w14:paraId="16F3BC42" w14:textId="77777777" w:rsidR="00703077" w:rsidRPr="002B6ABA" w:rsidRDefault="00703077" w:rsidP="00E15B53">
      <w:pPr>
        <w:spacing w:after="120" w:line="360" w:lineRule="auto"/>
        <w:jc w:val="both"/>
        <w:rPr>
          <w:rFonts w:ascii="Times New Roman" w:eastAsia="Times New Roman" w:hAnsi="Times New Roman" w:cs="Times New Roman"/>
          <w:bCs/>
          <w:sz w:val="24"/>
          <w:szCs w:val="32"/>
        </w:rPr>
      </w:pPr>
      <w:r w:rsidRPr="002B6ABA">
        <w:t xml:space="preserve">Chitosan, a nitrogen-enriched biopolymer derived from chitin, forms a thin layer on fruit surfaces that can reduce water loss, slow gas exchange and act as a barrier against pathogenic attack (Romanazzi </w:t>
      </w:r>
      <w:r w:rsidRPr="002B6ABA">
        <w:rPr>
          <w:i/>
        </w:rPr>
        <w:t>et al.</w:t>
      </w:r>
      <w:r w:rsidRPr="002B6ABA">
        <w:t xml:space="preserve">, 2022). According to Arshad </w:t>
      </w:r>
      <w:r w:rsidRPr="002B6ABA">
        <w:rPr>
          <w:i/>
        </w:rPr>
        <w:t>et al.</w:t>
      </w:r>
      <w:r w:rsidRPr="002B6ABA">
        <w:t xml:space="preserve"> (2025), chitosan slows banana ripening by reducing weight loss and vitamin C degradation. By forming a semi-permeable membrane, it lowers respiration rate and reduces fruit softening by preserving cell integrity (Dwivany </w:t>
      </w:r>
      <w:r w:rsidRPr="002B6ABA">
        <w:rPr>
          <w:i/>
        </w:rPr>
        <w:t>et al.</w:t>
      </w:r>
      <w:r w:rsidRPr="002B6ABA">
        <w:t xml:space="preserve">, 2025). Chitosan inhibits fungal infections such as </w:t>
      </w:r>
      <w:r w:rsidRPr="002B6ABA">
        <w:rPr>
          <w:i/>
        </w:rPr>
        <w:t>Fusarium</w:t>
      </w:r>
      <w:r w:rsidRPr="002B6ABA">
        <w:t xml:space="preserve"> and reduces bruising, thereby improving postharvest quality. Its antibacterial properties result from electrostatic interactions between its polycationic structure and anionic components of the bacterial surface (Nugrahapraja </w:t>
      </w:r>
      <w:r w:rsidRPr="002B6ABA">
        <w:rPr>
          <w:i/>
        </w:rPr>
        <w:t>et al.</w:t>
      </w:r>
      <w:r w:rsidRPr="002B6ABA">
        <w:t xml:space="preserve">, 2024). Al-Qurashi </w:t>
      </w:r>
      <w:r w:rsidRPr="002B6ABA">
        <w:rPr>
          <w:i/>
        </w:rPr>
        <w:t>et al.</w:t>
      </w:r>
      <w:r w:rsidRPr="002B6ABA">
        <w:t xml:space="preserve"> (2024) reported that chitosan is an edible coating that may delay ripening, extend fruit shelf life and improve overall fruit quality. A recent review </w:t>
      </w:r>
      <w:r w:rsidRPr="002B6ABA">
        <w:lastRenderedPageBreak/>
        <w:t xml:space="preserve">further described chitosan coatings as biocompatible and biodegradable edible barriers that can reduce moisture loss, gas exchange and microbial contamination in fruits and vegetables (Aparna &amp; Geetha Lekshmi, 2024). Recent banana-focused studies also show that chitosan-based coatings can modify ripening-related quality changes, including peel colour, firmness and soluble solids during storage (Roidoung </w:t>
      </w:r>
      <w:r w:rsidRPr="002B6ABA">
        <w:rPr>
          <w:i/>
        </w:rPr>
        <w:t>et al.</w:t>
      </w:r>
      <w:r w:rsidRPr="002B6ABA">
        <w:t xml:space="preserve">, 2025; Shinga </w:t>
      </w:r>
      <w:r w:rsidRPr="002B6ABA">
        <w:rPr>
          <w:i/>
        </w:rPr>
        <w:t>et al.</w:t>
      </w:r>
      <w:r w:rsidRPr="002B6ABA">
        <w:t>, 2025).</w:t>
      </w:r>
    </w:p>
    <w:p w14:paraId="1F89E2B5" w14:textId="77777777" w:rsidR="007F3D6D" w:rsidRPr="002B6ABA" w:rsidRDefault="00703077" w:rsidP="00ED21BD">
      <w:pPr>
        <w:spacing w:after="120" w:line="360" w:lineRule="auto"/>
        <w:jc w:val="both"/>
        <w:rPr>
          <w:rStyle w:val="Emphasis"/>
          <w:rFonts w:ascii="Times New Roman" w:eastAsia="Times New Roman" w:hAnsi="Times New Roman" w:cs="Times New Roman"/>
          <w:bCs/>
          <w:i w:val="0"/>
          <w:iCs w:val="0"/>
          <w:sz w:val="24"/>
          <w:szCs w:val="32"/>
        </w:rPr>
      </w:pPr>
      <w:r w:rsidRPr="002B6ABA">
        <w:t>Although pre-harvest growth regulator spraying is a simple and affordable technique, limited information is available on the combined effects of chitosan and GA</w:t>
      </w:r>
      <w:r w:rsidRPr="002B6ABA">
        <w:rPr>
          <w:vertAlign w:val="subscript"/>
        </w:rPr>
        <w:t>3</w:t>
      </w:r>
      <w:r w:rsidRPr="002B6ABA">
        <w:t xml:space="preserve"> on banana yield and fruit quality in Bangladesh. In particular, evidence on their combined pre-harvest use in BARI Banana 1 under field conditions in Bangladesh remains limited. This research gap indicates the need to evaluate an appropriate pre-harvest bunch-spray combination for improving yield and selected fruit quality traits. Therefore, the present study aimed to assess the effects of GA</w:t>
      </w:r>
      <w:r w:rsidRPr="002B6ABA">
        <w:rPr>
          <w:vertAlign w:val="subscript"/>
        </w:rPr>
        <w:t>3</w:t>
      </w:r>
      <w:r w:rsidRPr="002B6ABA">
        <w:t xml:space="preserve"> and chitosan on banana yield and quality and to determine suitable doses for pre-harvest bunch spraying.</w:t>
      </w:r>
    </w:p>
    <w:p w14:paraId="07CAEC1C" w14:textId="77777777" w:rsidR="00E15B53" w:rsidRPr="002B6ABA" w:rsidRDefault="008D1172" w:rsidP="004846BF">
      <w:pPr>
        <w:spacing w:before="120" w:after="120" w:line="360" w:lineRule="auto"/>
        <w:jc w:val="both"/>
        <w:rPr>
          <w:rStyle w:val="Emphasis"/>
          <w:rFonts w:ascii="Times New Roman" w:hAnsi="Times New Roman" w:cs="Times New Roman"/>
          <w:b/>
          <w:bCs/>
          <w:i w:val="0"/>
          <w:sz w:val="24"/>
          <w:szCs w:val="26"/>
          <w:shd w:val="clear" w:color="auto" w:fill="FFFFFF"/>
        </w:rPr>
      </w:pPr>
      <w:r w:rsidRPr="002B6ABA">
        <w:rPr>
          <w:rStyle w:val="Emphasis"/>
          <w:rFonts w:ascii="Times New Roman" w:hAnsi="Times New Roman" w:cs="Times New Roman"/>
          <w:b/>
          <w:bCs/>
          <w:i w:val="0"/>
          <w:sz w:val="24"/>
          <w:szCs w:val="26"/>
          <w:shd w:val="clear" w:color="auto" w:fill="FFFFFF"/>
        </w:rPr>
        <w:t>2. MATERIAL AND METHODS</w:t>
      </w:r>
    </w:p>
    <w:p w14:paraId="0ED0A40C" w14:textId="77777777" w:rsidR="008738C4" w:rsidRPr="002B6ABA" w:rsidRDefault="008D1172" w:rsidP="004846BF">
      <w:pPr>
        <w:spacing w:before="120" w:after="120" w:line="360" w:lineRule="auto"/>
        <w:jc w:val="both"/>
        <w:rPr>
          <w:rFonts w:ascii="Times New Roman" w:hAnsi="Times New Roman" w:cs="Times New Roman"/>
          <w:b/>
          <w:bCs/>
          <w:iCs/>
          <w:sz w:val="24"/>
          <w:szCs w:val="24"/>
        </w:rPr>
      </w:pPr>
      <w:r w:rsidRPr="002B6ABA">
        <w:rPr>
          <w:rFonts w:ascii="Times New Roman" w:hAnsi="Times New Roman" w:cs="Times New Roman"/>
          <w:b/>
          <w:bCs/>
          <w:iCs/>
          <w:sz w:val="24"/>
          <w:szCs w:val="24"/>
        </w:rPr>
        <w:t xml:space="preserve">2.1 </w:t>
      </w:r>
      <w:r w:rsidR="004846BF" w:rsidRPr="002B6ABA">
        <w:rPr>
          <w:rFonts w:ascii="Times New Roman" w:hAnsi="Times New Roman" w:cs="Times New Roman"/>
          <w:b/>
          <w:bCs/>
          <w:iCs/>
          <w:sz w:val="24"/>
          <w:szCs w:val="24"/>
        </w:rPr>
        <w:t>Plant materials and growing conditions</w:t>
      </w:r>
    </w:p>
    <w:p w14:paraId="75322AD6" w14:textId="77777777" w:rsidR="00F252E2" w:rsidRPr="002B6ABA" w:rsidRDefault="00F252E2" w:rsidP="00F252E2">
      <w:pPr>
        <w:spacing w:before="120" w:after="120" w:line="360" w:lineRule="auto"/>
        <w:jc w:val="both"/>
        <w:rPr>
          <w:rFonts w:ascii="Times New Roman" w:hAnsi="Times New Roman" w:cs="Times New Roman"/>
          <w:sz w:val="24"/>
          <w:szCs w:val="24"/>
        </w:rPr>
      </w:pPr>
      <w:r w:rsidRPr="002B6ABA">
        <w:t>The banana sucker (cv. BARI Banana 1) was procured from the Bangladesh Agricultural Research Institute, Joydebpur, Gazipur, and planted at a spacing of 1.5 m × 1.5 m. A total of 81 plants from nine treatment combinations were randomly distributed among three replications, with three plants in each replication. The experiment was conducted in a 225 square metre plot at the Horticulture Farm of Sher-e-Bangla Agricultural University, Dhaka 1207, Bangladesh, from July 2024 to June 2025 under field conditions. All plants were of similar age and growth status and received the same recommended agricultural practices, including fertilisation.</w:t>
      </w:r>
    </w:p>
    <w:p w14:paraId="20A242B7" w14:textId="77777777" w:rsidR="008738C4" w:rsidRPr="002B6ABA" w:rsidRDefault="008738C4" w:rsidP="00F252E2">
      <w:pPr>
        <w:spacing w:before="120" w:after="120" w:line="360" w:lineRule="auto"/>
        <w:jc w:val="both"/>
        <w:rPr>
          <w:rFonts w:ascii="Times New Roman" w:hAnsi="Times New Roman" w:cs="Times New Roman"/>
          <w:b/>
          <w:sz w:val="24"/>
          <w:szCs w:val="24"/>
        </w:rPr>
      </w:pPr>
      <w:r w:rsidRPr="002B6ABA">
        <w:rPr>
          <w:rFonts w:ascii="Times New Roman" w:hAnsi="Times New Roman" w:cs="Times New Roman"/>
          <w:b/>
          <w:sz w:val="24"/>
          <w:szCs w:val="24"/>
        </w:rPr>
        <w:t>Treatments</w:t>
      </w:r>
    </w:p>
    <w:p w14:paraId="0BE61A69" w14:textId="77777777" w:rsidR="004846BF" w:rsidRPr="002B6ABA" w:rsidRDefault="00725754" w:rsidP="004846BF">
      <w:pPr>
        <w:spacing w:before="120" w:after="120" w:line="360" w:lineRule="auto"/>
        <w:rPr>
          <w:rFonts w:ascii="Times New Roman" w:hAnsi="Times New Roman" w:cs="Times New Roman"/>
          <w:sz w:val="24"/>
          <w:szCs w:val="24"/>
        </w:rPr>
      </w:pPr>
      <w:r w:rsidRPr="002B6ABA">
        <w:t>The experiment consisted of two factors as follows:</w:t>
      </w: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4590"/>
      </w:tblGrid>
      <w:tr w:rsidR="004846BF" w:rsidRPr="002B6ABA" w14:paraId="4AAC069A" w14:textId="77777777" w:rsidTr="004846BF">
        <w:trPr>
          <w:trHeight w:val="237"/>
        </w:trPr>
        <w:tc>
          <w:tcPr>
            <w:tcW w:w="4680" w:type="dxa"/>
          </w:tcPr>
          <w:p w14:paraId="158FDCE7" w14:textId="77777777" w:rsidR="004846BF" w:rsidRPr="002B6ABA" w:rsidRDefault="004846BF" w:rsidP="008F7561">
            <w:pPr>
              <w:autoSpaceDE w:val="0"/>
              <w:autoSpaceDN w:val="0"/>
              <w:adjustRightInd w:val="0"/>
              <w:spacing w:after="0" w:line="360" w:lineRule="auto"/>
              <w:jc w:val="both"/>
              <w:rPr>
                <w:rFonts w:ascii="Times New Roman" w:hAnsi="Times New Roman" w:cs="Times New Roman"/>
                <w:color w:val="000000"/>
                <w:sz w:val="24"/>
                <w:szCs w:val="24"/>
              </w:rPr>
            </w:pPr>
            <w:r w:rsidRPr="002B6ABA">
              <w:rPr>
                <w:rFonts w:ascii="Times New Roman" w:hAnsi="Times New Roman" w:cs="Times New Roman"/>
                <w:b/>
                <w:bCs/>
                <w:color w:val="000000"/>
                <w:sz w:val="24"/>
                <w:szCs w:val="24"/>
              </w:rPr>
              <w:t xml:space="preserve">Factor A: </w:t>
            </w:r>
            <w:r w:rsidRPr="002B6ABA">
              <w:rPr>
                <w:rFonts w:ascii="Times New Roman" w:hAnsi="Times New Roman" w:cs="Times New Roman"/>
                <w:color w:val="000000"/>
                <w:sz w:val="24"/>
                <w:szCs w:val="24"/>
              </w:rPr>
              <w:t>Different levels of GA</w:t>
            </w:r>
            <w:r w:rsidRPr="002B6ABA">
              <w:rPr>
                <w:rFonts w:ascii="Times New Roman" w:hAnsi="Times New Roman" w:cs="Times New Roman"/>
                <w:color w:val="000000"/>
                <w:sz w:val="24"/>
                <w:szCs w:val="24"/>
                <w:vertAlign w:val="subscript"/>
              </w:rPr>
              <w:t>3</w:t>
            </w:r>
          </w:p>
        </w:tc>
        <w:tc>
          <w:tcPr>
            <w:tcW w:w="4590" w:type="dxa"/>
          </w:tcPr>
          <w:p w14:paraId="4B1A4A95" w14:textId="77777777" w:rsidR="004846BF" w:rsidRPr="002B6ABA" w:rsidRDefault="004846BF" w:rsidP="008F7561">
            <w:pPr>
              <w:autoSpaceDE w:val="0"/>
              <w:autoSpaceDN w:val="0"/>
              <w:adjustRightInd w:val="0"/>
              <w:spacing w:after="0" w:line="360" w:lineRule="auto"/>
              <w:jc w:val="both"/>
              <w:rPr>
                <w:rFonts w:ascii="Times New Roman" w:hAnsi="Times New Roman" w:cs="Times New Roman"/>
                <w:color w:val="000000"/>
                <w:sz w:val="24"/>
                <w:szCs w:val="24"/>
              </w:rPr>
            </w:pPr>
            <w:r w:rsidRPr="002B6ABA">
              <w:rPr>
                <w:rFonts w:ascii="Times New Roman" w:hAnsi="Times New Roman" w:cs="Times New Roman"/>
                <w:b/>
                <w:bCs/>
                <w:color w:val="000000"/>
                <w:sz w:val="24"/>
                <w:szCs w:val="24"/>
              </w:rPr>
              <w:t xml:space="preserve">Factor B: </w:t>
            </w:r>
            <w:r w:rsidRPr="002B6ABA">
              <w:rPr>
                <w:rFonts w:ascii="Times New Roman" w:hAnsi="Times New Roman" w:cs="Times New Roman"/>
                <w:color w:val="000000"/>
                <w:sz w:val="24"/>
                <w:szCs w:val="24"/>
              </w:rPr>
              <w:t>Different levels of chitosan</w:t>
            </w:r>
          </w:p>
        </w:tc>
      </w:tr>
      <w:tr w:rsidR="004846BF" w:rsidRPr="002B6ABA" w14:paraId="2053955D" w14:textId="77777777" w:rsidTr="004846BF">
        <w:trPr>
          <w:trHeight w:val="646"/>
        </w:trPr>
        <w:tc>
          <w:tcPr>
            <w:tcW w:w="4680" w:type="dxa"/>
          </w:tcPr>
          <w:p w14:paraId="44861EEE" w14:textId="77777777" w:rsidR="004846BF" w:rsidRPr="002B6ABA" w:rsidRDefault="004846BF" w:rsidP="008F7561">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2B6ABA">
              <w:rPr>
                <w:rFonts w:ascii="Times New Roman" w:eastAsia="Times New Roman" w:hAnsi="Times New Roman" w:cs="Times New Roman"/>
                <w:color w:val="000000"/>
                <w:sz w:val="24"/>
                <w:szCs w:val="24"/>
              </w:rPr>
              <w:t>G</w:t>
            </w:r>
            <w:r w:rsidRPr="002B6ABA">
              <w:rPr>
                <w:rFonts w:ascii="Times New Roman" w:eastAsia="Times New Roman" w:hAnsi="Times New Roman" w:cs="Times New Roman"/>
                <w:color w:val="000000"/>
                <w:sz w:val="24"/>
                <w:szCs w:val="24"/>
                <w:vertAlign w:val="subscript"/>
              </w:rPr>
              <w:t>0</w:t>
            </w:r>
            <w:r w:rsidRPr="002B6ABA">
              <w:rPr>
                <w:rFonts w:ascii="Times New Roman" w:eastAsia="Times New Roman" w:hAnsi="Times New Roman" w:cs="Times New Roman"/>
                <w:color w:val="000000"/>
                <w:sz w:val="24"/>
                <w:szCs w:val="24"/>
              </w:rPr>
              <w:t>: Control (spray water only).</w:t>
            </w:r>
          </w:p>
          <w:p w14:paraId="685D7A42" w14:textId="77777777" w:rsidR="004846BF" w:rsidRPr="00FF3897" w:rsidRDefault="004846BF" w:rsidP="008F7561">
            <w:pPr>
              <w:autoSpaceDE w:val="0"/>
              <w:autoSpaceDN w:val="0"/>
              <w:adjustRightInd w:val="0"/>
              <w:spacing w:after="0" w:line="360" w:lineRule="auto"/>
              <w:jc w:val="both"/>
              <w:rPr>
                <w:rFonts w:ascii="Times New Roman" w:eastAsia="Times New Roman" w:hAnsi="Times New Roman" w:cs="Times New Roman"/>
                <w:color w:val="000000"/>
                <w:sz w:val="24"/>
                <w:szCs w:val="24"/>
                <w:lang w:val="nl-BE"/>
              </w:rPr>
            </w:pPr>
            <w:r w:rsidRPr="00FF3897">
              <w:rPr>
                <w:rFonts w:ascii="Times New Roman" w:eastAsia="Times New Roman" w:hAnsi="Times New Roman" w:cs="Times New Roman"/>
                <w:color w:val="000000"/>
                <w:sz w:val="24"/>
                <w:szCs w:val="24"/>
                <w:lang w:val="nl-BE"/>
              </w:rPr>
              <w:t>G</w:t>
            </w:r>
            <w:r w:rsidRPr="00FF3897">
              <w:rPr>
                <w:rFonts w:ascii="Times New Roman" w:eastAsia="Times New Roman" w:hAnsi="Times New Roman" w:cs="Times New Roman"/>
                <w:color w:val="000000"/>
                <w:sz w:val="24"/>
                <w:szCs w:val="24"/>
                <w:vertAlign w:val="subscript"/>
                <w:lang w:val="nl-BE"/>
              </w:rPr>
              <w:t>1</w:t>
            </w:r>
            <w:r w:rsidRPr="00FF3897">
              <w:rPr>
                <w:rFonts w:ascii="Times New Roman" w:eastAsia="Times New Roman" w:hAnsi="Times New Roman" w:cs="Times New Roman"/>
                <w:color w:val="000000"/>
                <w:sz w:val="24"/>
                <w:szCs w:val="24"/>
                <w:lang w:val="nl-BE"/>
              </w:rPr>
              <w:t>: GA</w:t>
            </w:r>
            <w:r w:rsidRPr="00FF3897">
              <w:rPr>
                <w:rFonts w:ascii="Times New Roman" w:eastAsia="Times New Roman" w:hAnsi="Times New Roman" w:cs="Times New Roman"/>
                <w:color w:val="000000"/>
                <w:sz w:val="24"/>
                <w:szCs w:val="24"/>
                <w:vertAlign w:val="subscript"/>
                <w:lang w:val="nl-BE"/>
              </w:rPr>
              <w:t>3</w:t>
            </w:r>
            <w:r w:rsidRPr="00FF3897">
              <w:rPr>
                <w:rFonts w:ascii="Times New Roman" w:eastAsia="Times New Roman" w:hAnsi="Times New Roman" w:cs="Times New Roman"/>
                <w:color w:val="000000"/>
                <w:sz w:val="24"/>
                <w:szCs w:val="24"/>
                <w:lang w:val="nl-BE"/>
              </w:rPr>
              <w:t xml:space="preserve"> (100 ppm)</w:t>
            </w:r>
          </w:p>
          <w:p w14:paraId="65282219" w14:textId="77777777" w:rsidR="004846BF" w:rsidRPr="00FF3897" w:rsidRDefault="004846BF" w:rsidP="008F7561">
            <w:pPr>
              <w:autoSpaceDE w:val="0"/>
              <w:autoSpaceDN w:val="0"/>
              <w:adjustRightInd w:val="0"/>
              <w:spacing w:after="0" w:line="360" w:lineRule="auto"/>
              <w:jc w:val="both"/>
              <w:rPr>
                <w:rFonts w:ascii="Times New Roman" w:hAnsi="Times New Roman" w:cs="Times New Roman"/>
                <w:color w:val="000000"/>
                <w:sz w:val="24"/>
                <w:szCs w:val="24"/>
                <w:lang w:val="nl-BE"/>
              </w:rPr>
            </w:pPr>
            <w:r w:rsidRPr="00FF3897">
              <w:rPr>
                <w:rFonts w:ascii="Times New Roman" w:eastAsia="Times New Roman" w:hAnsi="Times New Roman" w:cs="Times New Roman"/>
                <w:color w:val="000000"/>
                <w:sz w:val="24"/>
                <w:szCs w:val="24"/>
                <w:lang w:val="nl-BE"/>
              </w:rPr>
              <w:t>G</w:t>
            </w:r>
            <w:r w:rsidRPr="00FF3897">
              <w:rPr>
                <w:rFonts w:ascii="Times New Roman" w:eastAsia="Times New Roman" w:hAnsi="Times New Roman" w:cs="Times New Roman"/>
                <w:color w:val="000000"/>
                <w:sz w:val="24"/>
                <w:szCs w:val="24"/>
                <w:vertAlign w:val="subscript"/>
                <w:lang w:val="nl-BE"/>
              </w:rPr>
              <w:t>2</w:t>
            </w:r>
            <w:r w:rsidRPr="00FF3897">
              <w:rPr>
                <w:rFonts w:ascii="Times New Roman" w:eastAsia="Times New Roman" w:hAnsi="Times New Roman" w:cs="Times New Roman"/>
                <w:color w:val="000000"/>
                <w:sz w:val="24"/>
                <w:szCs w:val="24"/>
                <w:lang w:val="nl-BE"/>
              </w:rPr>
              <w:t>: GA</w:t>
            </w:r>
            <w:r w:rsidRPr="00FF3897">
              <w:rPr>
                <w:rFonts w:ascii="Times New Roman" w:eastAsia="Times New Roman" w:hAnsi="Times New Roman" w:cs="Times New Roman"/>
                <w:color w:val="000000"/>
                <w:sz w:val="24"/>
                <w:szCs w:val="24"/>
                <w:vertAlign w:val="subscript"/>
                <w:lang w:val="nl-BE"/>
              </w:rPr>
              <w:t>3</w:t>
            </w:r>
            <w:r w:rsidRPr="00FF3897">
              <w:rPr>
                <w:rFonts w:ascii="Times New Roman" w:eastAsia="Times New Roman" w:hAnsi="Times New Roman" w:cs="Times New Roman"/>
                <w:color w:val="000000"/>
                <w:sz w:val="24"/>
                <w:szCs w:val="24"/>
                <w:lang w:val="nl-BE"/>
              </w:rPr>
              <w:t xml:space="preserve"> (200 ppm)</w:t>
            </w:r>
          </w:p>
        </w:tc>
        <w:tc>
          <w:tcPr>
            <w:tcW w:w="4590" w:type="dxa"/>
          </w:tcPr>
          <w:p w14:paraId="4FB0F70B" w14:textId="77777777" w:rsidR="004846BF" w:rsidRPr="002B6ABA" w:rsidRDefault="004846BF" w:rsidP="008F7561">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2B6ABA">
              <w:rPr>
                <w:rFonts w:ascii="Times New Roman" w:eastAsia="Times New Roman" w:hAnsi="Times New Roman" w:cs="Times New Roman"/>
                <w:color w:val="000000"/>
                <w:sz w:val="24"/>
                <w:szCs w:val="24"/>
              </w:rPr>
              <w:t>C</w:t>
            </w:r>
            <w:r w:rsidRPr="002B6ABA">
              <w:rPr>
                <w:rFonts w:ascii="Times New Roman" w:eastAsia="Times New Roman" w:hAnsi="Times New Roman" w:cs="Times New Roman"/>
                <w:color w:val="000000"/>
                <w:sz w:val="24"/>
                <w:szCs w:val="24"/>
                <w:vertAlign w:val="subscript"/>
              </w:rPr>
              <w:t>0</w:t>
            </w:r>
            <w:r w:rsidRPr="002B6ABA">
              <w:rPr>
                <w:rFonts w:ascii="Times New Roman" w:eastAsia="Times New Roman" w:hAnsi="Times New Roman" w:cs="Times New Roman"/>
                <w:color w:val="000000"/>
                <w:sz w:val="24"/>
                <w:szCs w:val="24"/>
              </w:rPr>
              <w:t>: Control (spray water only).</w:t>
            </w:r>
          </w:p>
          <w:p w14:paraId="5302324B" w14:textId="77777777" w:rsidR="004846BF" w:rsidRPr="002B6ABA" w:rsidRDefault="004846BF" w:rsidP="008F7561">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2B6ABA">
              <w:rPr>
                <w:rFonts w:ascii="Times New Roman" w:eastAsia="Times New Roman" w:hAnsi="Times New Roman" w:cs="Times New Roman"/>
                <w:color w:val="000000"/>
                <w:sz w:val="24"/>
                <w:szCs w:val="24"/>
              </w:rPr>
              <w:t>C</w:t>
            </w:r>
            <w:r w:rsidRPr="002B6ABA">
              <w:rPr>
                <w:rFonts w:ascii="Times New Roman" w:eastAsia="Times New Roman" w:hAnsi="Times New Roman" w:cs="Times New Roman"/>
                <w:color w:val="000000"/>
                <w:sz w:val="24"/>
                <w:szCs w:val="24"/>
                <w:vertAlign w:val="subscript"/>
              </w:rPr>
              <w:t>1</w:t>
            </w:r>
            <w:r w:rsidRPr="002B6ABA">
              <w:rPr>
                <w:rFonts w:ascii="Times New Roman" w:eastAsia="Times New Roman" w:hAnsi="Times New Roman" w:cs="Times New Roman"/>
                <w:color w:val="000000"/>
                <w:sz w:val="24"/>
                <w:szCs w:val="24"/>
              </w:rPr>
              <w:t xml:space="preserve">: Chitosan </w:t>
            </w:r>
            <w:r w:rsidR="001741E5" w:rsidRPr="002B6ABA">
              <w:rPr>
                <w:rFonts w:ascii="Times New Roman" w:eastAsia="Times New Roman" w:hAnsi="Times New Roman" w:cs="Times New Roman"/>
                <w:color w:val="000000"/>
                <w:sz w:val="24"/>
                <w:szCs w:val="24"/>
              </w:rPr>
              <w:t>(</w:t>
            </w:r>
            <w:r w:rsidR="00277F4F" w:rsidRPr="002B6ABA">
              <w:rPr>
                <w:rFonts w:ascii="Times New Roman" w:eastAsia="Times New Roman" w:hAnsi="Times New Roman" w:cs="Times New Roman"/>
                <w:color w:val="000000"/>
                <w:sz w:val="24"/>
                <w:szCs w:val="24"/>
              </w:rPr>
              <w:t>(1 g/L)</w:t>
            </w:r>
          </w:p>
          <w:p w14:paraId="16504429" w14:textId="77777777" w:rsidR="004846BF" w:rsidRPr="002B6ABA" w:rsidRDefault="004846BF" w:rsidP="008F7561">
            <w:pPr>
              <w:autoSpaceDE w:val="0"/>
              <w:autoSpaceDN w:val="0"/>
              <w:adjustRightInd w:val="0"/>
              <w:spacing w:after="0" w:line="360" w:lineRule="auto"/>
              <w:jc w:val="both"/>
              <w:rPr>
                <w:rFonts w:ascii="Times New Roman" w:hAnsi="Times New Roman" w:cs="Times New Roman"/>
                <w:color w:val="000000"/>
                <w:sz w:val="24"/>
                <w:szCs w:val="24"/>
              </w:rPr>
            </w:pPr>
            <w:r w:rsidRPr="002B6ABA">
              <w:rPr>
                <w:rFonts w:ascii="Times New Roman" w:eastAsia="Times New Roman" w:hAnsi="Times New Roman" w:cs="Times New Roman"/>
                <w:color w:val="000000"/>
                <w:sz w:val="24"/>
                <w:szCs w:val="24"/>
              </w:rPr>
              <w:t>C</w:t>
            </w:r>
            <w:r w:rsidRPr="002B6ABA">
              <w:rPr>
                <w:rFonts w:ascii="Times New Roman" w:eastAsia="Times New Roman" w:hAnsi="Times New Roman" w:cs="Times New Roman"/>
                <w:color w:val="000000"/>
                <w:sz w:val="24"/>
                <w:szCs w:val="24"/>
                <w:vertAlign w:val="subscript"/>
              </w:rPr>
              <w:t>2</w:t>
            </w:r>
            <w:r w:rsidRPr="002B6ABA">
              <w:rPr>
                <w:rFonts w:ascii="Times New Roman" w:eastAsia="Times New Roman" w:hAnsi="Times New Roman" w:cs="Times New Roman"/>
                <w:color w:val="000000"/>
                <w:sz w:val="24"/>
                <w:szCs w:val="24"/>
              </w:rPr>
              <w:t xml:space="preserve">: Chitosan </w:t>
            </w:r>
            <w:r w:rsidR="001741E5" w:rsidRPr="002B6ABA">
              <w:rPr>
                <w:rFonts w:ascii="Times New Roman" w:eastAsia="Times New Roman" w:hAnsi="Times New Roman" w:cs="Times New Roman"/>
                <w:color w:val="000000"/>
                <w:sz w:val="24"/>
                <w:szCs w:val="24"/>
              </w:rPr>
              <w:t>(</w:t>
            </w:r>
            <w:r w:rsidR="00277F4F" w:rsidRPr="002B6ABA">
              <w:rPr>
                <w:rFonts w:ascii="Times New Roman" w:eastAsia="Times New Roman" w:hAnsi="Times New Roman" w:cs="Times New Roman"/>
                <w:color w:val="000000"/>
                <w:sz w:val="24"/>
                <w:szCs w:val="24"/>
              </w:rPr>
              <w:t>2 g/L)</w:t>
            </w:r>
          </w:p>
        </w:tc>
      </w:tr>
    </w:tbl>
    <w:p w14:paraId="4195DAAA" w14:textId="77777777" w:rsidR="004846BF" w:rsidRPr="002B6ABA" w:rsidRDefault="0097773B" w:rsidP="00E15B53">
      <w:pPr>
        <w:spacing w:before="120" w:after="120" w:line="360" w:lineRule="auto"/>
        <w:jc w:val="both"/>
        <w:rPr>
          <w:rFonts w:ascii="Times New Roman" w:eastAsia="Calibri" w:hAnsi="Times New Roman" w:cs="Times New Roman"/>
          <w:sz w:val="24"/>
        </w:rPr>
      </w:pPr>
      <w:r w:rsidRPr="002B6ABA">
        <w:lastRenderedPageBreak/>
        <w:t>There were nine (3 × 3) treatment combinations: G</w:t>
      </w:r>
      <w:r w:rsidRPr="002B6ABA">
        <w:rPr>
          <w:vertAlign w:val="subscript"/>
        </w:rPr>
        <w:t>0</w:t>
      </w:r>
      <w:r w:rsidRPr="002B6ABA">
        <w:t>C</w:t>
      </w:r>
      <w:r w:rsidRPr="002B6ABA">
        <w:rPr>
          <w:vertAlign w:val="subscript"/>
        </w:rPr>
        <w:t>0</w:t>
      </w:r>
      <w:r w:rsidRPr="002B6ABA">
        <w:t>, G</w:t>
      </w:r>
      <w:r w:rsidRPr="002B6ABA">
        <w:rPr>
          <w:vertAlign w:val="subscript"/>
        </w:rPr>
        <w:t>0</w:t>
      </w:r>
      <w:r w:rsidRPr="002B6ABA">
        <w:t>C</w:t>
      </w:r>
      <w:r w:rsidRPr="002B6ABA">
        <w:rPr>
          <w:vertAlign w:val="subscript"/>
        </w:rPr>
        <w:t>1</w:t>
      </w:r>
      <w:r w:rsidRPr="002B6ABA">
        <w:t>, G</w:t>
      </w:r>
      <w:r w:rsidRPr="002B6ABA">
        <w:rPr>
          <w:vertAlign w:val="subscript"/>
        </w:rPr>
        <w:t>0</w:t>
      </w:r>
      <w:r w:rsidRPr="002B6ABA">
        <w:t>C</w:t>
      </w:r>
      <w:r w:rsidRPr="002B6ABA">
        <w:rPr>
          <w:vertAlign w:val="subscript"/>
        </w:rPr>
        <w:t>2</w:t>
      </w:r>
      <w:r w:rsidRPr="002B6ABA">
        <w:t>, G</w:t>
      </w:r>
      <w:r w:rsidRPr="002B6ABA">
        <w:rPr>
          <w:vertAlign w:val="subscript"/>
        </w:rPr>
        <w:t>1</w:t>
      </w:r>
      <w:r w:rsidRPr="002B6ABA">
        <w:t>C</w:t>
      </w:r>
      <w:r w:rsidRPr="002B6ABA">
        <w:rPr>
          <w:vertAlign w:val="subscript"/>
        </w:rPr>
        <w:t>0</w:t>
      </w:r>
      <w:r w:rsidRPr="002B6ABA">
        <w:t>, G</w:t>
      </w:r>
      <w:r w:rsidRPr="002B6ABA">
        <w:rPr>
          <w:vertAlign w:val="subscript"/>
        </w:rPr>
        <w:t>1</w:t>
      </w:r>
      <w:r w:rsidRPr="002B6ABA">
        <w:t>C</w:t>
      </w:r>
      <w:r w:rsidRPr="002B6ABA">
        <w:rPr>
          <w:vertAlign w:val="subscript"/>
        </w:rPr>
        <w:t>1</w:t>
      </w:r>
      <w:r w:rsidRPr="002B6ABA">
        <w:t>, G</w:t>
      </w:r>
      <w:r w:rsidRPr="002B6ABA">
        <w:rPr>
          <w:vertAlign w:val="subscript"/>
        </w:rPr>
        <w:t>1</w:t>
      </w:r>
      <w:r w:rsidRPr="002B6ABA">
        <w:t>C</w:t>
      </w:r>
      <w:r w:rsidRPr="002B6ABA">
        <w:rPr>
          <w:vertAlign w:val="subscript"/>
        </w:rPr>
        <w:t>2</w:t>
      </w:r>
      <w:r w:rsidRPr="002B6ABA">
        <w:t>, G</w:t>
      </w:r>
      <w:r w:rsidRPr="002B6ABA">
        <w:rPr>
          <w:vertAlign w:val="subscript"/>
        </w:rPr>
        <w:t>2</w:t>
      </w:r>
      <w:r w:rsidRPr="002B6ABA">
        <w:t>C</w:t>
      </w:r>
      <w:r w:rsidRPr="002B6ABA">
        <w:rPr>
          <w:vertAlign w:val="subscript"/>
        </w:rPr>
        <w:t>0</w:t>
      </w:r>
      <w:r w:rsidRPr="002B6ABA">
        <w:t>, G</w:t>
      </w:r>
      <w:r w:rsidRPr="002B6ABA">
        <w:rPr>
          <w:vertAlign w:val="subscript"/>
        </w:rPr>
        <w:t>2</w:t>
      </w:r>
      <w:r w:rsidRPr="002B6ABA">
        <w:t>C</w:t>
      </w:r>
      <w:r w:rsidRPr="002B6ABA">
        <w:rPr>
          <w:vertAlign w:val="subscript"/>
        </w:rPr>
        <w:t>1</w:t>
      </w:r>
      <w:r w:rsidRPr="002B6ABA">
        <w:t xml:space="preserve"> and G</w:t>
      </w:r>
      <w:r w:rsidRPr="002B6ABA">
        <w:rPr>
          <w:vertAlign w:val="subscript"/>
        </w:rPr>
        <w:t>2</w:t>
      </w:r>
      <w:r w:rsidRPr="002B6ABA">
        <w:t>C</w:t>
      </w:r>
      <w:r w:rsidRPr="002B6ABA">
        <w:rPr>
          <w:vertAlign w:val="subscript"/>
        </w:rPr>
        <w:t>2</w:t>
      </w:r>
      <w:r w:rsidRPr="002B6ABA">
        <w:t>. GA</w:t>
      </w:r>
      <w:r w:rsidRPr="002B6ABA">
        <w:rPr>
          <w:vertAlign w:val="subscript"/>
        </w:rPr>
        <w:t>3</w:t>
      </w:r>
      <w:r w:rsidRPr="002B6ABA">
        <w:t xml:space="preserve"> and chitosan were sprayed twice: first at the bunch emergence stage and second 15 days after the first spray.</w:t>
      </w:r>
    </w:p>
    <w:p w14:paraId="2CF28958" w14:textId="77777777" w:rsidR="008738C4" w:rsidRPr="002B6ABA" w:rsidRDefault="008D1172" w:rsidP="004D0045">
      <w:pPr>
        <w:pStyle w:val="NoSpacing"/>
        <w:spacing w:before="120" w:after="120" w:line="360" w:lineRule="auto"/>
        <w:jc w:val="both"/>
        <w:rPr>
          <w:rFonts w:ascii="Times New Roman" w:eastAsia="Times New Roman" w:hAnsi="Times New Roman" w:cs="Times New Roman"/>
          <w:b/>
          <w:noProof/>
          <w:snapToGrid w:val="0"/>
          <w:color w:val="000000"/>
          <w:sz w:val="24"/>
          <w:szCs w:val="20"/>
          <w:lang w:eastAsia="de-DE" w:bidi="en-US"/>
        </w:rPr>
      </w:pPr>
      <w:r w:rsidRPr="002B6ABA">
        <w:rPr>
          <w:rFonts w:ascii="Times New Roman" w:eastAsia="Times New Roman" w:hAnsi="Times New Roman" w:cs="Times New Roman"/>
          <w:b/>
          <w:noProof/>
          <w:snapToGrid w:val="0"/>
          <w:color w:val="000000"/>
          <w:sz w:val="24"/>
          <w:szCs w:val="20"/>
          <w:lang w:eastAsia="de-DE" w:bidi="en-US"/>
        </w:rPr>
        <w:t xml:space="preserve">2.2 </w:t>
      </w:r>
      <w:r w:rsidR="004846BF" w:rsidRPr="002B6ABA">
        <w:rPr>
          <w:rFonts w:ascii="Times New Roman" w:eastAsia="Times New Roman" w:hAnsi="Times New Roman" w:cs="Times New Roman"/>
          <w:b/>
          <w:noProof/>
          <w:snapToGrid w:val="0"/>
          <w:color w:val="000000"/>
          <w:sz w:val="24"/>
          <w:szCs w:val="20"/>
          <w:lang w:eastAsia="de-DE" w:bidi="en-US"/>
        </w:rPr>
        <w:t>Measurement of Yield Contributing Parameters</w:t>
      </w:r>
    </w:p>
    <w:p w14:paraId="6F8BC9C9" w14:textId="77777777" w:rsidR="004846BF" w:rsidRPr="002B6ABA" w:rsidRDefault="00271178" w:rsidP="004D0045">
      <w:pPr>
        <w:pStyle w:val="NoSpacing"/>
        <w:spacing w:before="120" w:after="120" w:line="360" w:lineRule="auto"/>
        <w:jc w:val="both"/>
        <w:rPr>
          <w:rFonts w:ascii="Times New Roman" w:eastAsia="Times New Roman" w:hAnsi="Times New Roman" w:cs="Times New Roman"/>
          <w:b/>
          <w:i/>
          <w:noProof/>
          <w:snapToGrid w:val="0"/>
          <w:color w:val="000000"/>
          <w:sz w:val="24"/>
          <w:szCs w:val="20"/>
          <w:lang w:eastAsia="de-DE" w:bidi="en-US"/>
        </w:rPr>
      </w:pPr>
      <w:r w:rsidRPr="002B6ABA">
        <w:t>The number of days required from bunch initiation to harvesting, bunch length and bunch weight were recorded for each of the five selected plants in each treatment. The number of hands per bunch and fingers per hand was determined by counting fruits that had attained harvestable ripeness. The pulp-to-peel ratio from each selected hand was measured using an automated top-pan balance.</w:t>
      </w:r>
    </w:p>
    <w:p w14:paraId="60C91589" w14:textId="77777777" w:rsidR="004846BF" w:rsidRPr="002B6ABA" w:rsidRDefault="008D1172" w:rsidP="008F7561">
      <w:pPr>
        <w:pStyle w:val="NoSpacing"/>
        <w:spacing w:before="120" w:after="120" w:line="360" w:lineRule="auto"/>
        <w:jc w:val="both"/>
        <w:rPr>
          <w:rFonts w:ascii="Times New Roman" w:eastAsia="Times New Roman" w:hAnsi="Times New Roman" w:cs="Times New Roman"/>
          <w:b/>
          <w:noProof/>
          <w:snapToGrid w:val="0"/>
          <w:color w:val="000000"/>
          <w:sz w:val="24"/>
          <w:szCs w:val="20"/>
          <w:lang w:eastAsia="de-DE" w:bidi="en-US"/>
        </w:rPr>
      </w:pPr>
      <w:r w:rsidRPr="002B6ABA">
        <w:rPr>
          <w:rFonts w:ascii="Times New Roman" w:eastAsia="Times New Roman" w:hAnsi="Times New Roman" w:cs="Times New Roman"/>
          <w:b/>
          <w:noProof/>
          <w:snapToGrid w:val="0"/>
          <w:color w:val="000000"/>
          <w:sz w:val="24"/>
          <w:szCs w:val="20"/>
          <w:lang w:eastAsia="de-DE" w:bidi="en-US"/>
        </w:rPr>
        <w:t xml:space="preserve">2.3 </w:t>
      </w:r>
      <w:r w:rsidR="004846BF" w:rsidRPr="002B6ABA">
        <w:rPr>
          <w:rFonts w:ascii="Times New Roman" w:eastAsia="Times New Roman" w:hAnsi="Times New Roman" w:cs="Times New Roman"/>
          <w:b/>
          <w:noProof/>
          <w:snapToGrid w:val="0"/>
          <w:color w:val="000000"/>
          <w:sz w:val="24"/>
          <w:szCs w:val="20"/>
          <w:lang w:eastAsia="de-DE" w:bidi="en-US"/>
        </w:rPr>
        <w:t>Measurement of Biochemical Parameters</w:t>
      </w:r>
    </w:p>
    <w:p w14:paraId="1D4C09CE" w14:textId="77777777" w:rsidR="008738C4" w:rsidRPr="002B6ABA" w:rsidRDefault="008D1172" w:rsidP="004846BF">
      <w:pPr>
        <w:pStyle w:val="NoSpacing"/>
        <w:spacing w:line="360" w:lineRule="auto"/>
        <w:jc w:val="both"/>
        <w:rPr>
          <w:rFonts w:ascii="Times New Roman" w:eastAsia="Times New Roman" w:hAnsi="Times New Roman" w:cs="Times New Roman"/>
          <w:b/>
          <w:bCs/>
          <w:snapToGrid w:val="0"/>
          <w:color w:val="000000"/>
          <w:sz w:val="24"/>
          <w:szCs w:val="20"/>
          <w:lang w:eastAsia="de-DE" w:bidi="en-US"/>
        </w:rPr>
      </w:pPr>
      <w:r w:rsidRPr="002B6ABA">
        <w:rPr>
          <w:rFonts w:ascii="Times New Roman" w:eastAsia="Times New Roman" w:hAnsi="Times New Roman" w:cs="Times New Roman"/>
          <w:b/>
          <w:bCs/>
          <w:snapToGrid w:val="0"/>
          <w:color w:val="000000"/>
          <w:sz w:val="24"/>
          <w:szCs w:val="20"/>
          <w:lang w:eastAsia="de-DE" w:bidi="en-US"/>
        </w:rPr>
        <w:t xml:space="preserve">2.3.1 </w:t>
      </w:r>
      <w:r w:rsidR="004846BF" w:rsidRPr="002B6ABA">
        <w:rPr>
          <w:rFonts w:ascii="Times New Roman" w:eastAsia="Times New Roman" w:hAnsi="Times New Roman" w:cs="Times New Roman"/>
          <w:b/>
          <w:bCs/>
          <w:snapToGrid w:val="0"/>
          <w:color w:val="000000"/>
          <w:sz w:val="24"/>
          <w:szCs w:val="20"/>
          <w:lang w:eastAsia="de-DE" w:bidi="en-US"/>
        </w:rPr>
        <w:t>Total Soluble Solids (TSS) Content</w:t>
      </w:r>
    </w:p>
    <w:p w14:paraId="0920DFEF" w14:textId="77777777" w:rsidR="006B5BEA" w:rsidRPr="002B6ABA" w:rsidRDefault="006B5BEA" w:rsidP="004846BF">
      <w:pPr>
        <w:pStyle w:val="NoSpacing"/>
        <w:spacing w:line="360" w:lineRule="auto"/>
        <w:jc w:val="both"/>
        <w:rPr>
          <w:rFonts w:ascii="Times New Roman" w:eastAsia="Times New Roman" w:hAnsi="Times New Roman" w:cs="Times New Roman"/>
          <w:snapToGrid w:val="0"/>
          <w:color w:val="000000"/>
          <w:sz w:val="24"/>
          <w:szCs w:val="20"/>
          <w:lang w:eastAsia="de-DE" w:bidi="en-US"/>
        </w:rPr>
      </w:pPr>
      <w:r w:rsidRPr="002B6ABA">
        <w:t>A digital refractometer (MA871; Romania) was used to determine the TSS concentration of banana juice. Using a dropper, one drop of banana juice was collected and placed on the refractometer prism, and the total soluble solids reading was recorded.</w:t>
      </w:r>
    </w:p>
    <w:p w14:paraId="4D3B7ADD" w14:textId="77777777" w:rsidR="008738C4" w:rsidRPr="002B6ABA" w:rsidRDefault="008D1172" w:rsidP="004846BF">
      <w:pPr>
        <w:pStyle w:val="NoSpacing"/>
        <w:spacing w:line="360" w:lineRule="auto"/>
        <w:jc w:val="both"/>
        <w:rPr>
          <w:rFonts w:ascii="Times New Roman" w:eastAsia="Times New Roman" w:hAnsi="Times New Roman" w:cs="Times New Roman"/>
          <w:b/>
          <w:bCs/>
          <w:snapToGrid w:val="0"/>
          <w:color w:val="000000"/>
          <w:sz w:val="24"/>
          <w:szCs w:val="20"/>
          <w:lang w:eastAsia="de-DE" w:bidi="en-US"/>
        </w:rPr>
      </w:pPr>
      <w:r w:rsidRPr="002B6ABA">
        <w:rPr>
          <w:rFonts w:ascii="Times New Roman" w:eastAsia="Times New Roman" w:hAnsi="Times New Roman" w:cs="Times New Roman"/>
          <w:b/>
          <w:bCs/>
          <w:snapToGrid w:val="0"/>
          <w:color w:val="000000"/>
          <w:sz w:val="24"/>
          <w:szCs w:val="20"/>
          <w:lang w:eastAsia="de-DE" w:bidi="en-US"/>
        </w:rPr>
        <w:t xml:space="preserve">2.3.2 </w:t>
      </w:r>
      <w:r w:rsidR="008738C4" w:rsidRPr="002B6ABA">
        <w:rPr>
          <w:rFonts w:ascii="Times New Roman" w:eastAsia="Times New Roman" w:hAnsi="Times New Roman" w:cs="Times New Roman"/>
          <w:b/>
          <w:bCs/>
          <w:snapToGrid w:val="0"/>
          <w:color w:val="000000"/>
          <w:sz w:val="24"/>
          <w:szCs w:val="20"/>
          <w:lang w:eastAsia="de-DE" w:bidi="en-US"/>
        </w:rPr>
        <w:t>pH Determination</w:t>
      </w:r>
    </w:p>
    <w:p w14:paraId="7DE53C1C" w14:textId="77777777" w:rsidR="004846BF" w:rsidRPr="002B6ABA" w:rsidRDefault="006B5BEA" w:rsidP="004846BF">
      <w:pPr>
        <w:pStyle w:val="NoSpacing"/>
        <w:spacing w:line="360" w:lineRule="auto"/>
        <w:jc w:val="both"/>
        <w:rPr>
          <w:rFonts w:ascii="Times New Roman" w:eastAsia="Times New Roman" w:hAnsi="Times New Roman" w:cs="Times New Roman"/>
          <w:b/>
          <w:bCs/>
          <w:i/>
          <w:snapToGrid w:val="0"/>
          <w:color w:val="000000"/>
          <w:sz w:val="24"/>
          <w:szCs w:val="20"/>
          <w:lang w:eastAsia="de-DE" w:bidi="en-US"/>
        </w:rPr>
      </w:pPr>
      <w:r w:rsidRPr="002B6ABA">
        <w:t>A digital pH meter (HI 2211; Romania) was used to measure pH after fruit juice from each treated banana was filtered separately.</w:t>
      </w:r>
    </w:p>
    <w:p w14:paraId="5E3FF77B" w14:textId="77777777" w:rsidR="008738C4" w:rsidRPr="002B6ABA" w:rsidRDefault="008D1172" w:rsidP="004846BF">
      <w:pPr>
        <w:pStyle w:val="NoSpacing"/>
        <w:spacing w:line="360" w:lineRule="auto"/>
        <w:jc w:val="both"/>
        <w:rPr>
          <w:rFonts w:ascii="Times New Roman" w:eastAsia="Times New Roman" w:hAnsi="Times New Roman" w:cs="Times New Roman"/>
          <w:b/>
          <w:bCs/>
          <w:snapToGrid w:val="0"/>
          <w:color w:val="000000"/>
          <w:sz w:val="24"/>
          <w:szCs w:val="20"/>
          <w:lang w:eastAsia="de-DE" w:bidi="en-US"/>
        </w:rPr>
      </w:pPr>
      <w:r w:rsidRPr="002B6ABA">
        <w:rPr>
          <w:rFonts w:ascii="Times New Roman" w:eastAsia="Times New Roman" w:hAnsi="Times New Roman" w:cs="Times New Roman"/>
          <w:b/>
          <w:bCs/>
          <w:snapToGrid w:val="0"/>
          <w:color w:val="000000"/>
          <w:sz w:val="24"/>
          <w:szCs w:val="20"/>
          <w:lang w:eastAsia="de-DE" w:bidi="en-US"/>
        </w:rPr>
        <w:t xml:space="preserve">2.3.3 </w:t>
      </w:r>
      <w:r w:rsidR="004846BF" w:rsidRPr="002B6ABA">
        <w:rPr>
          <w:rFonts w:ascii="Times New Roman" w:eastAsia="Times New Roman" w:hAnsi="Times New Roman" w:cs="Times New Roman"/>
          <w:b/>
          <w:bCs/>
          <w:snapToGrid w:val="0"/>
          <w:color w:val="000000"/>
          <w:sz w:val="24"/>
          <w:szCs w:val="20"/>
          <w:lang w:eastAsia="de-DE" w:bidi="en-US"/>
        </w:rPr>
        <w:t>Titratable Acidity (TA %)</w:t>
      </w:r>
    </w:p>
    <w:p w14:paraId="57060685" w14:textId="77777777" w:rsidR="004846BF" w:rsidRPr="002B6ABA" w:rsidRDefault="004846BF" w:rsidP="004846BF">
      <w:pPr>
        <w:pStyle w:val="NoSpacing"/>
        <w:spacing w:line="360" w:lineRule="auto"/>
        <w:jc w:val="both"/>
        <w:rPr>
          <w:rFonts w:ascii="Times New Roman" w:eastAsia="Times New Roman" w:hAnsi="Times New Roman" w:cs="Times New Roman"/>
          <w:b/>
          <w:bCs/>
          <w:snapToGrid w:val="0"/>
          <w:color w:val="000000"/>
          <w:sz w:val="24"/>
          <w:szCs w:val="20"/>
          <w:lang w:eastAsia="de-DE" w:bidi="en-US"/>
        </w:rPr>
      </w:pPr>
      <w:r w:rsidRPr="002B6ABA">
        <w:t>To determine TA, fruit samples (5 g) were macerated using a mortar and pestle. The macerated samples were filtered, and 100 mL of water was then added. Next, two drops of phenolphthalein were added to 10 mL of stock solution in a conical flask. The solution was titrated three times using 1 N NaOH. The titration was terminated when a pink colour developed.</w:t>
      </w:r>
    </w:p>
    <w:p w14:paraId="1D34F82E" w14:textId="77777777" w:rsidR="008738C4" w:rsidRPr="002B6ABA" w:rsidRDefault="008D1172" w:rsidP="004846BF">
      <w:pPr>
        <w:pStyle w:val="NoSpacing"/>
        <w:spacing w:line="360" w:lineRule="auto"/>
        <w:jc w:val="both"/>
        <w:rPr>
          <w:rFonts w:ascii="Times New Roman" w:eastAsia="Times New Roman" w:hAnsi="Times New Roman" w:cs="Times New Roman"/>
          <w:b/>
          <w:bCs/>
          <w:snapToGrid w:val="0"/>
          <w:color w:val="000000"/>
          <w:sz w:val="24"/>
          <w:szCs w:val="20"/>
          <w:lang w:eastAsia="de-DE" w:bidi="en-US"/>
        </w:rPr>
      </w:pPr>
      <w:r w:rsidRPr="002B6ABA">
        <w:rPr>
          <w:rFonts w:ascii="Times New Roman" w:eastAsia="Times New Roman" w:hAnsi="Times New Roman" w:cs="Times New Roman"/>
          <w:b/>
          <w:bCs/>
          <w:snapToGrid w:val="0"/>
          <w:color w:val="000000"/>
          <w:sz w:val="24"/>
          <w:szCs w:val="20"/>
          <w:lang w:eastAsia="de-DE" w:bidi="en-US"/>
        </w:rPr>
        <w:t xml:space="preserve">2.3.4 </w:t>
      </w:r>
      <w:r w:rsidR="008738C4" w:rsidRPr="002B6ABA">
        <w:rPr>
          <w:rFonts w:ascii="Times New Roman" w:eastAsia="Times New Roman" w:hAnsi="Times New Roman" w:cs="Times New Roman"/>
          <w:b/>
          <w:bCs/>
          <w:snapToGrid w:val="0"/>
          <w:color w:val="000000"/>
          <w:sz w:val="24"/>
          <w:szCs w:val="20"/>
          <w:lang w:eastAsia="de-DE" w:bidi="en-US"/>
        </w:rPr>
        <w:t>Vitamin C Determination</w:t>
      </w:r>
    </w:p>
    <w:p w14:paraId="1421CAB7" w14:textId="77777777" w:rsidR="004A729A" w:rsidRPr="002B6ABA" w:rsidRDefault="004A729A" w:rsidP="00593EEF">
      <w:pPr>
        <w:pStyle w:val="NoSpacing"/>
        <w:spacing w:line="360" w:lineRule="auto"/>
        <w:jc w:val="both"/>
        <w:rPr>
          <w:rFonts w:ascii="Times New Roman" w:eastAsia="Times New Roman" w:hAnsi="Times New Roman" w:cs="Times New Roman"/>
          <w:snapToGrid w:val="0"/>
          <w:color w:val="000000"/>
          <w:sz w:val="24"/>
          <w:szCs w:val="20"/>
          <w:lang w:eastAsia="de-DE" w:bidi="en-US"/>
        </w:rPr>
      </w:pPr>
      <w:r w:rsidRPr="002B6ABA">
        <w:t xml:space="preserve">Vitamin C content in banana was determined using the method previously published by Tee </w:t>
      </w:r>
      <w:r w:rsidRPr="002B6ABA">
        <w:rPr>
          <w:i/>
        </w:rPr>
        <w:t>et al.</w:t>
      </w:r>
      <w:r w:rsidRPr="002B6ABA">
        <w:t xml:space="preserve"> (1988). A 5 g banana fruit sample was mixed, and the juice was sieved using Whatman No. 1 filter paper. The volume was increased to 100 mL by adding a 5% oxalic acid solution. Titration was carried out with 2,6-dichlorophenol indophenol dye solution. The average observations indicated the quantity of dye required to oxidise an unknown concentration of a specific amount of L-ascorbic acid solution using an L-ascorbic acid standard. A 5 mL solution was used for each titration, and the pink colour indicated the endpoint of titration, which lasted 10 seconds.</w:t>
      </w:r>
    </w:p>
    <w:p w14:paraId="6F6A8553" w14:textId="77777777" w:rsidR="008738C4" w:rsidRPr="002B6ABA" w:rsidRDefault="008D1172" w:rsidP="00593EEF">
      <w:pPr>
        <w:pStyle w:val="NoSpacing"/>
        <w:spacing w:line="360" w:lineRule="auto"/>
        <w:jc w:val="both"/>
        <w:rPr>
          <w:rFonts w:ascii="Times New Roman" w:hAnsi="Times New Roman" w:cs="Times New Roman"/>
          <w:b/>
          <w:sz w:val="24"/>
          <w:szCs w:val="20"/>
        </w:rPr>
      </w:pPr>
      <w:r w:rsidRPr="002B6ABA">
        <w:rPr>
          <w:rFonts w:ascii="Times New Roman" w:hAnsi="Times New Roman" w:cs="Times New Roman"/>
          <w:b/>
          <w:sz w:val="24"/>
          <w:szCs w:val="20"/>
        </w:rPr>
        <w:t xml:space="preserve">2.3.5 </w:t>
      </w:r>
      <w:r w:rsidR="00593EEF" w:rsidRPr="002B6ABA">
        <w:rPr>
          <w:rFonts w:ascii="Times New Roman" w:hAnsi="Times New Roman" w:cs="Times New Roman"/>
          <w:b/>
          <w:sz w:val="24"/>
          <w:szCs w:val="20"/>
        </w:rPr>
        <w:t>Reducing sugar</w:t>
      </w:r>
    </w:p>
    <w:p w14:paraId="6489BFDB" w14:textId="77777777" w:rsidR="00E74380" w:rsidRPr="002B6ABA" w:rsidRDefault="00105297" w:rsidP="00105297">
      <w:pPr>
        <w:pStyle w:val="NoSpacing"/>
        <w:spacing w:line="360" w:lineRule="auto"/>
        <w:jc w:val="both"/>
        <w:rPr>
          <w:rFonts w:ascii="Times New Roman" w:hAnsi="Times New Roman" w:cs="Times New Roman"/>
          <w:sz w:val="24"/>
          <w:szCs w:val="20"/>
        </w:rPr>
      </w:pPr>
      <w:r w:rsidRPr="002B6ABA">
        <w:lastRenderedPageBreak/>
        <w:t xml:space="preserve">Reducing sugar content was determined using a modified phenol-sulphuric acid method adapted from DuBois </w:t>
      </w:r>
      <w:r w:rsidRPr="002B6ABA">
        <w:rPr>
          <w:i/>
        </w:rPr>
        <w:t>et al.</w:t>
      </w:r>
      <w:r w:rsidRPr="002B6ABA">
        <w:t xml:space="preserve"> (1956), with adjustments to the assay volume and wavelength. The extract was filtered after 0.2 g of fresh banana pulp was homogenised with deionised water. Two millilitres of the solution were combined with 0.4 mL of 5% phenol, and 2 mL of 98% sulphuric acid was quickly added to the mixture. To allow colour development, the test tubes were kept at room temperature for 10 minutes and then placed in a water bath at 30 °C for 20 minutes. Light absorption was then measured at 540 nm using a spectrophotometer. Distilled water was used to prepare the blank solution by the same procedure. Reducing sugar content was calculated as mg/g FW.</w:t>
      </w:r>
    </w:p>
    <w:p w14:paraId="13921465" w14:textId="77777777" w:rsidR="0088443F" w:rsidRPr="002B6ABA" w:rsidRDefault="0088443F" w:rsidP="00E74380">
      <w:pPr>
        <w:pStyle w:val="NoSpacing"/>
        <w:spacing w:line="360" w:lineRule="auto"/>
        <w:jc w:val="both"/>
        <w:rPr>
          <w:rFonts w:ascii="Times New Roman" w:hAnsi="Times New Roman" w:cs="Times New Roman"/>
          <w:b/>
          <w:sz w:val="24"/>
          <w:szCs w:val="20"/>
        </w:rPr>
      </w:pPr>
    </w:p>
    <w:p w14:paraId="66252661" w14:textId="77777777" w:rsidR="008738C4" w:rsidRPr="002B6ABA" w:rsidRDefault="00820617" w:rsidP="00E74380">
      <w:pPr>
        <w:pStyle w:val="NoSpacing"/>
        <w:spacing w:line="360" w:lineRule="auto"/>
        <w:jc w:val="both"/>
        <w:rPr>
          <w:rFonts w:ascii="Times New Roman" w:hAnsi="Times New Roman" w:cs="Times New Roman"/>
          <w:b/>
          <w:sz w:val="24"/>
          <w:szCs w:val="20"/>
        </w:rPr>
      </w:pPr>
      <w:r w:rsidRPr="002B6ABA">
        <w:rPr>
          <w:rFonts w:ascii="Times New Roman" w:hAnsi="Times New Roman" w:cs="Times New Roman"/>
          <w:b/>
          <w:sz w:val="24"/>
          <w:szCs w:val="20"/>
        </w:rPr>
        <w:t>2.3</w:t>
      </w:r>
      <w:r w:rsidR="008D1172" w:rsidRPr="002B6ABA">
        <w:rPr>
          <w:rFonts w:ascii="Times New Roman" w:hAnsi="Times New Roman" w:cs="Times New Roman"/>
          <w:b/>
          <w:sz w:val="24"/>
          <w:szCs w:val="20"/>
        </w:rPr>
        <w:t xml:space="preserve">.6 </w:t>
      </w:r>
      <w:r w:rsidR="00B52A13" w:rsidRPr="002B6ABA">
        <w:rPr>
          <w:rFonts w:ascii="Times New Roman" w:hAnsi="Times New Roman" w:cs="Times New Roman"/>
          <w:b/>
          <w:sz w:val="24"/>
          <w:szCs w:val="20"/>
        </w:rPr>
        <w:t>Phenolic Content</w:t>
      </w:r>
    </w:p>
    <w:p w14:paraId="3A3E4037" w14:textId="77777777" w:rsidR="00B52A13" w:rsidRPr="002B6ABA" w:rsidRDefault="00B12C00" w:rsidP="00B52A13">
      <w:pPr>
        <w:shd w:val="clear" w:color="auto" w:fill="FFFFFF"/>
        <w:spacing w:after="120" w:line="360" w:lineRule="auto"/>
        <w:jc w:val="both"/>
        <w:rPr>
          <w:rFonts w:ascii="Times New Roman" w:hAnsi="Times New Roman" w:cs="Times New Roman"/>
          <w:sz w:val="24"/>
          <w:szCs w:val="24"/>
        </w:rPr>
      </w:pPr>
      <w:r w:rsidRPr="002B6ABA">
        <w:t xml:space="preserve">Phenolic content was calculated using the method of Singleton </w:t>
      </w:r>
      <w:r w:rsidRPr="002B6ABA">
        <w:rPr>
          <w:i/>
        </w:rPr>
        <w:t>et al.</w:t>
      </w:r>
      <w:r w:rsidRPr="002B6ABA">
        <w:t xml:space="preserve"> (1999). Banana pulp (250 mg) was homogenised with 85% methanol. The extract was centrifuged at 3000× g for 15 minutes to separate the supernatant. For every 2 mL of supernatant, 2 mL of Folin-Ciocalteu reagent was added. A 7.5% sodium carbonate solution (2 mL) was added to each test tube, and absorbance was measured at 725 nm after 30-45 minutes in comparison with a blank sample. Gallic acid was used to develop a standard curve for calculating total phenolic content.</w:t>
      </w:r>
    </w:p>
    <w:p w14:paraId="013243D1" w14:textId="77777777" w:rsidR="008738C4" w:rsidRPr="002B6ABA" w:rsidRDefault="008D1172" w:rsidP="004846BF">
      <w:pPr>
        <w:pStyle w:val="NoSpacing"/>
        <w:spacing w:before="120" w:after="120" w:line="360" w:lineRule="auto"/>
        <w:jc w:val="both"/>
        <w:rPr>
          <w:rFonts w:ascii="Times New Roman" w:eastAsia="Times New Roman" w:hAnsi="Times New Roman" w:cs="Times New Roman"/>
          <w:b/>
          <w:noProof/>
          <w:snapToGrid w:val="0"/>
          <w:color w:val="000000"/>
          <w:sz w:val="24"/>
          <w:szCs w:val="20"/>
          <w:lang w:eastAsia="de-DE" w:bidi="en-US"/>
        </w:rPr>
      </w:pPr>
      <w:r w:rsidRPr="002B6ABA">
        <w:rPr>
          <w:b/>
        </w:rPr>
        <w:t>2.4 Colour Measurement</w:t>
      </w:r>
    </w:p>
    <w:p w14:paraId="0060677F" w14:textId="77777777" w:rsidR="00FF61A8" w:rsidRPr="002B6ABA" w:rsidRDefault="00FF61A8" w:rsidP="00FF61A8">
      <w:pPr>
        <w:pStyle w:val="NoSpacing"/>
        <w:spacing w:before="120" w:after="120" w:line="360" w:lineRule="auto"/>
        <w:jc w:val="both"/>
        <w:rPr>
          <w:rFonts w:ascii="Times New Roman" w:eastAsia="Times New Roman" w:hAnsi="Times New Roman" w:cs="Times New Roman"/>
          <w:snapToGrid w:val="0"/>
          <w:color w:val="000000"/>
          <w:sz w:val="24"/>
          <w:szCs w:val="20"/>
          <w:lang w:eastAsia="de-DE" w:bidi="en-US"/>
        </w:rPr>
      </w:pPr>
      <w:r w:rsidRPr="002B6ABA">
        <w:t>The colour of banana peel was measured non-destructively using a Minolta Chroma meter (Model CR400) configured with a D65 illuminant and a 10° observer angle. Colour values were represented by L*, a*, b* and C*. For each fruit, the reading was recorded as the average of six random points. The colorimeter was kept fully in contact with the fruit to prevent light leakage.</w:t>
      </w:r>
    </w:p>
    <w:p w14:paraId="0D6F19F4" w14:textId="77777777" w:rsidR="004846BF" w:rsidRPr="002B6ABA" w:rsidRDefault="008D1172" w:rsidP="00FF61A8">
      <w:pPr>
        <w:pStyle w:val="NoSpacing"/>
        <w:spacing w:before="120" w:after="120" w:line="360" w:lineRule="auto"/>
        <w:jc w:val="both"/>
        <w:rPr>
          <w:rFonts w:ascii="Times New Roman" w:eastAsia="Times New Roman" w:hAnsi="Times New Roman" w:cs="Times New Roman"/>
          <w:b/>
          <w:noProof/>
          <w:snapToGrid w:val="0"/>
          <w:color w:val="000000"/>
          <w:sz w:val="24"/>
          <w:szCs w:val="20"/>
          <w:lang w:eastAsia="de-DE" w:bidi="en-US"/>
        </w:rPr>
      </w:pPr>
      <w:r w:rsidRPr="002B6ABA">
        <w:rPr>
          <w:rFonts w:ascii="Times New Roman" w:eastAsia="Times New Roman" w:hAnsi="Times New Roman" w:cs="Times New Roman"/>
          <w:b/>
          <w:noProof/>
          <w:snapToGrid w:val="0"/>
          <w:color w:val="000000"/>
          <w:sz w:val="24"/>
          <w:szCs w:val="20"/>
          <w:lang w:eastAsia="de-DE" w:bidi="en-US"/>
        </w:rPr>
        <w:t xml:space="preserve">2.5 </w:t>
      </w:r>
      <w:r w:rsidR="004846BF" w:rsidRPr="002B6ABA">
        <w:rPr>
          <w:rFonts w:ascii="Times New Roman" w:eastAsia="Times New Roman" w:hAnsi="Times New Roman" w:cs="Times New Roman"/>
          <w:b/>
          <w:noProof/>
          <w:snapToGrid w:val="0"/>
          <w:color w:val="000000"/>
          <w:sz w:val="24"/>
          <w:szCs w:val="20"/>
          <w:lang w:eastAsia="de-DE" w:bidi="en-US"/>
        </w:rPr>
        <w:t>Statistical Analyses</w:t>
      </w:r>
    </w:p>
    <w:p w14:paraId="7A43680F" w14:textId="77777777" w:rsidR="004846BF" w:rsidRPr="002B6ABA" w:rsidRDefault="00497929" w:rsidP="004846BF">
      <w:pPr>
        <w:pStyle w:val="NoSpacing"/>
        <w:spacing w:line="360" w:lineRule="auto"/>
        <w:jc w:val="both"/>
        <w:rPr>
          <w:rFonts w:ascii="Times New Roman" w:eastAsia="Times New Roman" w:hAnsi="Times New Roman" w:cs="Times New Roman"/>
          <w:bCs/>
          <w:snapToGrid w:val="0"/>
          <w:color w:val="000000"/>
          <w:sz w:val="24"/>
          <w:szCs w:val="20"/>
          <w:lang w:eastAsia="de-DE" w:bidi="en-US"/>
        </w:rPr>
      </w:pPr>
      <w:r w:rsidRPr="002B6ABA">
        <w:t>A randomised complete block design (RCBD) was used in the study, with five plants in each of the four replications for each treatment. Statistical analyses were performed using SAS version 9.4 (SAS Institute, Cary, NC, USA). Differences among treatment means were considered significant at P ≤ 0.05. Data were reported as the mean and coefficient of variation of the replicates.</w:t>
      </w:r>
    </w:p>
    <w:p w14:paraId="06FC07A8" w14:textId="77777777" w:rsidR="001F2479" w:rsidRPr="002B6ABA" w:rsidRDefault="00C36676" w:rsidP="0039786E">
      <w:pPr>
        <w:spacing w:before="240"/>
        <w:rPr>
          <w:rFonts w:ascii="Times New Roman" w:hAnsi="Times New Roman" w:cs="Times New Roman"/>
          <w:b/>
          <w:sz w:val="24"/>
        </w:rPr>
      </w:pPr>
      <w:r w:rsidRPr="002B6ABA">
        <w:rPr>
          <w:b/>
        </w:rPr>
        <w:t>3. RESULTS AND DISCUSSION</w:t>
      </w:r>
    </w:p>
    <w:p w14:paraId="0DBE636B" w14:textId="77777777" w:rsidR="00F8142D" w:rsidRPr="002B6ABA" w:rsidRDefault="00C36676" w:rsidP="00186645">
      <w:pPr>
        <w:spacing w:before="120" w:after="120" w:line="360" w:lineRule="auto"/>
        <w:jc w:val="both"/>
        <w:rPr>
          <w:rFonts w:ascii="Times New Roman" w:hAnsi="Times New Roman" w:cs="Times New Roman"/>
          <w:b/>
          <w:sz w:val="24"/>
        </w:rPr>
      </w:pPr>
      <w:r w:rsidRPr="002B6ABA">
        <w:rPr>
          <w:rFonts w:ascii="Times New Roman" w:hAnsi="Times New Roman" w:cs="Times New Roman"/>
          <w:b/>
          <w:sz w:val="24"/>
        </w:rPr>
        <w:t xml:space="preserve">3.1 </w:t>
      </w:r>
      <w:r w:rsidR="00F8142D" w:rsidRPr="002B6ABA">
        <w:rPr>
          <w:rFonts w:ascii="Times New Roman" w:hAnsi="Times New Roman" w:cs="Times New Roman"/>
          <w:b/>
          <w:sz w:val="24"/>
        </w:rPr>
        <w:t>Time (days) to harvest from fruit set</w:t>
      </w:r>
    </w:p>
    <w:p w14:paraId="5BF8B9DD" w14:textId="380F795F" w:rsidR="00F15386" w:rsidRPr="002B6ABA" w:rsidRDefault="00B465B0" w:rsidP="00703077">
      <w:pPr>
        <w:spacing w:after="120" w:line="360" w:lineRule="auto"/>
        <w:jc w:val="both"/>
        <w:rPr>
          <w:rFonts w:ascii="Times New Roman" w:hAnsi="Times New Roman" w:cs="Times New Roman"/>
          <w:sz w:val="24"/>
        </w:rPr>
      </w:pPr>
      <w:r w:rsidRPr="002B6ABA">
        <w:t>GA</w:t>
      </w:r>
      <w:r w:rsidRPr="002B6ABA">
        <w:rPr>
          <w:vertAlign w:val="subscript"/>
        </w:rPr>
        <w:t>3</w:t>
      </w:r>
      <w:r w:rsidRPr="002B6ABA">
        <w:t xml:space="preserve"> and chitosan had a significant influence on the number of days required for harvesting after fruit setting. The G</w:t>
      </w:r>
      <w:r w:rsidRPr="002B6ABA">
        <w:rPr>
          <w:vertAlign w:val="subscript"/>
        </w:rPr>
        <w:t>1</w:t>
      </w:r>
      <w:r w:rsidRPr="002B6ABA">
        <w:t>C</w:t>
      </w:r>
      <w:r w:rsidRPr="002B6ABA">
        <w:rPr>
          <w:vertAlign w:val="subscript"/>
        </w:rPr>
        <w:t>0</w:t>
      </w:r>
      <w:r w:rsidRPr="002B6ABA">
        <w:t xml:space="preserve"> treatment combination had the shortest harvesting period (102 days), whereas G</w:t>
      </w:r>
      <w:r w:rsidRPr="002B6ABA">
        <w:rPr>
          <w:vertAlign w:val="subscript"/>
        </w:rPr>
        <w:t>0</w:t>
      </w:r>
      <w:r w:rsidRPr="002B6ABA">
        <w:t>C</w:t>
      </w:r>
      <w:r w:rsidRPr="002B6ABA">
        <w:rPr>
          <w:vertAlign w:val="subscript"/>
        </w:rPr>
        <w:t>0</w:t>
      </w:r>
      <w:r w:rsidRPr="002B6ABA">
        <w:t xml:space="preserve"> </w:t>
      </w:r>
      <w:r w:rsidRPr="002B6ABA">
        <w:lastRenderedPageBreak/>
        <w:t>had the longest period (148 days) (Table 1). Exogenous application of 100 ppm GA</w:t>
      </w:r>
      <w:r w:rsidRPr="002B6ABA">
        <w:rPr>
          <w:vertAlign w:val="subscript"/>
        </w:rPr>
        <w:t>3</w:t>
      </w:r>
      <w:r w:rsidRPr="002B6ABA">
        <w:t xml:space="preserve"> was reported to affect some physiological characteristics of banana (</w:t>
      </w:r>
      <w:proofErr w:type="spellStart"/>
      <w:r w:rsidR="00FF3897" w:rsidRPr="00FF3897">
        <w:t>Paradava</w:t>
      </w:r>
      <w:proofErr w:type="spellEnd"/>
      <w:r w:rsidRPr="002B6ABA">
        <w:t xml:space="preserve"> </w:t>
      </w:r>
      <w:r w:rsidRPr="002B6ABA">
        <w:rPr>
          <w:i/>
        </w:rPr>
        <w:t>et al.</w:t>
      </w:r>
      <w:r w:rsidRPr="002B6ABA">
        <w:t xml:space="preserve">, 2021), and this treatment resulted in the shortest time to harvest (Pradeep </w:t>
      </w:r>
      <w:r w:rsidRPr="002B6ABA">
        <w:rPr>
          <w:i/>
        </w:rPr>
        <w:t>et al.</w:t>
      </w:r>
      <w:r w:rsidRPr="002B6ABA">
        <w:t>, 2024). Finger growth and maturity were probably accelerated by bunch feeding with chemicals, nutrients and plant growth regulators, which may have contributed to early maturity in GA</w:t>
      </w:r>
      <w:r w:rsidRPr="002B6ABA">
        <w:rPr>
          <w:vertAlign w:val="subscript"/>
        </w:rPr>
        <w:t>3</w:t>
      </w:r>
      <w:r w:rsidRPr="002B6ABA">
        <w:t xml:space="preserve">-treated plants (Chawla </w:t>
      </w:r>
      <w:r w:rsidRPr="002B6ABA">
        <w:rPr>
          <w:i/>
        </w:rPr>
        <w:t>et al.</w:t>
      </w:r>
      <w:r w:rsidRPr="002B6ABA">
        <w:t xml:space="preserve">, 2025). These findings are consistent with those of Thammadi </w:t>
      </w:r>
      <w:r w:rsidRPr="002B6ABA">
        <w:rPr>
          <w:i/>
        </w:rPr>
        <w:t>et al.</w:t>
      </w:r>
      <w:r w:rsidRPr="002B6ABA">
        <w:t xml:space="preserve"> (2024), who demonstrated that bananas were harvested earliest when treated with 100 ppm GA</w:t>
      </w:r>
      <w:r w:rsidRPr="002B6ABA">
        <w:rPr>
          <w:vertAlign w:val="subscript"/>
        </w:rPr>
        <w:t>3</w:t>
      </w:r>
      <w:r w:rsidRPr="002B6ABA">
        <w:t>.</w:t>
      </w:r>
    </w:p>
    <w:p w14:paraId="6FFF43C0" w14:textId="77777777" w:rsidR="00F8142D" w:rsidRPr="002B6ABA" w:rsidRDefault="00C36676" w:rsidP="00186645">
      <w:pPr>
        <w:spacing w:before="120" w:after="120" w:line="360" w:lineRule="auto"/>
        <w:jc w:val="both"/>
        <w:rPr>
          <w:rFonts w:ascii="Times New Roman" w:hAnsi="Times New Roman" w:cs="Times New Roman"/>
          <w:b/>
          <w:sz w:val="24"/>
        </w:rPr>
      </w:pPr>
      <w:r w:rsidRPr="002B6ABA">
        <w:rPr>
          <w:rFonts w:ascii="Times New Roman" w:hAnsi="Times New Roman" w:cs="Times New Roman"/>
          <w:b/>
          <w:sz w:val="24"/>
        </w:rPr>
        <w:t xml:space="preserve">3.2 </w:t>
      </w:r>
      <w:r w:rsidR="00F8142D" w:rsidRPr="002B6ABA">
        <w:rPr>
          <w:rFonts w:ascii="Times New Roman" w:hAnsi="Times New Roman" w:cs="Times New Roman"/>
          <w:b/>
          <w:sz w:val="24"/>
        </w:rPr>
        <w:t>Bunch weight (kg)</w:t>
      </w:r>
    </w:p>
    <w:p w14:paraId="2ED70F3E" w14:textId="77777777" w:rsidR="009E2C9C" w:rsidRPr="002B6ABA" w:rsidRDefault="00F972D5" w:rsidP="009E2C9C">
      <w:pPr>
        <w:spacing w:before="120" w:after="120" w:line="360" w:lineRule="auto"/>
        <w:jc w:val="both"/>
        <w:rPr>
          <w:rFonts w:ascii="Times New Roman" w:hAnsi="Times New Roman" w:cs="Times New Roman"/>
          <w:color w:val="00B050"/>
          <w:sz w:val="24"/>
        </w:rPr>
      </w:pPr>
      <w:r w:rsidRPr="002B6ABA">
        <w:t>The application of GA</w:t>
      </w:r>
      <w:r w:rsidRPr="002B6ABA">
        <w:rPr>
          <w:vertAlign w:val="subscript"/>
        </w:rPr>
        <w:t>3</w:t>
      </w:r>
      <w:r w:rsidRPr="002B6ABA">
        <w:t xml:space="preserve"> and chitosan at the bunch emergence stage significantly influenced banana bunch weight. The maximum bunch weight (24.77 kg) was recorded in the G</w:t>
      </w:r>
      <w:r w:rsidRPr="002B6ABA">
        <w:rPr>
          <w:vertAlign w:val="subscript"/>
        </w:rPr>
        <w:t>1</w:t>
      </w:r>
      <w:r w:rsidRPr="002B6ABA">
        <w:t>C</w:t>
      </w:r>
      <w:r w:rsidRPr="002B6ABA">
        <w:rPr>
          <w:vertAlign w:val="subscript"/>
        </w:rPr>
        <w:t>2</w:t>
      </w:r>
      <w:r w:rsidRPr="002B6ABA">
        <w:t xml:space="preserve"> treatment combination, whereas the minimum bunch weight (16.34 kg) was recorded in G</w:t>
      </w:r>
      <w:r w:rsidRPr="002B6ABA">
        <w:rPr>
          <w:vertAlign w:val="subscript"/>
        </w:rPr>
        <w:t>0</w:t>
      </w:r>
      <w:r w:rsidRPr="002B6ABA">
        <w:t>C</w:t>
      </w:r>
      <w:r w:rsidRPr="002B6ABA">
        <w:rPr>
          <w:vertAlign w:val="subscript"/>
        </w:rPr>
        <w:t>0</w:t>
      </w:r>
      <w:r w:rsidRPr="002B6ABA">
        <w:t xml:space="preserve"> (Table 1). Thammadi </w:t>
      </w:r>
      <w:r w:rsidRPr="002B6ABA">
        <w:rPr>
          <w:i/>
        </w:rPr>
        <w:t>et al.</w:t>
      </w:r>
      <w:r w:rsidRPr="002B6ABA">
        <w:t xml:space="preserve"> (2024) reported that gibberellic acid promotes metabolic changes that improve nutrient accumulation and increase fruit and bunch weight. They also found that foliar spraying with 100 ppm GA</w:t>
      </w:r>
      <w:r w:rsidRPr="002B6ABA">
        <w:rPr>
          <w:vertAlign w:val="subscript"/>
        </w:rPr>
        <w:t>3</w:t>
      </w:r>
      <w:r w:rsidRPr="002B6ABA">
        <w:t xml:space="preserve"> produced the highest bunch weight in banana. GA</w:t>
      </w:r>
      <w:r w:rsidRPr="002B6ABA">
        <w:rPr>
          <w:vertAlign w:val="subscript"/>
        </w:rPr>
        <w:t>3</w:t>
      </w:r>
      <w:r w:rsidRPr="002B6ABA">
        <w:t xml:space="preserve"> may enhance fruit access to nutrients and other substances required for growth and development, resulting in larger fruits and, ultimately, higher yield (Lad </w:t>
      </w:r>
      <w:r w:rsidRPr="002B6ABA">
        <w:rPr>
          <w:i/>
        </w:rPr>
        <w:t>et al.</w:t>
      </w:r>
      <w:r w:rsidRPr="002B6ABA">
        <w:t xml:space="preserve">, 2025). According to Rodríguez-Jurado </w:t>
      </w:r>
      <w:r w:rsidRPr="002B6ABA">
        <w:rPr>
          <w:i/>
        </w:rPr>
        <w:t>et al.</w:t>
      </w:r>
      <w:r w:rsidRPr="002B6ABA">
        <w:t xml:space="preserve"> (2025), applying chitosan at 200 ppm led to a 6% increase in fresh weight and a 35% increase in dry weight of banana plants. Reyes-Pérez </w:t>
      </w:r>
      <w:r w:rsidRPr="002B6ABA">
        <w:rPr>
          <w:i/>
        </w:rPr>
        <w:t>et al.</w:t>
      </w:r>
      <w:r w:rsidRPr="002B6ABA">
        <w:t xml:space="preserve"> (2025) stated that foliar spraying with chitosan after flowering increased fruit weight and volume, as the fruit is undergoing cell elongation at this stage.</w:t>
      </w:r>
    </w:p>
    <w:p w14:paraId="0B7085FC" w14:textId="77777777" w:rsidR="00F8142D" w:rsidRPr="002B6ABA" w:rsidRDefault="00C36676" w:rsidP="002B26EA">
      <w:pPr>
        <w:spacing w:before="120" w:after="120" w:line="360" w:lineRule="auto"/>
        <w:jc w:val="both"/>
        <w:rPr>
          <w:rFonts w:ascii="Times New Roman" w:hAnsi="Times New Roman" w:cs="Times New Roman"/>
          <w:b/>
          <w:sz w:val="24"/>
        </w:rPr>
      </w:pPr>
      <w:r w:rsidRPr="002B6ABA">
        <w:rPr>
          <w:rFonts w:ascii="Times New Roman" w:hAnsi="Times New Roman" w:cs="Times New Roman"/>
          <w:b/>
          <w:sz w:val="24"/>
        </w:rPr>
        <w:t xml:space="preserve">3.3 </w:t>
      </w:r>
      <w:r w:rsidR="00F8142D" w:rsidRPr="002B6ABA">
        <w:rPr>
          <w:rFonts w:ascii="Times New Roman" w:hAnsi="Times New Roman" w:cs="Times New Roman"/>
          <w:b/>
          <w:sz w:val="24"/>
        </w:rPr>
        <w:t>Number of hands per bunch</w:t>
      </w:r>
    </w:p>
    <w:p w14:paraId="76D0BA75" w14:textId="77777777" w:rsidR="008F7561" w:rsidRPr="002B6ABA" w:rsidRDefault="003B5DC5" w:rsidP="00DC0601">
      <w:pPr>
        <w:spacing w:line="360" w:lineRule="auto"/>
        <w:jc w:val="both"/>
        <w:rPr>
          <w:rFonts w:ascii="Times New Roman" w:hAnsi="Times New Roman" w:cs="Times New Roman"/>
          <w:sz w:val="24"/>
          <w:szCs w:val="24"/>
        </w:rPr>
      </w:pPr>
      <w:r w:rsidRPr="002B6ABA">
        <w:t>The G</w:t>
      </w:r>
      <w:r w:rsidRPr="002B6ABA">
        <w:rPr>
          <w:vertAlign w:val="subscript"/>
        </w:rPr>
        <w:t>1</w:t>
      </w:r>
      <w:r w:rsidRPr="002B6ABA">
        <w:t>C</w:t>
      </w:r>
      <w:r w:rsidRPr="002B6ABA">
        <w:rPr>
          <w:vertAlign w:val="subscript"/>
        </w:rPr>
        <w:t>2</w:t>
      </w:r>
      <w:r w:rsidRPr="002B6ABA">
        <w:t xml:space="preserve"> and G</w:t>
      </w:r>
      <w:r w:rsidRPr="002B6ABA">
        <w:rPr>
          <w:vertAlign w:val="subscript"/>
        </w:rPr>
        <w:t>1</w:t>
      </w:r>
      <w:r w:rsidRPr="002B6ABA">
        <w:t>C</w:t>
      </w:r>
      <w:r w:rsidRPr="002B6ABA">
        <w:rPr>
          <w:vertAlign w:val="subscript"/>
        </w:rPr>
        <w:t>0</w:t>
      </w:r>
      <w:r w:rsidRPr="002B6ABA">
        <w:t xml:space="preserve"> treatment combinations produced the greatest number of hands per bunch (10.33), whereas G</w:t>
      </w:r>
      <w:r w:rsidRPr="002B6ABA">
        <w:rPr>
          <w:vertAlign w:val="subscript"/>
        </w:rPr>
        <w:t>0</w:t>
      </w:r>
      <w:r w:rsidRPr="002B6ABA">
        <w:t>C</w:t>
      </w:r>
      <w:r w:rsidRPr="002B6ABA">
        <w:rPr>
          <w:vertAlign w:val="subscript"/>
        </w:rPr>
        <w:t>0</w:t>
      </w:r>
      <w:r w:rsidRPr="002B6ABA">
        <w:t xml:space="preserve"> produced the lowest number of hands per bunch (7.33) (Table 1). According to Pavani </w:t>
      </w:r>
      <w:r w:rsidRPr="002B6ABA">
        <w:rPr>
          <w:i/>
        </w:rPr>
        <w:t>et al.</w:t>
      </w:r>
      <w:r w:rsidRPr="002B6ABA">
        <w:t xml:space="preserve"> (2025), bunch spraying with 50 ppm GA</w:t>
      </w:r>
      <w:r w:rsidRPr="002B6ABA">
        <w:rPr>
          <w:vertAlign w:val="subscript"/>
        </w:rPr>
        <w:t>3</w:t>
      </w:r>
      <w:r w:rsidRPr="002B6ABA">
        <w:t xml:space="preserve"> produced a maximum of 10 hands per bunch in banana. This may be because GA</w:t>
      </w:r>
      <w:r w:rsidRPr="002B6ABA">
        <w:rPr>
          <w:vertAlign w:val="subscript"/>
        </w:rPr>
        <w:t>3</w:t>
      </w:r>
      <w:r w:rsidRPr="002B6ABA">
        <w:t xml:space="preserve"> promotes enzymes that weaken cell walls, encouraging elongation and delaying senescence, which can increase the number of hands per bunch (Tang </w:t>
      </w:r>
      <w:r w:rsidRPr="002B6ABA">
        <w:rPr>
          <w:i/>
        </w:rPr>
        <w:t>et al.</w:t>
      </w:r>
      <w:r w:rsidRPr="002B6ABA">
        <w:t xml:space="preserve">, 2025). These results are consistent with those of Purseth </w:t>
      </w:r>
      <w:r w:rsidRPr="002B6ABA">
        <w:rPr>
          <w:i/>
        </w:rPr>
        <w:t>et al.</w:t>
      </w:r>
      <w:r w:rsidRPr="002B6ABA">
        <w:t xml:space="preserve"> (2023), who similarly found that GA</w:t>
      </w:r>
      <w:r w:rsidRPr="002B6ABA">
        <w:rPr>
          <w:vertAlign w:val="subscript"/>
        </w:rPr>
        <w:t>3</w:t>
      </w:r>
      <w:r w:rsidRPr="002B6ABA">
        <w:t xml:space="preserve"> enhances bunch growth and increases the number of hands.</w:t>
      </w:r>
    </w:p>
    <w:p w14:paraId="408E1743" w14:textId="77777777" w:rsidR="00F8142D" w:rsidRPr="002B6ABA" w:rsidRDefault="00C36676" w:rsidP="00280D4C">
      <w:pPr>
        <w:spacing w:before="120" w:after="120" w:line="360" w:lineRule="auto"/>
        <w:jc w:val="both"/>
        <w:rPr>
          <w:rFonts w:ascii="Times New Roman" w:hAnsi="Times New Roman" w:cs="Times New Roman"/>
          <w:b/>
          <w:sz w:val="24"/>
        </w:rPr>
      </w:pPr>
      <w:r w:rsidRPr="002B6ABA">
        <w:rPr>
          <w:rFonts w:ascii="Times New Roman" w:hAnsi="Times New Roman" w:cs="Times New Roman"/>
          <w:b/>
          <w:sz w:val="24"/>
        </w:rPr>
        <w:t xml:space="preserve">3.4 </w:t>
      </w:r>
      <w:r w:rsidR="00F8142D" w:rsidRPr="002B6ABA">
        <w:rPr>
          <w:rFonts w:ascii="Times New Roman" w:hAnsi="Times New Roman" w:cs="Times New Roman"/>
          <w:b/>
          <w:sz w:val="24"/>
        </w:rPr>
        <w:t>Number of fingers per bunch</w:t>
      </w:r>
    </w:p>
    <w:p w14:paraId="261F2974" w14:textId="1B4019E9" w:rsidR="005E58CA" w:rsidRPr="002B6ABA" w:rsidRDefault="005E58CA" w:rsidP="00170A22">
      <w:pPr>
        <w:spacing w:line="360" w:lineRule="auto"/>
        <w:jc w:val="both"/>
        <w:rPr>
          <w:rFonts w:ascii="Times New Roman" w:hAnsi="Times New Roman" w:cs="Times New Roman"/>
          <w:color w:val="FF0000"/>
          <w:sz w:val="24"/>
          <w:szCs w:val="24"/>
        </w:rPr>
      </w:pPr>
      <w:r w:rsidRPr="002B6ABA">
        <w:t>There was no significant difference among the G</w:t>
      </w:r>
      <w:r w:rsidRPr="002B6ABA">
        <w:rPr>
          <w:vertAlign w:val="subscript"/>
        </w:rPr>
        <w:t>1</w:t>
      </w:r>
      <w:r w:rsidRPr="002B6ABA">
        <w:t>C</w:t>
      </w:r>
      <w:r w:rsidRPr="002B6ABA">
        <w:rPr>
          <w:vertAlign w:val="subscript"/>
        </w:rPr>
        <w:t>0</w:t>
      </w:r>
      <w:r w:rsidRPr="002B6ABA">
        <w:t>, G</w:t>
      </w:r>
      <w:r w:rsidRPr="002B6ABA">
        <w:rPr>
          <w:vertAlign w:val="subscript"/>
        </w:rPr>
        <w:t>1</w:t>
      </w:r>
      <w:r w:rsidRPr="002B6ABA">
        <w:t>C</w:t>
      </w:r>
      <w:r w:rsidRPr="002B6ABA">
        <w:rPr>
          <w:vertAlign w:val="subscript"/>
        </w:rPr>
        <w:t>1</w:t>
      </w:r>
      <w:r w:rsidRPr="002B6ABA">
        <w:t xml:space="preserve"> and G</w:t>
      </w:r>
      <w:r w:rsidRPr="002B6ABA">
        <w:rPr>
          <w:vertAlign w:val="subscript"/>
        </w:rPr>
        <w:t>1</w:t>
      </w:r>
      <w:r w:rsidRPr="002B6ABA">
        <w:t>C</w:t>
      </w:r>
      <w:r w:rsidRPr="002B6ABA">
        <w:rPr>
          <w:vertAlign w:val="subscript"/>
        </w:rPr>
        <w:t>2</w:t>
      </w:r>
      <w:r w:rsidRPr="002B6ABA">
        <w:t xml:space="preserve"> treatment combinations. However, the maximum number of fingers per bunch (145.00) was recorded in G</w:t>
      </w:r>
      <w:r w:rsidRPr="002B6ABA">
        <w:rPr>
          <w:vertAlign w:val="subscript"/>
        </w:rPr>
        <w:t>1</w:t>
      </w:r>
      <w:r w:rsidRPr="002B6ABA">
        <w:t>C</w:t>
      </w:r>
      <w:r w:rsidRPr="002B6ABA">
        <w:rPr>
          <w:vertAlign w:val="subscript"/>
        </w:rPr>
        <w:t>2</w:t>
      </w:r>
      <w:r w:rsidRPr="002B6ABA">
        <w:t xml:space="preserve">, whereas the minimum </w:t>
      </w:r>
      <w:r w:rsidRPr="002B6ABA">
        <w:lastRenderedPageBreak/>
        <w:t>number (102.67) was recorded in G</w:t>
      </w:r>
      <w:r w:rsidRPr="002B6ABA">
        <w:rPr>
          <w:vertAlign w:val="subscript"/>
        </w:rPr>
        <w:t>0</w:t>
      </w:r>
      <w:r w:rsidRPr="002B6ABA">
        <w:t>C</w:t>
      </w:r>
      <w:r w:rsidRPr="002B6ABA">
        <w:rPr>
          <w:vertAlign w:val="subscript"/>
        </w:rPr>
        <w:t>0</w:t>
      </w:r>
      <w:r w:rsidRPr="002B6ABA">
        <w:t xml:space="preserve"> (Table 1). According to Mohamed </w:t>
      </w:r>
      <w:r w:rsidRPr="002B6ABA">
        <w:rPr>
          <w:i/>
        </w:rPr>
        <w:t>et al.</w:t>
      </w:r>
      <w:r w:rsidRPr="002B6ABA">
        <w:t xml:space="preserve"> (2024), treatment with 50 ppm GA</w:t>
      </w:r>
      <w:r w:rsidRPr="002B6ABA">
        <w:rPr>
          <w:vertAlign w:val="subscript"/>
        </w:rPr>
        <w:t>3</w:t>
      </w:r>
      <w:r w:rsidRPr="002B6ABA">
        <w:t xml:space="preserve"> produced the greatest number of fingers in banana. This may be because GA</w:t>
      </w:r>
      <w:r w:rsidRPr="002B6ABA">
        <w:rPr>
          <w:vertAlign w:val="subscript"/>
        </w:rPr>
        <w:t>3</w:t>
      </w:r>
      <w:r w:rsidRPr="002B6ABA">
        <w:t xml:space="preserve"> stimulates ovary development and increases the production of hormones responsible for fruit growth and development, thereby increasing fruit set (Gurjar </w:t>
      </w:r>
      <w:r w:rsidRPr="002B6ABA">
        <w:rPr>
          <w:i/>
        </w:rPr>
        <w:t>et al.</w:t>
      </w:r>
      <w:r w:rsidRPr="002B6ABA">
        <w:t>, 2023). Chitosan contains nitrogen, which is essential for the production of tryptophan, the basic building block for IAA synthesis. This results in increased flowering and reduced fruit drop (</w:t>
      </w:r>
      <w:r w:rsidR="00FF3897" w:rsidRPr="00FF3897">
        <w:t xml:space="preserve">El </w:t>
      </w:r>
      <w:proofErr w:type="spellStart"/>
      <w:r w:rsidR="00FF3897" w:rsidRPr="00FF3897">
        <w:t>Amerany</w:t>
      </w:r>
      <w:proofErr w:type="spellEnd"/>
      <w:r w:rsidRPr="002B6ABA">
        <w:t xml:space="preserve"> </w:t>
      </w:r>
      <w:r w:rsidRPr="002B6ABA">
        <w:rPr>
          <w:i/>
        </w:rPr>
        <w:t>et al.</w:t>
      </w:r>
      <w:r w:rsidRPr="002B6ABA">
        <w:t>, 2022).</w:t>
      </w:r>
    </w:p>
    <w:p w14:paraId="1485FEE4" w14:textId="77777777" w:rsidR="00C37292" w:rsidRPr="002B6ABA" w:rsidRDefault="00C36676" w:rsidP="00280D4C">
      <w:pPr>
        <w:spacing w:before="120" w:after="120" w:line="360" w:lineRule="auto"/>
        <w:jc w:val="both"/>
        <w:rPr>
          <w:rFonts w:ascii="Times New Roman" w:hAnsi="Times New Roman" w:cs="Times New Roman"/>
          <w:b/>
          <w:sz w:val="24"/>
        </w:rPr>
      </w:pPr>
      <w:r w:rsidRPr="002B6ABA">
        <w:rPr>
          <w:b/>
        </w:rPr>
        <w:t>3.5 Bunch length (first hand to last hand)</w:t>
      </w:r>
    </w:p>
    <w:p w14:paraId="739029B2" w14:textId="77777777" w:rsidR="00EA47F5" w:rsidRPr="002B6ABA" w:rsidRDefault="00B66EF3" w:rsidP="002A485A">
      <w:pPr>
        <w:spacing w:line="360" w:lineRule="auto"/>
        <w:jc w:val="both"/>
        <w:rPr>
          <w:rFonts w:ascii="Times New Roman" w:hAnsi="Times New Roman" w:cs="Times New Roman"/>
          <w:sz w:val="24"/>
          <w:szCs w:val="24"/>
        </w:rPr>
      </w:pPr>
      <w:r w:rsidRPr="002B6ABA">
        <w:t>The maximum bunch length (89.67 cm) was recorded in G</w:t>
      </w:r>
      <w:r w:rsidRPr="002B6ABA">
        <w:rPr>
          <w:vertAlign w:val="subscript"/>
        </w:rPr>
        <w:t>1</w:t>
      </w:r>
      <w:r w:rsidRPr="002B6ABA">
        <w:t>C</w:t>
      </w:r>
      <w:r w:rsidRPr="002B6ABA">
        <w:rPr>
          <w:vertAlign w:val="subscript"/>
        </w:rPr>
        <w:t>2</w:t>
      </w:r>
      <w:r w:rsidRPr="002B6ABA">
        <w:t>, whereas the minimum bunch length (62.67 cm) was recorded in untreated plants (G</w:t>
      </w:r>
      <w:r w:rsidRPr="002B6ABA">
        <w:rPr>
          <w:vertAlign w:val="subscript"/>
        </w:rPr>
        <w:t>0</w:t>
      </w:r>
      <w:r w:rsidRPr="002B6ABA">
        <w:t>C</w:t>
      </w:r>
      <w:r w:rsidRPr="002B6ABA">
        <w:rPr>
          <w:vertAlign w:val="subscript"/>
        </w:rPr>
        <w:t>0</w:t>
      </w:r>
      <w:r w:rsidRPr="002B6ABA">
        <w:t xml:space="preserve">) (Table 1). Wagle </w:t>
      </w:r>
      <w:r w:rsidRPr="002B6ABA">
        <w:rPr>
          <w:i/>
        </w:rPr>
        <w:t>et al.</w:t>
      </w:r>
      <w:r w:rsidRPr="002B6ABA">
        <w:t xml:space="preserve"> (2022) reported that a post-shooting spray of 100 ppm GA</w:t>
      </w:r>
      <w:r w:rsidRPr="002B6ABA">
        <w:rPr>
          <w:vertAlign w:val="subscript"/>
        </w:rPr>
        <w:t>3</w:t>
      </w:r>
      <w:r w:rsidRPr="002B6ABA">
        <w:t xml:space="preserve"> resulted in the longest bunch length. This may be because foliar spraying with gibberellic acid can accelerate photosynthesis by promoting plant growth and development. Internode and bunch length increase as a result of cell elongation and cell division supported by higher photosynthetic outputs (Oleiwi </w:t>
      </w:r>
      <w:r w:rsidRPr="002B6ABA">
        <w:rPr>
          <w:i/>
        </w:rPr>
        <w:t>et al.</w:t>
      </w:r>
      <w:r w:rsidRPr="002B6ABA">
        <w:t xml:space="preserve">, 2023). Yazar (2025) showed that chitosan application increased the activities of important nitrogen-metabolism enzymes and improved nitrogen (N) transport in functional leaves, which extended banana bunch length. Banana bunch length may also increase because of cell division and cell elongation associated with antenna molecules in the photosystem II reaction centre (PSII), which improves energy-transfer efficiency and makes nitrogen available to plants (El Amerany </w:t>
      </w:r>
      <w:r w:rsidRPr="002B6ABA">
        <w:rPr>
          <w:i/>
        </w:rPr>
        <w:t>et al.</w:t>
      </w:r>
      <w:r w:rsidRPr="002B6ABA">
        <w:t>, 2022).</w:t>
      </w:r>
    </w:p>
    <w:p w14:paraId="7C9C8CB1" w14:textId="77777777" w:rsidR="00B66EF3" w:rsidRPr="002B6ABA" w:rsidRDefault="00C36676" w:rsidP="00280D4C">
      <w:pPr>
        <w:spacing w:before="120" w:after="120" w:line="360" w:lineRule="auto"/>
        <w:rPr>
          <w:rFonts w:ascii="Times New Roman" w:hAnsi="Times New Roman" w:cs="Times New Roman"/>
          <w:b/>
          <w:sz w:val="24"/>
        </w:rPr>
      </w:pPr>
      <w:r w:rsidRPr="002B6ABA">
        <w:rPr>
          <w:rFonts w:ascii="Times New Roman" w:hAnsi="Times New Roman" w:cs="Times New Roman"/>
          <w:b/>
          <w:sz w:val="24"/>
        </w:rPr>
        <w:t xml:space="preserve">3.6 </w:t>
      </w:r>
      <w:r w:rsidR="00B66EF3" w:rsidRPr="002B6ABA">
        <w:rPr>
          <w:rFonts w:ascii="Times New Roman" w:hAnsi="Times New Roman" w:cs="Times New Roman"/>
          <w:b/>
          <w:sz w:val="24"/>
        </w:rPr>
        <w:t>Pulp-peel ratio</w:t>
      </w:r>
    </w:p>
    <w:p w14:paraId="1CCE6C65" w14:textId="77777777" w:rsidR="00B66EF3" w:rsidRPr="002B6ABA" w:rsidRDefault="00F8142D" w:rsidP="00966B72">
      <w:pPr>
        <w:spacing w:line="360" w:lineRule="auto"/>
        <w:jc w:val="both"/>
        <w:rPr>
          <w:rFonts w:ascii="Times New Roman" w:hAnsi="Times New Roman" w:cs="Times New Roman"/>
          <w:sz w:val="24"/>
          <w:szCs w:val="24"/>
        </w:rPr>
      </w:pPr>
      <w:r w:rsidRPr="002B6ABA">
        <w:t>Foliar application of G</w:t>
      </w:r>
      <w:r w:rsidRPr="002B6ABA">
        <w:rPr>
          <w:vertAlign w:val="subscript"/>
        </w:rPr>
        <w:t>0</w:t>
      </w:r>
      <w:r w:rsidRPr="002B6ABA">
        <w:t>C</w:t>
      </w:r>
      <w:r w:rsidRPr="002B6ABA">
        <w:rPr>
          <w:vertAlign w:val="subscript"/>
        </w:rPr>
        <w:t>2</w:t>
      </w:r>
      <w:r w:rsidRPr="002B6ABA">
        <w:t xml:space="preserve"> resulted in the highest pulp-to-peel ratio (3.71), which was statistically equivalent to that of the G</w:t>
      </w:r>
      <w:r w:rsidRPr="002B6ABA">
        <w:rPr>
          <w:vertAlign w:val="subscript"/>
        </w:rPr>
        <w:t>1</w:t>
      </w:r>
      <w:r w:rsidRPr="002B6ABA">
        <w:t>C</w:t>
      </w:r>
      <w:r w:rsidRPr="002B6ABA">
        <w:rPr>
          <w:vertAlign w:val="subscript"/>
        </w:rPr>
        <w:t>2</w:t>
      </w:r>
      <w:r w:rsidRPr="002B6ABA">
        <w:t xml:space="preserve"> treatment combination. Plants without chitosan and GA</w:t>
      </w:r>
      <w:r w:rsidRPr="002B6ABA">
        <w:rPr>
          <w:vertAlign w:val="subscript"/>
        </w:rPr>
        <w:t>3</w:t>
      </w:r>
      <w:r w:rsidRPr="002B6ABA">
        <w:t xml:space="preserve"> (G</w:t>
      </w:r>
      <w:r w:rsidRPr="002B6ABA">
        <w:rPr>
          <w:vertAlign w:val="subscript"/>
        </w:rPr>
        <w:t>0</w:t>
      </w:r>
      <w:r w:rsidRPr="002B6ABA">
        <w:t>C</w:t>
      </w:r>
      <w:r w:rsidRPr="002B6ABA">
        <w:rPr>
          <w:vertAlign w:val="subscript"/>
        </w:rPr>
        <w:t>0</w:t>
      </w:r>
      <w:r w:rsidRPr="002B6ABA">
        <w:t xml:space="preserve">) had the lowest pulp-to-peel ratio (2.42), as shown in Table 1. Wagle </w:t>
      </w:r>
      <w:r w:rsidRPr="002B6ABA">
        <w:rPr>
          <w:i/>
        </w:rPr>
        <w:t>et al.</w:t>
      </w:r>
      <w:r w:rsidRPr="002B6ABA">
        <w:t xml:space="preserve"> (2022) reported that applying 100 ppm GA</w:t>
      </w:r>
      <w:r w:rsidRPr="002B6ABA">
        <w:rPr>
          <w:vertAlign w:val="subscript"/>
        </w:rPr>
        <w:t>3</w:t>
      </w:r>
      <w:r w:rsidRPr="002B6ABA">
        <w:t xml:space="preserve"> resulted in the highest pulp-to-peel ratio in banana. A higher pulp-to-peel ratio indicates that a greater proportion of biomass was converted into edible fruit pulp. The rapid synthesis of metabolites, particularly carbohydrates, and their translocation to fruits following GA</w:t>
      </w:r>
      <w:r w:rsidRPr="002B6ABA">
        <w:rPr>
          <w:vertAlign w:val="subscript"/>
        </w:rPr>
        <w:t>3</w:t>
      </w:r>
      <w:r w:rsidRPr="002B6ABA">
        <w:t xml:space="preserve"> foliar spraying may have led to a relatively higher pulp-to-peel content (Shrestha </w:t>
      </w:r>
      <w:r w:rsidRPr="002B6ABA">
        <w:rPr>
          <w:i/>
        </w:rPr>
        <w:t>et al.</w:t>
      </w:r>
      <w:r w:rsidRPr="002B6ABA">
        <w:t>, 2023).</w:t>
      </w:r>
    </w:p>
    <w:p w14:paraId="36212F8A" w14:textId="77777777" w:rsidR="003C2A86" w:rsidRPr="002B6ABA" w:rsidRDefault="003C2A86" w:rsidP="003C2A86">
      <w:pPr>
        <w:spacing w:after="120" w:line="360" w:lineRule="auto"/>
        <w:ind w:left="900" w:hanging="810"/>
        <w:jc w:val="both"/>
        <w:rPr>
          <w:rFonts w:ascii="Times New Roman" w:eastAsia="Calibri" w:hAnsi="Times New Roman" w:cs="Times New Roman"/>
          <w:b/>
          <w:sz w:val="24"/>
          <w:szCs w:val="24"/>
        </w:rPr>
      </w:pPr>
      <w:r w:rsidRPr="002B6ABA">
        <w:rPr>
          <w:rFonts w:ascii="Times New Roman" w:eastAsia="Calibri" w:hAnsi="Times New Roman" w:cs="Times New Roman"/>
          <w:b/>
          <w:bCs/>
          <w:sz w:val="24"/>
          <w:szCs w:val="24"/>
        </w:rPr>
        <w:t xml:space="preserve">Table </w:t>
      </w:r>
      <w:r w:rsidR="00D374F8" w:rsidRPr="002B6ABA">
        <w:rPr>
          <w:rFonts w:ascii="Times New Roman" w:eastAsia="Calibri" w:hAnsi="Times New Roman" w:cs="Times New Roman"/>
          <w:b/>
          <w:bCs/>
          <w:sz w:val="24"/>
          <w:szCs w:val="24"/>
        </w:rPr>
        <w:t>1</w:t>
      </w:r>
      <w:r w:rsidR="00327359" w:rsidRPr="002B6ABA">
        <w:rPr>
          <w:rFonts w:ascii="Times New Roman" w:eastAsia="Calibri" w:hAnsi="Times New Roman" w:cs="Times New Roman"/>
          <w:b/>
          <w:bCs/>
          <w:sz w:val="24"/>
          <w:szCs w:val="24"/>
        </w:rPr>
        <w:t>.</w:t>
      </w:r>
      <w:r w:rsidRPr="002B6ABA">
        <w:rPr>
          <w:rFonts w:ascii="Times New Roman" w:eastAsia="Calibri" w:hAnsi="Times New Roman" w:cs="Times New Roman"/>
          <w:b/>
          <w:bCs/>
          <w:sz w:val="24"/>
          <w:szCs w:val="24"/>
        </w:rPr>
        <w:t xml:space="preserve"> </w:t>
      </w:r>
      <w:r w:rsidR="00327359" w:rsidRPr="002B6ABA">
        <w:rPr>
          <w:rFonts w:ascii="Times New Roman" w:hAnsi="Times New Roman" w:cs="Times New Roman"/>
          <w:b/>
          <w:bCs/>
          <w:sz w:val="24"/>
          <w:szCs w:val="24"/>
        </w:rPr>
        <w:t xml:space="preserve">Combined effect of </w:t>
      </w:r>
      <w:r w:rsidR="00FD5C71" w:rsidRPr="002B6ABA">
        <w:rPr>
          <w:rFonts w:ascii="Times New Roman" w:hAnsi="Times New Roman" w:cs="Times New Roman"/>
          <w:b/>
          <w:bCs/>
          <w:sz w:val="24"/>
          <w:szCs w:val="24"/>
        </w:rPr>
        <w:t>GA</w:t>
      </w:r>
      <w:r w:rsidR="00FD5C71" w:rsidRPr="002B6ABA">
        <w:rPr>
          <w:rFonts w:ascii="Times New Roman" w:hAnsi="Times New Roman" w:cs="Times New Roman"/>
          <w:b/>
          <w:bCs/>
          <w:sz w:val="24"/>
          <w:szCs w:val="24"/>
          <w:vertAlign w:val="subscript"/>
        </w:rPr>
        <w:t>3</w:t>
      </w:r>
      <w:r w:rsidR="00FD5C71" w:rsidRPr="002B6ABA">
        <w:rPr>
          <w:rFonts w:ascii="Times New Roman" w:hAnsi="Times New Roman" w:cs="Times New Roman"/>
          <w:b/>
          <w:bCs/>
          <w:sz w:val="24"/>
          <w:szCs w:val="24"/>
        </w:rPr>
        <w:t xml:space="preserve"> </w:t>
      </w:r>
      <w:r w:rsidR="00921E2A" w:rsidRPr="002B6ABA">
        <w:rPr>
          <w:rFonts w:ascii="Times New Roman" w:hAnsi="Times New Roman" w:cs="Times New Roman"/>
          <w:b/>
          <w:bCs/>
          <w:sz w:val="24"/>
          <w:szCs w:val="24"/>
        </w:rPr>
        <w:t xml:space="preserve">and </w:t>
      </w:r>
      <w:r w:rsidR="00FD5C71" w:rsidRPr="002B6ABA">
        <w:rPr>
          <w:rFonts w:ascii="Times New Roman" w:hAnsi="Times New Roman" w:cs="Times New Roman"/>
          <w:b/>
          <w:bCs/>
          <w:sz w:val="24"/>
          <w:szCs w:val="24"/>
        </w:rPr>
        <w:t xml:space="preserve">chitosan </w:t>
      </w:r>
      <w:r w:rsidR="00921E2A" w:rsidRPr="002B6ABA">
        <w:rPr>
          <w:rFonts w:ascii="Times New Roman" w:hAnsi="Times New Roman" w:cs="Times New Roman"/>
          <w:b/>
          <w:bCs/>
          <w:sz w:val="24"/>
          <w:szCs w:val="24"/>
        </w:rPr>
        <w:t xml:space="preserve">on yield and yield contributing parameters of </w:t>
      </w:r>
      <w:r w:rsidR="00921E2A" w:rsidRPr="002B6ABA">
        <w:rPr>
          <w:rFonts w:ascii="Times New Roman" w:hAnsi="Times New Roman" w:cs="Times New Roman"/>
          <w:b/>
          <w:sz w:val="24"/>
          <w:szCs w:val="24"/>
        </w:rPr>
        <w:t>Banana</w:t>
      </w:r>
    </w:p>
    <w:tbl>
      <w:tblPr>
        <w:tblStyle w:val="TableGrid"/>
        <w:tblW w:w="94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1"/>
        <w:gridCol w:w="1483"/>
        <w:gridCol w:w="1041"/>
        <w:gridCol w:w="1556"/>
        <w:gridCol w:w="1630"/>
        <w:gridCol w:w="1151"/>
        <w:gridCol w:w="1219"/>
      </w:tblGrid>
      <w:tr w:rsidR="003C2A86" w:rsidRPr="002B6ABA" w14:paraId="2CFA493E" w14:textId="77777777" w:rsidTr="001C7CAD">
        <w:trPr>
          <w:trHeight w:val="422"/>
          <w:jc w:val="center"/>
        </w:trPr>
        <w:tc>
          <w:tcPr>
            <w:tcW w:w="1381" w:type="dxa"/>
            <w:tcBorders>
              <w:top w:val="single" w:sz="4" w:space="0" w:color="auto"/>
              <w:bottom w:val="single" w:sz="4" w:space="0" w:color="auto"/>
            </w:tcBorders>
          </w:tcPr>
          <w:p w14:paraId="32299A99" w14:textId="77777777" w:rsidR="003C2A86" w:rsidRPr="002B6ABA" w:rsidRDefault="003C2A86" w:rsidP="00853B95">
            <w:pPr>
              <w:rPr>
                <w:rFonts w:ascii="Times New Roman" w:hAnsi="Times New Roman" w:cs="Times New Roman"/>
                <w:b/>
                <w:bCs/>
              </w:rPr>
            </w:pPr>
            <w:r w:rsidRPr="002B6ABA">
              <w:rPr>
                <w:rFonts w:ascii="Times New Roman" w:hAnsi="Times New Roman" w:cs="Times New Roman"/>
                <w:b/>
                <w:bCs/>
              </w:rPr>
              <w:t>Treatments</w:t>
            </w:r>
          </w:p>
        </w:tc>
        <w:tc>
          <w:tcPr>
            <w:tcW w:w="1483" w:type="dxa"/>
            <w:tcBorders>
              <w:top w:val="single" w:sz="4" w:space="0" w:color="auto"/>
              <w:bottom w:val="single" w:sz="4" w:space="0" w:color="auto"/>
            </w:tcBorders>
          </w:tcPr>
          <w:p w14:paraId="011CB4C8" w14:textId="77777777" w:rsidR="003C2A86" w:rsidRPr="002B6ABA" w:rsidRDefault="003C2A86" w:rsidP="00853B95">
            <w:pPr>
              <w:jc w:val="center"/>
              <w:rPr>
                <w:rFonts w:ascii="Times New Roman" w:hAnsi="Times New Roman" w:cs="Times New Roman"/>
                <w:b/>
                <w:bCs/>
              </w:rPr>
            </w:pPr>
            <w:r w:rsidRPr="002B6ABA">
              <w:rPr>
                <w:rFonts w:ascii="Times New Roman" w:hAnsi="Times New Roman" w:cs="Times New Roman"/>
                <w:b/>
                <w:bCs/>
              </w:rPr>
              <w:t xml:space="preserve">Days required for </w:t>
            </w:r>
            <w:r w:rsidRPr="002B6ABA">
              <w:rPr>
                <w:rFonts w:ascii="Times New Roman" w:hAnsi="Times New Roman" w:cs="Times New Roman"/>
                <w:b/>
                <w:bCs/>
              </w:rPr>
              <w:lastRenderedPageBreak/>
              <w:t>harvesting</w:t>
            </w:r>
          </w:p>
        </w:tc>
        <w:tc>
          <w:tcPr>
            <w:tcW w:w="1041" w:type="dxa"/>
            <w:tcBorders>
              <w:top w:val="single" w:sz="4" w:space="0" w:color="auto"/>
              <w:bottom w:val="single" w:sz="4" w:space="0" w:color="auto"/>
            </w:tcBorders>
          </w:tcPr>
          <w:p w14:paraId="454FFDED" w14:textId="77777777" w:rsidR="003C2A86" w:rsidRPr="002B6ABA" w:rsidRDefault="003C2A86" w:rsidP="00853B95">
            <w:pPr>
              <w:jc w:val="center"/>
              <w:rPr>
                <w:rFonts w:ascii="Times New Roman" w:hAnsi="Times New Roman" w:cs="Times New Roman"/>
                <w:b/>
                <w:bCs/>
              </w:rPr>
            </w:pPr>
            <w:r w:rsidRPr="002B6ABA">
              <w:rPr>
                <w:rFonts w:ascii="Times New Roman" w:hAnsi="Times New Roman" w:cs="Times New Roman"/>
                <w:b/>
                <w:bCs/>
              </w:rPr>
              <w:lastRenderedPageBreak/>
              <w:t xml:space="preserve">Bunch length </w:t>
            </w:r>
            <w:r w:rsidRPr="002B6ABA">
              <w:rPr>
                <w:rFonts w:ascii="Times New Roman" w:hAnsi="Times New Roman" w:cs="Times New Roman"/>
                <w:b/>
                <w:bCs/>
              </w:rPr>
              <w:lastRenderedPageBreak/>
              <w:t>(cm)</w:t>
            </w:r>
          </w:p>
        </w:tc>
        <w:tc>
          <w:tcPr>
            <w:tcW w:w="1556" w:type="dxa"/>
            <w:tcBorders>
              <w:top w:val="single" w:sz="4" w:space="0" w:color="auto"/>
              <w:bottom w:val="single" w:sz="4" w:space="0" w:color="auto"/>
            </w:tcBorders>
          </w:tcPr>
          <w:p w14:paraId="28CD3974" w14:textId="77777777" w:rsidR="003C2A86" w:rsidRPr="002B6ABA" w:rsidRDefault="003C2A86" w:rsidP="00853B95">
            <w:pPr>
              <w:jc w:val="center"/>
              <w:rPr>
                <w:rFonts w:ascii="Times New Roman" w:hAnsi="Times New Roman" w:cs="Times New Roman"/>
                <w:b/>
                <w:bCs/>
              </w:rPr>
            </w:pPr>
            <w:r w:rsidRPr="002B6ABA">
              <w:rPr>
                <w:rFonts w:ascii="Times New Roman" w:hAnsi="Times New Roman" w:cs="Times New Roman"/>
                <w:b/>
                <w:bCs/>
              </w:rPr>
              <w:lastRenderedPageBreak/>
              <w:t>Number of hands/bunch</w:t>
            </w:r>
          </w:p>
        </w:tc>
        <w:tc>
          <w:tcPr>
            <w:tcW w:w="1630" w:type="dxa"/>
            <w:tcBorders>
              <w:top w:val="single" w:sz="4" w:space="0" w:color="auto"/>
              <w:bottom w:val="single" w:sz="4" w:space="0" w:color="auto"/>
            </w:tcBorders>
          </w:tcPr>
          <w:p w14:paraId="6421D99A" w14:textId="77777777" w:rsidR="003C2A86" w:rsidRPr="002B6ABA" w:rsidRDefault="003C2A86" w:rsidP="00853B95">
            <w:pPr>
              <w:jc w:val="center"/>
              <w:rPr>
                <w:rFonts w:ascii="Times New Roman" w:hAnsi="Times New Roman" w:cs="Times New Roman"/>
                <w:b/>
                <w:bCs/>
              </w:rPr>
            </w:pPr>
            <w:r w:rsidRPr="002B6ABA">
              <w:rPr>
                <w:rFonts w:ascii="Times New Roman" w:hAnsi="Times New Roman" w:cs="Times New Roman"/>
                <w:b/>
                <w:bCs/>
              </w:rPr>
              <w:t>Number of fingers/bunch</w:t>
            </w:r>
          </w:p>
        </w:tc>
        <w:tc>
          <w:tcPr>
            <w:tcW w:w="1151" w:type="dxa"/>
            <w:tcBorders>
              <w:top w:val="single" w:sz="4" w:space="0" w:color="auto"/>
              <w:bottom w:val="single" w:sz="4" w:space="0" w:color="auto"/>
            </w:tcBorders>
          </w:tcPr>
          <w:p w14:paraId="01A5C736" w14:textId="77777777" w:rsidR="003C2A86" w:rsidRPr="002B6ABA" w:rsidRDefault="003C2A86" w:rsidP="00853B95">
            <w:pPr>
              <w:jc w:val="center"/>
              <w:rPr>
                <w:rFonts w:ascii="Times New Roman" w:hAnsi="Times New Roman" w:cs="Times New Roman"/>
                <w:b/>
                <w:bCs/>
              </w:rPr>
            </w:pPr>
            <w:r w:rsidRPr="002B6ABA">
              <w:rPr>
                <w:rFonts w:ascii="Times New Roman" w:hAnsi="Times New Roman" w:cs="Times New Roman"/>
                <w:b/>
                <w:bCs/>
              </w:rPr>
              <w:t xml:space="preserve">Bunch weight </w:t>
            </w:r>
            <w:r w:rsidRPr="002B6ABA">
              <w:rPr>
                <w:rFonts w:ascii="Times New Roman" w:hAnsi="Times New Roman" w:cs="Times New Roman"/>
                <w:b/>
                <w:bCs/>
              </w:rPr>
              <w:lastRenderedPageBreak/>
              <w:t>(kg)</w:t>
            </w:r>
          </w:p>
        </w:tc>
        <w:tc>
          <w:tcPr>
            <w:tcW w:w="1219" w:type="dxa"/>
            <w:tcBorders>
              <w:top w:val="single" w:sz="4" w:space="0" w:color="auto"/>
              <w:bottom w:val="single" w:sz="4" w:space="0" w:color="auto"/>
            </w:tcBorders>
          </w:tcPr>
          <w:p w14:paraId="4FD8030F" w14:textId="77777777" w:rsidR="003C2A86" w:rsidRPr="002B6ABA" w:rsidRDefault="003C2A86" w:rsidP="00853B95">
            <w:pPr>
              <w:jc w:val="center"/>
              <w:rPr>
                <w:rFonts w:ascii="Times New Roman" w:hAnsi="Times New Roman" w:cs="Times New Roman"/>
                <w:b/>
                <w:bCs/>
              </w:rPr>
            </w:pPr>
            <w:proofErr w:type="spellStart"/>
            <w:r w:rsidRPr="002B6ABA">
              <w:rPr>
                <w:rFonts w:ascii="Times New Roman" w:hAnsi="Times New Roman" w:cs="Times New Roman"/>
                <w:b/>
                <w:bCs/>
              </w:rPr>
              <w:lastRenderedPageBreak/>
              <w:t>Pulp:Peel</w:t>
            </w:r>
            <w:proofErr w:type="spellEnd"/>
          </w:p>
        </w:tc>
      </w:tr>
      <w:tr w:rsidR="003C2A86" w:rsidRPr="002B6ABA" w14:paraId="1D13B6C0" w14:textId="77777777" w:rsidTr="001C7CAD">
        <w:trPr>
          <w:jc w:val="center"/>
        </w:trPr>
        <w:tc>
          <w:tcPr>
            <w:tcW w:w="1381" w:type="dxa"/>
            <w:tcBorders>
              <w:top w:val="single" w:sz="4" w:space="0" w:color="auto"/>
            </w:tcBorders>
          </w:tcPr>
          <w:p w14:paraId="18D898F5" w14:textId="77777777" w:rsidR="003C2A86" w:rsidRPr="002B6ABA" w:rsidRDefault="003C2A86" w:rsidP="00853B95">
            <w:pPr>
              <w:spacing w:line="276" w:lineRule="auto"/>
              <w:rPr>
                <w:rFonts w:ascii="Times New Roman" w:hAnsi="Times New Roman" w:cs="Times New Roman"/>
                <w:vertAlign w:val="subscript"/>
              </w:rPr>
            </w:pPr>
            <w:r w:rsidRPr="002B6ABA">
              <w:rPr>
                <w:rFonts w:ascii="Times New Roman" w:hAnsi="Times New Roman" w:cs="Times New Roman"/>
              </w:rPr>
              <w:t>G</w:t>
            </w:r>
            <w:r w:rsidRPr="002B6ABA">
              <w:rPr>
                <w:rFonts w:ascii="Times New Roman" w:hAnsi="Times New Roman" w:cs="Times New Roman"/>
                <w:vertAlign w:val="subscript"/>
              </w:rPr>
              <w:t>0</w:t>
            </w:r>
            <w:r w:rsidRPr="002B6ABA">
              <w:rPr>
                <w:rFonts w:ascii="Times New Roman" w:hAnsi="Times New Roman" w:cs="Times New Roman"/>
              </w:rPr>
              <w:t>C</w:t>
            </w:r>
            <w:r w:rsidRPr="002B6ABA">
              <w:rPr>
                <w:rFonts w:ascii="Times New Roman" w:hAnsi="Times New Roman" w:cs="Times New Roman"/>
                <w:vertAlign w:val="subscript"/>
              </w:rPr>
              <w:t xml:space="preserve">0 </w:t>
            </w:r>
          </w:p>
        </w:tc>
        <w:tc>
          <w:tcPr>
            <w:tcW w:w="1483" w:type="dxa"/>
            <w:tcBorders>
              <w:top w:val="single" w:sz="4" w:space="0" w:color="auto"/>
            </w:tcBorders>
          </w:tcPr>
          <w:p w14:paraId="4870A2C7"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148.00a</w:t>
            </w:r>
          </w:p>
        </w:tc>
        <w:tc>
          <w:tcPr>
            <w:tcW w:w="1041" w:type="dxa"/>
            <w:tcBorders>
              <w:top w:val="single" w:sz="4" w:space="0" w:color="auto"/>
            </w:tcBorders>
          </w:tcPr>
          <w:p w14:paraId="242199D7"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62.67f</w:t>
            </w:r>
          </w:p>
        </w:tc>
        <w:tc>
          <w:tcPr>
            <w:tcW w:w="1556" w:type="dxa"/>
            <w:tcBorders>
              <w:top w:val="single" w:sz="4" w:space="0" w:color="auto"/>
            </w:tcBorders>
          </w:tcPr>
          <w:p w14:paraId="38179603"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7.33f</w:t>
            </w:r>
          </w:p>
        </w:tc>
        <w:tc>
          <w:tcPr>
            <w:tcW w:w="1630" w:type="dxa"/>
            <w:tcBorders>
              <w:top w:val="single" w:sz="4" w:space="0" w:color="auto"/>
            </w:tcBorders>
          </w:tcPr>
          <w:p w14:paraId="7BE2C0CF"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102.67e</w:t>
            </w:r>
          </w:p>
        </w:tc>
        <w:tc>
          <w:tcPr>
            <w:tcW w:w="1151" w:type="dxa"/>
            <w:tcBorders>
              <w:top w:val="single" w:sz="4" w:space="0" w:color="auto"/>
            </w:tcBorders>
          </w:tcPr>
          <w:p w14:paraId="450BCF97"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16.34h</w:t>
            </w:r>
          </w:p>
        </w:tc>
        <w:tc>
          <w:tcPr>
            <w:tcW w:w="1219" w:type="dxa"/>
            <w:tcBorders>
              <w:top w:val="single" w:sz="4" w:space="0" w:color="auto"/>
            </w:tcBorders>
          </w:tcPr>
          <w:p w14:paraId="7127C093"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2.42f</w:t>
            </w:r>
          </w:p>
        </w:tc>
      </w:tr>
      <w:tr w:rsidR="003C2A86" w:rsidRPr="002B6ABA" w14:paraId="3E42763D" w14:textId="77777777" w:rsidTr="001C7CAD">
        <w:trPr>
          <w:jc w:val="center"/>
        </w:trPr>
        <w:tc>
          <w:tcPr>
            <w:tcW w:w="1381" w:type="dxa"/>
          </w:tcPr>
          <w:p w14:paraId="1856943B" w14:textId="77777777" w:rsidR="003C2A86" w:rsidRPr="002B6ABA" w:rsidRDefault="003C2A86" w:rsidP="00853B95">
            <w:pPr>
              <w:spacing w:line="276" w:lineRule="auto"/>
              <w:rPr>
                <w:rFonts w:ascii="Times New Roman" w:hAnsi="Times New Roman" w:cs="Times New Roman"/>
                <w:vertAlign w:val="subscript"/>
              </w:rPr>
            </w:pPr>
            <w:r w:rsidRPr="002B6ABA">
              <w:rPr>
                <w:rFonts w:ascii="Times New Roman" w:hAnsi="Times New Roman" w:cs="Times New Roman"/>
              </w:rPr>
              <w:t>G</w:t>
            </w:r>
            <w:r w:rsidRPr="002B6ABA">
              <w:rPr>
                <w:rFonts w:ascii="Times New Roman" w:hAnsi="Times New Roman" w:cs="Times New Roman"/>
                <w:vertAlign w:val="subscript"/>
              </w:rPr>
              <w:t>0</w:t>
            </w:r>
            <w:r w:rsidRPr="002B6ABA">
              <w:rPr>
                <w:rFonts w:ascii="Times New Roman" w:hAnsi="Times New Roman" w:cs="Times New Roman"/>
              </w:rPr>
              <w:t>C</w:t>
            </w:r>
            <w:r w:rsidRPr="002B6ABA">
              <w:rPr>
                <w:rFonts w:ascii="Times New Roman" w:hAnsi="Times New Roman" w:cs="Times New Roman"/>
                <w:vertAlign w:val="subscript"/>
              </w:rPr>
              <w:t>1</w:t>
            </w:r>
          </w:p>
        </w:tc>
        <w:tc>
          <w:tcPr>
            <w:tcW w:w="1483" w:type="dxa"/>
          </w:tcPr>
          <w:p w14:paraId="4C8162EA"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137.00b</w:t>
            </w:r>
          </w:p>
        </w:tc>
        <w:tc>
          <w:tcPr>
            <w:tcW w:w="1041" w:type="dxa"/>
          </w:tcPr>
          <w:p w14:paraId="1ABC8FCA"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69.00e</w:t>
            </w:r>
          </w:p>
        </w:tc>
        <w:tc>
          <w:tcPr>
            <w:tcW w:w="1556" w:type="dxa"/>
          </w:tcPr>
          <w:p w14:paraId="4EE4F79F"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7.67ef</w:t>
            </w:r>
          </w:p>
        </w:tc>
        <w:tc>
          <w:tcPr>
            <w:tcW w:w="1630" w:type="dxa"/>
          </w:tcPr>
          <w:p w14:paraId="40FC744A"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111.67d</w:t>
            </w:r>
          </w:p>
        </w:tc>
        <w:tc>
          <w:tcPr>
            <w:tcW w:w="1151" w:type="dxa"/>
          </w:tcPr>
          <w:p w14:paraId="30061972"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17.24g</w:t>
            </w:r>
          </w:p>
        </w:tc>
        <w:tc>
          <w:tcPr>
            <w:tcW w:w="1219" w:type="dxa"/>
          </w:tcPr>
          <w:p w14:paraId="750AE6BA"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3.26c</w:t>
            </w:r>
          </w:p>
        </w:tc>
      </w:tr>
      <w:tr w:rsidR="003C2A86" w:rsidRPr="002B6ABA" w14:paraId="07484D1B" w14:textId="77777777" w:rsidTr="001C7CAD">
        <w:trPr>
          <w:jc w:val="center"/>
        </w:trPr>
        <w:tc>
          <w:tcPr>
            <w:tcW w:w="1381" w:type="dxa"/>
          </w:tcPr>
          <w:p w14:paraId="16BEE7FE" w14:textId="77777777" w:rsidR="003C2A86" w:rsidRPr="002B6ABA" w:rsidRDefault="003C2A86" w:rsidP="00853B95">
            <w:pPr>
              <w:spacing w:line="276" w:lineRule="auto"/>
              <w:rPr>
                <w:rFonts w:ascii="Times New Roman" w:hAnsi="Times New Roman" w:cs="Times New Roman"/>
                <w:vertAlign w:val="subscript"/>
              </w:rPr>
            </w:pPr>
            <w:r w:rsidRPr="002B6ABA">
              <w:rPr>
                <w:rFonts w:ascii="Times New Roman" w:hAnsi="Times New Roman" w:cs="Times New Roman"/>
              </w:rPr>
              <w:t>G</w:t>
            </w:r>
            <w:r w:rsidRPr="002B6ABA">
              <w:rPr>
                <w:rFonts w:ascii="Times New Roman" w:hAnsi="Times New Roman" w:cs="Times New Roman"/>
                <w:vertAlign w:val="subscript"/>
              </w:rPr>
              <w:t>0</w:t>
            </w:r>
            <w:r w:rsidRPr="002B6ABA">
              <w:rPr>
                <w:rFonts w:ascii="Times New Roman" w:hAnsi="Times New Roman" w:cs="Times New Roman"/>
              </w:rPr>
              <w:t>C</w:t>
            </w:r>
            <w:r w:rsidRPr="002B6ABA">
              <w:rPr>
                <w:rFonts w:ascii="Times New Roman" w:hAnsi="Times New Roman" w:cs="Times New Roman"/>
                <w:vertAlign w:val="subscript"/>
              </w:rPr>
              <w:t>2</w:t>
            </w:r>
          </w:p>
        </w:tc>
        <w:tc>
          <w:tcPr>
            <w:tcW w:w="1483" w:type="dxa"/>
          </w:tcPr>
          <w:p w14:paraId="34D6A8FB"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129.00c</w:t>
            </w:r>
          </w:p>
        </w:tc>
        <w:tc>
          <w:tcPr>
            <w:tcW w:w="1041" w:type="dxa"/>
          </w:tcPr>
          <w:p w14:paraId="2A1D7762"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76.33d</w:t>
            </w:r>
          </w:p>
        </w:tc>
        <w:tc>
          <w:tcPr>
            <w:tcW w:w="1556" w:type="dxa"/>
          </w:tcPr>
          <w:p w14:paraId="4779A80B"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8.33de</w:t>
            </w:r>
          </w:p>
        </w:tc>
        <w:tc>
          <w:tcPr>
            <w:tcW w:w="1630" w:type="dxa"/>
          </w:tcPr>
          <w:p w14:paraId="213085BD"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120.67c</w:t>
            </w:r>
          </w:p>
        </w:tc>
        <w:tc>
          <w:tcPr>
            <w:tcW w:w="1151" w:type="dxa"/>
          </w:tcPr>
          <w:p w14:paraId="5D877209"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19.2</w:t>
            </w:r>
            <w:r w:rsidR="000706EC" w:rsidRPr="002B6ABA">
              <w:rPr>
                <w:rFonts w:ascii="Times New Roman" w:hAnsi="Times New Roman" w:cs="Times New Roman"/>
              </w:rPr>
              <w:t>0</w:t>
            </w:r>
            <w:r w:rsidRPr="002B6ABA">
              <w:rPr>
                <w:rFonts w:ascii="Times New Roman" w:hAnsi="Times New Roman" w:cs="Times New Roman"/>
              </w:rPr>
              <w:t>e</w:t>
            </w:r>
          </w:p>
        </w:tc>
        <w:tc>
          <w:tcPr>
            <w:tcW w:w="1219" w:type="dxa"/>
          </w:tcPr>
          <w:p w14:paraId="302E9CF6"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3.71a</w:t>
            </w:r>
          </w:p>
        </w:tc>
      </w:tr>
      <w:tr w:rsidR="003C2A86" w:rsidRPr="002B6ABA" w14:paraId="065FBFC9" w14:textId="77777777" w:rsidTr="001C7CAD">
        <w:trPr>
          <w:jc w:val="center"/>
        </w:trPr>
        <w:tc>
          <w:tcPr>
            <w:tcW w:w="1381" w:type="dxa"/>
          </w:tcPr>
          <w:p w14:paraId="7BC2C013" w14:textId="77777777" w:rsidR="003C2A86" w:rsidRPr="002B6ABA" w:rsidRDefault="003C2A86" w:rsidP="00853B95">
            <w:pPr>
              <w:spacing w:line="276" w:lineRule="auto"/>
              <w:rPr>
                <w:rFonts w:ascii="Times New Roman" w:hAnsi="Times New Roman" w:cs="Times New Roman"/>
              </w:rPr>
            </w:pPr>
            <w:r w:rsidRPr="002B6ABA">
              <w:rPr>
                <w:rFonts w:ascii="Times New Roman" w:hAnsi="Times New Roman" w:cs="Times New Roman"/>
              </w:rPr>
              <w:t>G</w:t>
            </w:r>
            <w:r w:rsidRPr="002B6ABA">
              <w:rPr>
                <w:rFonts w:ascii="Times New Roman" w:hAnsi="Times New Roman" w:cs="Times New Roman"/>
                <w:vertAlign w:val="subscript"/>
              </w:rPr>
              <w:t>1</w:t>
            </w:r>
            <w:r w:rsidRPr="002B6ABA">
              <w:rPr>
                <w:rFonts w:ascii="Times New Roman" w:hAnsi="Times New Roman" w:cs="Times New Roman"/>
              </w:rPr>
              <w:t>C</w:t>
            </w:r>
            <w:r w:rsidRPr="002B6ABA">
              <w:rPr>
                <w:rFonts w:ascii="Times New Roman" w:hAnsi="Times New Roman" w:cs="Times New Roman"/>
                <w:vertAlign w:val="subscript"/>
              </w:rPr>
              <w:t>0</w:t>
            </w:r>
          </w:p>
        </w:tc>
        <w:tc>
          <w:tcPr>
            <w:tcW w:w="1483" w:type="dxa"/>
          </w:tcPr>
          <w:p w14:paraId="794F8CBD"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102.00f</w:t>
            </w:r>
          </w:p>
        </w:tc>
        <w:tc>
          <w:tcPr>
            <w:tcW w:w="1041" w:type="dxa"/>
          </w:tcPr>
          <w:p w14:paraId="7BD727F7"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89.00a</w:t>
            </w:r>
          </w:p>
        </w:tc>
        <w:tc>
          <w:tcPr>
            <w:tcW w:w="1556" w:type="dxa"/>
          </w:tcPr>
          <w:p w14:paraId="082531EF"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10.33a</w:t>
            </w:r>
          </w:p>
        </w:tc>
        <w:tc>
          <w:tcPr>
            <w:tcW w:w="1630" w:type="dxa"/>
          </w:tcPr>
          <w:p w14:paraId="15F95367"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144.67a</w:t>
            </w:r>
          </w:p>
        </w:tc>
        <w:tc>
          <w:tcPr>
            <w:tcW w:w="1151" w:type="dxa"/>
          </w:tcPr>
          <w:p w14:paraId="19014507"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23.71b</w:t>
            </w:r>
          </w:p>
        </w:tc>
        <w:tc>
          <w:tcPr>
            <w:tcW w:w="1219" w:type="dxa"/>
          </w:tcPr>
          <w:p w14:paraId="60C1D045"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3.49b</w:t>
            </w:r>
          </w:p>
        </w:tc>
      </w:tr>
      <w:tr w:rsidR="003C2A86" w:rsidRPr="002B6ABA" w14:paraId="763D5F6F" w14:textId="77777777" w:rsidTr="001C7CAD">
        <w:trPr>
          <w:jc w:val="center"/>
        </w:trPr>
        <w:tc>
          <w:tcPr>
            <w:tcW w:w="1381" w:type="dxa"/>
          </w:tcPr>
          <w:p w14:paraId="224D37E5" w14:textId="77777777" w:rsidR="003C2A86" w:rsidRPr="002B6ABA" w:rsidRDefault="003C2A86" w:rsidP="00853B95">
            <w:pPr>
              <w:spacing w:line="276" w:lineRule="auto"/>
              <w:rPr>
                <w:rFonts w:ascii="Times New Roman" w:hAnsi="Times New Roman" w:cs="Times New Roman"/>
              </w:rPr>
            </w:pPr>
            <w:r w:rsidRPr="002B6ABA">
              <w:rPr>
                <w:rFonts w:ascii="Times New Roman" w:hAnsi="Times New Roman" w:cs="Times New Roman"/>
              </w:rPr>
              <w:t>G</w:t>
            </w:r>
            <w:r w:rsidRPr="002B6ABA">
              <w:rPr>
                <w:rFonts w:ascii="Times New Roman" w:hAnsi="Times New Roman" w:cs="Times New Roman"/>
                <w:vertAlign w:val="subscript"/>
              </w:rPr>
              <w:t>1</w:t>
            </w:r>
            <w:r w:rsidRPr="002B6ABA">
              <w:rPr>
                <w:rFonts w:ascii="Times New Roman" w:hAnsi="Times New Roman" w:cs="Times New Roman"/>
              </w:rPr>
              <w:t>C</w:t>
            </w:r>
            <w:r w:rsidRPr="002B6ABA">
              <w:rPr>
                <w:rFonts w:ascii="Times New Roman" w:hAnsi="Times New Roman" w:cs="Times New Roman"/>
                <w:vertAlign w:val="subscript"/>
              </w:rPr>
              <w:t>1</w:t>
            </w:r>
          </w:p>
        </w:tc>
        <w:tc>
          <w:tcPr>
            <w:tcW w:w="1483" w:type="dxa"/>
          </w:tcPr>
          <w:p w14:paraId="076616AD"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109.00e</w:t>
            </w:r>
          </w:p>
        </w:tc>
        <w:tc>
          <w:tcPr>
            <w:tcW w:w="1041" w:type="dxa"/>
          </w:tcPr>
          <w:p w14:paraId="72808D16"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80.67c</w:t>
            </w:r>
          </w:p>
        </w:tc>
        <w:tc>
          <w:tcPr>
            <w:tcW w:w="1556" w:type="dxa"/>
          </w:tcPr>
          <w:p w14:paraId="48B18592"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10.00ab</w:t>
            </w:r>
          </w:p>
        </w:tc>
        <w:tc>
          <w:tcPr>
            <w:tcW w:w="1630" w:type="dxa"/>
          </w:tcPr>
          <w:p w14:paraId="5D5E0030"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140.00a</w:t>
            </w:r>
          </w:p>
        </w:tc>
        <w:tc>
          <w:tcPr>
            <w:tcW w:w="1151" w:type="dxa"/>
          </w:tcPr>
          <w:p w14:paraId="7A3A1C95"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18.25f</w:t>
            </w:r>
          </w:p>
        </w:tc>
        <w:tc>
          <w:tcPr>
            <w:tcW w:w="1219" w:type="dxa"/>
          </w:tcPr>
          <w:p w14:paraId="22677698"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3.03d</w:t>
            </w:r>
          </w:p>
        </w:tc>
      </w:tr>
      <w:tr w:rsidR="003C2A86" w:rsidRPr="002B6ABA" w14:paraId="0200862E" w14:textId="77777777" w:rsidTr="001C7CAD">
        <w:trPr>
          <w:jc w:val="center"/>
        </w:trPr>
        <w:tc>
          <w:tcPr>
            <w:tcW w:w="1381" w:type="dxa"/>
          </w:tcPr>
          <w:p w14:paraId="2B832AB3" w14:textId="77777777" w:rsidR="003C2A86" w:rsidRPr="002B6ABA" w:rsidRDefault="003C2A86" w:rsidP="00853B95">
            <w:pPr>
              <w:spacing w:line="276" w:lineRule="auto"/>
              <w:rPr>
                <w:rFonts w:ascii="Times New Roman" w:hAnsi="Times New Roman" w:cs="Times New Roman"/>
              </w:rPr>
            </w:pPr>
            <w:r w:rsidRPr="002B6ABA">
              <w:rPr>
                <w:rFonts w:ascii="Times New Roman" w:hAnsi="Times New Roman" w:cs="Times New Roman"/>
              </w:rPr>
              <w:t>G</w:t>
            </w:r>
            <w:r w:rsidRPr="002B6ABA">
              <w:rPr>
                <w:rFonts w:ascii="Times New Roman" w:hAnsi="Times New Roman" w:cs="Times New Roman"/>
                <w:vertAlign w:val="subscript"/>
              </w:rPr>
              <w:t>1</w:t>
            </w:r>
            <w:r w:rsidRPr="002B6ABA">
              <w:rPr>
                <w:rFonts w:ascii="Times New Roman" w:hAnsi="Times New Roman" w:cs="Times New Roman"/>
              </w:rPr>
              <w:t>C</w:t>
            </w:r>
            <w:r w:rsidRPr="002B6ABA">
              <w:rPr>
                <w:rFonts w:ascii="Times New Roman" w:hAnsi="Times New Roman" w:cs="Times New Roman"/>
                <w:vertAlign w:val="subscript"/>
              </w:rPr>
              <w:t>2</w:t>
            </w:r>
          </w:p>
        </w:tc>
        <w:tc>
          <w:tcPr>
            <w:tcW w:w="1483" w:type="dxa"/>
          </w:tcPr>
          <w:p w14:paraId="6209D4CA"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105.00ef</w:t>
            </w:r>
          </w:p>
        </w:tc>
        <w:tc>
          <w:tcPr>
            <w:tcW w:w="1041" w:type="dxa"/>
          </w:tcPr>
          <w:p w14:paraId="2E353954"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89.67a</w:t>
            </w:r>
          </w:p>
        </w:tc>
        <w:tc>
          <w:tcPr>
            <w:tcW w:w="1556" w:type="dxa"/>
          </w:tcPr>
          <w:p w14:paraId="4AE50D3A"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10.33a</w:t>
            </w:r>
          </w:p>
        </w:tc>
        <w:tc>
          <w:tcPr>
            <w:tcW w:w="1630" w:type="dxa"/>
          </w:tcPr>
          <w:p w14:paraId="50394F5F"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145.00a</w:t>
            </w:r>
          </w:p>
        </w:tc>
        <w:tc>
          <w:tcPr>
            <w:tcW w:w="1151" w:type="dxa"/>
          </w:tcPr>
          <w:p w14:paraId="41A6DF88"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24.77a</w:t>
            </w:r>
          </w:p>
        </w:tc>
        <w:tc>
          <w:tcPr>
            <w:tcW w:w="1219" w:type="dxa"/>
          </w:tcPr>
          <w:p w14:paraId="39DA2D16"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3.69a</w:t>
            </w:r>
          </w:p>
        </w:tc>
      </w:tr>
      <w:tr w:rsidR="003C2A86" w:rsidRPr="002B6ABA" w14:paraId="249D74EC" w14:textId="77777777" w:rsidTr="001C7CAD">
        <w:trPr>
          <w:jc w:val="center"/>
        </w:trPr>
        <w:tc>
          <w:tcPr>
            <w:tcW w:w="1381" w:type="dxa"/>
          </w:tcPr>
          <w:p w14:paraId="69283660" w14:textId="77777777" w:rsidR="003C2A86" w:rsidRPr="002B6ABA" w:rsidRDefault="003C2A86" w:rsidP="00853B95">
            <w:pPr>
              <w:spacing w:line="276" w:lineRule="auto"/>
              <w:rPr>
                <w:rFonts w:ascii="Times New Roman" w:hAnsi="Times New Roman" w:cs="Times New Roman"/>
              </w:rPr>
            </w:pPr>
            <w:r w:rsidRPr="002B6ABA">
              <w:rPr>
                <w:rFonts w:ascii="Times New Roman" w:hAnsi="Times New Roman" w:cs="Times New Roman"/>
              </w:rPr>
              <w:t>G</w:t>
            </w:r>
            <w:r w:rsidRPr="002B6ABA">
              <w:rPr>
                <w:rFonts w:ascii="Times New Roman" w:hAnsi="Times New Roman" w:cs="Times New Roman"/>
                <w:vertAlign w:val="subscript"/>
              </w:rPr>
              <w:t>2</w:t>
            </w:r>
            <w:r w:rsidRPr="002B6ABA">
              <w:rPr>
                <w:rFonts w:ascii="Times New Roman" w:hAnsi="Times New Roman" w:cs="Times New Roman"/>
              </w:rPr>
              <w:t>C</w:t>
            </w:r>
            <w:r w:rsidRPr="002B6ABA">
              <w:rPr>
                <w:rFonts w:ascii="Times New Roman" w:hAnsi="Times New Roman" w:cs="Times New Roman"/>
                <w:vertAlign w:val="subscript"/>
              </w:rPr>
              <w:t>0</w:t>
            </w:r>
          </w:p>
        </w:tc>
        <w:tc>
          <w:tcPr>
            <w:tcW w:w="1483" w:type="dxa"/>
          </w:tcPr>
          <w:p w14:paraId="46BAEC66"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121.00d</w:t>
            </w:r>
          </w:p>
        </w:tc>
        <w:tc>
          <w:tcPr>
            <w:tcW w:w="1041" w:type="dxa"/>
          </w:tcPr>
          <w:p w14:paraId="0C0BE8A3"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80.33c</w:t>
            </w:r>
          </w:p>
        </w:tc>
        <w:tc>
          <w:tcPr>
            <w:tcW w:w="1556" w:type="dxa"/>
          </w:tcPr>
          <w:p w14:paraId="3FE8780D"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8.67cd</w:t>
            </w:r>
          </w:p>
        </w:tc>
        <w:tc>
          <w:tcPr>
            <w:tcW w:w="1630" w:type="dxa"/>
          </w:tcPr>
          <w:p w14:paraId="54526576"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125.00bc</w:t>
            </w:r>
          </w:p>
        </w:tc>
        <w:tc>
          <w:tcPr>
            <w:tcW w:w="1151" w:type="dxa"/>
          </w:tcPr>
          <w:p w14:paraId="780B386E"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20.48d</w:t>
            </w:r>
          </w:p>
        </w:tc>
        <w:tc>
          <w:tcPr>
            <w:tcW w:w="1219" w:type="dxa"/>
          </w:tcPr>
          <w:p w14:paraId="6180C89F"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2.78e</w:t>
            </w:r>
          </w:p>
        </w:tc>
      </w:tr>
      <w:tr w:rsidR="003C2A86" w:rsidRPr="002B6ABA" w14:paraId="6570C1C4" w14:textId="77777777" w:rsidTr="001C7CAD">
        <w:trPr>
          <w:jc w:val="center"/>
        </w:trPr>
        <w:tc>
          <w:tcPr>
            <w:tcW w:w="1381" w:type="dxa"/>
          </w:tcPr>
          <w:p w14:paraId="479B508F" w14:textId="77777777" w:rsidR="003C2A86" w:rsidRPr="002B6ABA" w:rsidRDefault="003C2A86" w:rsidP="00853B95">
            <w:pPr>
              <w:spacing w:line="276" w:lineRule="auto"/>
              <w:rPr>
                <w:rFonts w:ascii="Times New Roman" w:hAnsi="Times New Roman" w:cs="Times New Roman"/>
              </w:rPr>
            </w:pPr>
            <w:r w:rsidRPr="002B6ABA">
              <w:rPr>
                <w:rFonts w:ascii="Times New Roman" w:hAnsi="Times New Roman" w:cs="Times New Roman"/>
              </w:rPr>
              <w:t>G</w:t>
            </w:r>
            <w:r w:rsidRPr="002B6ABA">
              <w:rPr>
                <w:rFonts w:ascii="Times New Roman" w:hAnsi="Times New Roman" w:cs="Times New Roman"/>
                <w:vertAlign w:val="subscript"/>
              </w:rPr>
              <w:t>2</w:t>
            </w:r>
            <w:r w:rsidRPr="002B6ABA">
              <w:rPr>
                <w:rFonts w:ascii="Times New Roman" w:hAnsi="Times New Roman" w:cs="Times New Roman"/>
              </w:rPr>
              <w:t>C</w:t>
            </w:r>
            <w:r w:rsidRPr="002B6ABA">
              <w:rPr>
                <w:rFonts w:ascii="Times New Roman" w:hAnsi="Times New Roman" w:cs="Times New Roman"/>
                <w:vertAlign w:val="subscript"/>
              </w:rPr>
              <w:t>1</w:t>
            </w:r>
          </w:p>
        </w:tc>
        <w:tc>
          <w:tcPr>
            <w:tcW w:w="1483" w:type="dxa"/>
          </w:tcPr>
          <w:p w14:paraId="2C6E5B16"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118.00d</w:t>
            </w:r>
          </w:p>
        </w:tc>
        <w:tc>
          <w:tcPr>
            <w:tcW w:w="1041" w:type="dxa"/>
          </w:tcPr>
          <w:p w14:paraId="20A92C5E"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80.67c</w:t>
            </w:r>
          </w:p>
        </w:tc>
        <w:tc>
          <w:tcPr>
            <w:tcW w:w="1556" w:type="dxa"/>
          </w:tcPr>
          <w:p w14:paraId="1517CFAB"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9.00cd</w:t>
            </w:r>
          </w:p>
        </w:tc>
        <w:tc>
          <w:tcPr>
            <w:tcW w:w="1630" w:type="dxa"/>
          </w:tcPr>
          <w:p w14:paraId="4D868B77"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126.00bc</w:t>
            </w:r>
          </w:p>
        </w:tc>
        <w:tc>
          <w:tcPr>
            <w:tcW w:w="1151" w:type="dxa"/>
          </w:tcPr>
          <w:p w14:paraId="3DA144D9"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17.22g</w:t>
            </w:r>
          </w:p>
        </w:tc>
        <w:tc>
          <w:tcPr>
            <w:tcW w:w="1219" w:type="dxa"/>
          </w:tcPr>
          <w:p w14:paraId="6EDB12E5"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2.69e</w:t>
            </w:r>
          </w:p>
        </w:tc>
      </w:tr>
      <w:tr w:rsidR="003C2A86" w:rsidRPr="002B6ABA" w14:paraId="3333A503" w14:textId="77777777" w:rsidTr="001C7CAD">
        <w:trPr>
          <w:jc w:val="center"/>
        </w:trPr>
        <w:tc>
          <w:tcPr>
            <w:tcW w:w="1381" w:type="dxa"/>
            <w:tcBorders>
              <w:bottom w:val="single" w:sz="4" w:space="0" w:color="auto"/>
            </w:tcBorders>
          </w:tcPr>
          <w:p w14:paraId="31C66FAB" w14:textId="77777777" w:rsidR="003C2A86" w:rsidRPr="002B6ABA" w:rsidRDefault="003C2A86" w:rsidP="00853B95">
            <w:pPr>
              <w:spacing w:line="276" w:lineRule="auto"/>
              <w:rPr>
                <w:rFonts w:ascii="Times New Roman" w:hAnsi="Times New Roman" w:cs="Times New Roman"/>
                <w:b/>
                <w:bCs/>
              </w:rPr>
            </w:pPr>
            <w:r w:rsidRPr="002B6ABA">
              <w:rPr>
                <w:rFonts w:ascii="Times New Roman" w:hAnsi="Times New Roman" w:cs="Times New Roman"/>
              </w:rPr>
              <w:t>G</w:t>
            </w:r>
            <w:r w:rsidRPr="002B6ABA">
              <w:rPr>
                <w:rFonts w:ascii="Times New Roman" w:hAnsi="Times New Roman" w:cs="Times New Roman"/>
                <w:vertAlign w:val="subscript"/>
              </w:rPr>
              <w:t>2</w:t>
            </w:r>
            <w:r w:rsidRPr="002B6ABA">
              <w:rPr>
                <w:rFonts w:ascii="Times New Roman" w:hAnsi="Times New Roman" w:cs="Times New Roman"/>
              </w:rPr>
              <w:t>C</w:t>
            </w:r>
            <w:r w:rsidRPr="002B6ABA">
              <w:rPr>
                <w:rFonts w:ascii="Times New Roman" w:hAnsi="Times New Roman" w:cs="Times New Roman"/>
                <w:vertAlign w:val="subscript"/>
              </w:rPr>
              <w:t>2</w:t>
            </w:r>
          </w:p>
        </w:tc>
        <w:tc>
          <w:tcPr>
            <w:tcW w:w="1483" w:type="dxa"/>
            <w:tcBorders>
              <w:bottom w:val="single" w:sz="4" w:space="0" w:color="auto"/>
            </w:tcBorders>
          </w:tcPr>
          <w:p w14:paraId="24B6C971"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117.00d</w:t>
            </w:r>
          </w:p>
        </w:tc>
        <w:tc>
          <w:tcPr>
            <w:tcW w:w="1041" w:type="dxa"/>
            <w:tcBorders>
              <w:bottom w:val="single" w:sz="4" w:space="0" w:color="auto"/>
            </w:tcBorders>
          </w:tcPr>
          <w:p w14:paraId="135AB11F"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83.67b</w:t>
            </w:r>
          </w:p>
        </w:tc>
        <w:tc>
          <w:tcPr>
            <w:tcW w:w="1556" w:type="dxa"/>
            <w:tcBorders>
              <w:bottom w:val="single" w:sz="4" w:space="0" w:color="auto"/>
            </w:tcBorders>
          </w:tcPr>
          <w:p w14:paraId="1949A72A"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9.33bc</w:t>
            </w:r>
          </w:p>
        </w:tc>
        <w:tc>
          <w:tcPr>
            <w:tcW w:w="1630" w:type="dxa"/>
            <w:tcBorders>
              <w:bottom w:val="single" w:sz="4" w:space="0" w:color="auto"/>
            </w:tcBorders>
          </w:tcPr>
          <w:p w14:paraId="399EB2E0"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129.67b</w:t>
            </w:r>
          </w:p>
        </w:tc>
        <w:tc>
          <w:tcPr>
            <w:tcW w:w="1151" w:type="dxa"/>
            <w:tcBorders>
              <w:bottom w:val="single" w:sz="4" w:space="0" w:color="auto"/>
            </w:tcBorders>
          </w:tcPr>
          <w:p w14:paraId="18411332"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21.52c</w:t>
            </w:r>
          </w:p>
        </w:tc>
        <w:tc>
          <w:tcPr>
            <w:tcW w:w="1219" w:type="dxa"/>
            <w:tcBorders>
              <w:bottom w:val="single" w:sz="4" w:space="0" w:color="auto"/>
            </w:tcBorders>
          </w:tcPr>
          <w:p w14:paraId="138A1426" w14:textId="77777777" w:rsidR="003C2A86" w:rsidRPr="002B6ABA" w:rsidRDefault="003C2A86" w:rsidP="00853B95">
            <w:pPr>
              <w:spacing w:line="276" w:lineRule="auto"/>
              <w:jc w:val="center"/>
              <w:rPr>
                <w:rFonts w:ascii="Times New Roman" w:hAnsi="Times New Roman" w:cs="Times New Roman"/>
              </w:rPr>
            </w:pPr>
            <w:r w:rsidRPr="002B6ABA">
              <w:rPr>
                <w:rFonts w:ascii="Times New Roman" w:hAnsi="Times New Roman" w:cs="Times New Roman"/>
              </w:rPr>
              <w:t>2.92d</w:t>
            </w:r>
          </w:p>
        </w:tc>
      </w:tr>
      <w:tr w:rsidR="003C2A86" w:rsidRPr="002B6ABA" w14:paraId="5DB5D03A" w14:textId="77777777" w:rsidTr="001C7CAD">
        <w:trPr>
          <w:jc w:val="center"/>
        </w:trPr>
        <w:tc>
          <w:tcPr>
            <w:tcW w:w="1381" w:type="dxa"/>
            <w:tcBorders>
              <w:top w:val="single" w:sz="4" w:space="0" w:color="auto"/>
              <w:bottom w:val="single" w:sz="4" w:space="0" w:color="auto"/>
            </w:tcBorders>
          </w:tcPr>
          <w:p w14:paraId="5F4E2833" w14:textId="77777777" w:rsidR="003C2A86" w:rsidRPr="002B6ABA" w:rsidRDefault="003C2A86" w:rsidP="00853B95">
            <w:pPr>
              <w:spacing w:line="276" w:lineRule="auto"/>
              <w:rPr>
                <w:rFonts w:ascii="Times New Roman" w:hAnsi="Times New Roman" w:cs="Times New Roman"/>
                <w:b/>
              </w:rPr>
            </w:pPr>
            <w:r w:rsidRPr="002B6ABA">
              <w:rPr>
                <w:rFonts w:ascii="Times New Roman" w:hAnsi="Times New Roman" w:cs="Times New Roman"/>
                <w:b/>
              </w:rPr>
              <w:t>LSD</w:t>
            </w:r>
            <w:r w:rsidRPr="002B6ABA">
              <w:rPr>
                <w:rFonts w:ascii="Times New Roman" w:hAnsi="Times New Roman" w:cs="Times New Roman"/>
                <w:b/>
                <w:vertAlign w:val="subscript"/>
              </w:rPr>
              <w:t>0.05</w:t>
            </w:r>
          </w:p>
        </w:tc>
        <w:tc>
          <w:tcPr>
            <w:tcW w:w="1483" w:type="dxa"/>
            <w:tcBorders>
              <w:top w:val="single" w:sz="4" w:space="0" w:color="auto"/>
              <w:bottom w:val="single" w:sz="4" w:space="0" w:color="auto"/>
            </w:tcBorders>
          </w:tcPr>
          <w:p w14:paraId="54690AA3" w14:textId="77777777" w:rsidR="003C2A86" w:rsidRPr="002B6ABA" w:rsidRDefault="003C2A86" w:rsidP="00853B95">
            <w:pPr>
              <w:spacing w:line="276" w:lineRule="auto"/>
              <w:jc w:val="center"/>
              <w:rPr>
                <w:rFonts w:ascii="Times New Roman" w:hAnsi="Times New Roman" w:cs="Times New Roman"/>
                <w:b/>
              </w:rPr>
            </w:pPr>
            <w:r w:rsidRPr="002B6ABA">
              <w:rPr>
                <w:rFonts w:ascii="Times New Roman" w:hAnsi="Times New Roman" w:cs="Times New Roman"/>
                <w:b/>
              </w:rPr>
              <w:t>5.27</w:t>
            </w:r>
          </w:p>
        </w:tc>
        <w:tc>
          <w:tcPr>
            <w:tcW w:w="1041" w:type="dxa"/>
            <w:tcBorders>
              <w:top w:val="single" w:sz="4" w:space="0" w:color="auto"/>
              <w:bottom w:val="single" w:sz="4" w:space="0" w:color="auto"/>
            </w:tcBorders>
          </w:tcPr>
          <w:p w14:paraId="5CC9EE73" w14:textId="77777777" w:rsidR="003C2A86" w:rsidRPr="002B6ABA" w:rsidRDefault="003C2A86" w:rsidP="00853B95">
            <w:pPr>
              <w:spacing w:line="276" w:lineRule="auto"/>
              <w:jc w:val="center"/>
              <w:rPr>
                <w:rFonts w:ascii="Times New Roman" w:hAnsi="Times New Roman" w:cs="Times New Roman"/>
                <w:b/>
              </w:rPr>
            </w:pPr>
            <w:r w:rsidRPr="002B6ABA">
              <w:rPr>
                <w:rFonts w:ascii="Times New Roman" w:hAnsi="Times New Roman" w:cs="Times New Roman"/>
                <w:b/>
              </w:rPr>
              <w:t>2.63</w:t>
            </w:r>
          </w:p>
        </w:tc>
        <w:tc>
          <w:tcPr>
            <w:tcW w:w="1556" w:type="dxa"/>
            <w:tcBorders>
              <w:top w:val="single" w:sz="4" w:space="0" w:color="auto"/>
              <w:bottom w:val="single" w:sz="4" w:space="0" w:color="auto"/>
            </w:tcBorders>
          </w:tcPr>
          <w:p w14:paraId="49CD8672" w14:textId="77777777" w:rsidR="003C2A86" w:rsidRPr="002B6ABA" w:rsidRDefault="003C2A86" w:rsidP="00853B95">
            <w:pPr>
              <w:spacing w:line="276" w:lineRule="auto"/>
              <w:jc w:val="center"/>
              <w:rPr>
                <w:rFonts w:ascii="Times New Roman" w:hAnsi="Times New Roman" w:cs="Times New Roman"/>
                <w:b/>
              </w:rPr>
            </w:pPr>
            <w:r w:rsidRPr="002B6ABA">
              <w:rPr>
                <w:rFonts w:ascii="Times New Roman" w:hAnsi="Times New Roman" w:cs="Times New Roman"/>
                <w:b/>
              </w:rPr>
              <w:t>0.86</w:t>
            </w:r>
          </w:p>
        </w:tc>
        <w:tc>
          <w:tcPr>
            <w:tcW w:w="1630" w:type="dxa"/>
            <w:tcBorders>
              <w:top w:val="single" w:sz="4" w:space="0" w:color="auto"/>
              <w:bottom w:val="single" w:sz="4" w:space="0" w:color="auto"/>
            </w:tcBorders>
          </w:tcPr>
          <w:p w14:paraId="6CABA6FE" w14:textId="77777777" w:rsidR="003C2A86" w:rsidRPr="002B6ABA" w:rsidRDefault="003C2A86" w:rsidP="00853B95">
            <w:pPr>
              <w:spacing w:line="276" w:lineRule="auto"/>
              <w:jc w:val="center"/>
              <w:rPr>
                <w:rFonts w:ascii="Times New Roman" w:hAnsi="Times New Roman" w:cs="Times New Roman"/>
                <w:b/>
              </w:rPr>
            </w:pPr>
            <w:r w:rsidRPr="002B6ABA">
              <w:rPr>
                <w:rFonts w:ascii="Times New Roman" w:hAnsi="Times New Roman" w:cs="Times New Roman"/>
                <w:b/>
              </w:rPr>
              <w:t>5.80</w:t>
            </w:r>
          </w:p>
        </w:tc>
        <w:tc>
          <w:tcPr>
            <w:tcW w:w="1151" w:type="dxa"/>
            <w:tcBorders>
              <w:top w:val="single" w:sz="4" w:space="0" w:color="auto"/>
              <w:bottom w:val="single" w:sz="4" w:space="0" w:color="auto"/>
            </w:tcBorders>
          </w:tcPr>
          <w:p w14:paraId="1032477A" w14:textId="77777777" w:rsidR="003C2A86" w:rsidRPr="002B6ABA" w:rsidRDefault="003C2A86" w:rsidP="00853B95">
            <w:pPr>
              <w:spacing w:line="276" w:lineRule="auto"/>
              <w:jc w:val="center"/>
              <w:rPr>
                <w:rFonts w:ascii="Times New Roman" w:hAnsi="Times New Roman" w:cs="Times New Roman"/>
                <w:b/>
              </w:rPr>
            </w:pPr>
            <w:r w:rsidRPr="002B6ABA">
              <w:rPr>
                <w:rFonts w:ascii="Times New Roman" w:hAnsi="Times New Roman" w:cs="Times New Roman"/>
                <w:b/>
              </w:rPr>
              <w:t>0.71</w:t>
            </w:r>
          </w:p>
        </w:tc>
        <w:tc>
          <w:tcPr>
            <w:tcW w:w="1219" w:type="dxa"/>
            <w:tcBorders>
              <w:top w:val="single" w:sz="4" w:space="0" w:color="auto"/>
              <w:bottom w:val="single" w:sz="4" w:space="0" w:color="auto"/>
            </w:tcBorders>
          </w:tcPr>
          <w:p w14:paraId="73ECC7B1" w14:textId="77777777" w:rsidR="003C2A86" w:rsidRPr="002B6ABA" w:rsidRDefault="003C2A86" w:rsidP="00853B95">
            <w:pPr>
              <w:spacing w:line="276" w:lineRule="auto"/>
              <w:jc w:val="center"/>
              <w:rPr>
                <w:rFonts w:ascii="Times New Roman" w:hAnsi="Times New Roman" w:cs="Times New Roman"/>
                <w:b/>
              </w:rPr>
            </w:pPr>
            <w:r w:rsidRPr="002B6ABA">
              <w:rPr>
                <w:rFonts w:ascii="Times New Roman" w:hAnsi="Times New Roman" w:cs="Times New Roman"/>
                <w:b/>
              </w:rPr>
              <w:t>0.11</w:t>
            </w:r>
          </w:p>
        </w:tc>
      </w:tr>
      <w:tr w:rsidR="001C7CAD" w:rsidRPr="002B6ABA" w14:paraId="32F575D6" w14:textId="77777777" w:rsidTr="001C7CAD">
        <w:trPr>
          <w:jc w:val="center"/>
        </w:trPr>
        <w:tc>
          <w:tcPr>
            <w:tcW w:w="1381" w:type="dxa"/>
            <w:tcBorders>
              <w:top w:val="single" w:sz="4" w:space="0" w:color="auto"/>
              <w:bottom w:val="single" w:sz="4" w:space="0" w:color="auto"/>
            </w:tcBorders>
          </w:tcPr>
          <w:p w14:paraId="230235E3" w14:textId="77777777" w:rsidR="001C7CAD" w:rsidRPr="002B6ABA" w:rsidRDefault="001C7CAD" w:rsidP="00853B95">
            <w:pPr>
              <w:rPr>
                <w:rFonts w:ascii="Times New Roman" w:hAnsi="Times New Roman" w:cs="Times New Roman"/>
                <w:b/>
              </w:rPr>
            </w:pPr>
            <w:r w:rsidRPr="002B6ABA">
              <w:rPr>
                <w:rFonts w:ascii="Times New Roman" w:hAnsi="Times New Roman" w:cs="Times New Roman"/>
              </w:rPr>
              <w:t>CV</w:t>
            </w:r>
            <w:r w:rsidR="00D01563" w:rsidRPr="002B6ABA">
              <w:rPr>
                <w:rFonts w:ascii="Times New Roman" w:hAnsi="Times New Roman" w:cs="Times New Roman"/>
              </w:rPr>
              <w:t>(%)</w:t>
            </w:r>
            <w:r w:rsidR="00D01563" w:rsidRPr="002B6ABA">
              <w:rPr>
                <w:rFonts w:ascii="Times New Roman" w:hAnsi="Times New Roman" w:cs="Times New Roman"/>
              </w:rPr>
              <w:tab/>
            </w:r>
          </w:p>
        </w:tc>
        <w:tc>
          <w:tcPr>
            <w:tcW w:w="1483" w:type="dxa"/>
            <w:tcBorders>
              <w:top w:val="single" w:sz="4" w:space="0" w:color="auto"/>
              <w:bottom w:val="single" w:sz="4" w:space="0" w:color="auto"/>
            </w:tcBorders>
          </w:tcPr>
          <w:p w14:paraId="26D9FFC3" w14:textId="77777777" w:rsidR="001C7CAD" w:rsidRPr="002B6ABA" w:rsidRDefault="001C7CAD" w:rsidP="00853B95">
            <w:pPr>
              <w:jc w:val="center"/>
              <w:rPr>
                <w:rFonts w:ascii="Times New Roman" w:hAnsi="Times New Roman" w:cs="Times New Roman"/>
                <w:b/>
              </w:rPr>
            </w:pPr>
            <w:r w:rsidRPr="002B6ABA">
              <w:rPr>
                <w:rFonts w:ascii="Times New Roman" w:hAnsi="Times New Roman" w:cs="Times New Roman"/>
              </w:rPr>
              <w:t>2.52</w:t>
            </w:r>
          </w:p>
        </w:tc>
        <w:tc>
          <w:tcPr>
            <w:tcW w:w="1041" w:type="dxa"/>
            <w:tcBorders>
              <w:top w:val="single" w:sz="4" w:space="0" w:color="auto"/>
              <w:bottom w:val="single" w:sz="4" w:space="0" w:color="auto"/>
            </w:tcBorders>
          </w:tcPr>
          <w:p w14:paraId="14359B75" w14:textId="77777777" w:rsidR="001C7CAD" w:rsidRPr="002B6ABA" w:rsidRDefault="001C7CAD" w:rsidP="00853B95">
            <w:pPr>
              <w:jc w:val="center"/>
              <w:rPr>
                <w:rFonts w:ascii="Times New Roman" w:hAnsi="Times New Roman" w:cs="Times New Roman"/>
                <w:b/>
              </w:rPr>
            </w:pPr>
            <w:r w:rsidRPr="002B6ABA">
              <w:rPr>
                <w:rFonts w:ascii="Times New Roman" w:hAnsi="Times New Roman" w:cs="Times New Roman"/>
              </w:rPr>
              <w:t>1.93</w:t>
            </w:r>
          </w:p>
        </w:tc>
        <w:tc>
          <w:tcPr>
            <w:tcW w:w="1556" w:type="dxa"/>
            <w:tcBorders>
              <w:top w:val="single" w:sz="4" w:space="0" w:color="auto"/>
              <w:bottom w:val="single" w:sz="4" w:space="0" w:color="auto"/>
            </w:tcBorders>
          </w:tcPr>
          <w:p w14:paraId="67999325" w14:textId="77777777" w:rsidR="001C7CAD" w:rsidRPr="002B6ABA" w:rsidRDefault="001C7CAD" w:rsidP="00853B95">
            <w:pPr>
              <w:jc w:val="center"/>
              <w:rPr>
                <w:rFonts w:ascii="Times New Roman" w:hAnsi="Times New Roman" w:cs="Times New Roman"/>
                <w:b/>
              </w:rPr>
            </w:pPr>
            <w:r w:rsidRPr="002B6ABA">
              <w:rPr>
                <w:rFonts w:ascii="Times New Roman" w:hAnsi="Times New Roman" w:cs="Times New Roman"/>
              </w:rPr>
              <w:t>5.56</w:t>
            </w:r>
          </w:p>
        </w:tc>
        <w:tc>
          <w:tcPr>
            <w:tcW w:w="1630" w:type="dxa"/>
            <w:tcBorders>
              <w:top w:val="single" w:sz="4" w:space="0" w:color="auto"/>
              <w:bottom w:val="single" w:sz="4" w:space="0" w:color="auto"/>
            </w:tcBorders>
          </w:tcPr>
          <w:p w14:paraId="09AEE2C3" w14:textId="77777777" w:rsidR="001C7CAD" w:rsidRPr="002B6ABA" w:rsidRDefault="001C7CAD" w:rsidP="00853B95">
            <w:pPr>
              <w:jc w:val="center"/>
              <w:rPr>
                <w:rFonts w:ascii="Times New Roman" w:hAnsi="Times New Roman" w:cs="Times New Roman"/>
                <w:b/>
              </w:rPr>
            </w:pPr>
            <w:r w:rsidRPr="002B6ABA">
              <w:rPr>
                <w:rFonts w:ascii="Times New Roman" w:hAnsi="Times New Roman" w:cs="Times New Roman"/>
              </w:rPr>
              <w:t>2.64</w:t>
            </w:r>
          </w:p>
        </w:tc>
        <w:tc>
          <w:tcPr>
            <w:tcW w:w="1151" w:type="dxa"/>
            <w:tcBorders>
              <w:top w:val="single" w:sz="4" w:space="0" w:color="auto"/>
              <w:bottom w:val="single" w:sz="4" w:space="0" w:color="auto"/>
            </w:tcBorders>
          </w:tcPr>
          <w:p w14:paraId="153E1109" w14:textId="77777777" w:rsidR="001C7CAD" w:rsidRPr="002B6ABA" w:rsidRDefault="001C7CAD" w:rsidP="00853B95">
            <w:pPr>
              <w:jc w:val="center"/>
              <w:rPr>
                <w:rFonts w:ascii="Times New Roman" w:hAnsi="Times New Roman" w:cs="Times New Roman"/>
                <w:b/>
              </w:rPr>
            </w:pPr>
            <w:r w:rsidRPr="002B6ABA">
              <w:rPr>
                <w:rFonts w:ascii="Times New Roman" w:hAnsi="Times New Roman" w:cs="Times New Roman"/>
              </w:rPr>
              <w:t>2.08</w:t>
            </w:r>
          </w:p>
        </w:tc>
        <w:tc>
          <w:tcPr>
            <w:tcW w:w="1219" w:type="dxa"/>
            <w:tcBorders>
              <w:top w:val="single" w:sz="4" w:space="0" w:color="auto"/>
              <w:bottom w:val="single" w:sz="4" w:space="0" w:color="auto"/>
            </w:tcBorders>
          </w:tcPr>
          <w:p w14:paraId="0920309C" w14:textId="77777777" w:rsidR="001C7CAD" w:rsidRPr="002B6ABA" w:rsidRDefault="001C7CAD" w:rsidP="00853B95">
            <w:pPr>
              <w:jc w:val="center"/>
              <w:rPr>
                <w:rFonts w:ascii="Times New Roman" w:hAnsi="Times New Roman" w:cs="Times New Roman"/>
                <w:b/>
              </w:rPr>
            </w:pPr>
            <w:r w:rsidRPr="002B6ABA">
              <w:rPr>
                <w:rFonts w:ascii="Times New Roman" w:hAnsi="Times New Roman" w:cs="Times New Roman"/>
              </w:rPr>
              <w:t>2.18</w:t>
            </w:r>
          </w:p>
        </w:tc>
      </w:tr>
    </w:tbl>
    <w:p w14:paraId="0DB6702E" w14:textId="77777777" w:rsidR="003C2A86" w:rsidRPr="002B6ABA" w:rsidRDefault="00921E2A" w:rsidP="003C2A86">
      <w:pPr>
        <w:spacing w:before="120" w:after="0" w:line="240" w:lineRule="auto"/>
        <w:jc w:val="both"/>
        <w:rPr>
          <w:rFonts w:ascii="Times New Roman" w:eastAsia="Times New Roman" w:hAnsi="Times New Roman" w:cs="Times New Roman"/>
          <w:color w:val="000000"/>
        </w:rPr>
      </w:pPr>
      <w:r w:rsidRPr="002B6ABA">
        <w:rPr>
          <w:rFonts w:ascii="Times New Roman" w:hAnsi="Times New Roman" w:cs="Times New Roman"/>
          <w:szCs w:val="24"/>
        </w:rPr>
        <w:t>G</w:t>
      </w:r>
      <w:r w:rsidR="003C2A86" w:rsidRPr="002B6ABA">
        <w:rPr>
          <w:rFonts w:ascii="Times New Roman" w:hAnsi="Times New Roman" w:cs="Times New Roman"/>
          <w:szCs w:val="24"/>
          <w:vertAlign w:val="subscript"/>
        </w:rPr>
        <w:t>0</w:t>
      </w:r>
      <w:r w:rsidR="003C2A86" w:rsidRPr="002B6ABA">
        <w:rPr>
          <w:rFonts w:ascii="Times New Roman" w:hAnsi="Times New Roman" w:cs="Times New Roman"/>
          <w:szCs w:val="24"/>
        </w:rPr>
        <w:t>= Control (no</w:t>
      </w:r>
      <w:r w:rsidRPr="002B6ABA">
        <w:rPr>
          <w:rFonts w:ascii="Times New Roman" w:hAnsi="Times New Roman" w:cs="Times New Roman"/>
          <w:szCs w:val="24"/>
        </w:rPr>
        <w:t xml:space="preserve"> GA</w:t>
      </w:r>
      <w:r w:rsidRPr="002B6ABA">
        <w:rPr>
          <w:rFonts w:ascii="Times New Roman" w:hAnsi="Times New Roman" w:cs="Times New Roman"/>
          <w:szCs w:val="24"/>
          <w:vertAlign w:val="subscript"/>
        </w:rPr>
        <w:t>3</w:t>
      </w:r>
      <w:r w:rsidR="003C2A86" w:rsidRPr="002B6ABA">
        <w:rPr>
          <w:rFonts w:ascii="Times New Roman" w:hAnsi="Times New Roman" w:cs="Times New Roman"/>
          <w:szCs w:val="24"/>
        </w:rPr>
        <w:t xml:space="preserve">), </w:t>
      </w:r>
      <w:r w:rsidRPr="002B6ABA">
        <w:rPr>
          <w:rFonts w:ascii="Times New Roman" w:eastAsia="Times New Roman" w:hAnsi="Times New Roman" w:cs="Times New Roman"/>
          <w:color w:val="000000"/>
        </w:rPr>
        <w:t>G</w:t>
      </w:r>
      <w:r w:rsidR="003C2A86" w:rsidRPr="002B6ABA">
        <w:rPr>
          <w:rFonts w:ascii="Times New Roman" w:eastAsia="Times New Roman" w:hAnsi="Times New Roman" w:cs="Times New Roman"/>
          <w:color w:val="000000"/>
          <w:vertAlign w:val="subscript"/>
        </w:rPr>
        <w:t>1</w:t>
      </w:r>
      <w:r w:rsidR="003C2A86" w:rsidRPr="002B6ABA">
        <w:rPr>
          <w:rFonts w:ascii="Times New Roman" w:eastAsia="Times New Roman" w:hAnsi="Times New Roman" w:cs="Times New Roman"/>
          <w:color w:val="000000"/>
        </w:rPr>
        <w:t>=</w:t>
      </w:r>
      <w:r w:rsidRPr="002B6ABA">
        <w:rPr>
          <w:rFonts w:ascii="Times New Roman" w:eastAsia="Times New Roman" w:hAnsi="Times New Roman" w:cs="Times New Roman"/>
          <w:color w:val="000000"/>
        </w:rPr>
        <w:t xml:space="preserve"> 100 ppm</w:t>
      </w:r>
      <w:r w:rsidR="003C2A86" w:rsidRPr="002B6ABA">
        <w:rPr>
          <w:rFonts w:ascii="Times New Roman" w:eastAsia="Times New Roman" w:hAnsi="Times New Roman" w:cs="Times New Roman"/>
          <w:color w:val="000000"/>
        </w:rPr>
        <w:t xml:space="preserve"> </w:t>
      </w:r>
      <w:r w:rsidRPr="002B6ABA">
        <w:rPr>
          <w:rFonts w:ascii="Times New Roman" w:hAnsi="Times New Roman" w:cs="Times New Roman"/>
          <w:szCs w:val="24"/>
        </w:rPr>
        <w:t>GA</w:t>
      </w:r>
      <w:r w:rsidRPr="002B6ABA">
        <w:rPr>
          <w:rFonts w:ascii="Times New Roman" w:hAnsi="Times New Roman" w:cs="Times New Roman"/>
          <w:szCs w:val="24"/>
          <w:vertAlign w:val="subscript"/>
        </w:rPr>
        <w:t>3</w:t>
      </w:r>
      <w:r w:rsidR="003C2A86" w:rsidRPr="002B6ABA">
        <w:rPr>
          <w:rFonts w:ascii="Times New Roman" w:eastAsia="Times New Roman" w:hAnsi="Times New Roman" w:cs="Times New Roman"/>
          <w:color w:val="000000"/>
        </w:rPr>
        <w:t>,</w:t>
      </w:r>
      <w:r w:rsidR="003C2A86" w:rsidRPr="002B6ABA">
        <w:rPr>
          <w:rFonts w:ascii="Times New Roman" w:hAnsi="Times New Roman" w:cs="Times New Roman"/>
          <w:color w:val="000000"/>
        </w:rPr>
        <w:t xml:space="preserve"> </w:t>
      </w:r>
      <w:r w:rsidRPr="002B6ABA">
        <w:rPr>
          <w:rFonts w:ascii="Times New Roman" w:eastAsia="Times New Roman" w:hAnsi="Times New Roman" w:cs="Times New Roman"/>
          <w:color w:val="000000"/>
        </w:rPr>
        <w:t>G</w:t>
      </w:r>
      <w:r w:rsidR="003C2A86" w:rsidRPr="002B6ABA">
        <w:rPr>
          <w:rFonts w:ascii="Times New Roman" w:eastAsia="Times New Roman" w:hAnsi="Times New Roman" w:cs="Times New Roman"/>
          <w:color w:val="000000"/>
          <w:vertAlign w:val="subscript"/>
        </w:rPr>
        <w:t>2</w:t>
      </w:r>
      <w:r w:rsidR="003C2A86" w:rsidRPr="002B6ABA">
        <w:rPr>
          <w:rFonts w:ascii="Times New Roman" w:eastAsia="Times New Roman" w:hAnsi="Times New Roman" w:cs="Times New Roman"/>
          <w:color w:val="000000"/>
        </w:rPr>
        <w:t xml:space="preserve">= </w:t>
      </w:r>
      <w:r w:rsidRPr="002B6ABA">
        <w:rPr>
          <w:rFonts w:ascii="Times New Roman" w:eastAsia="Times New Roman" w:hAnsi="Times New Roman" w:cs="Times New Roman"/>
          <w:color w:val="000000"/>
        </w:rPr>
        <w:t xml:space="preserve">200 ppm </w:t>
      </w:r>
      <w:r w:rsidRPr="002B6ABA">
        <w:rPr>
          <w:rFonts w:ascii="Times New Roman" w:hAnsi="Times New Roman" w:cs="Times New Roman"/>
          <w:szCs w:val="24"/>
        </w:rPr>
        <w:t>GA</w:t>
      </w:r>
      <w:r w:rsidRPr="002B6ABA">
        <w:rPr>
          <w:rFonts w:ascii="Times New Roman" w:hAnsi="Times New Roman" w:cs="Times New Roman"/>
          <w:szCs w:val="24"/>
          <w:vertAlign w:val="subscript"/>
        </w:rPr>
        <w:t>3</w:t>
      </w:r>
      <w:r w:rsidR="003C2A86" w:rsidRPr="002B6ABA">
        <w:rPr>
          <w:rFonts w:ascii="Times New Roman" w:hAnsi="Times New Roman" w:cs="Times New Roman"/>
          <w:szCs w:val="24"/>
        </w:rPr>
        <w:t xml:space="preserve">, </w:t>
      </w:r>
      <w:r w:rsidRPr="002B6ABA">
        <w:rPr>
          <w:rFonts w:ascii="Times New Roman" w:eastAsia="Times New Roman" w:hAnsi="Times New Roman" w:cs="Times New Roman"/>
          <w:color w:val="000000"/>
        </w:rPr>
        <w:t>C</w:t>
      </w:r>
      <w:r w:rsidR="003C2A86" w:rsidRPr="002B6ABA">
        <w:rPr>
          <w:rFonts w:ascii="Times New Roman" w:eastAsia="Times New Roman" w:hAnsi="Times New Roman" w:cs="Times New Roman"/>
          <w:color w:val="000000"/>
          <w:vertAlign w:val="subscript"/>
        </w:rPr>
        <w:t>0</w:t>
      </w:r>
      <w:r w:rsidR="003C2A86" w:rsidRPr="002B6ABA">
        <w:rPr>
          <w:rFonts w:ascii="Times New Roman" w:eastAsia="Times New Roman" w:hAnsi="Times New Roman" w:cs="Times New Roman"/>
          <w:color w:val="000000"/>
        </w:rPr>
        <w:t xml:space="preserve">= Control (no </w:t>
      </w:r>
      <w:r w:rsidRPr="002B6ABA">
        <w:rPr>
          <w:rFonts w:ascii="Times New Roman" w:eastAsia="Times New Roman" w:hAnsi="Times New Roman" w:cs="Times New Roman"/>
          <w:color w:val="000000"/>
        </w:rPr>
        <w:t>chitosan</w:t>
      </w:r>
      <w:r w:rsidR="003C2A86" w:rsidRPr="002B6ABA">
        <w:rPr>
          <w:rFonts w:ascii="Times New Roman" w:eastAsia="Times New Roman" w:hAnsi="Times New Roman" w:cs="Times New Roman"/>
          <w:color w:val="000000"/>
        </w:rPr>
        <w:t>),</w:t>
      </w:r>
      <w:r w:rsidR="003C2A86" w:rsidRPr="002B6ABA">
        <w:rPr>
          <w:rFonts w:ascii="Times New Roman" w:hAnsi="Times New Roman" w:cs="Times New Roman"/>
          <w:color w:val="000000"/>
        </w:rPr>
        <w:t xml:space="preserve"> </w:t>
      </w:r>
      <w:r w:rsidR="00AC3B20" w:rsidRPr="002B6ABA">
        <w:rPr>
          <w:rFonts w:ascii="Times New Roman" w:eastAsia="Times New Roman" w:hAnsi="Times New Roman" w:cs="Times New Roman"/>
          <w:color w:val="000000"/>
        </w:rPr>
        <w:t>C</w:t>
      </w:r>
      <w:r w:rsidR="00AC3B20" w:rsidRPr="002B6ABA">
        <w:rPr>
          <w:rFonts w:ascii="Times New Roman" w:eastAsia="Times New Roman" w:hAnsi="Times New Roman" w:cs="Times New Roman"/>
          <w:color w:val="000000"/>
          <w:vertAlign w:val="subscript"/>
        </w:rPr>
        <w:t>1</w:t>
      </w:r>
      <w:r w:rsidR="00AC3B20" w:rsidRPr="002B6ABA">
        <w:rPr>
          <w:rFonts w:ascii="Times New Roman" w:eastAsia="Times New Roman" w:hAnsi="Times New Roman" w:cs="Times New Roman"/>
          <w:color w:val="000000"/>
        </w:rPr>
        <w:t>= 1 g/L chitosan, C</w:t>
      </w:r>
      <w:r w:rsidR="00AC3B20" w:rsidRPr="002B6ABA">
        <w:rPr>
          <w:rFonts w:ascii="Times New Roman" w:eastAsia="Times New Roman" w:hAnsi="Times New Roman" w:cs="Times New Roman"/>
          <w:color w:val="000000"/>
          <w:vertAlign w:val="subscript"/>
        </w:rPr>
        <w:t>2</w:t>
      </w:r>
      <w:r w:rsidR="00AC3B20" w:rsidRPr="002B6ABA">
        <w:rPr>
          <w:rFonts w:ascii="Times New Roman" w:eastAsia="Times New Roman" w:hAnsi="Times New Roman" w:cs="Times New Roman"/>
          <w:color w:val="000000"/>
        </w:rPr>
        <w:t>= 2g/L chitosan</w:t>
      </w:r>
      <w:r w:rsidR="003C2A86" w:rsidRPr="002B6ABA">
        <w:rPr>
          <w:rFonts w:ascii="Times New Roman" w:eastAsia="Times New Roman" w:hAnsi="Times New Roman" w:cs="Times New Roman"/>
          <w:color w:val="000000"/>
        </w:rPr>
        <w:t>.</w:t>
      </w:r>
      <w:r w:rsidR="003C2A86" w:rsidRPr="002B6ABA">
        <w:rPr>
          <w:rFonts w:ascii="Times New Roman" w:hAnsi="Times New Roman" w:cs="Times New Roman"/>
          <w:szCs w:val="24"/>
        </w:rPr>
        <w:t xml:space="preserve"> </w:t>
      </w:r>
    </w:p>
    <w:p w14:paraId="2AFA5B98" w14:textId="77777777" w:rsidR="00B66EF3" w:rsidRPr="002B6ABA" w:rsidRDefault="00C36676" w:rsidP="0090245B">
      <w:pPr>
        <w:spacing w:before="240" w:after="120" w:line="360" w:lineRule="auto"/>
        <w:rPr>
          <w:rFonts w:ascii="Times New Roman" w:hAnsi="Times New Roman" w:cs="Times New Roman"/>
          <w:b/>
          <w:sz w:val="24"/>
        </w:rPr>
      </w:pPr>
      <w:r w:rsidRPr="002B6ABA">
        <w:rPr>
          <w:rFonts w:ascii="Times New Roman" w:hAnsi="Times New Roman" w:cs="Times New Roman"/>
          <w:b/>
          <w:sz w:val="24"/>
        </w:rPr>
        <w:t xml:space="preserve">3.7 </w:t>
      </w:r>
      <w:r w:rsidR="00B66EF3" w:rsidRPr="002B6ABA">
        <w:rPr>
          <w:rFonts w:ascii="Times New Roman" w:hAnsi="Times New Roman" w:cs="Times New Roman"/>
          <w:b/>
          <w:sz w:val="24"/>
        </w:rPr>
        <w:t>Total soluble solids (°Brix)</w:t>
      </w:r>
    </w:p>
    <w:p w14:paraId="6198A99D" w14:textId="77777777" w:rsidR="007F3D6D" w:rsidRPr="002B6ABA" w:rsidRDefault="008D0F76" w:rsidP="00ED21BD">
      <w:pPr>
        <w:spacing w:line="360" w:lineRule="auto"/>
        <w:jc w:val="both"/>
        <w:rPr>
          <w:rFonts w:ascii="Times New Roman" w:hAnsi="Times New Roman" w:cs="Times New Roman"/>
          <w:sz w:val="24"/>
          <w:szCs w:val="24"/>
        </w:rPr>
      </w:pPr>
      <w:r w:rsidRPr="002B6ABA">
        <w:t>The G</w:t>
      </w:r>
      <w:r w:rsidRPr="002B6ABA">
        <w:rPr>
          <w:vertAlign w:val="subscript"/>
        </w:rPr>
        <w:t>1</w:t>
      </w:r>
      <w:r w:rsidRPr="002B6ABA">
        <w:t>C</w:t>
      </w:r>
      <w:r w:rsidRPr="002B6ABA">
        <w:rPr>
          <w:vertAlign w:val="subscript"/>
        </w:rPr>
        <w:t>2</w:t>
      </w:r>
      <w:r w:rsidRPr="002B6ABA">
        <w:t xml:space="preserve"> treatment combination produced the highest total soluble solids concentration (28 °Brix), whereas the control (G</w:t>
      </w:r>
      <w:r w:rsidRPr="002B6ABA">
        <w:rPr>
          <w:vertAlign w:val="subscript"/>
        </w:rPr>
        <w:t>0</w:t>
      </w:r>
      <w:r w:rsidRPr="002B6ABA">
        <w:t>C</w:t>
      </w:r>
      <w:r w:rsidRPr="002B6ABA">
        <w:rPr>
          <w:vertAlign w:val="subscript"/>
        </w:rPr>
        <w:t>0</w:t>
      </w:r>
      <w:r w:rsidRPr="002B6ABA">
        <w:t>) had the lowest value (15.46 °Brix) (Table 2). Higher TSS during ripening may be associated with GA</w:t>
      </w:r>
      <w:r w:rsidRPr="002B6ABA">
        <w:rPr>
          <w:vertAlign w:val="subscript"/>
        </w:rPr>
        <w:t>3</w:t>
      </w:r>
      <w:r w:rsidRPr="002B6ABA">
        <w:t xml:space="preserve"> accelerating the conversion of complex sugars into simpler forms through phosphorylase activity (Sarkar </w:t>
      </w:r>
      <w:r w:rsidRPr="002B6ABA">
        <w:rPr>
          <w:i/>
        </w:rPr>
        <w:t>et al.</w:t>
      </w:r>
      <w:r w:rsidRPr="002B6ABA">
        <w:t xml:space="preserve">, 2022). Noor </w:t>
      </w:r>
      <w:r w:rsidRPr="002B6ABA">
        <w:rPr>
          <w:i/>
        </w:rPr>
        <w:t>et al.</w:t>
      </w:r>
      <w:r w:rsidRPr="002B6ABA">
        <w:t xml:space="preserve"> (2017) reported that GA</w:t>
      </w:r>
      <w:r w:rsidRPr="002B6ABA">
        <w:rPr>
          <w:vertAlign w:val="subscript"/>
        </w:rPr>
        <w:t>3</w:t>
      </w:r>
      <w:r w:rsidRPr="002B6ABA">
        <w:t xml:space="preserve"> plays an important role in photosynthesis and food-material mobilisation, which may result in carbohydrate accumulation. Ultimately, it promoted the rapid metabolic breakdown of pectin and starch into soluble components, thereby increasing TSS levels. Chitosan-coated banana alters the internal atmosphere of the fruit by reducing O</w:t>
      </w:r>
      <w:r w:rsidRPr="002B6ABA">
        <w:rPr>
          <w:vertAlign w:val="subscript"/>
        </w:rPr>
        <w:t>2</w:t>
      </w:r>
      <w:r w:rsidRPr="002B6ABA">
        <w:t xml:space="preserve"> and increasing CO</w:t>
      </w:r>
      <w:r w:rsidRPr="002B6ABA">
        <w:rPr>
          <w:vertAlign w:val="subscript"/>
        </w:rPr>
        <w:t>2</w:t>
      </w:r>
      <w:r w:rsidRPr="002B6ABA">
        <w:t xml:space="preserve"> levels and by inhibiting ethylene production. This promotes the breakdown of starch into sugar, which increases TSS (Ali &amp; Hamid, 2021).</w:t>
      </w:r>
    </w:p>
    <w:p w14:paraId="38AFCC3E" w14:textId="77777777" w:rsidR="00853B95" w:rsidRPr="002B6ABA" w:rsidRDefault="00C36676" w:rsidP="00853B95">
      <w:pPr>
        <w:spacing w:before="120" w:after="120" w:line="360" w:lineRule="auto"/>
        <w:jc w:val="both"/>
        <w:rPr>
          <w:rFonts w:ascii="Times New Roman" w:hAnsi="Times New Roman" w:cs="Times New Roman"/>
          <w:b/>
          <w:sz w:val="24"/>
        </w:rPr>
      </w:pPr>
      <w:r w:rsidRPr="002B6ABA">
        <w:rPr>
          <w:rFonts w:ascii="Times New Roman" w:hAnsi="Times New Roman" w:cs="Times New Roman"/>
          <w:b/>
          <w:sz w:val="24"/>
        </w:rPr>
        <w:t xml:space="preserve">3.8 </w:t>
      </w:r>
      <w:r w:rsidR="00853B95" w:rsidRPr="002B6ABA">
        <w:rPr>
          <w:rFonts w:ascii="Times New Roman" w:hAnsi="Times New Roman" w:cs="Times New Roman"/>
          <w:b/>
          <w:sz w:val="24"/>
        </w:rPr>
        <w:t>Titratable acidity (%)</w:t>
      </w:r>
    </w:p>
    <w:p w14:paraId="4B3B490E" w14:textId="77777777" w:rsidR="00853B95" w:rsidRPr="002B6ABA" w:rsidRDefault="00853B95" w:rsidP="00853B95">
      <w:pPr>
        <w:spacing w:before="120" w:after="120" w:line="360" w:lineRule="auto"/>
        <w:jc w:val="both"/>
        <w:rPr>
          <w:rFonts w:ascii="Times New Roman" w:hAnsi="Times New Roman" w:cs="Times New Roman"/>
          <w:color w:val="00B050"/>
          <w:sz w:val="24"/>
          <w:szCs w:val="24"/>
        </w:rPr>
      </w:pPr>
      <w:r w:rsidRPr="002B6ABA">
        <w:t>The combination of chitosan and GA</w:t>
      </w:r>
      <w:r w:rsidRPr="002B6ABA">
        <w:rPr>
          <w:vertAlign w:val="subscript"/>
        </w:rPr>
        <w:t>3</w:t>
      </w:r>
      <w:r w:rsidRPr="002B6ABA">
        <w:t xml:space="preserve"> significantly modified titratable acidity (TA) in banana (Table 2). The treatment combination with no GA</w:t>
      </w:r>
      <w:r w:rsidRPr="002B6ABA">
        <w:rPr>
          <w:vertAlign w:val="subscript"/>
        </w:rPr>
        <w:t>3</w:t>
      </w:r>
      <w:r w:rsidRPr="002B6ABA">
        <w:t xml:space="preserve"> and no chitosan (G</w:t>
      </w:r>
      <w:r w:rsidRPr="002B6ABA">
        <w:rPr>
          <w:vertAlign w:val="subscript"/>
        </w:rPr>
        <w:t>0</w:t>
      </w:r>
      <w:r w:rsidRPr="002B6ABA">
        <w:t>C</w:t>
      </w:r>
      <w:r w:rsidRPr="002B6ABA">
        <w:rPr>
          <w:vertAlign w:val="subscript"/>
        </w:rPr>
        <w:t>0</w:t>
      </w:r>
      <w:r w:rsidRPr="002B6ABA">
        <w:t>) had the highest TA (0.36%), whereas G</w:t>
      </w:r>
      <w:r w:rsidRPr="002B6ABA">
        <w:rPr>
          <w:vertAlign w:val="subscript"/>
        </w:rPr>
        <w:t>1</w:t>
      </w:r>
      <w:r w:rsidRPr="002B6ABA">
        <w:t>C</w:t>
      </w:r>
      <w:r w:rsidRPr="002B6ABA">
        <w:rPr>
          <w:vertAlign w:val="subscript"/>
        </w:rPr>
        <w:t>2</w:t>
      </w:r>
      <w:r w:rsidRPr="002B6ABA">
        <w:t xml:space="preserve"> had the lowest TA (0.08%) (Table 2). TA indicates the organic acids that influence fruit flavour and overall eating quality. Bananas treated with GA</w:t>
      </w:r>
      <w:r w:rsidRPr="002B6ABA">
        <w:rPr>
          <w:vertAlign w:val="subscript"/>
        </w:rPr>
        <w:t>3</w:t>
      </w:r>
      <w:r w:rsidRPr="002B6ABA">
        <w:t xml:space="preserve"> have higher acidity and a slower ripening rate. These results are supported by García-Castaño </w:t>
      </w:r>
      <w:r w:rsidRPr="002B6ABA">
        <w:rPr>
          <w:i/>
        </w:rPr>
        <w:t>et al.</w:t>
      </w:r>
      <w:r w:rsidRPr="002B6ABA">
        <w:t xml:space="preserve"> (2025), who reported that 'Sabri' banana fruits treated with 150 ppm GA</w:t>
      </w:r>
      <w:r w:rsidRPr="002B6ABA">
        <w:rPr>
          <w:vertAlign w:val="subscript"/>
        </w:rPr>
        <w:t>3</w:t>
      </w:r>
      <w:r w:rsidRPr="002B6ABA">
        <w:t xml:space="preserve"> maintained titratable acidity and prevented abrupt increases in soluble sugars. The complex interaction between chitosan and fruit acid levels was demonstrated by Mansour </w:t>
      </w:r>
      <w:r w:rsidRPr="002B6ABA">
        <w:rPr>
          <w:i/>
        </w:rPr>
        <w:t>et al.</w:t>
      </w:r>
      <w:r w:rsidRPr="002B6ABA">
        <w:t xml:space="preserve"> (2025), who found that 1 g/L chitosan produced the maximum titratable acidity. Chitosan coating prevents acid </w:t>
      </w:r>
      <w:r w:rsidRPr="002B6ABA">
        <w:lastRenderedPageBreak/>
        <w:t xml:space="preserve">degradation and respiration. These results are corroborated by El-Mahdy </w:t>
      </w:r>
      <w:r w:rsidRPr="002B6ABA">
        <w:rPr>
          <w:i/>
        </w:rPr>
        <w:t>et al.</w:t>
      </w:r>
      <w:r w:rsidRPr="002B6ABA">
        <w:t xml:space="preserve"> (2024), who found that applying 1% chitosan during the fruit-initiation stage produced the greatest titratable acidity.</w:t>
      </w:r>
    </w:p>
    <w:p w14:paraId="3C6E7275" w14:textId="77777777" w:rsidR="00B66EF3" w:rsidRPr="002B6ABA" w:rsidRDefault="00C36676" w:rsidP="00280D4C">
      <w:pPr>
        <w:spacing w:before="120" w:after="120" w:line="360" w:lineRule="auto"/>
        <w:rPr>
          <w:rFonts w:ascii="Times New Roman" w:hAnsi="Times New Roman" w:cs="Times New Roman"/>
          <w:b/>
          <w:sz w:val="24"/>
        </w:rPr>
      </w:pPr>
      <w:r w:rsidRPr="002B6ABA">
        <w:rPr>
          <w:rFonts w:ascii="Times New Roman" w:hAnsi="Times New Roman" w:cs="Times New Roman"/>
          <w:b/>
          <w:sz w:val="24"/>
        </w:rPr>
        <w:t xml:space="preserve">3.9 </w:t>
      </w:r>
      <w:r w:rsidR="008D1172" w:rsidRPr="002B6ABA">
        <w:rPr>
          <w:rFonts w:ascii="Times New Roman" w:hAnsi="Times New Roman" w:cs="Times New Roman"/>
          <w:b/>
          <w:sz w:val="24"/>
        </w:rPr>
        <w:t>Vitamin C content</w:t>
      </w:r>
      <w:r w:rsidR="00B66EF3" w:rsidRPr="002B6ABA">
        <w:rPr>
          <w:rFonts w:ascii="Times New Roman" w:hAnsi="Times New Roman" w:cs="Times New Roman"/>
          <w:b/>
          <w:sz w:val="24"/>
        </w:rPr>
        <w:t xml:space="preserve"> (mg/100g FW)</w:t>
      </w:r>
    </w:p>
    <w:p w14:paraId="7429BA35" w14:textId="3CEAEFC7" w:rsidR="0088443F" w:rsidRPr="002B6ABA" w:rsidRDefault="00B66EF3" w:rsidP="009D2034">
      <w:pPr>
        <w:spacing w:line="360" w:lineRule="auto"/>
        <w:jc w:val="both"/>
        <w:rPr>
          <w:rFonts w:ascii="Times New Roman" w:hAnsi="Times New Roman" w:cs="Times New Roman"/>
          <w:sz w:val="24"/>
          <w:szCs w:val="24"/>
        </w:rPr>
      </w:pPr>
      <w:r w:rsidRPr="002B6ABA">
        <w:t>The G</w:t>
      </w:r>
      <w:r w:rsidRPr="002B6ABA">
        <w:rPr>
          <w:vertAlign w:val="subscript"/>
        </w:rPr>
        <w:t>1</w:t>
      </w:r>
      <w:r w:rsidRPr="002B6ABA">
        <w:t>C</w:t>
      </w:r>
      <w:r w:rsidRPr="002B6ABA">
        <w:rPr>
          <w:vertAlign w:val="subscript"/>
        </w:rPr>
        <w:t>2</w:t>
      </w:r>
      <w:r w:rsidRPr="002B6ABA">
        <w:t xml:space="preserve"> treatment combination had the highest vitamin C content (13.72 mg/100 g), whereas G</w:t>
      </w:r>
      <w:r w:rsidRPr="002B6ABA">
        <w:rPr>
          <w:vertAlign w:val="subscript"/>
        </w:rPr>
        <w:t>0</w:t>
      </w:r>
      <w:r w:rsidRPr="002B6ABA">
        <w:t>C</w:t>
      </w:r>
      <w:r w:rsidRPr="002B6ABA">
        <w:rPr>
          <w:vertAlign w:val="subscript"/>
        </w:rPr>
        <w:t>0</w:t>
      </w:r>
      <w:r w:rsidRPr="002B6ABA">
        <w:t xml:space="preserve"> had the lowest vitamin C content (5.78 mg/100 g) (Table 2). Regmi </w:t>
      </w:r>
      <w:r w:rsidRPr="002B6ABA">
        <w:rPr>
          <w:i/>
        </w:rPr>
        <w:t>et al.</w:t>
      </w:r>
      <w:r w:rsidRPr="002B6ABA">
        <w:t xml:space="preserve"> (2024) reported that bananas treated with 150 ppm GA</w:t>
      </w:r>
      <w:r w:rsidRPr="002B6ABA">
        <w:rPr>
          <w:vertAlign w:val="subscript"/>
        </w:rPr>
        <w:t>3</w:t>
      </w:r>
      <w:r w:rsidRPr="002B6ABA">
        <w:t xml:space="preserve"> had the highest ascorbic acid content. According to </w:t>
      </w:r>
      <w:r w:rsidR="00FF3897" w:rsidRPr="00FF3897">
        <w:t>Chouhan</w:t>
      </w:r>
      <w:r w:rsidRPr="002B6ABA">
        <w:t xml:space="preserve"> </w:t>
      </w:r>
      <w:r w:rsidRPr="002B6ABA">
        <w:rPr>
          <w:i/>
        </w:rPr>
        <w:t>et al.</w:t>
      </w:r>
      <w:r w:rsidRPr="002B6ABA">
        <w:t xml:space="preserve"> (2025), the continuous production of glucose-6-phosphate, a precursor of vitamin C, during fruit growth may explain the observed increase in ascorbic acid content. The effect may also be related to the ability of chitosan to accelerate photosynthesis, which is closely associated with the production of vitamins and carbohydrates.</w:t>
      </w:r>
    </w:p>
    <w:p w14:paraId="7FD97CEF" w14:textId="77777777" w:rsidR="00280D4C" w:rsidRPr="002B6ABA" w:rsidRDefault="00C36676" w:rsidP="00280D4C">
      <w:pPr>
        <w:spacing w:before="120" w:after="120" w:line="360" w:lineRule="auto"/>
        <w:rPr>
          <w:rFonts w:ascii="Times New Roman" w:hAnsi="Times New Roman" w:cs="Times New Roman"/>
          <w:b/>
          <w:sz w:val="24"/>
        </w:rPr>
      </w:pPr>
      <w:r w:rsidRPr="002B6ABA">
        <w:rPr>
          <w:rFonts w:ascii="Times New Roman" w:hAnsi="Times New Roman" w:cs="Times New Roman"/>
          <w:b/>
          <w:sz w:val="24"/>
        </w:rPr>
        <w:t xml:space="preserve">3.10 </w:t>
      </w:r>
      <w:r w:rsidR="00280D4C" w:rsidRPr="002B6ABA">
        <w:rPr>
          <w:rFonts w:ascii="Times New Roman" w:hAnsi="Times New Roman" w:cs="Times New Roman"/>
          <w:b/>
          <w:sz w:val="24"/>
        </w:rPr>
        <w:t>pH</w:t>
      </w:r>
    </w:p>
    <w:p w14:paraId="559ADC6D" w14:textId="77777777" w:rsidR="00A7365D" w:rsidRPr="002B6ABA" w:rsidRDefault="00280D4C" w:rsidP="00A7365D">
      <w:pPr>
        <w:spacing w:before="120" w:after="120" w:line="360" w:lineRule="auto"/>
        <w:jc w:val="both"/>
        <w:rPr>
          <w:rFonts w:ascii="Times New Roman" w:hAnsi="Times New Roman" w:cs="Times New Roman"/>
          <w:sz w:val="24"/>
        </w:rPr>
      </w:pPr>
      <w:r w:rsidRPr="002B6ABA">
        <w:t>The G</w:t>
      </w:r>
      <w:r w:rsidRPr="002B6ABA">
        <w:rPr>
          <w:vertAlign w:val="subscript"/>
        </w:rPr>
        <w:t>0</w:t>
      </w:r>
      <w:r w:rsidRPr="002B6ABA">
        <w:t>C</w:t>
      </w:r>
      <w:r w:rsidRPr="002B6ABA">
        <w:rPr>
          <w:vertAlign w:val="subscript"/>
        </w:rPr>
        <w:t>0</w:t>
      </w:r>
      <w:r w:rsidRPr="002B6ABA">
        <w:t xml:space="preserve"> treatment combination had the highest pH value (5.70), whereas G</w:t>
      </w:r>
      <w:r w:rsidRPr="002B6ABA">
        <w:rPr>
          <w:vertAlign w:val="subscript"/>
        </w:rPr>
        <w:t>1</w:t>
      </w:r>
      <w:r w:rsidRPr="002B6ABA">
        <w:t>C</w:t>
      </w:r>
      <w:r w:rsidRPr="002B6ABA">
        <w:rPr>
          <w:vertAlign w:val="subscript"/>
        </w:rPr>
        <w:t>2</w:t>
      </w:r>
      <w:r w:rsidRPr="002B6ABA">
        <w:t xml:space="preserve"> had the lowest pH value (4.48) (Table 2). Fruits treated with gibberellic acid may have lower pH because of reduced respiration (Başak </w:t>
      </w:r>
      <w:r w:rsidRPr="002B6ABA">
        <w:rPr>
          <w:i/>
        </w:rPr>
        <w:t>et al.</w:t>
      </w:r>
      <w:r w:rsidRPr="002B6ABA">
        <w:t xml:space="preserve">, 2025). The previously mentioned increasing trend in TSS may also have contributed to the decline in pH observed in this study. These findings are consistent with those of Behera </w:t>
      </w:r>
      <w:r w:rsidRPr="002B6ABA">
        <w:rPr>
          <w:i/>
        </w:rPr>
        <w:t>et al.</w:t>
      </w:r>
      <w:r w:rsidRPr="002B6ABA">
        <w:t xml:space="preserve"> (2025), who found that banana fruit treated with 150 ppm GA</w:t>
      </w:r>
      <w:r w:rsidRPr="002B6ABA">
        <w:rPr>
          <w:vertAlign w:val="subscript"/>
        </w:rPr>
        <w:t>3</w:t>
      </w:r>
      <w:r w:rsidRPr="002B6ABA">
        <w:t xml:space="preserve"> produced the lowest pH. Khan </w:t>
      </w:r>
      <w:r w:rsidRPr="002B6ABA">
        <w:rPr>
          <w:i/>
        </w:rPr>
        <w:t>et al.</w:t>
      </w:r>
      <w:r w:rsidRPr="002B6ABA">
        <w:t xml:space="preserve"> (2024) found that foliar spraying with 150 ppm chitosan resulted in the lowest pH of 4.49 in peach juice. Fruits coated with chitosan may be more acidic because there is less metabolic conversion of organic acids into CO</w:t>
      </w:r>
      <w:r w:rsidRPr="002B6ABA">
        <w:rPr>
          <w:vertAlign w:val="subscript"/>
        </w:rPr>
        <w:t>2</w:t>
      </w:r>
      <w:r w:rsidRPr="002B6ABA">
        <w:t xml:space="preserve"> and H</w:t>
      </w:r>
      <w:r w:rsidRPr="002B6ABA">
        <w:rPr>
          <w:vertAlign w:val="subscript"/>
        </w:rPr>
        <w:t>2</w:t>
      </w:r>
      <w:r w:rsidRPr="002B6ABA">
        <w:t xml:space="preserve">O. The respiration rate may decrease as a result of this metabolic change, thereby preserving a higher concentration of organic acids (Sajid </w:t>
      </w:r>
      <w:r w:rsidRPr="002B6ABA">
        <w:rPr>
          <w:i/>
        </w:rPr>
        <w:t>et al.</w:t>
      </w:r>
      <w:r w:rsidRPr="002B6ABA">
        <w:t>, 2020).</w:t>
      </w:r>
    </w:p>
    <w:p w14:paraId="31072853" w14:textId="77777777" w:rsidR="00B66EF3" w:rsidRPr="002B6ABA" w:rsidRDefault="00C36676" w:rsidP="00B34BED">
      <w:pPr>
        <w:spacing w:before="120" w:after="120" w:line="360" w:lineRule="auto"/>
        <w:jc w:val="both"/>
        <w:rPr>
          <w:rFonts w:ascii="Times New Roman" w:hAnsi="Times New Roman" w:cs="Times New Roman"/>
          <w:b/>
          <w:sz w:val="24"/>
        </w:rPr>
      </w:pPr>
      <w:r w:rsidRPr="002B6ABA">
        <w:rPr>
          <w:rFonts w:ascii="Times New Roman" w:hAnsi="Times New Roman" w:cs="Times New Roman"/>
          <w:b/>
          <w:sz w:val="24"/>
        </w:rPr>
        <w:t xml:space="preserve">3.11 </w:t>
      </w:r>
      <w:r w:rsidR="00B66EF3" w:rsidRPr="002B6ABA">
        <w:rPr>
          <w:rFonts w:ascii="Times New Roman" w:hAnsi="Times New Roman" w:cs="Times New Roman"/>
          <w:b/>
          <w:sz w:val="24"/>
        </w:rPr>
        <w:t>Reducing sugar (mg/g)</w:t>
      </w:r>
    </w:p>
    <w:p w14:paraId="7AA2D31D" w14:textId="77777777" w:rsidR="0088443F" w:rsidRPr="002B6ABA" w:rsidRDefault="009F758E" w:rsidP="00B34BED">
      <w:pPr>
        <w:spacing w:before="120" w:after="120" w:line="360" w:lineRule="auto"/>
        <w:jc w:val="both"/>
        <w:rPr>
          <w:rFonts w:ascii="Times New Roman" w:hAnsi="Times New Roman" w:cs="Times New Roman"/>
          <w:color w:val="FF0000"/>
          <w:sz w:val="24"/>
        </w:rPr>
      </w:pPr>
      <w:r w:rsidRPr="002B6ABA">
        <w:t>The G</w:t>
      </w:r>
      <w:r w:rsidRPr="002B6ABA">
        <w:rPr>
          <w:vertAlign w:val="subscript"/>
        </w:rPr>
        <w:t>1</w:t>
      </w:r>
      <w:r w:rsidRPr="002B6ABA">
        <w:t>C</w:t>
      </w:r>
      <w:r w:rsidRPr="002B6ABA">
        <w:rPr>
          <w:vertAlign w:val="subscript"/>
        </w:rPr>
        <w:t>2</w:t>
      </w:r>
      <w:r w:rsidRPr="002B6ABA">
        <w:t xml:space="preserve"> treatment combination produced the highest reducing sugar content (10.85 mg/g), which was statistically equivalent to that of G</w:t>
      </w:r>
      <w:r w:rsidRPr="002B6ABA">
        <w:rPr>
          <w:vertAlign w:val="subscript"/>
        </w:rPr>
        <w:t>1</w:t>
      </w:r>
      <w:r w:rsidRPr="002B6ABA">
        <w:t>C</w:t>
      </w:r>
      <w:r w:rsidRPr="002B6ABA">
        <w:rPr>
          <w:vertAlign w:val="subscript"/>
        </w:rPr>
        <w:t>1</w:t>
      </w:r>
      <w:r w:rsidRPr="002B6ABA">
        <w:t xml:space="preserve"> (10.78 mg/g). The G</w:t>
      </w:r>
      <w:r w:rsidRPr="002B6ABA">
        <w:rPr>
          <w:vertAlign w:val="subscript"/>
        </w:rPr>
        <w:t>0</w:t>
      </w:r>
      <w:r w:rsidRPr="002B6ABA">
        <w:t>C</w:t>
      </w:r>
      <w:r w:rsidRPr="002B6ABA">
        <w:rPr>
          <w:vertAlign w:val="subscript"/>
        </w:rPr>
        <w:t>0</w:t>
      </w:r>
      <w:r w:rsidRPr="002B6ABA">
        <w:t xml:space="preserve"> treatment combination produced the lowest reducing sugar content (8.85 mg/g) (Table 2). According to Ghimire </w:t>
      </w:r>
      <w:r w:rsidRPr="002B6ABA">
        <w:rPr>
          <w:i/>
        </w:rPr>
        <w:t>et al.</w:t>
      </w:r>
      <w:r w:rsidRPr="002B6ABA">
        <w:t xml:space="preserve"> (2021), banana fruits treated with 100 ppm GA</w:t>
      </w:r>
      <w:r w:rsidRPr="002B6ABA">
        <w:rPr>
          <w:vertAlign w:val="subscript"/>
        </w:rPr>
        <w:t>3</w:t>
      </w:r>
      <w:r w:rsidRPr="002B6ABA">
        <w:t xml:space="preserve"> had the highest reducing sugar concentration. Furthermore, Li </w:t>
      </w:r>
      <w:r w:rsidRPr="002B6ABA">
        <w:rPr>
          <w:i/>
        </w:rPr>
        <w:t>et al.</w:t>
      </w:r>
      <w:r w:rsidRPr="002B6ABA">
        <w:t xml:space="preserve"> (2020) stated that the elevated sugar content associated with GA</w:t>
      </w:r>
      <w:r w:rsidRPr="002B6ABA">
        <w:rPr>
          <w:vertAlign w:val="subscript"/>
        </w:rPr>
        <w:t>3</w:t>
      </w:r>
      <w:r w:rsidRPr="002B6ABA">
        <w:t xml:space="preserve"> application may be due to its active role in redirecting the translocation of soluble solids to fruits. Mawale and Giridhar (2024) found that 300 ppm chitosan increased reducing sugar concentration by 15-40%. The findings are consistent with those of Gomaa </w:t>
      </w:r>
      <w:r w:rsidRPr="002B6ABA">
        <w:rPr>
          <w:i/>
        </w:rPr>
        <w:t>et al.</w:t>
      </w:r>
      <w:r w:rsidRPr="002B6ABA">
        <w:t xml:space="preserve"> (2024), who found that pre-harvest application of 0.3% chitosan produced the highest reducing sugar content in pomegranates.</w:t>
      </w:r>
    </w:p>
    <w:p w14:paraId="5389ED01" w14:textId="77777777" w:rsidR="00B66EF3" w:rsidRPr="002B6ABA" w:rsidRDefault="00855D80" w:rsidP="00B34BED">
      <w:pPr>
        <w:spacing w:before="120" w:after="120" w:line="360" w:lineRule="auto"/>
        <w:jc w:val="both"/>
        <w:rPr>
          <w:rFonts w:ascii="Times New Roman" w:hAnsi="Times New Roman" w:cs="Times New Roman"/>
          <w:b/>
          <w:sz w:val="24"/>
        </w:rPr>
      </w:pPr>
      <w:r w:rsidRPr="002B6ABA">
        <w:rPr>
          <w:rFonts w:ascii="Times New Roman" w:hAnsi="Times New Roman" w:cs="Times New Roman"/>
          <w:b/>
          <w:sz w:val="24"/>
        </w:rPr>
        <w:lastRenderedPageBreak/>
        <w:t xml:space="preserve">3.12 </w:t>
      </w:r>
      <w:r w:rsidR="00B66EF3" w:rsidRPr="002B6ABA">
        <w:rPr>
          <w:rFonts w:ascii="Times New Roman" w:hAnsi="Times New Roman" w:cs="Times New Roman"/>
          <w:b/>
          <w:sz w:val="24"/>
        </w:rPr>
        <w:t>Phenol</w:t>
      </w:r>
      <w:r w:rsidR="00D1049A" w:rsidRPr="002B6ABA">
        <w:rPr>
          <w:rFonts w:ascii="Times New Roman" w:hAnsi="Times New Roman" w:cs="Times New Roman"/>
          <w:b/>
          <w:sz w:val="24"/>
        </w:rPr>
        <w:t>ic content (mg</w:t>
      </w:r>
      <w:r w:rsidR="00D660F2" w:rsidRPr="002B6ABA">
        <w:t xml:space="preserve"> </w:t>
      </w:r>
      <w:r w:rsidR="00D660F2" w:rsidRPr="002B6ABA">
        <w:rPr>
          <w:rFonts w:ascii="Times New Roman" w:hAnsi="Times New Roman" w:cs="Times New Roman"/>
          <w:b/>
          <w:sz w:val="24"/>
        </w:rPr>
        <w:t>GAE/100g</w:t>
      </w:r>
      <w:r w:rsidR="00D1049A" w:rsidRPr="002B6ABA">
        <w:rPr>
          <w:rFonts w:ascii="Times New Roman" w:hAnsi="Times New Roman" w:cs="Times New Roman"/>
          <w:b/>
          <w:sz w:val="24"/>
        </w:rPr>
        <w:t>)</w:t>
      </w:r>
    </w:p>
    <w:p w14:paraId="6D5627BC" w14:textId="77777777" w:rsidR="00517921" w:rsidRPr="002B6ABA" w:rsidRDefault="00D1049A" w:rsidP="00F40135">
      <w:pPr>
        <w:spacing w:after="120" w:line="360" w:lineRule="auto"/>
        <w:jc w:val="both"/>
        <w:rPr>
          <w:rFonts w:ascii="Times New Roman" w:hAnsi="Times New Roman" w:cs="Times New Roman"/>
          <w:sz w:val="24"/>
          <w:szCs w:val="24"/>
        </w:rPr>
      </w:pPr>
      <w:r w:rsidRPr="002B6ABA">
        <w:t>The combination of chitosan and GA</w:t>
      </w:r>
      <w:r w:rsidRPr="002B6ABA">
        <w:rPr>
          <w:vertAlign w:val="subscript"/>
        </w:rPr>
        <w:t>3</w:t>
      </w:r>
      <w:r w:rsidRPr="002B6ABA">
        <w:t xml:space="preserve"> had a considerable effect on the phenolic content of banana. Phenol content was highest in G</w:t>
      </w:r>
      <w:r w:rsidRPr="002B6ABA">
        <w:rPr>
          <w:vertAlign w:val="subscript"/>
        </w:rPr>
        <w:t>1</w:t>
      </w:r>
      <w:r w:rsidRPr="002B6ABA">
        <w:t>C</w:t>
      </w:r>
      <w:r w:rsidRPr="002B6ABA">
        <w:rPr>
          <w:vertAlign w:val="subscript"/>
        </w:rPr>
        <w:t>2</w:t>
      </w:r>
      <w:r w:rsidRPr="002B6ABA">
        <w:t xml:space="preserve"> (20.45 mg GAE/100 g), whereas G</w:t>
      </w:r>
      <w:r w:rsidRPr="002B6ABA">
        <w:rPr>
          <w:vertAlign w:val="subscript"/>
        </w:rPr>
        <w:t>0</w:t>
      </w:r>
      <w:r w:rsidRPr="002B6ABA">
        <w:t>C</w:t>
      </w:r>
      <w:r w:rsidRPr="002B6ABA">
        <w:rPr>
          <w:vertAlign w:val="subscript"/>
        </w:rPr>
        <w:t>0</w:t>
      </w:r>
      <w:r w:rsidRPr="002B6ABA">
        <w:t xml:space="preserve"> had the lowest phenol content (10.52 mg GAE/100 g), which was significantly lower than the other treatment combinations (Table 2). Pratama </w:t>
      </w:r>
      <w:r w:rsidRPr="002B6ABA">
        <w:rPr>
          <w:i/>
        </w:rPr>
        <w:t>et al.</w:t>
      </w:r>
      <w:r w:rsidRPr="002B6ABA">
        <w:t xml:space="preserve"> (2025) found that banana treated with 100 ppm GA</w:t>
      </w:r>
      <w:r w:rsidRPr="002B6ABA">
        <w:rPr>
          <w:vertAlign w:val="subscript"/>
        </w:rPr>
        <w:t>3</w:t>
      </w:r>
      <w:r w:rsidRPr="002B6ABA">
        <w:t xml:space="preserve"> produced the highest total phenol content. The greatest concentrations of phenolic compounds were also observed when strawberries were sprayed with 100 ppm GA</w:t>
      </w:r>
      <w:r w:rsidRPr="002B6ABA">
        <w:rPr>
          <w:vertAlign w:val="subscript"/>
        </w:rPr>
        <w:t>3</w:t>
      </w:r>
      <w:r w:rsidRPr="002B6ABA">
        <w:t xml:space="preserve"> (Gundogdu </w:t>
      </w:r>
      <w:r w:rsidRPr="002B6ABA">
        <w:rPr>
          <w:i/>
        </w:rPr>
        <w:t>et al.</w:t>
      </w:r>
      <w:r w:rsidRPr="002B6ABA">
        <w:t>, 2021) and mandarin with 85 ppm GA</w:t>
      </w:r>
      <w:r w:rsidRPr="002B6ABA">
        <w:rPr>
          <w:vertAlign w:val="subscript"/>
        </w:rPr>
        <w:t>3</w:t>
      </w:r>
      <w:r w:rsidRPr="002B6ABA">
        <w:t xml:space="preserve"> (Talat </w:t>
      </w:r>
      <w:r w:rsidRPr="002B6ABA">
        <w:rPr>
          <w:i/>
        </w:rPr>
        <w:t>et al.</w:t>
      </w:r>
      <w:r w:rsidRPr="002B6ABA">
        <w:t xml:space="preserve">, 2020), which further supports these findings. Banana fruits treated with 0.5% chitosan produced the highest total phenol content (4.33 mg/g DW) (Arshad </w:t>
      </w:r>
      <w:r w:rsidRPr="002B6ABA">
        <w:rPr>
          <w:i/>
        </w:rPr>
        <w:t>et al.</w:t>
      </w:r>
      <w:r w:rsidRPr="002B6ABA">
        <w:t>, 2025). These results are consistent with the observations of the present study.</w:t>
      </w:r>
    </w:p>
    <w:p w14:paraId="1D3F587A" w14:textId="77777777" w:rsidR="00853B95" w:rsidRPr="002B6ABA" w:rsidRDefault="00356B98" w:rsidP="00186645">
      <w:pPr>
        <w:spacing w:before="120" w:after="120" w:line="360" w:lineRule="auto"/>
        <w:jc w:val="both"/>
        <w:rPr>
          <w:rFonts w:ascii="Times New Roman" w:eastAsia="Calibri" w:hAnsi="Times New Roman" w:cs="Times New Roman"/>
          <w:b/>
          <w:sz w:val="24"/>
          <w:szCs w:val="24"/>
        </w:rPr>
      </w:pPr>
      <w:r w:rsidRPr="002B6ABA">
        <w:rPr>
          <w:rFonts w:ascii="Times New Roman" w:eastAsia="Calibri" w:hAnsi="Times New Roman" w:cs="Times New Roman"/>
          <w:b/>
          <w:bCs/>
          <w:sz w:val="24"/>
          <w:szCs w:val="24"/>
        </w:rPr>
        <w:t xml:space="preserve">Table </w:t>
      </w:r>
      <w:r w:rsidR="00D374F8" w:rsidRPr="002B6ABA">
        <w:rPr>
          <w:rFonts w:ascii="Times New Roman" w:eastAsia="Calibri" w:hAnsi="Times New Roman" w:cs="Times New Roman"/>
          <w:b/>
          <w:bCs/>
          <w:sz w:val="24"/>
          <w:szCs w:val="24"/>
        </w:rPr>
        <w:t>2</w:t>
      </w:r>
      <w:r w:rsidR="00855D80" w:rsidRPr="002B6ABA">
        <w:rPr>
          <w:rFonts w:ascii="Times New Roman" w:eastAsia="Calibri" w:hAnsi="Times New Roman" w:cs="Times New Roman"/>
          <w:b/>
          <w:bCs/>
          <w:sz w:val="24"/>
          <w:szCs w:val="24"/>
        </w:rPr>
        <w:t>.</w:t>
      </w:r>
      <w:r w:rsidRPr="002B6ABA">
        <w:rPr>
          <w:rFonts w:ascii="Times New Roman" w:eastAsia="Calibri" w:hAnsi="Times New Roman" w:cs="Times New Roman"/>
          <w:b/>
          <w:bCs/>
          <w:sz w:val="24"/>
          <w:szCs w:val="24"/>
        </w:rPr>
        <w:t xml:space="preserve"> </w:t>
      </w:r>
      <w:r w:rsidR="00855D80" w:rsidRPr="002B6ABA">
        <w:rPr>
          <w:rFonts w:ascii="Times New Roman" w:eastAsia="Calibri" w:hAnsi="Times New Roman" w:cs="Times New Roman"/>
          <w:b/>
          <w:bCs/>
          <w:sz w:val="24"/>
          <w:szCs w:val="24"/>
        </w:rPr>
        <w:t>Combined e</w:t>
      </w:r>
      <w:r w:rsidRPr="002B6ABA">
        <w:rPr>
          <w:rFonts w:ascii="Times New Roman" w:hAnsi="Times New Roman" w:cs="Times New Roman"/>
          <w:b/>
          <w:bCs/>
          <w:sz w:val="24"/>
          <w:szCs w:val="24"/>
        </w:rPr>
        <w:t xml:space="preserve">ffect of </w:t>
      </w:r>
      <w:r w:rsidR="00FD5C71" w:rsidRPr="002B6ABA">
        <w:rPr>
          <w:rFonts w:ascii="Times New Roman" w:hAnsi="Times New Roman" w:cs="Times New Roman"/>
          <w:b/>
          <w:bCs/>
          <w:sz w:val="24"/>
          <w:szCs w:val="24"/>
        </w:rPr>
        <w:t>GA</w:t>
      </w:r>
      <w:r w:rsidR="00FD5C71" w:rsidRPr="002B6ABA">
        <w:rPr>
          <w:rFonts w:ascii="Times New Roman" w:hAnsi="Times New Roman" w:cs="Times New Roman"/>
          <w:b/>
          <w:bCs/>
          <w:sz w:val="24"/>
          <w:szCs w:val="24"/>
          <w:vertAlign w:val="subscript"/>
        </w:rPr>
        <w:t>3</w:t>
      </w:r>
      <w:r w:rsidRPr="002B6ABA">
        <w:rPr>
          <w:rFonts w:ascii="Times New Roman" w:hAnsi="Times New Roman" w:cs="Times New Roman"/>
          <w:b/>
          <w:bCs/>
          <w:sz w:val="24"/>
          <w:szCs w:val="24"/>
        </w:rPr>
        <w:t xml:space="preserve"> and </w:t>
      </w:r>
      <w:r w:rsidR="00FD5C71" w:rsidRPr="002B6ABA">
        <w:rPr>
          <w:rFonts w:ascii="Times New Roman" w:hAnsi="Times New Roman" w:cs="Times New Roman"/>
          <w:b/>
          <w:bCs/>
          <w:sz w:val="24"/>
          <w:szCs w:val="24"/>
        </w:rPr>
        <w:t xml:space="preserve">chitosan </w:t>
      </w:r>
      <w:r w:rsidRPr="002B6ABA">
        <w:rPr>
          <w:rFonts w:ascii="Times New Roman" w:hAnsi="Times New Roman" w:cs="Times New Roman"/>
          <w:b/>
          <w:bCs/>
          <w:sz w:val="24"/>
          <w:szCs w:val="24"/>
        </w:rPr>
        <w:t xml:space="preserve">on </w:t>
      </w:r>
      <w:r w:rsidR="00CB4104" w:rsidRPr="002B6ABA">
        <w:rPr>
          <w:rFonts w:ascii="Times New Roman" w:hAnsi="Times New Roman" w:cs="Times New Roman"/>
          <w:b/>
          <w:bCs/>
          <w:sz w:val="24"/>
          <w:szCs w:val="24"/>
        </w:rPr>
        <w:t xml:space="preserve">different </w:t>
      </w:r>
      <w:r w:rsidR="00855D80" w:rsidRPr="002B6ABA">
        <w:rPr>
          <w:rFonts w:ascii="Times New Roman" w:hAnsi="Times New Roman" w:cs="Times New Roman"/>
          <w:b/>
          <w:bCs/>
          <w:sz w:val="24"/>
          <w:szCs w:val="24"/>
        </w:rPr>
        <w:t>biochemical</w:t>
      </w:r>
      <w:r w:rsidR="00CB4104" w:rsidRPr="002B6ABA">
        <w:rPr>
          <w:rFonts w:ascii="Times New Roman" w:hAnsi="Times New Roman" w:cs="Times New Roman"/>
          <w:b/>
          <w:bCs/>
          <w:sz w:val="24"/>
          <w:szCs w:val="24"/>
        </w:rPr>
        <w:t xml:space="preserve"> parameters of Banana</w:t>
      </w:r>
    </w:p>
    <w:tbl>
      <w:tblPr>
        <w:tblStyle w:val="TableGrid"/>
        <w:tblW w:w="90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1447"/>
        <w:gridCol w:w="1371"/>
        <w:gridCol w:w="1293"/>
        <w:gridCol w:w="916"/>
        <w:gridCol w:w="1462"/>
        <w:gridCol w:w="1272"/>
      </w:tblGrid>
      <w:tr w:rsidR="0068024C" w:rsidRPr="002B6ABA" w14:paraId="738D4EAA" w14:textId="77777777" w:rsidTr="00783613">
        <w:trPr>
          <w:trHeight w:val="422"/>
          <w:jc w:val="center"/>
        </w:trPr>
        <w:tc>
          <w:tcPr>
            <w:tcW w:w="1285" w:type="dxa"/>
            <w:tcBorders>
              <w:top w:val="single" w:sz="4" w:space="0" w:color="auto"/>
              <w:bottom w:val="single" w:sz="4" w:space="0" w:color="auto"/>
            </w:tcBorders>
          </w:tcPr>
          <w:p w14:paraId="2231F97E" w14:textId="77777777" w:rsidR="0068024C" w:rsidRPr="002B6ABA" w:rsidRDefault="0068024C" w:rsidP="0008431D">
            <w:pPr>
              <w:spacing w:line="276" w:lineRule="auto"/>
              <w:rPr>
                <w:rFonts w:ascii="Times New Roman" w:hAnsi="Times New Roman" w:cs="Times New Roman"/>
                <w:b/>
                <w:bCs/>
                <w:sz w:val="22"/>
              </w:rPr>
            </w:pPr>
            <w:r w:rsidRPr="002B6ABA">
              <w:rPr>
                <w:rFonts w:ascii="Times New Roman" w:hAnsi="Times New Roman" w:cs="Times New Roman"/>
                <w:b/>
                <w:bCs/>
                <w:sz w:val="22"/>
              </w:rPr>
              <w:t>Treatments</w:t>
            </w:r>
          </w:p>
        </w:tc>
        <w:tc>
          <w:tcPr>
            <w:tcW w:w="1447" w:type="dxa"/>
            <w:tcBorders>
              <w:top w:val="single" w:sz="4" w:space="0" w:color="auto"/>
              <w:bottom w:val="single" w:sz="4" w:space="0" w:color="auto"/>
            </w:tcBorders>
          </w:tcPr>
          <w:p w14:paraId="723D20F3" w14:textId="77777777" w:rsidR="0068024C" w:rsidRPr="002B6ABA" w:rsidRDefault="00D374F8" w:rsidP="0008431D">
            <w:pPr>
              <w:spacing w:line="276" w:lineRule="auto"/>
              <w:jc w:val="center"/>
              <w:rPr>
                <w:rFonts w:ascii="Times New Roman" w:hAnsi="Times New Roman" w:cs="Times New Roman"/>
                <w:b/>
                <w:bCs/>
                <w:sz w:val="22"/>
              </w:rPr>
            </w:pPr>
            <w:r w:rsidRPr="002B6ABA">
              <w:rPr>
                <w:rFonts w:ascii="Times New Roman" w:hAnsi="Times New Roman" w:cs="Times New Roman"/>
                <w:b/>
                <w:bCs/>
                <w:sz w:val="22"/>
              </w:rPr>
              <w:t>Total soluble solid (°Brix)</w:t>
            </w:r>
          </w:p>
        </w:tc>
        <w:tc>
          <w:tcPr>
            <w:tcW w:w="1371" w:type="dxa"/>
            <w:tcBorders>
              <w:top w:val="single" w:sz="4" w:space="0" w:color="auto"/>
              <w:bottom w:val="single" w:sz="4" w:space="0" w:color="auto"/>
            </w:tcBorders>
          </w:tcPr>
          <w:p w14:paraId="2E2603BD" w14:textId="77777777" w:rsidR="0068024C" w:rsidRPr="002B6ABA" w:rsidRDefault="0068024C" w:rsidP="0008431D">
            <w:pPr>
              <w:spacing w:line="276" w:lineRule="auto"/>
              <w:jc w:val="center"/>
              <w:rPr>
                <w:rFonts w:ascii="Times New Roman" w:hAnsi="Times New Roman" w:cs="Times New Roman"/>
                <w:b/>
                <w:bCs/>
                <w:sz w:val="22"/>
              </w:rPr>
            </w:pPr>
            <w:r w:rsidRPr="002B6ABA">
              <w:rPr>
                <w:rFonts w:ascii="Times New Roman" w:hAnsi="Times New Roman" w:cs="Times New Roman"/>
                <w:b/>
                <w:bCs/>
                <w:sz w:val="22"/>
              </w:rPr>
              <w:t>Titratable Acidity (%)</w:t>
            </w:r>
          </w:p>
        </w:tc>
        <w:tc>
          <w:tcPr>
            <w:tcW w:w="1293" w:type="dxa"/>
            <w:tcBorders>
              <w:top w:val="single" w:sz="4" w:space="0" w:color="auto"/>
              <w:bottom w:val="single" w:sz="4" w:space="0" w:color="auto"/>
            </w:tcBorders>
          </w:tcPr>
          <w:p w14:paraId="036A2E13" w14:textId="77777777" w:rsidR="0068024C" w:rsidRPr="002B6ABA" w:rsidRDefault="008D1172" w:rsidP="0008431D">
            <w:pPr>
              <w:spacing w:line="276" w:lineRule="auto"/>
              <w:jc w:val="center"/>
              <w:rPr>
                <w:rFonts w:ascii="Times New Roman" w:hAnsi="Times New Roman" w:cs="Times New Roman"/>
                <w:b/>
                <w:bCs/>
                <w:sz w:val="22"/>
              </w:rPr>
            </w:pPr>
            <w:r w:rsidRPr="002B6ABA">
              <w:rPr>
                <w:rFonts w:ascii="Times New Roman" w:hAnsi="Times New Roman" w:cs="Times New Roman"/>
                <w:b/>
                <w:bCs/>
                <w:sz w:val="22"/>
              </w:rPr>
              <w:t>Vitamin C</w:t>
            </w:r>
            <w:r w:rsidR="0068024C" w:rsidRPr="002B6ABA">
              <w:rPr>
                <w:rFonts w:ascii="Times New Roman" w:hAnsi="Times New Roman" w:cs="Times New Roman"/>
                <w:b/>
                <w:bCs/>
                <w:sz w:val="22"/>
              </w:rPr>
              <w:t xml:space="preserve"> (mg/100g)</w:t>
            </w:r>
          </w:p>
        </w:tc>
        <w:tc>
          <w:tcPr>
            <w:tcW w:w="916" w:type="dxa"/>
            <w:tcBorders>
              <w:top w:val="single" w:sz="4" w:space="0" w:color="auto"/>
              <w:bottom w:val="single" w:sz="4" w:space="0" w:color="auto"/>
            </w:tcBorders>
          </w:tcPr>
          <w:p w14:paraId="1B763C29" w14:textId="77777777" w:rsidR="0068024C" w:rsidRPr="002B6ABA" w:rsidRDefault="0068024C" w:rsidP="0008431D">
            <w:pPr>
              <w:spacing w:line="276" w:lineRule="auto"/>
              <w:jc w:val="center"/>
              <w:rPr>
                <w:rFonts w:ascii="Times New Roman" w:hAnsi="Times New Roman" w:cs="Times New Roman"/>
                <w:b/>
                <w:bCs/>
                <w:sz w:val="22"/>
              </w:rPr>
            </w:pPr>
            <w:r w:rsidRPr="002B6ABA">
              <w:rPr>
                <w:rFonts w:ascii="Times New Roman" w:hAnsi="Times New Roman" w:cs="Times New Roman"/>
                <w:b/>
                <w:bCs/>
                <w:sz w:val="22"/>
              </w:rPr>
              <w:t>pH</w:t>
            </w:r>
          </w:p>
        </w:tc>
        <w:tc>
          <w:tcPr>
            <w:tcW w:w="1462" w:type="dxa"/>
            <w:tcBorders>
              <w:top w:val="single" w:sz="4" w:space="0" w:color="auto"/>
              <w:bottom w:val="single" w:sz="4" w:space="0" w:color="auto"/>
            </w:tcBorders>
          </w:tcPr>
          <w:p w14:paraId="21EEBFA5" w14:textId="77777777" w:rsidR="0068024C" w:rsidRPr="002B6ABA" w:rsidRDefault="0068024C" w:rsidP="0008431D">
            <w:pPr>
              <w:spacing w:line="276" w:lineRule="auto"/>
              <w:jc w:val="center"/>
              <w:rPr>
                <w:rFonts w:ascii="Times New Roman" w:hAnsi="Times New Roman" w:cs="Times New Roman"/>
                <w:b/>
                <w:bCs/>
                <w:sz w:val="22"/>
              </w:rPr>
            </w:pPr>
            <w:r w:rsidRPr="002B6ABA">
              <w:rPr>
                <w:rFonts w:ascii="Times New Roman" w:hAnsi="Times New Roman" w:cs="Times New Roman"/>
                <w:b/>
                <w:bCs/>
                <w:sz w:val="22"/>
              </w:rPr>
              <w:t>Reducing Sugar (mg/g)</w:t>
            </w:r>
          </w:p>
        </w:tc>
        <w:tc>
          <w:tcPr>
            <w:tcW w:w="1272" w:type="dxa"/>
            <w:tcBorders>
              <w:top w:val="single" w:sz="4" w:space="0" w:color="auto"/>
              <w:bottom w:val="single" w:sz="4" w:space="0" w:color="auto"/>
            </w:tcBorders>
          </w:tcPr>
          <w:p w14:paraId="5F3AF31B" w14:textId="77777777" w:rsidR="0068024C" w:rsidRPr="002B6ABA" w:rsidRDefault="0068024C" w:rsidP="00783613">
            <w:pPr>
              <w:spacing w:line="276" w:lineRule="auto"/>
              <w:ind w:hanging="220"/>
              <w:jc w:val="center"/>
              <w:rPr>
                <w:rFonts w:ascii="Times New Roman" w:hAnsi="Times New Roman" w:cs="Times New Roman"/>
                <w:b/>
                <w:bCs/>
                <w:sz w:val="22"/>
              </w:rPr>
            </w:pPr>
            <w:r w:rsidRPr="002B6ABA">
              <w:rPr>
                <w:rFonts w:ascii="Times New Roman" w:hAnsi="Times New Roman" w:cs="Times New Roman"/>
                <w:b/>
                <w:bCs/>
                <w:sz w:val="22"/>
              </w:rPr>
              <w:t>Phenol (mg</w:t>
            </w:r>
            <w:r w:rsidR="00783613" w:rsidRPr="002B6ABA">
              <w:rPr>
                <w:rFonts w:ascii="Times New Roman" w:hAnsi="Times New Roman" w:cs="Times New Roman"/>
                <w:b/>
                <w:bCs/>
                <w:sz w:val="22"/>
              </w:rPr>
              <w:t xml:space="preserve"> GAE</w:t>
            </w:r>
            <w:r w:rsidRPr="002B6ABA">
              <w:rPr>
                <w:rFonts w:ascii="Times New Roman" w:hAnsi="Times New Roman" w:cs="Times New Roman"/>
                <w:b/>
                <w:bCs/>
                <w:sz w:val="22"/>
              </w:rPr>
              <w:t>/</w:t>
            </w:r>
            <w:r w:rsidR="00783613" w:rsidRPr="002B6ABA">
              <w:rPr>
                <w:rFonts w:ascii="Times New Roman" w:hAnsi="Times New Roman" w:cs="Times New Roman"/>
                <w:b/>
                <w:bCs/>
                <w:sz w:val="22"/>
              </w:rPr>
              <w:t>100</w:t>
            </w:r>
            <w:r w:rsidRPr="002B6ABA">
              <w:rPr>
                <w:rFonts w:ascii="Times New Roman" w:hAnsi="Times New Roman" w:cs="Times New Roman"/>
                <w:b/>
                <w:bCs/>
                <w:sz w:val="22"/>
              </w:rPr>
              <w:t>g)</w:t>
            </w:r>
          </w:p>
        </w:tc>
      </w:tr>
      <w:tr w:rsidR="0068024C" w:rsidRPr="002B6ABA" w14:paraId="0BF5710A" w14:textId="77777777" w:rsidTr="00783613">
        <w:trPr>
          <w:jc w:val="center"/>
        </w:trPr>
        <w:tc>
          <w:tcPr>
            <w:tcW w:w="1285" w:type="dxa"/>
            <w:tcBorders>
              <w:top w:val="single" w:sz="4" w:space="0" w:color="auto"/>
            </w:tcBorders>
          </w:tcPr>
          <w:p w14:paraId="0F0FB344" w14:textId="77777777" w:rsidR="0068024C" w:rsidRPr="002B6ABA" w:rsidRDefault="0068024C" w:rsidP="0008431D">
            <w:pPr>
              <w:spacing w:line="276" w:lineRule="auto"/>
              <w:rPr>
                <w:rFonts w:ascii="Times New Roman" w:hAnsi="Times New Roman" w:cs="Times New Roman"/>
              </w:rPr>
            </w:pPr>
            <w:r w:rsidRPr="002B6ABA">
              <w:rPr>
                <w:rFonts w:ascii="Times New Roman" w:hAnsi="Times New Roman" w:cs="Times New Roman"/>
              </w:rPr>
              <w:t>G</w:t>
            </w:r>
            <w:r w:rsidRPr="002B6ABA">
              <w:rPr>
                <w:rFonts w:ascii="Times New Roman" w:hAnsi="Times New Roman" w:cs="Times New Roman"/>
                <w:vertAlign w:val="subscript"/>
              </w:rPr>
              <w:t>0</w:t>
            </w:r>
            <w:r w:rsidRPr="002B6ABA">
              <w:rPr>
                <w:rFonts w:ascii="Times New Roman" w:hAnsi="Times New Roman" w:cs="Times New Roman"/>
              </w:rPr>
              <w:t>C</w:t>
            </w:r>
            <w:r w:rsidRPr="002B6ABA">
              <w:rPr>
                <w:rFonts w:ascii="Times New Roman" w:hAnsi="Times New Roman" w:cs="Times New Roman"/>
                <w:vertAlign w:val="subscript"/>
              </w:rPr>
              <w:t xml:space="preserve">0 </w:t>
            </w:r>
          </w:p>
        </w:tc>
        <w:tc>
          <w:tcPr>
            <w:tcW w:w="1447" w:type="dxa"/>
            <w:tcBorders>
              <w:top w:val="single" w:sz="4" w:space="0" w:color="auto"/>
            </w:tcBorders>
          </w:tcPr>
          <w:p w14:paraId="685CF392"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15.46g</w:t>
            </w:r>
          </w:p>
        </w:tc>
        <w:tc>
          <w:tcPr>
            <w:tcW w:w="1371" w:type="dxa"/>
            <w:tcBorders>
              <w:top w:val="single" w:sz="4" w:space="0" w:color="auto"/>
            </w:tcBorders>
          </w:tcPr>
          <w:p w14:paraId="50F906E6"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0.36a</w:t>
            </w:r>
          </w:p>
        </w:tc>
        <w:tc>
          <w:tcPr>
            <w:tcW w:w="1293" w:type="dxa"/>
            <w:tcBorders>
              <w:top w:val="single" w:sz="4" w:space="0" w:color="auto"/>
            </w:tcBorders>
          </w:tcPr>
          <w:p w14:paraId="7C8A7DBE"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5.78f</w:t>
            </w:r>
          </w:p>
        </w:tc>
        <w:tc>
          <w:tcPr>
            <w:tcW w:w="916" w:type="dxa"/>
            <w:tcBorders>
              <w:top w:val="single" w:sz="4" w:space="0" w:color="auto"/>
            </w:tcBorders>
          </w:tcPr>
          <w:p w14:paraId="6806DA35" w14:textId="77777777" w:rsidR="0068024C" w:rsidRPr="002B6ABA" w:rsidRDefault="0068024C" w:rsidP="0068024C">
            <w:pPr>
              <w:jc w:val="center"/>
              <w:rPr>
                <w:rFonts w:ascii="Times New Roman" w:hAnsi="Times New Roman" w:cs="Times New Roman"/>
              </w:rPr>
            </w:pPr>
            <w:r w:rsidRPr="002B6ABA">
              <w:rPr>
                <w:rFonts w:ascii="Times New Roman" w:hAnsi="Times New Roman" w:cs="Times New Roman"/>
              </w:rPr>
              <w:t>5.70a</w:t>
            </w:r>
          </w:p>
        </w:tc>
        <w:tc>
          <w:tcPr>
            <w:tcW w:w="1462" w:type="dxa"/>
            <w:tcBorders>
              <w:top w:val="single" w:sz="4" w:space="0" w:color="auto"/>
            </w:tcBorders>
          </w:tcPr>
          <w:p w14:paraId="69EE0A94"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8.85f</w:t>
            </w:r>
          </w:p>
        </w:tc>
        <w:tc>
          <w:tcPr>
            <w:tcW w:w="1272" w:type="dxa"/>
            <w:tcBorders>
              <w:top w:val="single" w:sz="4" w:space="0" w:color="auto"/>
            </w:tcBorders>
          </w:tcPr>
          <w:p w14:paraId="6C18BC1C"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10.52g</w:t>
            </w:r>
          </w:p>
        </w:tc>
      </w:tr>
      <w:tr w:rsidR="0068024C" w:rsidRPr="002B6ABA" w14:paraId="0688FB15" w14:textId="77777777" w:rsidTr="00783613">
        <w:trPr>
          <w:jc w:val="center"/>
        </w:trPr>
        <w:tc>
          <w:tcPr>
            <w:tcW w:w="1285" w:type="dxa"/>
          </w:tcPr>
          <w:p w14:paraId="61FE51A4" w14:textId="77777777" w:rsidR="0068024C" w:rsidRPr="002B6ABA" w:rsidRDefault="0068024C" w:rsidP="0008431D">
            <w:pPr>
              <w:spacing w:line="276" w:lineRule="auto"/>
              <w:rPr>
                <w:rFonts w:ascii="Times New Roman" w:hAnsi="Times New Roman" w:cs="Times New Roman"/>
                <w:vertAlign w:val="subscript"/>
              </w:rPr>
            </w:pPr>
            <w:r w:rsidRPr="002B6ABA">
              <w:rPr>
                <w:rFonts w:ascii="Times New Roman" w:hAnsi="Times New Roman" w:cs="Times New Roman"/>
              </w:rPr>
              <w:t>G</w:t>
            </w:r>
            <w:r w:rsidRPr="002B6ABA">
              <w:rPr>
                <w:rFonts w:ascii="Times New Roman" w:hAnsi="Times New Roman" w:cs="Times New Roman"/>
                <w:vertAlign w:val="subscript"/>
              </w:rPr>
              <w:t>0</w:t>
            </w:r>
            <w:r w:rsidRPr="002B6ABA">
              <w:rPr>
                <w:rFonts w:ascii="Times New Roman" w:hAnsi="Times New Roman" w:cs="Times New Roman"/>
              </w:rPr>
              <w:t>C</w:t>
            </w:r>
            <w:r w:rsidRPr="002B6ABA">
              <w:rPr>
                <w:rFonts w:ascii="Times New Roman" w:hAnsi="Times New Roman" w:cs="Times New Roman"/>
                <w:vertAlign w:val="subscript"/>
              </w:rPr>
              <w:t>1</w:t>
            </w:r>
          </w:p>
        </w:tc>
        <w:tc>
          <w:tcPr>
            <w:tcW w:w="1447" w:type="dxa"/>
          </w:tcPr>
          <w:p w14:paraId="748EE594"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19.86e</w:t>
            </w:r>
          </w:p>
        </w:tc>
        <w:tc>
          <w:tcPr>
            <w:tcW w:w="1371" w:type="dxa"/>
          </w:tcPr>
          <w:p w14:paraId="290A5946"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0.14bc</w:t>
            </w:r>
          </w:p>
        </w:tc>
        <w:tc>
          <w:tcPr>
            <w:tcW w:w="1293" w:type="dxa"/>
          </w:tcPr>
          <w:p w14:paraId="0D0FABAC"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8.06e</w:t>
            </w:r>
          </w:p>
        </w:tc>
        <w:tc>
          <w:tcPr>
            <w:tcW w:w="916" w:type="dxa"/>
          </w:tcPr>
          <w:p w14:paraId="2D39A5C6" w14:textId="77777777" w:rsidR="0068024C" w:rsidRPr="002B6ABA" w:rsidRDefault="0068024C" w:rsidP="0068024C">
            <w:pPr>
              <w:jc w:val="center"/>
              <w:rPr>
                <w:rFonts w:ascii="Times New Roman" w:hAnsi="Times New Roman" w:cs="Times New Roman"/>
              </w:rPr>
            </w:pPr>
            <w:r w:rsidRPr="002B6ABA">
              <w:rPr>
                <w:rFonts w:ascii="Times New Roman" w:hAnsi="Times New Roman" w:cs="Times New Roman"/>
              </w:rPr>
              <w:t>5.12c</w:t>
            </w:r>
          </w:p>
        </w:tc>
        <w:tc>
          <w:tcPr>
            <w:tcW w:w="1462" w:type="dxa"/>
          </w:tcPr>
          <w:p w14:paraId="179970ED"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10.52b</w:t>
            </w:r>
          </w:p>
        </w:tc>
        <w:tc>
          <w:tcPr>
            <w:tcW w:w="1272" w:type="dxa"/>
          </w:tcPr>
          <w:p w14:paraId="748DFF53"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16.95c</w:t>
            </w:r>
          </w:p>
        </w:tc>
      </w:tr>
      <w:tr w:rsidR="0068024C" w:rsidRPr="002B6ABA" w14:paraId="67B48F14" w14:textId="77777777" w:rsidTr="00783613">
        <w:trPr>
          <w:jc w:val="center"/>
        </w:trPr>
        <w:tc>
          <w:tcPr>
            <w:tcW w:w="1285" w:type="dxa"/>
          </w:tcPr>
          <w:p w14:paraId="501505B5" w14:textId="77777777" w:rsidR="0068024C" w:rsidRPr="002B6ABA" w:rsidRDefault="0068024C" w:rsidP="0008431D">
            <w:pPr>
              <w:spacing w:line="276" w:lineRule="auto"/>
              <w:rPr>
                <w:rFonts w:ascii="Times New Roman" w:hAnsi="Times New Roman" w:cs="Times New Roman"/>
                <w:vertAlign w:val="subscript"/>
              </w:rPr>
            </w:pPr>
            <w:r w:rsidRPr="002B6ABA">
              <w:rPr>
                <w:rFonts w:ascii="Times New Roman" w:hAnsi="Times New Roman" w:cs="Times New Roman"/>
              </w:rPr>
              <w:t>G</w:t>
            </w:r>
            <w:r w:rsidRPr="002B6ABA">
              <w:rPr>
                <w:rFonts w:ascii="Times New Roman" w:hAnsi="Times New Roman" w:cs="Times New Roman"/>
                <w:vertAlign w:val="subscript"/>
              </w:rPr>
              <w:t>0</w:t>
            </w:r>
            <w:r w:rsidRPr="002B6ABA">
              <w:rPr>
                <w:rFonts w:ascii="Times New Roman" w:hAnsi="Times New Roman" w:cs="Times New Roman"/>
              </w:rPr>
              <w:t>C</w:t>
            </w:r>
            <w:r w:rsidRPr="002B6ABA">
              <w:rPr>
                <w:rFonts w:ascii="Times New Roman" w:hAnsi="Times New Roman" w:cs="Times New Roman"/>
                <w:vertAlign w:val="subscript"/>
              </w:rPr>
              <w:t>2</w:t>
            </w:r>
          </w:p>
        </w:tc>
        <w:tc>
          <w:tcPr>
            <w:tcW w:w="1447" w:type="dxa"/>
          </w:tcPr>
          <w:p w14:paraId="5188C99E"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24.83b</w:t>
            </w:r>
          </w:p>
        </w:tc>
        <w:tc>
          <w:tcPr>
            <w:tcW w:w="1371" w:type="dxa"/>
          </w:tcPr>
          <w:p w14:paraId="07AB9C93"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0.09de</w:t>
            </w:r>
          </w:p>
        </w:tc>
        <w:tc>
          <w:tcPr>
            <w:tcW w:w="1293" w:type="dxa"/>
          </w:tcPr>
          <w:p w14:paraId="5DA275A3"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12.80b</w:t>
            </w:r>
          </w:p>
        </w:tc>
        <w:tc>
          <w:tcPr>
            <w:tcW w:w="916" w:type="dxa"/>
          </w:tcPr>
          <w:p w14:paraId="3C87DDEF" w14:textId="77777777" w:rsidR="0068024C" w:rsidRPr="002B6ABA" w:rsidRDefault="0068024C" w:rsidP="0068024C">
            <w:pPr>
              <w:jc w:val="center"/>
              <w:rPr>
                <w:rFonts w:ascii="Times New Roman" w:hAnsi="Times New Roman" w:cs="Times New Roman"/>
              </w:rPr>
            </w:pPr>
            <w:r w:rsidRPr="002B6ABA">
              <w:rPr>
                <w:rFonts w:ascii="Times New Roman" w:hAnsi="Times New Roman" w:cs="Times New Roman"/>
              </w:rPr>
              <w:t>4.92d</w:t>
            </w:r>
          </w:p>
        </w:tc>
        <w:tc>
          <w:tcPr>
            <w:tcW w:w="1462" w:type="dxa"/>
          </w:tcPr>
          <w:p w14:paraId="4359ECFF"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10.34bc</w:t>
            </w:r>
          </w:p>
        </w:tc>
        <w:tc>
          <w:tcPr>
            <w:tcW w:w="1272" w:type="dxa"/>
          </w:tcPr>
          <w:p w14:paraId="6BE5BDF0"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19.82b</w:t>
            </w:r>
          </w:p>
        </w:tc>
      </w:tr>
      <w:tr w:rsidR="0068024C" w:rsidRPr="002B6ABA" w14:paraId="70E8A804" w14:textId="77777777" w:rsidTr="00783613">
        <w:trPr>
          <w:jc w:val="center"/>
        </w:trPr>
        <w:tc>
          <w:tcPr>
            <w:tcW w:w="1285" w:type="dxa"/>
          </w:tcPr>
          <w:p w14:paraId="14E1EBE1" w14:textId="77777777" w:rsidR="0068024C" w:rsidRPr="002B6ABA" w:rsidRDefault="0068024C" w:rsidP="0008431D">
            <w:pPr>
              <w:spacing w:line="276" w:lineRule="auto"/>
              <w:rPr>
                <w:rFonts w:ascii="Times New Roman" w:hAnsi="Times New Roman" w:cs="Times New Roman"/>
              </w:rPr>
            </w:pPr>
            <w:r w:rsidRPr="002B6ABA">
              <w:rPr>
                <w:rFonts w:ascii="Times New Roman" w:hAnsi="Times New Roman" w:cs="Times New Roman"/>
              </w:rPr>
              <w:t>G</w:t>
            </w:r>
            <w:r w:rsidRPr="002B6ABA">
              <w:rPr>
                <w:rFonts w:ascii="Times New Roman" w:hAnsi="Times New Roman" w:cs="Times New Roman"/>
                <w:vertAlign w:val="subscript"/>
              </w:rPr>
              <w:t>1</w:t>
            </w:r>
            <w:r w:rsidRPr="002B6ABA">
              <w:rPr>
                <w:rFonts w:ascii="Times New Roman" w:hAnsi="Times New Roman" w:cs="Times New Roman"/>
              </w:rPr>
              <w:t>C</w:t>
            </w:r>
            <w:r w:rsidRPr="002B6ABA">
              <w:rPr>
                <w:rFonts w:ascii="Times New Roman" w:hAnsi="Times New Roman" w:cs="Times New Roman"/>
                <w:vertAlign w:val="subscript"/>
              </w:rPr>
              <w:t>0</w:t>
            </w:r>
          </w:p>
        </w:tc>
        <w:tc>
          <w:tcPr>
            <w:tcW w:w="1447" w:type="dxa"/>
          </w:tcPr>
          <w:p w14:paraId="3A22C2A6"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23.46c</w:t>
            </w:r>
          </w:p>
        </w:tc>
        <w:tc>
          <w:tcPr>
            <w:tcW w:w="1371" w:type="dxa"/>
          </w:tcPr>
          <w:p w14:paraId="62921EB6"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0.1cde</w:t>
            </w:r>
          </w:p>
        </w:tc>
        <w:tc>
          <w:tcPr>
            <w:tcW w:w="1293" w:type="dxa"/>
          </w:tcPr>
          <w:p w14:paraId="1AB1261A"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12.16b</w:t>
            </w:r>
          </w:p>
        </w:tc>
        <w:tc>
          <w:tcPr>
            <w:tcW w:w="916" w:type="dxa"/>
          </w:tcPr>
          <w:p w14:paraId="190F8233" w14:textId="77777777" w:rsidR="0068024C" w:rsidRPr="002B6ABA" w:rsidRDefault="0068024C" w:rsidP="0068024C">
            <w:pPr>
              <w:jc w:val="center"/>
              <w:rPr>
                <w:rFonts w:ascii="Times New Roman" w:hAnsi="Times New Roman" w:cs="Times New Roman"/>
              </w:rPr>
            </w:pPr>
            <w:r w:rsidRPr="002B6ABA">
              <w:rPr>
                <w:rFonts w:ascii="Times New Roman" w:hAnsi="Times New Roman" w:cs="Times New Roman"/>
              </w:rPr>
              <w:t>5.25bc</w:t>
            </w:r>
          </w:p>
        </w:tc>
        <w:tc>
          <w:tcPr>
            <w:tcW w:w="1462" w:type="dxa"/>
          </w:tcPr>
          <w:p w14:paraId="03028E56"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10.21cd</w:t>
            </w:r>
          </w:p>
        </w:tc>
        <w:tc>
          <w:tcPr>
            <w:tcW w:w="1272" w:type="dxa"/>
          </w:tcPr>
          <w:p w14:paraId="141B2860"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16.47d</w:t>
            </w:r>
          </w:p>
        </w:tc>
      </w:tr>
      <w:tr w:rsidR="0068024C" w:rsidRPr="002B6ABA" w14:paraId="6A01F6A5" w14:textId="77777777" w:rsidTr="00783613">
        <w:trPr>
          <w:jc w:val="center"/>
        </w:trPr>
        <w:tc>
          <w:tcPr>
            <w:tcW w:w="1285" w:type="dxa"/>
          </w:tcPr>
          <w:p w14:paraId="28829AB0" w14:textId="77777777" w:rsidR="0068024C" w:rsidRPr="002B6ABA" w:rsidRDefault="0068024C" w:rsidP="0008431D">
            <w:pPr>
              <w:spacing w:line="276" w:lineRule="auto"/>
              <w:rPr>
                <w:rFonts w:ascii="Times New Roman" w:hAnsi="Times New Roman" w:cs="Times New Roman"/>
              </w:rPr>
            </w:pPr>
            <w:r w:rsidRPr="002B6ABA">
              <w:rPr>
                <w:rFonts w:ascii="Times New Roman" w:hAnsi="Times New Roman" w:cs="Times New Roman"/>
              </w:rPr>
              <w:t>G</w:t>
            </w:r>
            <w:r w:rsidRPr="002B6ABA">
              <w:rPr>
                <w:rFonts w:ascii="Times New Roman" w:hAnsi="Times New Roman" w:cs="Times New Roman"/>
                <w:vertAlign w:val="subscript"/>
              </w:rPr>
              <w:t>1</w:t>
            </w:r>
            <w:r w:rsidRPr="002B6ABA">
              <w:rPr>
                <w:rFonts w:ascii="Times New Roman" w:hAnsi="Times New Roman" w:cs="Times New Roman"/>
              </w:rPr>
              <w:t>C</w:t>
            </w:r>
            <w:r w:rsidRPr="002B6ABA">
              <w:rPr>
                <w:rFonts w:ascii="Times New Roman" w:hAnsi="Times New Roman" w:cs="Times New Roman"/>
                <w:vertAlign w:val="subscript"/>
              </w:rPr>
              <w:t>1</w:t>
            </w:r>
          </w:p>
        </w:tc>
        <w:tc>
          <w:tcPr>
            <w:tcW w:w="1447" w:type="dxa"/>
          </w:tcPr>
          <w:p w14:paraId="357527E2"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22.13d</w:t>
            </w:r>
          </w:p>
        </w:tc>
        <w:tc>
          <w:tcPr>
            <w:tcW w:w="1371" w:type="dxa"/>
          </w:tcPr>
          <w:p w14:paraId="6A87C9B0"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0.15bc</w:t>
            </w:r>
          </w:p>
        </w:tc>
        <w:tc>
          <w:tcPr>
            <w:tcW w:w="1293" w:type="dxa"/>
          </w:tcPr>
          <w:p w14:paraId="765154CD"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9.63d</w:t>
            </w:r>
          </w:p>
        </w:tc>
        <w:tc>
          <w:tcPr>
            <w:tcW w:w="916" w:type="dxa"/>
          </w:tcPr>
          <w:p w14:paraId="292F43F2" w14:textId="77777777" w:rsidR="0068024C" w:rsidRPr="002B6ABA" w:rsidRDefault="0068024C" w:rsidP="0068024C">
            <w:pPr>
              <w:jc w:val="center"/>
              <w:rPr>
                <w:rFonts w:ascii="Times New Roman" w:hAnsi="Times New Roman" w:cs="Times New Roman"/>
              </w:rPr>
            </w:pPr>
            <w:r w:rsidRPr="002B6ABA">
              <w:rPr>
                <w:rFonts w:ascii="Times New Roman" w:hAnsi="Times New Roman" w:cs="Times New Roman"/>
              </w:rPr>
              <w:t>5.19c</w:t>
            </w:r>
          </w:p>
        </w:tc>
        <w:tc>
          <w:tcPr>
            <w:tcW w:w="1462" w:type="dxa"/>
          </w:tcPr>
          <w:p w14:paraId="154E5DFA"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10.78a</w:t>
            </w:r>
          </w:p>
        </w:tc>
        <w:tc>
          <w:tcPr>
            <w:tcW w:w="1272" w:type="dxa"/>
          </w:tcPr>
          <w:p w14:paraId="7A780919"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16.45d</w:t>
            </w:r>
          </w:p>
        </w:tc>
      </w:tr>
      <w:tr w:rsidR="0068024C" w:rsidRPr="002B6ABA" w14:paraId="1A525C0E" w14:textId="77777777" w:rsidTr="00783613">
        <w:trPr>
          <w:jc w:val="center"/>
        </w:trPr>
        <w:tc>
          <w:tcPr>
            <w:tcW w:w="1285" w:type="dxa"/>
          </w:tcPr>
          <w:p w14:paraId="68600DCD" w14:textId="77777777" w:rsidR="0068024C" w:rsidRPr="002B6ABA" w:rsidRDefault="0068024C" w:rsidP="0008431D">
            <w:pPr>
              <w:spacing w:line="276" w:lineRule="auto"/>
              <w:rPr>
                <w:rFonts w:ascii="Times New Roman" w:hAnsi="Times New Roman" w:cs="Times New Roman"/>
              </w:rPr>
            </w:pPr>
            <w:r w:rsidRPr="002B6ABA">
              <w:rPr>
                <w:rFonts w:ascii="Times New Roman" w:hAnsi="Times New Roman" w:cs="Times New Roman"/>
              </w:rPr>
              <w:t>G</w:t>
            </w:r>
            <w:r w:rsidRPr="002B6ABA">
              <w:rPr>
                <w:rFonts w:ascii="Times New Roman" w:hAnsi="Times New Roman" w:cs="Times New Roman"/>
                <w:vertAlign w:val="subscript"/>
              </w:rPr>
              <w:t>1</w:t>
            </w:r>
            <w:r w:rsidRPr="002B6ABA">
              <w:rPr>
                <w:rFonts w:ascii="Times New Roman" w:hAnsi="Times New Roman" w:cs="Times New Roman"/>
              </w:rPr>
              <w:t>C</w:t>
            </w:r>
            <w:r w:rsidRPr="002B6ABA">
              <w:rPr>
                <w:rFonts w:ascii="Times New Roman" w:hAnsi="Times New Roman" w:cs="Times New Roman"/>
                <w:vertAlign w:val="subscript"/>
              </w:rPr>
              <w:t>2</w:t>
            </w:r>
          </w:p>
        </w:tc>
        <w:tc>
          <w:tcPr>
            <w:tcW w:w="1447" w:type="dxa"/>
          </w:tcPr>
          <w:p w14:paraId="47FE66F6"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28.00a</w:t>
            </w:r>
          </w:p>
        </w:tc>
        <w:tc>
          <w:tcPr>
            <w:tcW w:w="1371" w:type="dxa"/>
          </w:tcPr>
          <w:p w14:paraId="05C0BE04"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0.08e</w:t>
            </w:r>
          </w:p>
        </w:tc>
        <w:tc>
          <w:tcPr>
            <w:tcW w:w="1293" w:type="dxa"/>
          </w:tcPr>
          <w:p w14:paraId="4E466057"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13.72a</w:t>
            </w:r>
          </w:p>
        </w:tc>
        <w:tc>
          <w:tcPr>
            <w:tcW w:w="916" w:type="dxa"/>
          </w:tcPr>
          <w:p w14:paraId="7CEACEFB" w14:textId="77777777" w:rsidR="0068024C" w:rsidRPr="002B6ABA" w:rsidRDefault="0068024C" w:rsidP="0068024C">
            <w:pPr>
              <w:jc w:val="center"/>
              <w:rPr>
                <w:rFonts w:ascii="Times New Roman" w:hAnsi="Times New Roman" w:cs="Times New Roman"/>
              </w:rPr>
            </w:pPr>
            <w:r w:rsidRPr="002B6ABA">
              <w:rPr>
                <w:rFonts w:ascii="Times New Roman" w:hAnsi="Times New Roman" w:cs="Times New Roman"/>
              </w:rPr>
              <w:t>4.48e</w:t>
            </w:r>
          </w:p>
        </w:tc>
        <w:tc>
          <w:tcPr>
            <w:tcW w:w="1462" w:type="dxa"/>
          </w:tcPr>
          <w:p w14:paraId="57136A2B"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10.85a</w:t>
            </w:r>
          </w:p>
        </w:tc>
        <w:tc>
          <w:tcPr>
            <w:tcW w:w="1272" w:type="dxa"/>
          </w:tcPr>
          <w:p w14:paraId="1EDCDE8C"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20.45a</w:t>
            </w:r>
          </w:p>
        </w:tc>
      </w:tr>
      <w:tr w:rsidR="0068024C" w:rsidRPr="002B6ABA" w14:paraId="7C40D3AF" w14:textId="77777777" w:rsidTr="00783613">
        <w:trPr>
          <w:jc w:val="center"/>
        </w:trPr>
        <w:tc>
          <w:tcPr>
            <w:tcW w:w="1285" w:type="dxa"/>
          </w:tcPr>
          <w:p w14:paraId="64A24B97" w14:textId="77777777" w:rsidR="0068024C" w:rsidRPr="002B6ABA" w:rsidRDefault="0068024C" w:rsidP="0008431D">
            <w:pPr>
              <w:spacing w:line="276" w:lineRule="auto"/>
              <w:rPr>
                <w:rFonts w:ascii="Times New Roman" w:hAnsi="Times New Roman" w:cs="Times New Roman"/>
              </w:rPr>
            </w:pPr>
            <w:r w:rsidRPr="002B6ABA">
              <w:rPr>
                <w:rFonts w:ascii="Times New Roman" w:hAnsi="Times New Roman" w:cs="Times New Roman"/>
              </w:rPr>
              <w:t>G</w:t>
            </w:r>
            <w:r w:rsidRPr="002B6ABA">
              <w:rPr>
                <w:rFonts w:ascii="Times New Roman" w:hAnsi="Times New Roman" w:cs="Times New Roman"/>
                <w:vertAlign w:val="subscript"/>
              </w:rPr>
              <w:t>2</w:t>
            </w:r>
            <w:r w:rsidRPr="002B6ABA">
              <w:rPr>
                <w:rFonts w:ascii="Times New Roman" w:hAnsi="Times New Roman" w:cs="Times New Roman"/>
              </w:rPr>
              <w:t>C</w:t>
            </w:r>
            <w:r w:rsidRPr="002B6ABA">
              <w:rPr>
                <w:rFonts w:ascii="Times New Roman" w:hAnsi="Times New Roman" w:cs="Times New Roman"/>
                <w:vertAlign w:val="subscript"/>
              </w:rPr>
              <w:t>0</w:t>
            </w:r>
          </w:p>
        </w:tc>
        <w:tc>
          <w:tcPr>
            <w:tcW w:w="1447" w:type="dxa"/>
          </w:tcPr>
          <w:p w14:paraId="413ADD23"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22.60cd</w:t>
            </w:r>
          </w:p>
        </w:tc>
        <w:tc>
          <w:tcPr>
            <w:tcW w:w="1371" w:type="dxa"/>
          </w:tcPr>
          <w:p w14:paraId="0A42562B"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0.13bcd</w:t>
            </w:r>
          </w:p>
        </w:tc>
        <w:tc>
          <w:tcPr>
            <w:tcW w:w="1293" w:type="dxa"/>
          </w:tcPr>
          <w:p w14:paraId="2DF069EB"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9.32d</w:t>
            </w:r>
          </w:p>
        </w:tc>
        <w:tc>
          <w:tcPr>
            <w:tcW w:w="916" w:type="dxa"/>
          </w:tcPr>
          <w:p w14:paraId="7B1C1BFB" w14:textId="77777777" w:rsidR="0068024C" w:rsidRPr="002B6ABA" w:rsidRDefault="0068024C" w:rsidP="0068024C">
            <w:pPr>
              <w:jc w:val="center"/>
              <w:rPr>
                <w:rFonts w:ascii="Times New Roman" w:hAnsi="Times New Roman" w:cs="Times New Roman"/>
              </w:rPr>
            </w:pPr>
            <w:r w:rsidRPr="002B6ABA">
              <w:rPr>
                <w:rFonts w:ascii="Times New Roman" w:hAnsi="Times New Roman" w:cs="Times New Roman"/>
              </w:rPr>
              <w:t>5.59a</w:t>
            </w:r>
          </w:p>
        </w:tc>
        <w:tc>
          <w:tcPr>
            <w:tcW w:w="1462" w:type="dxa"/>
          </w:tcPr>
          <w:p w14:paraId="006A748F"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9.92e</w:t>
            </w:r>
          </w:p>
        </w:tc>
        <w:tc>
          <w:tcPr>
            <w:tcW w:w="1272" w:type="dxa"/>
          </w:tcPr>
          <w:p w14:paraId="0F06358B"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14.92e</w:t>
            </w:r>
          </w:p>
        </w:tc>
      </w:tr>
      <w:tr w:rsidR="0068024C" w:rsidRPr="002B6ABA" w14:paraId="5858CDFC" w14:textId="77777777" w:rsidTr="00783613">
        <w:trPr>
          <w:jc w:val="center"/>
        </w:trPr>
        <w:tc>
          <w:tcPr>
            <w:tcW w:w="1285" w:type="dxa"/>
          </w:tcPr>
          <w:p w14:paraId="5E05E323" w14:textId="77777777" w:rsidR="0068024C" w:rsidRPr="002B6ABA" w:rsidRDefault="0068024C" w:rsidP="0008431D">
            <w:pPr>
              <w:spacing w:line="276" w:lineRule="auto"/>
              <w:rPr>
                <w:rFonts w:ascii="Times New Roman" w:hAnsi="Times New Roman" w:cs="Times New Roman"/>
              </w:rPr>
            </w:pPr>
            <w:r w:rsidRPr="002B6ABA">
              <w:rPr>
                <w:rFonts w:ascii="Times New Roman" w:hAnsi="Times New Roman" w:cs="Times New Roman"/>
              </w:rPr>
              <w:t>G</w:t>
            </w:r>
            <w:r w:rsidRPr="002B6ABA">
              <w:rPr>
                <w:rFonts w:ascii="Times New Roman" w:hAnsi="Times New Roman" w:cs="Times New Roman"/>
                <w:vertAlign w:val="subscript"/>
              </w:rPr>
              <w:t>2</w:t>
            </w:r>
            <w:r w:rsidRPr="002B6ABA">
              <w:rPr>
                <w:rFonts w:ascii="Times New Roman" w:hAnsi="Times New Roman" w:cs="Times New Roman"/>
              </w:rPr>
              <w:t>C</w:t>
            </w:r>
            <w:r w:rsidRPr="002B6ABA">
              <w:rPr>
                <w:rFonts w:ascii="Times New Roman" w:hAnsi="Times New Roman" w:cs="Times New Roman"/>
                <w:vertAlign w:val="subscript"/>
              </w:rPr>
              <w:t>1</w:t>
            </w:r>
          </w:p>
        </w:tc>
        <w:tc>
          <w:tcPr>
            <w:tcW w:w="1447" w:type="dxa"/>
          </w:tcPr>
          <w:p w14:paraId="22E79001"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18.10f</w:t>
            </w:r>
          </w:p>
        </w:tc>
        <w:tc>
          <w:tcPr>
            <w:tcW w:w="1371" w:type="dxa"/>
          </w:tcPr>
          <w:p w14:paraId="288C4B7C"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0.17b</w:t>
            </w:r>
          </w:p>
        </w:tc>
        <w:tc>
          <w:tcPr>
            <w:tcW w:w="1293" w:type="dxa"/>
          </w:tcPr>
          <w:p w14:paraId="293894B6"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9.04d</w:t>
            </w:r>
          </w:p>
        </w:tc>
        <w:tc>
          <w:tcPr>
            <w:tcW w:w="916" w:type="dxa"/>
          </w:tcPr>
          <w:p w14:paraId="7AADDA96" w14:textId="77777777" w:rsidR="0068024C" w:rsidRPr="002B6ABA" w:rsidRDefault="0068024C" w:rsidP="0068024C">
            <w:pPr>
              <w:jc w:val="center"/>
              <w:rPr>
                <w:rFonts w:ascii="Times New Roman" w:hAnsi="Times New Roman" w:cs="Times New Roman"/>
              </w:rPr>
            </w:pPr>
            <w:r w:rsidRPr="002B6ABA">
              <w:rPr>
                <w:rFonts w:ascii="Times New Roman" w:hAnsi="Times New Roman" w:cs="Times New Roman"/>
              </w:rPr>
              <w:t>5.35b</w:t>
            </w:r>
          </w:p>
        </w:tc>
        <w:tc>
          <w:tcPr>
            <w:tcW w:w="1462" w:type="dxa"/>
          </w:tcPr>
          <w:p w14:paraId="7AA7AFD7"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10.03de</w:t>
            </w:r>
          </w:p>
        </w:tc>
        <w:tc>
          <w:tcPr>
            <w:tcW w:w="1272" w:type="dxa"/>
          </w:tcPr>
          <w:p w14:paraId="0E11B4FC"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14.5f</w:t>
            </w:r>
          </w:p>
        </w:tc>
      </w:tr>
      <w:tr w:rsidR="0068024C" w:rsidRPr="002B6ABA" w14:paraId="46AB6260" w14:textId="77777777" w:rsidTr="00783613">
        <w:trPr>
          <w:jc w:val="center"/>
        </w:trPr>
        <w:tc>
          <w:tcPr>
            <w:tcW w:w="1285" w:type="dxa"/>
            <w:tcBorders>
              <w:bottom w:val="single" w:sz="4" w:space="0" w:color="auto"/>
            </w:tcBorders>
          </w:tcPr>
          <w:p w14:paraId="61E31D5A" w14:textId="77777777" w:rsidR="0068024C" w:rsidRPr="002B6ABA" w:rsidRDefault="0068024C" w:rsidP="0008431D">
            <w:pPr>
              <w:spacing w:line="276" w:lineRule="auto"/>
              <w:rPr>
                <w:rFonts w:ascii="Times New Roman" w:hAnsi="Times New Roman" w:cs="Times New Roman"/>
                <w:b/>
                <w:bCs/>
              </w:rPr>
            </w:pPr>
            <w:r w:rsidRPr="002B6ABA">
              <w:rPr>
                <w:rFonts w:ascii="Times New Roman" w:hAnsi="Times New Roman" w:cs="Times New Roman"/>
              </w:rPr>
              <w:t>G</w:t>
            </w:r>
            <w:r w:rsidRPr="002B6ABA">
              <w:rPr>
                <w:rFonts w:ascii="Times New Roman" w:hAnsi="Times New Roman" w:cs="Times New Roman"/>
                <w:vertAlign w:val="subscript"/>
              </w:rPr>
              <w:t>2</w:t>
            </w:r>
            <w:r w:rsidRPr="002B6ABA">
              <w:rPr>
                <w:rFonts w:ascii="Times New Roman" w:hAnsi="Times New Roman" w:cs="Times New Roman"/>
              </w:rPr>
              <w:t>C</w:t>
            </w:r>
            <w:r w:rsidRPr="002B6ABA">
              <w:rPr>
                <w:rFonts w:ascii="Times New Roman" w:hAnsi="Times New Roman" w:cs="Times New Roman"/>
                <w:vertAlign w:val="subscript"/>
              </w:rPr>
              <w:t>2</w:t>
            </w:r>
          </w:p>
        </w:tc>
        <w:tc>
          <w:tcPr>
            <w:tcW w:w="1447" w:type="dxa"/>
            <w:tcBorders>
              <w:bottom w:val="single" w:sz="4" w:space="0" w:color="auto"/>
            </w:tcBorders>
          </w:tcPr>
          <w:p w14:paraId="60E9F99C"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20.70e</w:t>
            </w:r>
          </w:p>
        </w:tc>
        <w:tc>
          <w:tcPr>
            <w:tcW w:w="1371" w:type="dxa"/>
            <w:tcBorders>
              <w:bottom w:val="single" w:sz="4" w:space="0" w:color="auto"/>
            </w:tcBorders>
          </w:tcPr>
          <w:p w14:paraId="0B19AF71"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0.13bcd</w:t>
            </w:r>
          </w:p>
        </w:tc>
        <w:tc>
          <w:tcPr>
            <w:tcW w:w="1293" w:type="dxa"/>
            <w:tcBorders>
              <w:bottom w:val="single" w:sz="4" w:space="0" w:color="auto"/>
            </w:tcBorders>
          </w:tcPr>
          <w:p w14:paraId="736C2663"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10.66c</w:t>
            </w:r>
          </w:p>
        </w:tc>
        <w:tc>
          <w:tcPr>
            <w:tcW w:w="916" w:type="dxa"/>
            <w:tcBorders>
              <w:bottom w:val="single" w:sz="4" w:space="0" w:color="auto"/>
            </w:tcBorders>
          </w:tcPr>
          <w:p w14:paraId="1709A7D7" w14:textId="77777777" w:rsidR="0068024C" w:rsidRPr="002B6ABA" w:rsidRDefault="0068024C" w:rsidP="0068024C">
            <w:pPr>
              <w:jc w:val="center"/>
              <w:rPr>
                <w:rFonts w:ascii="Times New Roman" w:hAnsi="Times New Roman" w:cs="Times New Roman"/>
              </w:rPr>
            </w:pPr>
            <w:r w:rsidRPr="002B6ABA">
              <w:rPr>
                <w:rFonts w:ascii="Times New Roman" w:hAnsi="Times New Roman" w:cs="Times New Roman"/>
              </w:rPr>
              <w:t>5.22bc</w:t>
            </w:r>
          </w:p>
        </w:tc>
        <w:tc>
          <w:tcPr>
            <w:tcW w:w="1462" w:type="dxa"/>
            <w:tcBorders>
              <w:bottom w:val="single" w:sz="4" w:space="0" w:color="auto"/>
            </w:tcBorders>
          </w:tcPr>
          <w:p w14:paraId="6878B0F4"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10.17cd</w:t>
            </w:r>
          </w:p>
        </w:tc>
        <w:tc>
          <w:tcPr>
            <w:tcW w:w="1272" w:type="dxa"/>
            <w:tcBorders>
              <w:bottom w:val="single" w:sz="4" w:space="0" w:color="auto"/>
            </w:tcBorders>
          </w:tcPr>
          <w:p w14:paraId="79297646"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17.27c</w:t>
            </w:r>
          </w:p>
        </w:tc>
      </w:tr>
      <w:tr w:rsidR="0068024C" w:rsidRPr="002B6ABA" w14:paraId="4A2A8C09" w14:textId="77777777" w:rsidTr="00783613">
        <w:trPr>
          <w:jc w:val="center"/>
        </w:trPr>
        <w:tc>
          <w:tcPr>
            <w:tcW w:w="1285" w:type="dxa"/>
            <w:tcBorders>
              <w:top w:val="single" w:sz="4" w:space="0" w:color="auto"/>
              <w:bottom w:val="single" w:sz="4" w:space="0" w:color="auto"/>
            </w:tcBorders>
          </w:tcPr>
          <w:p w14:paraId="37E9DBF6" w14:textId="77777777" w:rsidR="0068024C" w:rsidRPr="002B6ABA" w:rsidRDefault="0068024C" w:rsidP="0008431D">
            <w:pPr>
              <w:spacing w:line="276" w:lineRule="auto"/>
              <w:rPr>
                <w:rFonts w:ascii="Times New Roman" w:hAnsi="Times New Roman" w:cs="Times New Roman"/>
              </w:rPr>
            </w:pPr>
            <w:r w:rsidRPr="002B6ABA">
              <w:rPr>
                <w:rFonts w:ascii="Times New Roman" w:hAnsi="Times New Roman" w:cs="Times New Roman"/>
              </w:rPr>
              <w:t>LSD</w:t>
            </w:r>
            <w:r w:rsidRPr="002B6ABA">
              <w:rPr>
                <w:rFonts w:ascii="Times New Roman" w:hAnsi="Times New Roman" w:cs="Times New Roman"/>
                <w:vertAlign w:val="subscript"/>
              </w:rPr>
              <w:t>0.05</w:t>
            </w:r>
          </w:p>
        </w:tc>
        <w:tc>
          <w:tcPr>
            <w:tcW w:w="1447" w:type="dxa"/>
            <w:tcBorders>
              <w:top w:val="single" w:sz="4" w:space="0" w:color="auto"/>
              <w:bottom w:val="single" w:sz="4" w:space="0" w:color="auto"/>
            </w:tcBorders>
          </w:tcPr>
          <w:p w14:paraId="21A8331A"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0.90</w:t>
            </w:r>
          </w:p>
        </w:tc>
        <w:tc>
          <w:tcPr>
            <w:tcW w:w="1371" w:type="dxa"/>
            <w:tcBorders>
              <w:top w:val="single" w:sz="4" w:space="0" w:color="auto"/>
              <w:bottom w:val="single" w:sz="4" w:space="0" w:color="auto"/>
            </w:tcBorders>
          </w:tcPr>
          <w:p w14:paraId="4CBD31E7"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0.04</w:t>
            </w:r>
          </w:p>
        </w:tc>
        <w:tc>
          <w:tcPr>
            <w:tcW w:w="1293" w:type="dxa"/>
            <w:tcBorders>
              <w:top w:val="single" w:sz="4" w:space="0" w:color="auto"/>
              <w:bottom w:val="single" w:sz="4" w:space="0" w:color="auto"/>
            </w:tcBorders>
          </w:tcPr>
          <w:p w14:paraId="1130535F"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0.84</w:t>
            </w:r>
          </w:p>
        </w:tc>
        <w:tc>
          <w:tcPr>
            <w:tcW w:w="916" w:type="dxa"/>
            <w:tcBorders>
              <w:top w:val="single" w:sz="4" w:space="0" w:color="auto"/>
              <w:bottom w:val="single" w:sz="4" w:space="0" w:color="auto"/>
            </w:tcBorders>
          </w:tcPr>
          <w:p w14:paraId="05FB1EEF" w14:textId="77777777" w:rsidR="0068024C" w:rsidRPr="002B6ABA" w:rsidRDefault="0068024C" w:rsidP="0068024C">
            <w:pPr>
              <w:jc w:val="center"/>
              <w:rPr>
                <w:rFonts w:ascii="Times New Roman" w:hAnsi="Times New Roman" w:cs="Times New Roman"/>
              </w:rPr>
            </w:pPr>
            <w:r w:rsidRPr="002B6ABA">
              <w:rPr>
                <w:rFonts w:ascii="Times New Roman" w:hAnsi="Times New Roman" w:cs="Times New Roman"/>
              </w:rPr>
              <w:t>0.13</w:t>
            </w:r>
          </w:p>
        </w:tc>
        <w:tc>
          <w:tcPr>
            <w:tcW w:w="1462" w:type="dxa"/>
            <w:tcBorders>
              <w:top w:val="single" w:sz="4" w:space="0" w:color="auto"/>
              <w:bottom w:val="single" w:sz="4" w:space="0" w:color="auto"/>
            </w:tcBorders>
          </w:tcPr>
          <w:p w14:paraId="0DDE6BE0"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0.23</w:t>
            </w:r>
          </w:p>
        </w:tc>
        <w:tc>
          <w:tcPr>
            <w:tcW w:w="1272" w:type="dxa"/>
            <w:tcBorders>
              <w:top w:val="single" w:sz="4" w:space="0" w:color="auto"/>
              <w:bottom w:val="single" w:sz="4" w:space="0" w:color="auto"/>
            </w:tcBorders>
          </w:tcPr>
          <w:p w14:paraId="28DD3AEE" w14:textId="77777777" w:rsidR="0068024C" w:rsidRPr="002B6ABA" w:rsidRDefault="0068024C" w:rsidP="0008431D">
            <w:pPr>
              <w:spacing w:line="276" w:lineRule="auto"/>
              <w:jc w:val="center"/>
              <w:rPr>
                <w:rFonts w:ascii="Times New Roman" w:hAnsi="Times New Roman" w:cs="Times New Roman"/>
              </w:rPr>
            </w:pPr>
            <w:r w:rsidRPr="002B6ABA">
              <w:rPr>
                <w:rFonts w:ascii="Times New Roman" w:hAnsi="Times New Roman" w:cs="Times New Roman"/>
              </w:rPr>
              <w:t>0.39</w:t>
            </w:r>
          </w:p>
        </w:tc>
      </w:tr>
      <w:tr w:rsidR="00112A77" w:rsidRPr="002B6ABA" w14:paraId="79F8B26F" w14:textId="77777777" w:rsidTr="00783613">
        <w:trPr>
          <w:jc w:val="center"/>
        </w:trPr>
        <w:tc>
          <w:tcPr>
            <w:tcW w:w="1285" w:type="dxa"/>
            <w:tcBorders>
              <w:top w:val="single" w:sz="4" w:space="0" w:color="auto"/>
              <w:bottom w:val="single" w:sz="4" w:space="0" w:color="auto"/>
            </w:tcBorders>
          </w:tcPr>
          <w:p w14:paraId="5D4B0B5C" w14:textId="77777777" w:rsidR="00112A77" w:rsidRPr="002B6ABA" w:rsidRDefault="00112A77" w:rsidP="0008431D">
            <w:pPr>
              <w:rPr>
                <w:rFonts w:ascii="Times New Roman" w:hAnsi="Times New Roman" w:cs="Times New Roman"/>
              </w:rPr>
            </w:pPr>
            <w:r w:rsidRPr="002B6ABA">
              <w:rPr>
                <w:rFonts w:ascii="Times New Roman" w:hAnsi="Times New Roman" w:cs="Times New Roman"/>
              </w:rPr>
              <w:t>CV</w:t>
            </w:r>
            <w:r w:rsidR="00D01563" w:rsidRPr="002B6ABA">
              <w:rPr>
                <w:rFonts w:ascii="Times New Roman" w:hAnsi="Times New Roman" w:cs="Times New Roman"/>
              </w:rPr>
              <w:t>(%)</w:t>
            </w:r>
            <w:r w:rsidRPr="002B6ABA">
              <w:rPr>
                <w:rFonts w:ascii="Times New Roman" w:hAnsi="Times New Roman" w:cs="Times New Roman"/>
              </w:rPr>
              <w:tab/>
            </w:r>
          </w:p>
        </w:tc>
        <w:tc>
          <w:tcPr>
            <w:tcW w:w="1447" w:type="dxa"/>
            <w:tcBorders>
              <w:top w:val="single" w:sz="4" w:space="0" w:color="auto"/>
              <w:bottom w:val="single" w:sz="4" w:space="0" w:color="auto"/>
            </w:tcBorders>
          </w:tcPr>
          <w:p w14:paraId="22FFBD50" w14:textId="77777777" w:rsidR="00112A77" w:rsidRPr="002B6ABA" w:rsidRDefault="00112A77" w:rsidP="0008431D">
            <w:pPr>
              <w:jc w:val="center"/>
              <w:rPr>
                <w:rFonts w:ascii="Times New Roman" w:hAnsi="Times New Roman" w:cs="Times New Roman"/>
              </w:rPr>
            </w:pPr>
            <w:r w:rsidRPr="002B6ABA">
              <w:rPr>
                <w:rFonts w:ascii="Times New Roman" w:hAnsi="Times New Roman" w:cs="Times New Roman"/>
              </w:rPr>
              <w:t>2.4</w:t>
            </w:r>
          </w:p>
        </w:tc>
        <w:tc>
          <w:tcPr>
            <w:tcW w:w="1371" w:type="dxa"/>
            <w:tcBorders>
              <w:top w:val="single" w:sz="4" w:space="0" w:color="auto"/>
              <w:bottom w:val="single" w:sz="4" w:space="0" w:color="auto"/>
            </w:tcBorders>
          </w:tcPr>
          <w:p w14:paraId="480E6753" w14:textId="77777777" w:rsidR="00112A77" w:rsidRPr="002B6ABA" w:rsidRDefault="00112A77" w:rsidP="0008431D">
            <w:pPr>
              <w:jc w:val="center"/>
              <w:rPr>
                <w:rFonts w:ascii="Times New Roman" w:hAnsi="Times New Roman" w:cs="Times New Roman"/>
              </w:rPr>
            </w:pPr>
            <w:r w:rsidRPr="002B6ABA">
              <w:rPr>
                <w:rFonts w:ascii="Times New Roman" w:hAnsi="Times New Roman" w:cs="Times New Roman"/>
              </w:rPr>
              <w:t>17.22</w:t>
            </w:r>
          </w:p>
        </w:tc>
        <w:tc>
          <w:tcPr>
            <w:tcW w:w="1293" w:type="dxa"/>
            <w:tcBorders>
              <w:top w:val="single" w:sz="4" w:space="0" w:color="auto"/>
              <w:bottom w:val="single" w:sz="4" w:space="0" w:color="auto"/>
            </w:tcBorders>
          </w:tcPr>
          <w:p w14:paraId="6B9EBD02" w14:textId="77777777" w:rsidR="00112A77" w:rsidRPr="002B6ABA" w:rsidRDefault="00112A77" w:rsidP="0008431D">
            <w:pPr>
              <w:jc w:val="center"/>
              <w:rPr>
                <w:rFonts w:ascii="Times New Roman" w:hAnsi="Times New Roman" w:cs="Times New Roman"/>
              </w:rPr>
            </w:pPr>
            <w:r w:rsidRPr="002B6ABA">
              <w:rPr>
                <w:rFonts w:ascii="Times New Roman" w:hAnsi="Times New Roman" w:cs="Times New Roman"/>
              </w:rPr>
              <w:t>4.79</w:t>
            </w:r>
          </w:p>
        </w:tc>
        <w:tc>
          <w:tcPr>
            <w:tcW w:w="916" w:type="dxa"/>
            <w:tcBorders>
              <w:top w:val="single" w:sz="4" w:space="0" w:color="auto"/>
              <w:bottom w:val="single" w:sz="4" w:space="0" w:color="auto"/>
            </w:tcBorders>
          </w:tcPr>
          <w:p w14:paraId="43C5D81C" w14:textId="77777777" w:rsidR="00112A77" w:rsidRPr="002B6ABA" w:rsidRDefault="00112A77" w:rsidP="0068024C">
            <w:pPr>
              <w:jc w:val="center"/>
              <w:rPr>
                <w:rFonts w:ascii="Times New Roman" w:hAnsi="Times New Roman" w:cs="Times New Roman"/>
              </w:rPr>
            </w:pPr>
            <w:r w:rsidRPr="002B6ABA">
              <w:rPr>
                <w:rFonts w:ascii="Times New Roman" w:hAnsi="Times New Roman" w:cs="Times New Roman"/>
              </w:rPr>
              <w:t>1.53</w:t>
            </w:r>
          </w:p>
        </w:tc>
        <w:tc>
          <w:tcPr>
            <w:tcW w:w="1462" w:type="dxa"/>
            <w:tcBorders>
              <w:top w:val="single" w:sz="4" w:space="0" w:color="auto"/>
              <w:bottom w:val="single" w:sz="4" w:space="0" w:color="auto"/>
            </w:tcBorders>
          </w:tcPr>
          <w:p w14:paraId="180070AF" w14:textId="77777777" w:rsidR="00112A77" w:rsidRPr="002B6ABA" w:rsidRDefault="00112A77" w:rsidP="0008431D">
            <w:pPr>
              <w:jc w:val="center"/>
              <w:rPr>
                <w:rFonts w:ascii="Times New Roman" w:hAnsi="Times New Roman" w:cs="Times New Roman"/>
              </w:rPr>
            </w:pPr>
            <w:r w:rsidRPr="002B6ABA">
              <w:rPr>
                <w:rFonts w:ascii="Times New Roman" w:hAnsi="Times New Roman" w:cs="Times New Roman"/>
              </w:rPr>
              <w:t>1.34</w:t>
            </w:r>
          </w:p>
        </w:tc>
        <w:tc>
          <w:tcPr>
            <w:tcW w:w="1272" w:type="dxa"/>
            <w:tcBorders>
              <w:top w:val="single" w:sz="4" w:space="0" w:color="auto"/>
              <w:bottom w:val="single" w:sz="4" w:space="0" w:color="auto"/>
            </w:tcBorders>
          </w:tcPr>
          <w:p w14:paraId="63EF9A20" w14:textId="77777777" w:rsidR="00112A77" w:rsidRPr="002B6ABA" w:rsidRDefault="00112A77" w:rsidP="0008431D">
            <w:pPr>
              <w:jc w:val="center"/>
              <w:rPr>
                <w:rFonts w:ascii="Times New Roman" w:hAnsi="Times New Roman" w:cs="Times New Roman"/>
              </w:rPr>
            </w:pPr>
            <w:r w:rsidRPr="002B6ABA">
              <w:rPr>
                <w:rFonts w:ascii="Times New Roman" w:hAnsi="Times New Roman" w:cs="Times New Roman"/>
              </w:rPr>
              <w:t>1.4</w:t>
            </w:r>
          </w:p>
        </w:tc>
      </w:tr>
    </w:tbl>
    <w:p w14:paraId="54E25358" w14:textId="77777777" w:rsidR="00327359" w:rsidRPr="002B6ABA" w:rsidRDefault="00D05B7E" w:rsidP="000706EC">
      <w:pPr>
        <w:spacing w:before="120" w:after="0" w:line="240" w:lineRule="auto"/>
        <w:jc w:val="both"/>
        <w:rPr>
          <w:rFonts w:ascii="Times New Roman" w:eastAsia="Times New Roman" w:hAnsi="Times New Roman" w:cs="Times New Roman"/>
          <w:color w:val="000000"/>
        </w:rPr>
      </w:pPr>
      <w:r w:rsidRPr="002B6ABA">
        <w:rPr>
          <w:rFonts w:ascii="Times New Roman" w:hAnsi="Times New Roman" w:cs="Times New Roman"/>
          <w:szCs w:val="24"/>
        </w:rPr>
        <w:t>G</w:t>
      </w:r>
      <w:r w:rsidRPr="002B6ABA">
        <w:rPr>
          <w:rFonts w:ascii="Times New Roman" w:hAnsi="Times New Roman" w:cs="Times New Roman"/>
          <w:szCs w:val="24"/>
          <w:vertAlign w:val="subscript"/>
        </w:rPr>
        <w:t>0</w:t>
      </w:r>
      <w:r w:rsidRPr="002B6ABA">
        <w:rPr>
          <w:rFonts w:ascii="Times New Roman" w:hAnsi="Times New Roman" w:cs="Times New Roman"/>
          <w:szCs w:val="24"/>
        </w:rPr>
        <w:t>= Control (no GA</w:t>
      </w:r>
      <w:r w:rsidRPr="002B6ABA">
        <w:rPr>
          <w:rFonts w:ascii="Times New Roman" w:hAnsi="Times New Roman" w:cs="Times New Roman"/>
          <w:szCs w:val="24"/>
          <w:vertAlign w:val="subscript"/>
        </w:rPr>
        <w:t>3</w:t>
      </w:r>
      <w:r w:rsidRPr="002B6ABA">
        <w:rPr>
          <w:rFonts w:ascii="Times New Roman" w:hAnsi="Times New Roman" w:cs="Times New Roman"/>
          <w:szCs w:val="24"/>
        </w:rPr>
        <w:t xml:space="preserve">), </w:t>
      </w:r>
      <w:r w:rsidRPr="002B6ABA">
        <w:rPr>
          <w:rFonts w:ascii="Times New Roman" w:eastAsia="Times New Roman" w:hAnsi="Times New Roman" w:cs="Times New Roman"/>
          <w:color w:val="000000"/>
        </w:rPr>
        <w:t>G</w:t>
      </w:r>
      <w:r w:rsidRPr="002B6ABA">
        <w:rPr>
          <w:rFonts w:ascii="Times New Roman" w:eastAsia="Times New Roman" w:hAnsi="Times New Roman" w:cs="Times New Roman"/>
          <w:color w:val="000000"/>
          <w:vertAlign w:val="subscript"/>
        </w:rPr>
        <w:t>1</w:t>
      </w:r>
      <w:r w:rsidRPr="002B6ABA">
        <w:rPr>
          <w:rFonts w:ascii="Times New Roman" w:eastAsia="Times New Roman" w:hAnsi="Times New Roman" w:cs="Times New Roman"/>
          <w:color w:val="000000"/>
        </w:rPr>
        <w:t xml:space="preserve">= 100 ppm </w:t>
      </w:r>
      <w:r w:rsidRPr="002B6ABA">
        <w:rPr>
          <w:rFonts w:ascii="Times New Roman" w:hAnsi="Times New Roman" w:cs="Times New Roman"/>
          <w:szCs w:val="24"/>
        </w:rPr>
        <w:t>GA</w:t>
      </w:r>
      <w:r w:rsidRPr="002B6ABA">
        <w:rPr>
          <w:rFonts w:ascii="Times New Roman" w:hAnsi="Times New Roman" w:cs="Times New Roman"/>
          <w:szCs w:val="24"/>
          <w:vertAlign w:val="subscript"/>
        </w:rPr>
        <w:t>3</w:t>
      </w:r>
      <w:r w:rsidRPr="002B6ABA">
        <w:rPr>
          <w:rFonts w:ascii="Times New Roman" w:eastAsia="Times New Roman" w:hAnsi="Times New Roman" w:cs="Times New Roman"/>
          <w:color w:val="000000"/>
        </w:rPr>
        <w:t>,</w:t>
      </w:r>
      <w:r w:rsidRPr="002B6ABA">
        <w:rPr>
          <w:rFonts w:ascii="Times New Roman" w:hAnsi="Times New Roman" w:cs="Times New Roman"/>
          <w:color w:val="000000"/>
        </w:rPr>
        <w:t xml:space="preserve"> </w:t>
      </w:r>
      <w:r w:rsidRPr="002B6ABA">
        <w:rPr>
          <w:rFonts w:ascii="Times New Roman" w:eastAsia="Times New Roman" w:hAnsi="Times New Roman" w:cs="Times New Roman"/>
          <w:color w:val="000000"/>
        </w:rPr>
        <w:t>G</w:t>
      </w:r>
      <w:r w:rsidRPr="002B6ABA">
        <w:rPr>
          <w:rFonts w:ascii="Times New Roman" w:eastAsia="Times New Roman" w:hAnsi="Times New Roman" w:cs="Times New Roman"/>
          <w:color w:val="000000"/>
          <w:vertAlign w:val="subscript"/>
        </w:rPr>
        <w:t>2</w:t>
      </w:r>
      <w:r w:rsidRPr="002B6ABA">
        <w:rPr>
          <w:rFonts w:ascii="Times New Roman" w:eastAsia="Times New Roman" w:hAnsi="Times New Roman" w:cs="Times New Roman"/>
          <w:color w:val="000000"/>
        </w:rPr>
        <w:t xml:space="preserve">= 200 ppm </w:t>
      </w:r>
      <w:r w:rsidRPr="002B6ABA">
        <w:rPr>
          <w:rFonts w:ascii="Times New Roman" w:hAnsi="Times New Roman" w:cs="Times New Roman"/>
          <w:szCs w:val="24"/>
        </w:rPr>
        <w:t>GA</w:t>
      </w:r>
      <w:r w:rsidRPr="002B6ABA">
        <w:rPr>
          <w:rFonts w:ascii="Times New Roman" w:hAnsi="Times New Roman" w:cs="Times New Roman"/>
          <w:szCs w:val="24"/>
          <w:vertAlign w:val="subscript"/>
        </w:rPr>
        <w:t>3</w:t>
      </w:r>
      <w:r w:rsidRPr="002B6ABA">
        <w:rPr>
          <w:rFonts w:ascii="Times New Roman" w:hAnsi="Times New Roman" w:cs="Times New Roman"/>
          <w:szCs w:val="24"/>
        </w:rPr>
        <w:t xml:space="preserve">, </w:t>
      </w:r>
      <w:r w:rsidRPr="002B6ABA">
        <w:rPr>
          <w:rFonts w:ascii="Times New Roman" w:eastAsia="Times New Roman" w:hAnsi="Times New Roman" w:cs="Times New Roman"/>
          <w:color w:val="000000"/>
        </w:rPr>
        <w:t>C</w:t>
      </w:r>
      <w:r w:rsidRPr="002B6ABA">
        <w:rPr>
          <w:rFonts w:ascii="Times New Roman" w:eastAsia="Times New Roman" w:hAnsi="Times New Roman" w:cs="Times New Roman"/>
          <w:color w:val="000000"/>
          <w:vertAlign w:val="subscript"/>
        </w:rPr>
        <w:t>0</w:t>
      </w:r>
      <w:r w:rsidRPr="002B6ABA">
        <w:rPr>
          <w:rFonts w:ascii="Times New Roman" w:eastAsia="Times New Roman" w:hAnsi="Times New Roman" w:cs="Times New Roman"/>
          <w:color w:val="000000"/>
        </w:rPr>
        <w:t>= Control (no chitosan),</w:t>
      </w:r>
      <w:r w:rsidRPr="002B6ABA">
        <w:rPr>
          <w:rFonts w:ascii="Times New Roman" w:hAnsi="Times New Roman" w:cs="Times New Roman"/>
          <w:color w:val="000000"/>
        </w:rPr>
        <w:t xml:space="preserve"> </w:t>
      </w:r>
      <w:r w:rsidR="00AC3B20" w:rsidRPr="002B6ABA">
        <w:rPr>
          <w:rFonts w:ascii="Times New Roman" w:eastAsia="Times New Roman" w:hAnsi="Times New Roman" w:cs="Times New Roman"/>
          <w:color w:val="000000"/>
        </w:rPr>
        <w:t>C</w:t>
      </w:r>
      <w:r w:rsidR="00AC3B20" w:rsidRPr="002B6ABA">
        <w:rPr>
          <w:rFonts w:ascii="Times New Roman" w:eastAsia="Times New Roman" w:hAnsi="Times New Roman" w:cs="Times New Roman"/>
          <w:color w:val="000000"/>
          <w:vertAlign w:val="subscript"/>
        </w:rPr>
        <w:t>1</w:t>
      </w:r>
      <w:r w:rsidR="00AC3B20" w:rsidRPr="002B6ABA">
        <w:rPr>
          <w:rFonts w:ascii="Times New Roman" w:eastAsia="Times New Roman" w:hAnsi="Times New Roman" w:cs="Times New Roman"/>
          <w:color w:val="000000"/>
        </w:rPr>
        <w:t>= 1 g/L chitosan, C</w:t>
      </w:r>
      <w:r w:rsidR="00AC3B20" w:rsidRPr="002B6ABA">
        <w:rPr>
          <w:rFonts w:ascii="Times New Roman" w:eastAsia="Times New Roman" w:hAnsi="Times New Roman" w:cs="Times New Roman"/>
          <w:color w:val="000000"/>
          <w:vertAlign w:val="subscript"/>
        </w:rPr>
        <w:t>2</w:t>
      </w:r>
      <w:r w:rsidR="00AC3B20" w:rsidRPr="002B6ABA">
        <w:rPr>
          <w:rFonts w:ascii="Times New Roman" w:eastAsia="Times New Roman" w:hAnsi="Times New Roman" w:cs="Times New Roman"/>
          <w:color w:val="000000"/>
        </w:rPr>
        <w:t>= 2g/L chitosan</w:t>
      </w:r>
      <w:r w:rsidRPr="002B6ABA">
        <w:rPr>
          <w:rFonts w:ascii="Times New Roman" w:eastAsia="Times New Roman" w:hAnsi="Times New Roman" w:cs="Times New Roman"/>
          <w:color w:val="000000"/>
        </w:rPr>
        <w:t>.</w:t>
      </w:r>
      <w:r w:rsidRPr="002B6ABA">
        <w:rPr>
          <w:rFonts w:ascii="Times New Roman" w:hAnsi="Times New Roman" w:cs="Times New Roman"/>
          <w:szCs w:val="24"/>
        </w:rPr>
        <w:t xml:space="preserve"> </w:t>
      </w:r>
    </w:p>
    <w:p w14:paraId="09A43D1A" w14:textId="77777777" w:rsidR="00B66EF3" w:rsidRPr="002B6ABA" w:rsidRDefault="00855D80" w:rsidP="0008431D">
      <w:pPr>
        <w:spacing w:before="120" w:after="0" w:line="360" w:lineRule="auto"/>
        <w:jc w:val="both"/>
        <w:rPr>
          <w:rFonts w:ascii="Times New Roman" w:hAnsi="Times New Roman" w:cs="Times New Roman"/>
          <w:b/>
          <w:sz w:val="24"/>
        </w:rPr>
      </w:pPr>
      <w:r w:rsidRPr="002B6ABA">
        <w:rPr>
          <w:b/>
        </w:rPr>
        <w:t>3.13 Colour measurement</w:t>
      </w:r>
    </w:p>
    <w:p w14:paraId="7CC8B1A9" w14:textId="77777777" w:rsidR="00D960D9" w:rsidRPr="002B6ABA" w:rsidRDefault="00B66EF3" w:rsidP="0008431D">
      <w:pPr>
        <w:spacing w:after="120" w:line="360" w:lineRule="auto"/>
        <w:jc w:val="both"/>
        <w:rPr>
          <w:rFonts w:ascii="Times New Roman" w:hAnsi="Times New Roman" w:cs="Times New Roman"/>
          <w:sz w:val="24"/>
        </w:rPr>
      </w:pPr>
      <w:r w:rsidRPr="002B6ABA">
        <w:t>During ripening, GA</w:t>
      </w:r>
      <w:r w:rsidRPr="002B6ABA">
        <w:rPr>
          <w:vertAlign w:val="subscript"/>
        </w:rPr>
        <w:t>3</w:t>
      </w:r>
      <w:r w:rsidRPr="002B6ABA">
        <w:t xml:space="preserve"> and chitosan treatments produced notable changes in colour values (a*, b* and L*). The G</w:t>
      </w:r>
      <w:r w:rsidRPr="002B6ABA">
        <w:rPr>
          <w:vertAlign w:val="subscript"/>
        </w:rPr>
        <w:t>1</w:t>
      </w:r>
      <w:r w:rsidRPr="002B6ABA">
        <w:t>C</w:t>
      </w:r>
      <w:r w:rsidRPr="002B6ABA">
        <w:rPr>
          <w:vertAlign w:val="subscript"/>
        </w:rPr>
        <w:t>2</w:t>
      </w:r>
      <w:r w:rsidRPr="002B6ABA">
        <w:t xml:space="preserve"> treatment had the highest redness (a* value) (5.20), yellowness (b* value) (47.13) and lightness (L* value) (87.93), whereas the control (G</w:t>
      </w:r>
      <w:r w:rsidRPr="002B6ABA">
        <w:rPr>
          <w:vertAlign w:val="subscript"/>
        </w:rPr>
        <w:t>0</w:t>
      </w:r>
      <w:r w:rsidRPr="002B6ABA">
        <w:t>C</w:t>
      </w:r>
      <w:r w:rsidRPr="002B6ABA">
        <w:rPr>
          <w:vertAlign w:val="subscript"/>
        </w:rPr>
        <w:t>0</w:t>
      </w:r>
      <w:r w:rsidRPr="002B6ABA">
        <w:t xml:space="preserve">) had the lowest redness (a* value) (3.02), yellowness (b* value) (28.26) and lightness (L* value) (68.66) (Table 3). According to Rajendra </w:t>
      </w:r>
      <w:r w:rsidRPr="002B6ABA">
        <w:rPr>
          <w:i/>
        </w:rPr>
        <w:t>et al.</w:t>
      </w:r>
      <w:r w:rsidRPr="002B6ABA">
        <w:t xml:space="preserve"> (2024), treatment with 100 ppm GA</w:t>
      </w:r>
      <w:r w:rsidRPr="002B6ABA">
        <w:rPr>
          <w:vertAlign w:val="subscript"/>
        </w:rPr>
        <w:t>3</w:t>
      </w:r>
      <w:r w:rsidRPr="002B6ABA">
        <w:t xml:space="preserve"> resulted in faster chlorophyll loss and increased carotenoid accumulation, as well as significantly lower hue values, indicating a stronger yellow hue. Waris </w:t>
      </w:r>
      <w:r w:rsidRPr="002B6ABA">
        <w:rPr>
          <w:i/>
        </w:rPr>
        <w:t>et al.</w:t>
      </w:r>
      <w:r w:rsidRPr="002B6ABA">
        <w:t xml:space="preserve"> </w:t>
      </w:r>
      <w:r w:rsidRPr="002B6ABA">
        <w:lastRenderedPageBreak/>
        <w:t>(2024) reported that applying 100 ppm GA</w:t>
      </w:r>
      <w:r w:rsidRPr="002B6ABA">
        <w:rPr>
          <w:vertAlign w:val="subscript"/>
        </w:rPr>
        <w:t>3</w:t>
      </w:r>
      <w:r w:rsidRPr="002B6ABA">
        <w:t xml:space="preserve"> to banana produced superior fruit colour, which supports these findings. Nugrahapraja </w:t>
      </w:r>
      <w:r w:rsidRPr="002B6ABA">
        <w:rPr>
          <w:i/>
        </w:rPr>
        <w:t>et al.</w:t>
      </w:r>
      <w:r w:rsidRPr="002B6ABA">
        <w:t xml:space="preserve"> (2024) reported that chitosan regulated enzymatic browning by lowering oxidative stress and delayed ripening and senescence by reducing physiological processes such as water loss, ethylene generation and respiration. The results of this study are supported by Awad </w:t>
      </w:r>
      <w:r w:rsidRPr="002B6ABA">
        <w:rPr>
          <w:i/>
        </w:rPr>
        <w:t>et al.</w:t>
      </w:r>
      <w:r w:rsidRPr="002B6ABA">
        <w:t xml:space="preserve"> (2023), who found that pre-harvest foliar application of chitosan produced the maximum lightness and hue values in banana and pepper, respectively.</w:t>
      </w:r>
    </w:p>
    <w:p w14:paraId="3A548878" w14:textId="77777777" w:rsidR="00356B98" w:rsidRPr="002B6ABA" w:rsidRDefault="00356B98" w:rsidP="0008431D">
      <w:pPr>
        <w:spacing w:before="120" w:after="120" w:line="360" w:lineRule="auto"/>
        <w:jc w:val="both"/>
        <w:rPr>
          <w:rFonts w:ascii="Times New Roman" w:hAnsi="Times New Roman" w:cs="Times New Roman"/>
          <w:b/>
          <w:sz w:val="24"/>
          <w:szCs w:val="24"/>
        </w:rPr>
      </w:pPr>
      <w:r w:rsidRPr="002B6ABA">
        <w:rPr>
          <w:rFonts w:ascii="Times New Roman" w:hAnsi="Times New Roman" w:cs="Times New Roman"/>
          <w:b/>
          <w:bCs/>
          <w:sz w:val="24"/>
          <w:szCs w:val="24"/>
        </w:rPr>
        <w:t xml:space="preserve">Table </w:t>
      </w:r>
      <w:r w:rsidR="00022777" w:rsidRPr="002B6ABA">
        <w:rPr>
          <w:rFonts w:ascii="Times New Roman" w:hAnsi="Times New Roman" w:cs="Times New Roman"/>
          <w:b/>
          <w:bCs/>
          <w:sz w:val="24"/>
          <w:szCs w:val="24"/>
        </w:rPr>
        <w:t>3</w:t>
      </w:r>
      <w:r w:rsidR="00855D80" w:rsidRPr="002B6ABA">
        <w:rPr>
          <w:rFonts w:ascii="Times New Roman" w:hAnsi="Times New Roman" w:cs="Times New Roman"/>
          <w:b/>
          <w:bCs/>
          <w:sz w:val="24"/>
          <w:szCs w:val="24"/>
        </w:rPr>
        <w:t>.</w:t>
      </w:r>
      <w:r w:rsidRPr="002B6ABA">
        <w:rPr>
          <w:rFonts w:ascii="Times New Roman" w:hAnsi="Times New Roman" w:cs="Times New Roman"/>
          <w:b/>
          <w:bCs/>
          <w:sz w:val="24"/>
          <w:szCs w:val="24"/>
        </w:rPr>
        <w:t xml:space="preserve"> </w:t>
      </w:r>
      <w:r w:rsidR="00855D80" w:rsidRPr="002B6ABA">
        <w:rPr>
          <w:rFonts w:ascii="Times New Roman" w:eastAsia="Calibri" w:hAnsi="Times New Roman" w:cs="Times New Roman"/>
          <w:b/>
          <w:bCs/>
          <w:sz w:val="24"/>
          <w:szCs w:val="24"/>
        </w:rPr>
        <w:t>Combined e</w:t>
      </w:r>
      <w:r w:rsidR="00855D80" w:rsidRPr="002B6ABA">
        <w:rPr>
          <w:rFonts w:ascii="Times New Roman" w:hAnsi="Times New Roman" w:cs="Times New Roman"/>
          <w:b/>
          <w:bCs/>
          <w:sz w:val="24"/>
          <w:szCs w:val="24"/>
        </w:rPr>
        <w:t xml:space="preserve">ffect of </w:t>
      </w:r>
      <w:r w:rsidR="007A2806" w:rsidRPr="002B6ABA">
        <w:rPr>
          <w:rFonts w:ascii="Times New Roman" w:hAnsi="Times New Roman" w:cs="Times New Roman"/>
          <w:b/>
          <w:bCs/>
          <w:sz w:val="24"/>
          <w:szCs w:val="24"/>
        </w:rPr>
        <w:t>GA</w:t>
      </w:r>
      <w:r w:rsidR="007A2806" w:rsidRPr="002B6ABA">
        <w:rPr>
          <w:rFonts w:ascii="Times New Roman" w:hAnsi="Times New Roman" w:cs="Times New Roman"/>
          <w:b/>
          <w:bCs/>
          <w:sz w:val="24"/>
          <w:szCs w:val="24"/>
          <w:vertAlign w:val="subscript"/>
        </w:rPr>
        <w:t>3</w:t>
      </w:r>
      <w:r w:rsidRPr="002B6ABA">
        <w:rPr>
          <w:rFonts w:ascii="Times New Roman" w:hAnsi="Times New Roman" w:cs="Times New Roman"/>
          <w:b/>
          <w:bCs/>
          <w:sz w:val="24"/>
          <w:szCs w:val="24"/>
        </w:rPr>
        <w:t xml:space="preserve"> </w:t>
      </w:r>
      <w:r w:rsidR="00FD5C71" w:rsidRPr="002B6ABA">
        <w:rPr>
          <w:rFonts w:ascii="Times New Roman" w:hAnsi="Times New Roman" w:cs="Times New Roman"/>
          <w:b/>
          <w:bCs/>
          <w:sz w:val="24"/>
          <w:szCs w:val="24"/>
        </w:rPr>
        <w:t xml:space="preserve">and chitosan </w:t>
      </w:r>
      <w:r w:rsidRPr="002B6ABA">
        <w:rPr>
          <w:rFonts w:ascii="Times New Roman" w:hAnsi="Times New Roman" w:cs="Times New Roman"/>
          <w:b/>
          <w:bCs/>
          <w:sz w:val="24"/>
          <w:szCs w:val="24"/>
        </w:rPr>
        <w:t xml:space="preserve">on color measurement of </w:t>
      </w:r>
      <w:r w:rsidRPr="002B6ABA">
        <w:rPr>
          <w:rFonts w:ascii="Times New Roman" w:hAnsi="Times New Roman" w:cs="Times New Roman"/>
          <w:b/>
          <w:sz w:val="24"/>
          <w:szCs w:val="24"/>
        </w:rPr>
        <w:t>Banana</w:t>
      </w:r>
    </w:p>
    <w:tbl>
      <w:tblPr>
        <w:tblStyle w:val="TableGrid"/>
        <w:tblW w:w="8905"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3"/>
        <w:gridCol w:w="2470"/>
        <w:gridCol w:w="2221"/>
        <w:gridCol w:w="2281"/>
      </w:tblGrid>
      <w:tr w:rsidR="00356B98" w:rsidRPr="002B6ABA" w14:paraId="7AA3AE24" w14:textId="77777777" w:rsidTr="00345B99">
        <w:trPr>
          <w:trHeight w:val="244"/>
        </w:trPr>
        <w:tc>
          <w:tcPr>
            <w:tcW w:w="1933" w:type="dxa"/>
            <w:tcBorders>
              <w:top w:val="single" w:sz="4" w:space="0" w:color="auto"/>
              <w:bottom w:val="single" w:sz="4" w:space="0" w:color="auto"/>
            </w:tcBorders>
          </w:tcPr>
          <w:p w14:paraId="580448F8" w14:textId="77777777" w:rsidR="00356B98" w:rsidRPr="002B6ABA" w:rsidRDefault="00356B98" w:rsidP="007328E0">
            <w:pPr>
              <w:rPr>
                <w:rFonts w:ascii="Times New Roman" w:hAnsi="Times New Roman" w:cs="Times New Roman"/>
                <w:b/>
                <w:bCs/>
              </w:rPr>
            </w:pPr>
            <w:r w:rsidRPr="002B6ABA">
              <w:rPr>
                <w:rFonts w:ascii="Times New Roman" w:hAnsi="Times New Roman" w:cs="Times New Roman"/>
                <w:b/>
                <w:bCs/>
              </w:rPr>
              <w:t>Treatments</w:t>
            </w:r>
          </w:p>
        </w:tc>
        <w:tc>
          <w:tcPr>
            <w:tcW w:w="2470" w:type="dxa"/>
            <w:tcBorders>
              <w:top w:val="single" w:sz="4" w:space="0" w:color="auto"/>
              <w:bottom w:val="single" w:sz="4" w:space="0" w:color="auto"/>
            </w:tcBorders>
          </w:tcPr>
          <w:p w14:paraId="37704915" w14:textId="77777777" w:rsidR="00356B98" w:rsidRPr="002B6ABA" w:rsidRDefault="00356B98" w:rsidP="007328E0">
            <w:pPr>
              <w:jc w:val="center"/>
              <w:rPr>
                <w:rFonts w:ascii="Times New Roman" w:hAnsi="Times New Roman" w:cs="Times New Roman"/>
                <w:b/>
                <w:bCs/>
              </w:rPr>
            </w:pPr>
            <w:r w:rsidRPr="002B6ABA">
              <w:rPr>
                <w:rFonts w:ascii="Times New Roman" w:hAnsi="Times New Roman" w:cs="Times New Roman"/>
              </w:rPr>
              <w:t xml:space="preserve">L* </w:t>
            </w:r>
          </w:p>
        </w:tc>
        <w:tc>
          <w:tcPr>
            <w:tcW w:w="2221" w:type="dxa"/>
            <w:tcBorders>
              <w:top w:val="single" w:sz="4" w:space="0" w:color="auto"/>
              <w:bottom w:val="single" w:sz="4" w:space="0" w:color="auto"/>
            </w:tcBorders>
          </w:tcPr>
          <w:p w14:paraId="69B06F30" w14:textId="77777777" w:rsidR="00356B98" w:rsidRPr="002B6ABA" w:rsidRDefault="00356B98" w:rsidP="007328E0">
            <w:pPr>
              <w:jc w:val="center"/>
              <w:rPr>
                <w:rFonts w:ascii="Times New Roman" w:hAnsi="Times New Roman" w:cs="Times New Roman"/>
                <w:b/>
                <w:bCs/>
              </w:rPr>
            </w:pPr>
            <w:r w:rsidRPr="002B6ABA">
              <w:rPr>
                <w:rFonts w:ascii="Times New Roman" w:hAnsi="Times New Roman" w:cs="Times New Roman"/>
              </w:rPr>
              <w:t xml:space="preserve">a* </w:t>
            </w:r>
          </w:p>
        </w:tc>
        <w:tc>
          <w:tcPr>
            <w:tcW w:w="2281" w:type="dxa"/>
            <w:tcBorders>
              <w:top w:val="single" w:sz="4" w:space="0" w:color="auto"/>
              <w:bottom w:val="single" w:sz="4" w:space="0" w:color="auto"/>
            </w:tcBorders>
          </w:tcPr>
          <w:p w14:paraId="30A665FF" w14:textId="77777777" w:rsidR="00356B98" w:rsidRPr="002B6ABA" w:rsidRDefault="00356B98" w:rsidP="007328E0">
            <w:pPr>
              <w:jc w:val="center"/>
              <w:rPr>
                <w:rFonts w:ascii="Times New Roman" w:hAnsi="Times New Roman" w:cs="Times New Roman"/>
                <w:b/>
                <w:bCs/>
              </w:rPr>
            </w:pPr>
            <w:r w:rsidRPr="002B6ABA">
              <w:rPr>
                <w:rFonts w:ascii="Times New Roman" w:hAnsi="Times New Roman" w:cs="Times New Roman"/>
              </w:rPr>
              <w:t>b*</w:t>
            </w:r>
          </w:p>
        </w:tc>
      </w:tr>
      <w:tr w:rsidR="00356B98" w:rsidRPr="002B6ABA" w14:paraId="1B2EA6FB" w14:textId="77777777" w:rsidTr="00345B99">
        <w:trPr>
          <w:trHeight w:val="295"/>
        </w:trPr>
        <w:tc>
          <w:tcPr>
            <w:tcW w:w="1933" w:type="dxa"/>
            <w:tcBorders>
              <w:top w:val="single" w:sz="4" w:space="0" w:color="auto"/>
            </w:tcBorders>
          </w:tcPr>
          <w:p w14:paraId="745C985B" w14:textId="77777777" w:rsidR="00356B98" w:rsidRPr="002B6ABA" w:rsidRDefault="00356B98" w:rsidP="007328E0">
            <w:pPr>
              <w:rPr>
                <w:rFonts w:ascii="Times New Roman" w:hAnsi="Times New Roman" w:cs="Times New Roman"/>
                <w:vertAlign w:val="subscript"/>
              </w:rPr>
            </w:pPr>
            <w:r w:rsidRPr="002B6ABA">
              <w:rPr>
                <w:rFonts w:ascii="Times New Roman" w:hAnsi="Times New Roman" w:cs="Times New Roman"/>
              </w:rPr>
              <w:t>G</w:t>
            </w:r>
            <w:r w:rsidRPr="002B6ABA">
              <w:rPr>
                <w:rFonts w:ascii="Times New Roman" w:hAnsi="Times New Roman" w:cs="Times New Roman"/>
                <w:vertAlign w:val="subscript"/>
              </w:rPr>
              <w:t>0</w:t>
            </w:r>
            <w:r w:rsidRPr="002B6ABA">
              <w:rPr>
                <w:rFonts w:ascii="Times New Roman" w:hAnsi="Times New Roman" w:cs="Times New Roman"/>
              </w:rPr>
              <w:t>C</w:t>
            </w:r>
            <w:r w:rsidRPr="002B6ABA">
              <w:rPr>
                <w:rFonts w:ascii="Times New Roman" w:hAnsi="Times New Roman" w:cs="Times New Roman"/>
                <w:vertAlign w:val="subscript"/>
              </w:rPr>
              <w:t xml:space="preserve">0 </w:t>
            </w:r>
          </w:p>
        </w:tc>
        <w:tc>
          <w:tcPr>
            <w:tcW w:w="2470" w:type="dxa"/>
            <w:tcBorders>
              <w:top w:val="single" w:sz="4" w:space="0" w:color="auto"/>
            </w:tcBorders>
          </w:tcPr>
          <w:p w14:paraId="1F4DCFE0"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68.66 e</w:t>
            </w:r>
          </w:p>
        </w:tc>
        <w:tc>
          <w:tcPr>
            <w:tcW w:w="2221" w:type="dxa"/>
            <w:tcBorders>
              <w:top w:val="single" w:sz="4" w:space="0" w:color="auto"/>
            </w:tcBorders>
          </w:tcPr>
          <w:p w14:paraId="072C7EBF"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3.02 e</w:t>
            </w:r>
          </w:p>
        </w:tc>
        <w:tc>
          <w:tcPr>
            <w:tcW w:w="2281" w:type="dxa"/>
            <w:tcBorders>
              <w:top w:val="single" w:sz="4" w:space="0" w:color="auto"/>
            </w:tcBorders>
          </w:tcPr>
          <w:p w14:paraId="51072BF8"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28.26 e</w:t>
            </w:r>
          </w:p>
        </w:tc>
      </w:tr>
      <w:tr w:rsidR="00356B98" w:rsidRPr="002B6ABA" w14:paraId="7A346D49" w14:textId="77777777" w:rsidTr="00345B99">
        <w:trPr>
          <w:trHeight w:val="295"/>
        </w:trPr>
        <w:tc>
          <w:tcPr>
            <w:tcW w:w="1933" w:type="dxa"/>
          </w:tcPr>
          <w:p w14:paraId="67C8B583" w14:textId="77777777" w:rsidR="00356B98" w:rsidRPr="002B6ABA" w:rsidRDefault="00356B98" w:rsidP="007328E0">
            <w:pPr>
              <w:rPr>
                <w:rFonts w:ascii="Times New Roman" w:hAnsi="Times New Roman" w:cs="Times New Roman"/>
                <w:vertAlign w:val="subscript"/>
              </w:rPr>
            </w:pPr>
            <w:r w:rsidRPr="002B6ABA">
              <w:rPr>
                <w:rFonts w:ascii="Times New Roman" w:hAnsi="Times New Roman" w:cs="Times New Roman"/>
              </w:rPr>
              <w:t>G</w:t>
            </w:r>
            <w:r w:rsidRPr="002B6ABA">
              <w:rPr>
                <w:rFonts w:ascii="Times New Roman" w:hAnsi="Times New Roman" w:cs="Times New Roman"/>
                <w:vertAlign w:val="subscript"/>
              </w:rPr>
              <w:t>0</w:t>
            </w:r>
            <w:r w:rsidRPr="002B6ABA">
              <w:rPr>
                <w:rFonts w:ascii="Times New Roman" w:hAnsi="Times New Roman" w:cs="Times New Roman"/>
              </w:rPr>
              <w:t>C</w:t>
            </w:r>
            <w:r w:rsidRPr="002B6ABA">
              <w:rPr>
                <w:rFonts w:ascii="Times New Roman" w:hAnsi="Times New Roman" w:cs="Times New Roman"/>
                <w:vertAlign w:val="subscript"/>
              </w:rPr>
              <w:t>1</w:t>
            </w:r>
          </w:p>
        </w:tc>
        <w:tc>
          <w:tcPr>
            <w:tcW w:w="2470" w:type="dxa"/>
          </w:tcPr>
          <w:p w14:paraId="19E843A0"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 xml:space="preserve">84.26 </w:t>
            </w:r>
            <w:proofErr w:type="spellStart"/>
            <w:r w:rsidRPr="002B6ABA">
              <w:rPr>
                <w:rFonts w:ascii="Times New Roman" w:hAnsi="Times New Roman" w:cs="Times New Roman"/>
              </w:rPr>
              <w:t>bc</w:t>
            </w:r>
            <w:proofErr w:type="spellEnd"/>
          </w:p>
        </w:tc>
        <w:tc>
          <w:tcPr>
            <w:tcW w:w="2221" w:type="dxa"/>
          </w:tcPr>
          <w:p w14:paraId="7E770D37"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5.04 ab</w:t>
            </w:r>
          </w:p>
        </w:tc>
        <w:tc>
          <w:tcPr>
            <w:tcW w:w="2281" w:type="dxa"/>
          </w:tcPr>
          <w:p w14:paraId="3842EABF"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42.10 c</w:t>
            </w:r>
          </w:p>
        </w:tc>
      </w:tr>
      <w:tr w:rsidR="00356B98" w:rsidRPr="002B6ABA" w14:paraId="6B95C4D7" w14:textId="77777777" w:rsidTr="00345B99">
        <w:trPr>
          <w:trHeight w:val="295"/>
        </w:trPr>
        <w:tc>
          <w:tcPr>
            <w:tcW w:w="1933" w:type="dxa"/>
          </w:tcPr>
          <w:p w14:paraId="485189CC" w14:textId="77777777" w:rsidR="00356B98" w:rsidRPr="002B6ABA" w:rsidRDefault="00356B98" w:rsidP="007328E0">
            <w:pPr>
              <w:rPr>
                <w:rFonts w:ascii="Times New Roman" w:hAnsi="Times New Roman" w:cs="Times New Roman"/>
                <w:vertAlign w:val="subscript"/>
              </w:rPr>
            </w:pPr>
            <w:r w:rsidRPr="002B6ABA">
              <w:rPr>
                <w:rFonts w:ascii="Times New Roman" w:hAnsi="Times New Roman" w:cs="Times New Roman"/>
              </w:rPr>
              <w:t>G</w:t>
            </w:r>
            <w:r w:rsidRPr="002B6ABA">
              <w:rPr>
                <w:rFonts w:ascii="Times New Roman" w:hAnsi="Times New Roman" w:cs="Times New Roman"/>
                <w:vertAlign w:val="subscript"/>
              </w:rPr>
              <w:t>0</w:t>
            </w:r>
            <w:r w:rsidRPr="002B6ABA">
              <w:rPr>
                <w:rFonts w:ascii="Times New Roman" w:hAnsi="Times New Roman" w:cs="Times New Roman"/>
              </w:rPr>
              <w:t>C</w:t>
            </w:r>
            <w:r w:rsidRPr="002B6ABA">
              <w:rPr>
                <w:rFonts w:ascii="Times New Roman" w:hAnsi="Times New Roman" w:cs="Times New Roman"/>
                <w:vertAlign w:val="subscript"/>
              </w:rPr>
              <w:t>2</w:t>
            </w:r>
          </w:p>
        </w:tc>
        <w:tc>
          <w:tcPr>
            <w:tcW w:w="2470" w:type="dxa"/>
          </w:tcPr>
          <w:p w14:paraId="7B202FBF"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86.61 ab</w:t>
            </w:r>
          </w:p>
        </w:tc>
        <w:tc>
          <w:tcPr>
            <w:tcW w:w="2221" w:type="dxa"/>
          </w:tcPr>
          <w:p w14:paraId="1CD4AE05"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5.16 a</w:t>
            </w:r>
          </w:p>
        </w:tc>
        <w:tc>
          <w:tcPr>
            <w:tcW w:w="2281" w:type="dxa"/>
          </w:tcPr>
          <w:p w14:paraId="2624C491"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45.71 ab</w:t>
            </w:r>
          </w:p>
        </w:tc>
      </w:tr>
      <w:tr w:rsidR="00356B98" w:rsidRPr="002B6ABA" w14:paraId="5A0252C1" w14:textId="77777777" w:rsidTr="00345B99">
        <w:trPr>
          <w:trHeight w:val="295"/>
        </w:trPr>
        <w:tc>
          <w:tcPr>
            <w:tcW w:w="1933" w:type="dxa"/>
          </w:tcPr>
          <w:p w14:paraId="6BAD67F6" w14:textId="77777777" w:rsidR="00356B98" w:rsidRPr="002B6ABA" w:rsidRDefault="00356B98" w:rsidP="007328E0">
            <w:pPr>
              <w:rPr>
                <w:rFonts w:ascii="Times New Roman" w:hAnsi="Times New Roman" w:cs="Times New Roman"/>
              </w:rPr>
            </w:pPr>
            <w:r w:rsidRPr="002B6ABA">
              <w:rPr>
                <w:rFonts w:ascii="Times New Roman" w:hAnsi="Times New Roman" w:cs="Times New Roman"/>
              </w:rPr>
              <w:t>G</w:t>
            </w:r>
            <w:r w:rsidRPr="002B6ABA">
              <w:rPr>
                <w:rFonts w:ascii="Times New Roman" w:hAnsi="Times New Roman" w:cs="Times New Roman"/>
                <w:vertAlign w:val="subscript"/>
              </w:rPr>
              <w:t>1</w:t>
            </w:r>
            <w:r w:rsidRPr="002B6ABA">
              <w:rPr>
                <w:rFonts w:ascii="Times New Roman" w:hAnsi="Times New Roman" w:cs="Times New Roman"/>
              </w:rPr>
              <w:t>C</w:t>
            </w:r>
            <w:r w:rsidRPr="002B6ABA">
              <w:rPr>
                <w:rFonts w:ascii="Times New Roman" w:hAnsi="Times New Roman" w:cs="Times New Roman"/>
                <w:vertAlign w:val="subscript"/>
              </w:rPr>
              <w:t>0</w:t>
            </w:r>
          </w:p>
        </w:tc>
        <w:tc>
          <w:tcPr>
            <w:tcW w:w="2470" w:type="dxa"/>
          </w:tcPr>
          <w:p w14:paraId="767A2BF2"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 xml:space="preserve">84.43 </w:t>
            </w:r>
            <w:proofErr w:type="spellStart"/>
            <w:r w:rsidRPr="002B6ABA">
              <w:rPr>
                <w:rFonts w:ascii="Times New Roman" w:hAnsi="Times New Roman" w:cs="Times New Roman"/>
              </w:rPr>
              <w:t>bc</w:t>
            </w:r>
            <w:proofErr w:type="spellEnd"/>
          </w:p>
        </w:tc>
        <w:tc>
          <w:tcPr>
            <w:tcW w:w="2221" w:type="dxa"/>
          </w:tcPr>
          <w:p w14:paraId="47F4CC30"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3.99 c</w:t>
            </w:r>
          </w:p>
        </w:tc>
        <w:tc>
          <w:tcPr>
            <w:tcW w:w="2281" w:type="dxa"/>
          </w:tcPr>
          <w:p w14:paraId="154A2F39"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45.92 a</w:t>
            </w:r>
          </w:p>
        </w:tc>
      </w:tr>
      <w:tr w:rsidR="00356B98" w:rsidRPr="002B6ABA" w14:paraId="72751E8D" w14:textId="77777777" w:rsidTr="00345B99">
        <w:trPr>
          <w:trHeight w:val="281"/>
        </w:trPr>
        <w:tc>
          <w:tcPr>
            <w:tcW w:w="1933" w:type="dxa"/>
          </w:tcPr>
          <w:p w14:paraId="262DA708" w14:textId="77777777" w:rsidR="00356B98" w:rsidRPr="002B6ABA" w:rsidRDefault="00356B98" w:rsidP="007328E0">
            <w:pPr>
              <w:rPr>
                <w:rFonts w:ascii="Times New Roman" w:hAnsi="Times New Roman" w:cs="Times New Roman"/>
              </w:rPr>
            </w:pPr>
            <w:r w:rsidRPr="002B6ABA">
              <w:rPr>
                <w:rFonts w:ascii="Times New Roman" w:hAnsi="Times New Roman" w:cs="Times New Roman"/>
              </w:rPr>
              <w:t>G</w:t>
            </w:r>
            <w:r w:rsidRPr="002B6ABA">
              <w:rPr>
                <w:rFonts w:ascii="Times New Roman" w:hAnsi="Times New Roman" w:cs="Times New Roman"/>
                <w:vertAlign w:val="subscript"/>
              </w:rPr>
              <w:t>1</w:t>
            </w:r>
            <w:r w:rsidRPr="002B6ABA">
              <w:rPr>
                <w:rFonts w:ascii="Times New Roman" w:hAnsi="Times New Roman" w:cs="Times New Roman"/>
              </w:rPr>
              <w:t>C</w:t>
            </w:r>
            <w:r w:rsidRPr="002B6ABA">
              <w:rPr>
                <w:rFonts w:ascii="Times New Roman" w:hAnsi="Times New Roman" w:cs="Times New Roman"/>
                <w:vertAlign w:val="subscript"/>
              </w:rPr>
              <w:t>1</w:t>
            </w:r>
          </w:p>
        </w:tc>
        <w:tc>
          <w:tcPr>
            <w:tcW w:w="2470" w:type="dxa"/>
          </w:tcPr>
          <w:p w14:paraId="406DAD7B"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82.62 c</w:t>
            </w:r>
          </w:p>
        </w:tc>
        <w:tc>
          <w:tcPr>
            <w:tcW w:w="2221" w:type="dxa"/>
          </w:tcPr>
          <w:p w14:paraId="4AA51DC7"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4.9 ab</w:t>
            </w:r>
          </w:p>
        </w:tc>
        <w:tc>
          <w:tcPr>
            <w:tcW w:w="2281" w:type="dxa"/>
          </w:tcPr>
          <w:p w14:paraId="3B7429D2"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45.84 a</w:t>
            </w:r>
          </w:p>
        </w:tc>
      </w:tr>
      <w:tr w:rsidR="00356B98" w:rsidRPr="002B6ABA" w14:paraId="055D21A7" w14:textId="77777777" w:rsidTr="00345B99">
        <w:trPr>
          <w:trHeight w:val="295"/>
        </w:trPr>
        <w:tc>
          <w:tcPr>
            <w:tcW w:w="1933" w:type="dxa"/>
          </w:tcPr>
          <w:p w14:paraId="1221E915" w14:textId="77777777" w:rsidR="00356B98" w:rsidRPr="002B6ABA" w:rsidRDefault="00356B98" w:rsidP="007328E0">
            <w:pPr>
              <w:rPr>
                <w:rFonts w:ascii="Times New Roman" w:hAnsi="Times New Roman" w:cs="Times New Roman"/>
              </w:rPr>
            </w:pPr>
            <w:r w:rsidRPr="002B6ABA">
              <w:rPr>
                <w:rFonts w:ascii="Times New Roman" w:hAnsi="Times New Roman" w:cs="Times New Roman"/>
              </w:rPr>
              <w:t>G</w:t>
            </w:r>
            <w:r w:rsidRPr="002B6ABA">
              <w:rPr>
                <w:rFonts w:ascii="Times New Roman" w:hAnsi="Times New Roman" w:cs="Times New Roman"/>
                <w:vertAlign w:val="subscript"/>
              </w:rPr>
              <w:t>1</w:t>
            </w:r>
            <w:r w:rsidRPr="002B6ABA">
              <w:rPr>
                <w:rFonts w:ascii="Times New Roman" w:hAnsi="Times New Roman" w:cs="Times New Roman"/>
              </w:rPr>
              <w:t>C</w:t>
            </w:r>
            <w:r w:rsidRPr="002B6ABA">
              <w:rPr>
                <w:rFonts w:ascii="Times New Roman" w:hAnsi="Times New Roman" w:cs="Times New Roman"/>
                <w:vertAlign w:val="subscript"/>
              </w:rPr>
              <w:t>2</w:t>
            </w:r>
          </w:p>
        </w:tc>
        <w:tc>
          <w:tcPr>
            <w:tcW w:w="2470" w:type="dxa"/>
          </w:tcPr>
          <w:p w14:paraId="39F786CC"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87.93 a</w:t>
            </w:r>
          </w:p>
        </w:tc>
        <w:tc>
          <w:tcPr>
            <w:tcW w:w="2221" w:type="dxa"/>
          </w:tcPr>
          <w:p w14:paraId="67FB147A"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5.2 a</w:t>
            </w:r>
          </w:p>
        </w:tc>
        <w:tc>
          <w:tcPr>
            <w:tcW w:w="2281" w:type="dxa"/>
          </w:tcPr>
          <w:p w14:paraId="264D7A64"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47.13 a</w:t>
            </w:r>
          </w:p>
        </w:tc>
      </w:tr>
      <w:tr w:rsidR="00356B98" w:rsidRPr="002B6ABA" w14:paraId="5B92FBF4" w14:textId="77777777" w:rsidTr="00345B99">
        <w:trPr>
          <w:trHeight w:val="295"/>
        </w:trPr>
        <w:tc>
          <w:tcPr>
            <w:tcW w:w="1933" w:type="dxa"/>
          </w:tcPr>
          <w:p w14:paraId="60E0B68B" w14:textId="77777777" w:rsidR="00356B98" w:rsidRPr="002B6ABA" w:rsidRDefault="00356B98" w:rsidP="007328E0">
            <w:pPr>
              <w:rPr>
                <w:rFonts w:ascii="Times New Roman" w:hAnsi="Times New Roman" w:cs="Times New Roman"/>
              </w:rPr>
            </w:pPr>
            <w:r w:rsidRPr="002B6ABA">
              <w:rPr>
                <w:rFonts w:ascii="Times New Roman" w:hAnsi="Times New Roman" w:cs="Times New Roman"/>
              </w:rPr>
              <w:t>G</w:t>
            </w:r>
            <w:r w:rsidRPr="002B6ABA">
              <w:rPr>
                <w:rFonts w:ascii="Times New Roman" w:hAnsi="Times New Roman" w:cs="Times New Roman"/>
                <w:vertAlign w:val="subscript"/>
              </w:rPr>
              <w:t>2</w:t>
            </w:r>
            <w:r w:rsidRPr="002B6ABA">
              <w:rPr>
                <w:rFonts w:ascii="Times New Roman" w:hAnsi="Times New Roman" w:cs="Times New Roman"/>
              </w:rPr>
              <w:t>C</w:t>
            </w:r>
            <w:r w:rsidRPr="002B6ABA">
              <w:rPr>
                <w:rFonts w:ascii="Times New Roman" w:hAnsi="Times New Roman" w:cs="Times New Roman"/>
                <w:vertAlign w:val="subscript"/>
              </w:rPr>
              <w:t>0</w:t>
            </w:r>
          </w:p>
        </w:tc>
        <w:tc>
          <w:tcPr>
            <w:tcW w:w="2470" w:type="dxa"/>
          </w:tcPr>
          <w:p w14:paraId="27C7D926"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82.27 c</w:t>
            </w:r>
          </w:p>
        </w:tc>
        <w:tc>
          <w:tcPr>
            <w:tcW w:w="2221" w:type="dxa"/>
          </w:tcPr>
          <w:p w14:paraId="38E25ACD"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4.68 b</w:t>
            </w:r>
          </w:p>
        </w:tc>
        <w:tc>
          <w:tcPr>
            <w:tcW w:w="2281" w:type="dxa"/>
          </w:tcPr>
          <w:p w14:paraId="5EC235B3"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 xml:space="preserve">43.71 </w:t>
            </w:r>
            <w:proofErr w:type="spellStart"/>
            <w:r w:rsidRPr="002B6ABA">
              <w:rPr>
                <w:rFonts w:ascii="Times New Roman" w:hAnsi="Times New Roman" w:cs="Times New Roman"/>
              </w:rPr>
              <w:t>bc</w:t>
            </w:r>
            <w:proofErr w:type="spellEnd"/>
          </w:p>
        </w:tc>
      </w:tr>
      <w:tr w:rsidR="00356B98" w:rsidRPr="002B6ABA" w14:paraId="410E6453" w14:textId="77777777" w:rsidTr="00345B99">
        <w:trPr>
          <w:trHeight w:val="295"/>
        </w:trPr>
        <w:tc>
          <w:tcPr>
            <w:tcW w:w="1933" w:type="dxa"/>
          </w:tcPr>
          <w:p w14:paraId="30D89702" w14:textId="77777777" w:rsidR="00356B98" w:rsidRPr="002B6ABA" w:rsidRDefault="00356B98" w:rsidP="007328E0">
            <w:pPr>
              <w:rPr>
                <w:rFonts w:ascii="Times New Roman" w:hAnsi="Times New Roman" w:cs="Times New Roman"/>
              </w:rPr>
            </w:pPr>
            <w:r w:rsidRPr="002B6ABA">
              <w:rPr>
                <w:rFonts w:ascii="Times New Roman" w:hAnsi="Times New Roman" w:cs="Times New Roman"/>
              </w:rPr>
              <w:t>G</w:t>
            </w:r>
            <w:r w:rsidRPr="002B6ABA">
              <w:rPr>
                <w:rFonts w:ascii="Times New Roman" w:hAnsi="Times New Roman" w:cs="Times New Roman"/>
                <w:vertAlign w:val="subscript"/>
              </w:rPr>
              <w:t>2</w:t>
            </w:r>
            <w:r w:rsidRPr="002B6ABA">
              <w:rPr>
                <w:rFonts w:ascii="Times New Roman" w:hAnsi="Times New Roman" w:cs="Times New Roman"/>
              </w:rPr>
              <w:t>C</w:t>
            </w:r>
            <w:r w:rsidRPr="002B6ABA">
              <w:rPr>
                <w:rFonts w:ascii="Times New Roman" w:hAnsi="Times New Roman" w:cs="Times New Roman"/>
                <w:vertAlign w:val="subscript"/>
              </w:rPr>
              <w:t>1</w:t>
            </w:r>
          </w:p>
        </w:tc>
        <w:tc>
          <w:tcPr>
            <w:tcW w:w="2470" w:type="dxa"/>
          </w:tcPr>
          <w:p w14:paraId="0025F9A1"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75.34 d</w:t>
            </w:r>
          </w:p>
        </w:tc>
        <w:tc>
          <w:tcPr>
            <w:tcW w:w="2221" w:type="dxa"/>
          </w:tcPr>
          <w:p w14:paraId="4BE6370E"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3.43 d</w:t>
            </w:r>
          </w:p>
        </w:tc>
        <w:tc>
          <w:tcPr>
            <w:tcW w:w="2281" w:type="dxa"/>
          </w:tcPr>
          <w:p w14:paraId="59DAFC50"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35.43 d</w:t>
            </w:r>
          </w:p>
        </w:tc>
      </w:tr>
      <w:tr w:rsidR="00356B98" w:rsidRPr="002B6ABA" w14:paraId="67E8203B" w14:textId="77777777" w:rsidTr="00345B99">
        <w:trPr>
          <w:trHeight w:val="295"/>
        </w:trPr>
        <w:tc>
          <w:tcPr>
            <w:tcW w:w="1933" w:type="dxa"/>
            <w:tcBorders>
              <w:bottom w:val="single" w:sz="4" w:space="0" w:color="auto"/>
            </w:tcBorders>
          </w:tcPr>
          <w:p w14:paraId="602BA722" w14:textId="77777777" w:rsidR="00356B98" w:rsidRPr="002B6ABA" w:rsidRDefault="00356B98" w:rsidP="007328E0">
            <w:pPr>
              <w:rPr>
                <w:rFonts w:ascii="Times New Roman" w:hAnsi="Times New Roman" w:cs="Times New Roman"/>
                <w:b/>
                <w:bCs/>
              </w:rPr>
            </w:pPr>
            <w:r w:rsidRPr="002B6ABA">
              <w:rPr>
                <w:rFonts w:ascii="Times New Roman" w:hAnsi="Times New Roman" w:cs="Times New Roman"/>
              </w:rPr>
              <w:t>G</w:t>
            </w:r>
            <w:r w:rsidRPr="002B6ABA">
              <w:rPr>
                <w:rFonts w:ascii="Times New Roman" w:hAnsi="Times New Roman" w:cs="Times New Roman"/>
                <w:vertAlign w:val="subscript"/>
              </w:rPr>
              <w:t>2</w:t>
            </w:r>
            <w:r w:rsidRPr="002B6ABA">
              <w:rPr>
                <w:rFonts w:ascii="Times New Roman" w:hAnsi="Times New Roman" w:cs="Times New Roman"/>
              </w:rPr>
              <w:t>C</w:t>
            </w:r>
            <w:r w:rsidRPr="002B6ABA">
              <w:rPr>
                <w:rFonts w:ascii="Times New Roman" w:hAnsi="Times New Roman" w:cs="Times New Roman"/>
                <w:vertAlign w:val="subscript"/>
              </w:rPr>
              <w:t>2</w:t>
            </w:r>
          </w:p>
        </w:tc>
        <w:tc>
          <w:tcPr>
            <w:tcW w:w="2470" w:type="dxa"/>
            <w:tcBorders>
              <w:bottom w:val="single" w:sz="4" w:space="0" w:color="auto"/>
            </w:tcBorders>
          </w:tcPr>
          <w:p w14:paraId="05B79B2C"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78.59 d</w:t>
            </w:r>
          </w:p>
        </w:tc>
        <w:tc>
          <w:tcPr>
            <w:tcW w:w="2221" w:type="dxa"/>
            <w:tcBorders>
              <w:bottom w:val="single" w:sz="4" w:space="0" w:color="auto"/>
            </w:tcBorders>
          </w:tcPr>
          <w:p w14:paraId="6FC895F6"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4.28 c</w:t>
            </w:r>
          </w:p>
        </w:tc>
        <w:tc>
          <w:tcPr>
            <w:tcW w:w="2281" w:type="dxa"/>
            <w:tcBorders>
              <w:bottom w:val="single" w:sz="4" w:space="0" w:color="auto"/>
            </w:tcBorders>
          </w:tcPr>
          <w:p w14:paraId="7D2DFA4C" w14:textId="77777777" w:rsidR="00356B98" w:rsidRPr="002B6ABA" w:rsidRDefault="00356B98" w:rsidP="007328E0">
            <w:pPr>
              <w:jc w:val="center"/>
              <w:rPr>
                <w:rFonts w:ascii="Times New Roman" w:hAnsi="Times New Roman" w:cs="Times New Roman"/>
              </w:rPr>
            </w:pPr>
            <w:r w:rsidRPr="002B6ABA">
              <w:rPr>
                <w:rFonts w:ascii="Times New Roman" w:hAnsi="Times New Roman" w:cs="Times New Roman"/>
              </w:rPr>
              <w:t>36.65 d</w:t>
            </w:r>
          </w:p>
        </w:tc>
      </w:tr>
      <w:tr w:rsidR="00356B98" w:rsidRPr="002B6ABA" w14:paraId="0DD02FE3" w14:textId="77777777" w:rsidTr="00345B99">
        <w:trPr>
          <w:trHeight w:val="295"/>
        </w:trPr>
        <w:tc>
          <w:tcPr>
            <w:tcW w:w="1933" w:type="dxa"/>
            <w:tcBorders>
              <w:top w:val="single" w:sz="4" w:space="0" w:color="auto"/>
              <w:bottom w:val="single" w:sz="4" w:space="0" w:color="auto"/>
            </w:tcBorders>
          </w:tcPr>
          <w:p w14:paraId="4F29638E" w14:textId="77777777" w:rsidR="00356B98" w:rsidRPr="002B6ABA" w:rsidRDefault="00356B98" w:rsidP="007328E0">
            <w:pPr>
              <w:rPr>
                <w:rFonts w:ascii="Times New Roman" w:hAnsi="Times New Roman" w:cs="Times New Roman"/>
                <w:b/>
              </w:rPr>
            </w:pPr>
            <w:r w:rsidRPr="002B6ABA">
              <w:rPr>
                <w:rFonts w:ascii="Times New Roman" w:hAnsi="Times New Roman" w:cs="Times New Roman"/>
                <w:b/>
              </w:rPr>
              <w:t>LSD</w:t>
            </w:r>
            <w:r w:rsidRPr="002B6ABA">
              <w:rPr>
                <w:rFonts w:ascii="Times New Roman" w:hAnsi="Times New Roman" w:cs="Times New Roman"/>
                <w:b/>
                <w:vertAlign w:val="subscript"/>
              </w:rPr>
              <w:t>0.05</w:t>
            </w:r>
          </w:p>
        </w:tc>
        <w:tc>
          <w:tcPr>
            <w:tcW w:w="2470" w:type="dxa"/>
            <w:tcBorders>
              <w:top w:val="single" w:sz="4" w:space="0" w:color="auto"/>
              <w:bottom w:val="single" w:sz="4" w:space="0" w:color="auto"/>
            </w:tcBorders>
          </w:tcPr>
          <w:p w14:paraId="01DD1C8D" w14:textId="77777777" w:rsidR="00356B98" w:rsidRPr="002B6ABA" w:rsidRDefault="00356B98" w:rsidP="007328E0">
            <w:pPr>
              <w:jc w:val="center"/>
              <w:rPr>
                <w:rFonts w:ascii="Times New Roman" w:hAnsi="Times New Roman" w:cs="Times New Roman"/>
                <w:b/>
              </w:rPr>
            </w:pPr>
            <w:r w:rsidRPr="002B6ABA">
              <w:rPr>
                <w:rFonts w:ascii="Times New Roman" w:hAnsi="Times New Roman" w:cs="Times New Roman"/>
                <w:b/>
              </w:rPr>
              <w:t>3.28</w:t>
            </w:r>
          </w:p>
        </w:tc>
        <w:tc>
          <w:tcPr>
            <w:tcW w:w="2221" w:type="dxa"/>
            <w:tcBorders>
              <w:top w:val="single" w:sz="4" w:space="0" w:color="auto"/>
              <w:bottom w:val="single" w:sz="4" w:space="0" w:color="auto"/>
            </w:tcBorders>
          </w:tcPr>
          <w:p w14:paraId="1A9CF829" w14:textId="77777777" w:rsidR="00356B98" w:rsidRPr="002B6ABA" w:rsidRDefault="00356B98" w:rsidP="007328E0">
            <w:pPr>
              <w:jc w:val="center"/>
              <w:rPr>
                <w:rFonts w:ascii="Times New Roman" w:hAnsi="Times New Roman" w:cs="Times New Roman"/>
                <w:b/>
              </w:rPr>
            </w:pPr>
            <w:r w:rsidRPr="002B6ABA">
              <w:rPr>
                <w:rFonts w:ascii="Times New Roman" w:hAnsi="Times New Roman" w:cs="Times New Roman"/>
                <w:b/>
              </w:rPr>
              <w:t>0.36</w:t>
            </w:r>
          </w:p>
        </w:tc>
        <w:tc>
          <w:tcPr>
            <w:tcW w:w="2281" w:type="dxa"/>
            <w:tcBorders>
              <w:top w:val="single" w:sz="4" w:space="0" w:color="auto"/>
              <w:bottom w:val="single" w:sz="4" w:space="0" w:color="auto"/>
            </w:tcBorders>
          </w:tcPr>
          <w:p w14:paraId="12E8F373" w14:textId="77777777" w:rsidR="00356B98" w:rsidRPr="002B6ABA" w:rsidRDefault="00356B98" w:rsidP="007328E0">
            <w:pPr>
              <w:jc w:val="center"/>
              <w:rPr>
                <w:rFonts w:ascii="Times New Roman" w:hAnsi="Times New Roman" w:cs="Times New Roman"/>
                <w:b/>
              </w:rPr>
            </w:pPr>
            <w:r w:rsidRPr="002B6ABA">
              <w:rPr>
                <w:rFonts w:ascii="Times New Roman" w:hAnsi="Times New Roman" w:cs="Times New Roman"/>
                <w:b/>
              </w:rPr>
              <w:t>2.08</w:t>
            </w:r>
          </w:p>
        </w:tc>
      </w:tr>
      <w:tr w:rsidR="00112A77" w:rsidRPr="002B6ABA" w14:paraId="662FB448" w14:textId="77777777" w:rsidTr="00345B99">
        <w:trPr>
          <w:trHeight w:val="295"/>
        </w:trPr>
        <w:tc>
          <w:tcPr>
            <w:tcW w:w="1933" w:type="dxa"/>
            <w:tcBorders>
              <w:top w:val="single" w:sz="4" w:space="0" w:color="auto"/>
              <w:bottom w:val="single" w:sz="4" w:space="0" w:color="auto"/>
            </w:tcBorders>
          </w:tcPr>
          <w:p w14:paraId="06C9D848" w14:textId="77777777" w:rsidR="00112A77" w:rsidRPr="002B6ABA" w:rsidRDefault="00112A77" w:rsidP="00112A77">
            <w:pPr>
              <w:tabs>
                <w:tab w:val="left" w:pos="840"/>
              </w:tabs>
              <w:rPr>
                <w:rFonts w:ascii="Times New Roman" w:hAnsi="Times New Roman" w:cs="Times New Roman"/>
                <w:b/>
              </w:rPr>
            </w:pPr>
            <w:r w:rsidRPr="002B6ABA">
              <w:rPr>
                <w:rFonts w:ascii="Times New Roman" w:hAnsi="Times New Roman" w:cs="Times New Roman"/>
              </w:rPr>
              <w:t>CV</w:t>
            </w:r>
            <w:r w:rsidR="00D01563" w:rsidRPr="002B6ABA">
              <w:rPr>
                <w:rFonts w:ascii="Times New Roman" w:hAnsi="Times New Roman" w:cs="Times New Roman"/>
              </w:rPr>
              <w:t>(%)</w:t>
            </w:r>
            <w:r w:rsidRPr="002B6ABA">
              <w:rPr>
                <w:rFonts w:ascii="Times New Roman" w:hAnsi="Times New Roman" w:cs="Times New Roman"/>
              </w:rPr>
              <w:tab/>
            </w:r>
          </w:p>
        </w:tc>
        <w:tc>
          <w:tcPr>
            <w:tcW w:w="2470" w:type="dxa"/>
            <w:tcBorders>
              <w:top w:val="single" w:sz="4" w:space="0" w:color="auto"/>
              <w:bottom w:val="single" w:sz="4" w:space="0" w:color="auto"/>
            </w:tcBorders>
          </w:tcPr>
          <w:p w14:paraId="087AFA35" w14:textId="77777777" w:rsidR="00112A77" w:rsidRPr="002B6ABA" w:rsidRDefault="00112A77" w:rsidP="007328E0">
            <w:pPr>
              <w:jc w:val="center"/>
              <w:rPr>
                <w:rFonts w:ascii="Times New Roman" w:hAnsi="Times New Roman" w:cs="Times New Roman"/>
                <w:b/>
              </w:rPr>
            </w:pPr>
            <w:r w:rsidRPr="002B6ABA">
              <w:rPr>
                <w:rFonts w:ascii="Times New Roman" w:hAnsi="Times New Roman" w:cs="Times New Roman"/>
              </w:rPr>
              <w:t>2.34</w:t>
            </w:r>
          </w:p>
        </w:tc>
        <w:tc>
          <w:tcPr>
            <w:tcW w:w="2221" w:type="dxa"/>
            <w:tcBorders>
              <w:top w:val="single" w:sz="4" w:space="0" w:color="auto"/>
              <w:bottom w:val="single" w:sz="4" w:space="0" w:color="auto"/>
            </w:tcBorders>
          </w:tcPr>
          <w:p w14:paraId="70DD71A2" w14:textId="77777777" w:rsidR="00112A77" w:rsidRPr="002B6ABA" w:rsidRDefault="00112A77" w:rsidP="007328E0">
            <w:pPr>
              <w:jc w:val="center"/>
              <w:rPr>
                <w:rFonts w:ascii="Times New Roman" w:hAnsi="Times New Roman" w:cs="Times New Roman"/>
                <w:b/>
              </w:rPr>
            </w:pPr>
            <w:r w:rsidRPr="002B6ABA">
              <w:rPr>
                <w:rFonts w:ascii="Times New Roman" w:hAnsi="Times New Roman" w:cs="Times New Roman"/>
              </w:rPr>
              <w:t>4.80</w:t>
            </w:r>
          </w:p>
        </w:tc>
        <w:tc>
          <w:tcPr>
            <w:tcW w:w="2281" w:type="dxa"/>
            <w:tcBorders>
              <w:top w:val="single" w:sz="4" w:space="0" w:color="auto"/>
              <w:bottom w:val="single" w:sz="4" w:space="0" w:color="auto"/>
            </w:tcBorders>
          </w:tcPr>
          <w:p w14:paraId="7A5D3E65" w14:textId="77777777" w:rsidR="00112A77" w:rsidRPr="002B6ABA" w:rsidRDefault="00112A77" w:rsidP="007328E0">
            <w:pPr>
              <w:jc w:val="center"/>
              <w:rPr>
                <w:rFonts w:ascii="Times New Roman" w:hAnsi="Times New Roman" w:cs="Times New Roman"/>
                <w:b/>
              </w:rPr>
            </w:pPr>
            <w:r w:rsidRPr="002B6ABA">
              <w:rPr>
                <w:rFonts w:ascii="Times New Roman" w:hAnsi="Times New Roman" w:cs="Times New Roman"/>
              </w:rPr>
              <w:t>2.93</w:t>
            </w:r>
          </w:p>
        </w:tc>
      </w:tr>
    </w:tbl>
    <w:p w14:paraId="4F241748" w14:textId="77777777" w:rsidR="000577BB" w:rsidRPr="002B6ABA" w:rsidRDefault="00D05B7E" w:rsidP="000577BB">
      <w:pPr>
        <w:spacing w:before="120" w:after="0" w:line="240" w:lineRule="auto"/>
        <w:jc w:val="both"/>
        <w:rPr>
          <w:rFonts w:ascii="Times New Roman" w:hAnsi="Times New Roman" w:cs="Times New Roman"/>
          <w:szCs w:val="24"/>
        </w:rPr>
      </w:pPr>
      <w:r w:rsidRPr="002B6ABA">
        <w:rPr>
          <w:rFonts w:ascii="Times New Roman" w:hAnsi="Times New Roman" w:cs="Times New Roman"/>
          <w:szCs w:val="24"/>
        </w:rPr>
        <w:t>G</w:t>
      </w:r>
      <w:r w:rsidRPr="002B6ABA">
        <w:rPr>
          <w:rFonts w:ascii="Times New Roman" w:hAnsi="Times New Roman" w:cs="Times New Roman"/>
          <w:szCs w:val="24"/>
          <w:vertAlign w:val="subscript"/>
        </w:rPr>
        <w:t>0</w:t>
      </w:r>
      <w:r w:rsidRPr="002B6ABA">
        <w:rPr>
          <w:rFonts w:ascii="Times New Roman" w:hAnsi="Times New Roman" w:cs="Times New Roman"/>
          <w:szCs w:val="24"/>
        </w:rPr>
        <w:t>= Control (no GA</w:t>
      </w:r>
      <w:r w:rsidRPr="002B6ABA">
        <w:rPr>
          <w:rFonts w:ascii="Times New Roman" w:hAnsi="Times New Roman" w:cs="Times New Roman"/>
          <w:szCs w:val="24"/>
          <w:vertAlign w:val="subscript"/>
        </w:rPr>
        <w:t>3</w:t>
      </w:r>
      <w:r w:rsidRPr="002B6ABA">
        <w:rPr>
          <w:rFonts w:ascii="Times New Roman" w:hAnsi="Times New Roman" w:cs="Times New Roman"/>
          <w:szCs w:val="24"/>
        </w:rPr>
        <w:t xml:space="preserve">), </w:t>
      </w:r>
      <w:r w:rsidRPr="002B6ABA">
        <w:rPr>
          <w:rFonts w:ascii="Times New Roman" w:eastAsia="Times New Roman" w:hAnsi="Times New Roman" w:cs="Times New Roman"/>
          <w:color w:val="000000"/>
        </w:rPr>
        <w:t>G</w:t>
      </w:r>
      <w:r w:rsidRPr="002B6ABA">
        <w:rPr>
          <w:rFonts w:ascii="Times New Roman" w:eastAsia="Times New Roman" w:hAnsi="Times New Roman" w:cs="Times New Roman"/>
          <w:color w:val="000000"/>
          <w:vertAlign w:val="subscript"/>
        </w:rPr>
        <w:t>1</w:t>
      </w:r>
      <w:r w:rsidRPr="002B6ABA">
        <w:rPr>
          <w:rFonts w:ascii="Times New Roman" w:eastAsia="Times New Roman" w:hAnsi="Times New Roman" w:cs="Times New Roman"/>
          <w:color w:val="000000"/>
        </w:rPr>
        <w:t xml:space="preserve">= 100 ppm </w:t>
      </w:r>
      <w:r w:rsidRPr="002B6ABA">
        <w:rPr>
          <w:rFonts w:ascii="Times New Roman" w:hAnsi="Times New Roman" w:cs="Times New Roman"/>
          <w:szCs w:val="24"/>
        </w:rPr>
        <w:t>GA</w:t>
      </w:r>
      <w:r w:rsidRPr="002B6ABA">
        <w:rPr>
          <w:rFonts w:ascii="Times New Roman" w:hAnsi="Times New Roman" w:cs="Times New Roman"/>
          <w:szCs w:val="24"/>
          <w:vertAlign w:val="subscript"/>
        </w:rPr>
        <w:t>3</w:t>
      </w:r>
      <w:r w:rsidRPr="002B6ABA">
        <w:rPr>
          <w:rFonts w:ascii="Times New Roman" w:eastAsia="Times New Roman" w:hAnsi="Times New Roman" w:cs="Times New Roman"/>
          <w:color w:val="000000"/>
        </w:rPr>
        <w:t>,</w:t>
      </w:r>
      <w:r w:rsidRPr="002B6ABA">
        <w:rPr>
          <w:rFonts w:ascii="Times New Roman" w:hAnsi="Times New Roman" w:cs="Times New Roman"/>
          <w:color w:val="000000"/>
        </w:rPr>
        <w:t xml:space="preserve"> </w:t>
      </w:r>
      <w:r w:rsidRPr="002B6ABA">
        <w:rPr>
          <w:rFonts w:ascii="Times New Roman" w:eastAsia="Times New Roman" w:hAnsi="Times New Roman" w:cs="Times New Roman"/>
          <w:color w:val="000000"/>
        </w:rPr>
        <w:t>G</w:t>
      </w:r>
      <w:r w:rsidRPr="002B6ABA">
        <w:rPr>
          <w:rFonts w:ascii="Times New Roman" w:eastAsia="Times New Roman" w:hAnsi="Times New Roman" w:cs="Times New Roman"/>
          <w:color w:val="000000"/>
          <w:vertAlign w:val="subscript"/>
        </w:rPr>
        <w:t>2</w:t>
      </w:r>
      <w:r w:rsidRPr="002B6ABA">
        <w:rPr>
          <w:rFonts w:ascii="Times New Roman" w:eastAsia="Times New Roman" w:hAnsi="Times New Roman" w:cs="Times New Roman"/>
          <w:color w:val="000000"/>
        </w:rPr>
        <w:t xml:space="preserve">= 200 ppm </w:t>
      </w:r>
      <w:r w:rsidRPr="002B6ABA">
        <w:rPr>
          <w:rFonts w:ascii="Times New Roman" w:hAnsi="Times New Roman" w:cs="Times New Roman"/>
          <w:szCs w:val="24"/>
        </w:rPr>
        <w:t>GA</w:t>
      </w:r>
      <w:r w:rsidRPr="002B6ABA">
        <w:rPr>
          <w:rFonts w:ascii="Times New Roman" w:hAnsi="Times New Roman" w:cs="Times New Roman"/>
          <w:szCs w:val="24"/>
          <w:vertAlign w:val="subscript"/>
        </w:rPr>
        <w:t>3</w:t>
      </w:r>
      <w:r w:rsidRPr="002B6ABA">
        <w:rPr>
          <w:rFonts w:ascii="Times New Roman" w:hAnsi="Times New Roman" w:cs="Times New Roman"/>
          <w:szCs w:val="24"/>
        </w:rPr>
        <w:t xml:space="preserve">, </w:t>
      </w:r>
      <w:r w:rsidRPr="002B6ABA">
        <w:rPr>
          <w:rFonts w:ascii="Times New Roman" w:eastAsia="Times New Roman" w:hAnsi="Times New Roman" w:cs="Times New Roman"/>
          <w:color w:val="000000"/>
        </w:rPr>
        <w:t>C</w:t>
      </w:r>
      <w:r w:rsidRPr="002B6ABA">
        <w:rPr>
          <w:rFonts w:ascii="Times New Roman" w:eastAsia="Times New Roman" w:hAnsi="Times New Roman" w:cs="Times New Roman"/>
          <w:color w:val="000000"/>
          <w:vertAlign w:val="subscript"/>
        </w:rPr>
        <w:t>0</w:t>
      </w:r>
      <w:r w:rsidRPr="002B6ABA">
        <w:rPr>
          <w:rFonts w:ascii="Times New Roman" w:eastAsia="Times New Roman" w:hAnsi="Times New Roman" w:cs="Times New Roman"/>
          <w:color w:val="000000"/>
        </w:rPr>
        <w:t>= Control (no chitosan),</w:t>
      </w:r>
      <w:r w:rsidRPr="002B6ABA">
        <w:rPr>
          <w:rFonts w:ascii="Times New Roman" w:hAnsi="Times New Roman" w:cs="Times New Roman"/>
          <w:color w:val="000000"/>
        </w:rPr>
        <w:t xml:space="preserve"> </w:t>
      </w:r>
      <w:r w:rsidR="00AC3B20" w:rsidRPr="002B6ABA">
        <w:rPr>
          <w:rFonts w:ascii="Times New Roman" w:eastAsia="Times New Roman" w:hAnsi="Times New Roman" w:cs="Times New Roman"/>
          <w:color w:val="000000"/>
        </w:rPr>
        <w:t>C</w:t>
      </w:r>
      <w:r w:rsidR="00AC3B20" w:rsidRPr="002B6ABA">
        <w:rPr>
          <w:rFonts w:ascii="Times New Roman" w:eastAsia="Times New Roman" w:hAnsi="Times New Roman" w:cs="Times New Roman"/>
          <w:color w:val="000000"/>
          <w:vertAlign w:val="subscript"/>
        </w:rPr>
        <w:t>1</w:t>
      </w:r>
      <w:r w:rsidR="00AC3B20" w:rsidRPr="002B6ABA">
        <w:rPr>
          <w:rFonts w:ascii="Times New Roman" w:eastAsia="Times New Roman" w:hAnsi="Times New Roman" w:cs="Times New Roman"/>
          <w:color w:val="000000"/>
        </w:rPr>
        <w:t>= 1 g/L chitosan,</w:t>
      </w:r>
      <w:r w:rsidR="00AC3B20" w:rsidRPr="002B6ABA">
        <w:rPr>
          <w:rFonts w:ascii="Times New Roman" w:hAnsi="Times New Roman" w:cs="Times New Roman"/>
          <w:color w:val="000000"/>
        </w:rPr>
        <w:t xml:space="preserve"> </w:t>
      </w:r>
      <w:r w:rsidR="00AC3B20" w:rsidRPr="002B6ABA">
        <w:rPr>
          <w:rFonts w:ascii="Times New Roman" w:eastAsia="Times New Roman" w:hAnsi="Times New Roman" w:cs="Times New Roman"/>
          <w:color w:val="000000"/>
        </w:rPr>
        <w:t>C</w:t>
      </w:r>
      <w:r w:rsidR="00AC3B20" w:rsidRPr="002B6ABA">
        <w:rPr>
          <w:rFonts w:ascii="Times New Roman" w:eastAsia="Times New Roman" w:hAnsi="Times New Roman" w:cs="Times New Roman"/>
          <w:color w:val="000000"/>
          <w:vertAlign w:val="subscript"/>
        </w:rPr>
        <w:t>2</w:t>
      </w:r>
      <w:r w:rsidR="00AC3B20" w:rsidRPr="002B6ABA">
        <w:rPr>
          <w:rFonts w:ascii="Times New Roman" w:eastAsia="Times New Roman" w:hAnsi="Times New Roman" w:cs="Times New Roman"/>
          <w:color w:val="000000"/>
        </w:rPr>
        <w:t>= 2g/L chitosan</w:t>
      </w:r>
      <w:r w:rsidRPr="002B6ABA">
        <w:rPr>
          <w:rFonts w:ascii="Times New Roman" w:eastAsia="Times New Roman" w:hAnsi="Times New Roman" w:cs="Times New Roman"/>
          <w:color w:val="000000"/>
        </w:rPr>
        <w:t>.</w:t>
      </w:r>
      <w:r w:rsidRPr="002B6ABA">
        <w:rPr>
          <w:rFonts w:ascii="Times New Roman" w:hAnsi="Times New Roman" w:cs="Times New Roman"/>
          <w:szCs w:val="24"/>
        </w:rPr>
        <w:t xml:space="preserve"> </w:t>
      </w:r>
    </w:p>
    <w:p w14:paraId="369DF8ED" w14:textId="77777777" w:rsidR="000577BB" w:rsidRPr="002B6ABA" w:rsidRDefault="000577BB" w:rsidP="000577BB">
      <w:pPr>
        <w:spacing w:before="120" w:after="0" w:line="240" w:lineRule="auto"/>
        <w:jc w:val="both"/>
        <w:rPr>
          <w:rFonts w:ascii="Times New Roman" w:hAnsi="Times New Roman" w:cs="Times New Roman"/>
          <w:szCs w:val="24"/>
        </w:rPr>
      </w:pPr>
    </w:p>
    <w:p w14:paraId="656378C8" w14:textId="77777777" w:rsidR="005F1951" w:rsidRPr="002B6ABA" w:rsidRDefault="005F1951" w:rsidP="005F1951">
      <w:pPr>
        <w:spacing w:before="100" w:beforeAutospacing="1" w:after="100" w:afterAutospacing="1" w:line="240" w:lineRule="auto"/>
        <w:rPr>
          <w:rFonts w:ascii="Times New Roman" w:eastAsia="Times New Roman" w:hAnsi="Times New Roman" w:cs="Times New Roman"/>
          <w:sz w:val="24"/>
          <w:szCs w:val="24"/>
          <w:lang w:eastAsia="en-GB"/>
        </w:rPr>
      </w:pPr>
      <w:r w:rsidRPr="002B6ABA">
        <w:rPr>
          <w:rFonts w:ascii="Times New Roman" w:eastAsia="Times New Roman" w:hAnsi="Times New Roman" w:cs="Times New Roman"/>
          <w:b/>
          <w:bCs/>
          <w:sz w:val="24"/>
          <w:szCs w:val="24"/>
          <w:lang w:eastAsia="en-GB"/>
        </w:rPr>
        <w:t>Conclusion</w:t>
      </w:r>
    </w:p>
    <w:p w14:paraId="75DEAE64" w14:textId="77777777" w:rsidR="004F08AE" w:rsidRPr="002B6ABA" w:rsidRDefault="004F08AE" w:rsidP="00112A77">
      <w:pPr>
        <w:spacing w:before="100" w:beforeAutospacing="1" w:after="100" w:afterAutospacing="1" w:line="240" w:lineRule="auto"/>
        <w:jc w:val="both"/>
      </w:pPr>
      <w:r w:rsidRPr="002B6ABA">
        <w:t xml:space="preserve">The present study showed that pre-harvest application of GA₃ and chitosan influenced yield-contributing traits and fruit quality parameters of banana cv. BARI Banana 1. Among the treatment combinations, GA₃ at 100 ppm combined with chitosan at 2 g/L performed better for most measured parameters, including bunch weight, bunch length, number of fingers per bunch, total soluble solids, vitamin C content, reducing sugar content, phenol content and peel </w:t>
      </w:r>
      <w:proofErr w:type="spellStart"/>
      <w:r w:rsidRPr="002B6ABA">
        <w:t>colour</w:t>
      </w:r>
      <w:proofErr w:type="spellEnd"/>
      <w:r w:rsidRPr="002B6ABA">
        <w:t xml:space="preserve"> attributes. Untreated plants generally recorded lower values for most yield and quality traits. These findings indicate that the combined use of GA₃ and chitosan may be useful for improving banana productivity and selected fruit quality attributes under the field conditions of this study. However, the treatment response varied among parameters, indicating that dose </w:t>
      </w:r>
      <w:proofErr w:type="spellStart"/>
      <w:r w:rsidRPr="002B6ABA">
        <w:t>optimisation</w:t>
      </w:r>
      <w:proofErr w:type="spellEnd"/>
      <w:r w:rsidRPr="002B6ABA">
        <w:t xml:space="preserve"> remains important. Based on the present results, spraying GA₃ at 100 ppm with chitosan at 2 g/L may be considered a promising pre-harvest treatment for banana production. Further studies across locations, seasons and management conditions are required to confirm the consistency and practical applicability of this treatment.</w:t>
      </w:r>
    </w:p>
    <w:p w14:paraId="5EEC6991" w14:textId="77777777" w:rsidR="004F08AE" w:rsidRPr="002B6ABA" w:rsidRDefault="004F08AE" w:rsidP="00112A77">
      <w:pPr>
        <w:spacing w:before="100" w:beforeAutospacing="1" w:after="100" w:afterAutospacing="1" w:line="240" w:lineRule="auto"/>
        <w:jc w:val="both"/>
      </w:pPr>
    </w:p>
    <w:p w14:paraId="6B820E27" w14:textId="7AD52B56" w:rsidR="005F1951" w:rsidRPr="002B6ABA" w:rsidRDefault="005F1951" w:rsidP="00112A7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B6ABA">
        <w:rPr>
          <w:rFonts w:ascii="Times New Roman" w:eastAsia="Times New Roman" w:hAnsi="Times New Roman" w:cs="Times New Roman"/>
          <w:b/>
          <w:bCs/>
          <w:sz w:val="24"/>
          <w:szCs w:val="24"/>
          <w:lang w:eastAsia="en-GB"/>
        </w:rPr>
        <w:t>Limitations</w:t>
      </w:r>
    </w:p>
    <w:p w14:paraId="5010D915" w14:textId="77777777" w:rsidR="00FE6EBA" w:rsidRPr="002B6ABA" w:rsidRDefault="00FE6EBA" w:rsidP="005F1951">
      <w:pPr>
        <w:spacing w:after="0" w:line="240" w:lineRule="auto"/>
      </w:pPr>
      <w:r w:rsidRPr="002B6ABA">
        <w:lastRenderedPageBreak/>
        <w:t>This study was conducted at a single location during one production season; therefore, the results may not fully represent banana responses under different agroecological conditions. Only BARI Banana 1 was used, limiting direct application of the findings to other cultivars. The experiment tested three levels each of GA₃ and chitosan, and wider concentration ranges were not evaluated. Detailed storage, shelf-life, physiological, molecular and economic assessments were also not included. Further research across seasons, locations and cultivars is needed to validate the treatment response and commercial relevance.</w:t>
      </w:r>
    </w:p>
    <w:p w14:paraId="03FB73FC" w14:textId="77777777" w:rsidR="00FE6EBA" w:rsidRPr="002B6ABA" w:rsidRDefault="00FE6EBA" w:rsidP="005F1951">
      <w:pPr>
        <w:spacing w:after="0" w:line="240" w:lineRule="auto"/>
      </w:pPr>
    </w:p>
    <w:p w14:paraId="1CDB1FCF" w14:textId="3164D2E5" w:rsidR="005F1951" w:rsidRPr="002B6ABA" w:rsidRDefault="005F1951" w:rsidP="005F1951">
      <w:pPr>
        <w:spacing w:after="0" w:line="240" w:lineRule="auto"/>
        <w:rPr>
          <w:rFonts w:ascii="Times New Roman" w:hAnsi="Times New Roman" w:cs="Times New Roman"/>
          <w:b/>
        </w:rPr>
      </w:pPr>
      <w:r w:rsidRPr="002B6ABA">
        <w:rPr>
          <w:rFonts w:ascii="Times New Roman" w:hAnsi="Times New Roman" w:cs="Times New Roman"/>
          <w:b/>
        </w:rPr>
        <w:t>Declaration of AI Use</w:t>
      </w:r>
    </w:p>
    <w:p w14:paraId="1D601275" w14:textId="77777777" w:rsidR="005F1951" w:rsidRPr="002B6ABA" w:rsidRDefault="005F1951" w:rsidP="005F1951">
      <w:pPr>
        <w:spacing w:after="0" w:line="240" w:lineRule="auto"/>
        <w:rPr>
          <w:rFonts w:ascii="Times New Roman" w:hAnsi="Times New Roman" w:cs="Times New Roman"/>
        </w:rPr>
      </w:pPr>
    </w:p>
    <w:p w14:paraId="09B0C635" w14:textId="77777777" w:rsidR="005F1951" w:rsidRPr="002B6ABA" w:rsidRDefault="005F1951" w:rsidP="00D14D4B">
      <w:pPr>
        <w:spacing w:after="0" w:line="240" w:lineRule="auto"/>
        <w:jc w:val="both"/>
        <w:rPr>
          <w:rFonts w:ascii="Times New Roman" w:hAnsi="Times New Roman" w:cs="Times New Roman"/>
        </w:rPr>
      </w:pPr>
      <w:r w:rsidRPr="002B6ABA">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DB09F77" w14:textId="77777777" w:rsidR="00D14D4B" w:rsidRPr="002B6ABA" w:rsidRDefault="00D14D4B" w:rsidP="00D14D4B">
      <w:pPr>
        <w:spacing w:after="0" w:line="240" w:lineRule="auto"/>
        <w:jc w:val="both"/>
        <w:rPr>
          <w:rFonts w:ascii="Times New Roman" w:hAnsi="Times New Roman" w:cs="Times New Roman"/>
        </w:rPr>
      </w:pPr>
    </w:p>
    <w:p w14:paraId="5BE28B9E" w14:textId="77777777" w:rsidR="00F62F9C" w:rsidRPr="002B6ABA" w:rsidRDefault="00B03C44" w:rsidP="00F62F9C">
      <w:pPr>
        <w:spacing w:line="360" w:lineRule="auto"/>
        <w:ind w:hanging="10"/>
        <w:jc w:val="both"/>
        <w:rPr>
          <w:rFonts w:ascii="Times New Roman" w:hAnsi="Times New Roman" w:cs="Times New Roman"/>
          <w:b/>
          <w:sz w:val="23"/>
          <w:szCs w:val="23"/>
        </w:rPr>
      </w:pPr>
      <w:r w:rsidRPr="002B6ABA">
        <w:rPr>
          <w:rFonts w:ascii="Times New Roman" w:hAnsi="Times New Roman" w:cs="Times New Roman"/>
          <w:b/>
          <w:sz w:val="23"/>
          <w:szCs w:val="23"/>
        </w:rPr>
        <w:t>C</w:t>
      </w:r>
      <w:r w:rsidR="00F62F9C" w:rsidRPr="002B6ABA">
        <w:rPr>
          <w:rFonts w:ascii="Times New Roman" w:hAnsi="Times New Roman" w:cs="Times New Roman"/>
          <w:b/>
          <w:sz w:val="23"/>
          <w:szCs w:val="23"/>
        </w:rPr>
        <w:t>ompeting Interests</w:t>
      </w:r>
    </w:p>
    <w:p w14:paraId="1D13221D" w14:textId="77777777" w:rsidR="00CC176C" w:rsidRPr="002B6ABA" w:rsidRDefault="00F62F9C" w:rsidP="00F62F9C">
      <w:pPr>
        <w:spacing w:line="360" w:lineRule="auto"/>
        <w:ind w:hanging="10"/>
        <w:jc w:val="both"/>
        <w:rPr>
          <w:rFonts w:ascii="Times New Roman" w:hAnsi="Times New Roman" w:cs="Times New Roman"/>
          <w:b/>
          <w:bCs/>
          <w:sz w:val="24"/>
          <w:szCs w:val="24"/>
        </w:rPr>
      </w:pPr>
      <w:r w:rsidRPr="002B6ABA">
        <w:rPr>
          <w:rFonts w:ascii="Times New Roman" w:hAnsi="Times New Roman" w:cs="Times New Roman"/>
          <w:sz w:val="23"/>
          <w:szCs w:val="23"/>
        </w:rPr>
        <w:t xml:space="preserve">Authors have declared that no competing interests exist </w:t>
      </w:r>
      <w:r w:rsidR="00B03C44" w:rsidRPr="002B6ABA">
        <w:rPr>
          <w:rFonts w:ascii="Times New Roman" w:hAnsi="Times New Roman" w:cs="Times New Roman"/>
          <w:sz w:val="23"/>
          <w:szCs w:val="23"/>
        </w:rPr>
        <w:t>related to this article.</w:t>
      </w:r>
      <w:r w:rsidR="00B03C44" w:rsidRPr="002B6ABA">
        <w:rPr>
          <w:rFonts w:ascii="Times New Roman" w:hAnsi="Times New Roman" w:cs="Times New Roman"/>
        </w:rPr>
        <w:t xml:space="preserve"> </w:t>
      </w:r>
      <w:r w:rsidR="00B03C44" w:rsidRPr="002B6ABA">
        <w:rPr>
          <w:rFonts w:ascii="Times New Roman" w:hAnsi="Times New Roman" w:cs="Times New Roman"/>
        </w:rPr>
        <w:br/>
      </w:r>
      <w:r w:rsidR="00285199" w:rsidRPr="002B6ABA">
        <w:rPr>
          <w:rFonts w:ascii="Times New Roman" w:hAnsi="Times New Roman" w:cs="Times New Roman"/>
          <w:b/>
          <w:bCs/>
          <w:sz w:val="24"/>
          <w:szCs w:val="24"/>
        </w:rPr>
        <w:t>References</w:t>
      </w:r>
    </w:p>
    <w:p w14:paraId="1BBDDB28" w14:textId="70AB7670" w:rsidR="00FF3897" w:rsidRPr="00FF3897" w:rsidRDefault="00FF3897" w:rsidP="00FF3897">
      <w:pPr>
        <w:ind w:left="540" w:hanging="540"/>
        <w:jc w:val="both"/>
      </w:pPr>
      <w:r w:rsidRPr="00FF3897">
        <w:t xml:space="preserve">Ali, M. N., &amp; Hamid, N. A. (2021). The effect of chitosan coating on post-harvest quality of banana in cold storage. </w:t>
      </w:r>
      <w:r w:rsidRPr="00FF3897">
        <w:rPr>
          <w:i/>
          <w:iCs/>
        </w:rPr>
        <w:t>ESTEEM Academic Journal, 17</w:t>
      </w:r>
      <w:r w:rsidRPr="00FF3897">
        <w:t xml:space="preserve">, 85–92. </w:t>
      </w:r>
      <w:hyperlink r:id="rId8" w:tgtFrame="_new" w:history="1">
        <w:r w:rsidRPr="00FF3897">
          <w:rPr>
            <w:color w:val="0000FF"/>
            <w:u w:val="single"/>
          </w:rPr>
          <w:t>https://ir.uitm.edu.my/id/eprint/46610/1/46610.pdf</w:t>
        </w:r>
      </w:hyperlink>
      <w:r w:rsidRPr="00FF3897">
        <w:t xml:space="preserve"> </w:t>
      </w:r>
    </w:p>
    <w:p w14:paraId="5D8D5B3B" w14:textId="4309B7E7" w:rsidR="00FF3897" w:rsidRPr="00FF3897" w:rsidRDefault="00FF3897" w:rsidP="00FF3897">
      <w:pPr>
        <w:ind w:left="540" w:hanging="540"/>
        <w:jc w:val="both"/>
      </w:pPr>
      <w:r w:rsidRPr="00FF3897">
        <w:t xml:space="preserve">Al-Qurashi, A. D., Awad, M. A., Elsayed, M. I., &amp; Ali, M. A. (2024). Postharvest melatonin and chitosan treatments retain quality of ‘Williams’ bananas during ripening. </w:t>
      </w:r>
      <w:r w:rsidRPr="00FF3897">
        <w:rPr>
          <w:i/>
          <w:iCs/>
        </w:rPr>
        <w:t>Journal of Food Science and Technology, 61</w:t>
      </w:r>
      <w:r w:rsidRPr="00FF3897">
        <w:t xml:space="preserve">(1), 84–96. </w:t>
      </w:r>
      <w:hyperlink r:id="rId9" w:tgtFrame="_new" w:history="1">
        <w:r w:rsidRPr="00FF3897">
          <w:rPr>
            <w:color w:val="0000FF"/>
            <w:u w:val="single"/>
          </w:rPr>
          <w:t>https://doi.org/10.1007/s13197-023-05819-8</w:t>
        </w:r>
      </w:hyperlink>
      <w:r w:rsidRPr="00FF3897">
        <w:t xml:space="preserve"> </w:t>
      </w:r>
    </w:p>
    <w:p w14:paraId="12F1CE23" w14:textId="0D1B6973" w:rsidR="00FF3897" w:rsidRPr="00FF3897" w:rsidRDefault="00FF3897" w:rsidP="00FF3897">
      <w:pPr>
        <w:ind w:left="540" w:hanging="540"/>
        <w:jc w:val="both"/>
      </w:pPr>
      <w:r w:rsidRPr="00FF3897">
        <w:t xml:space="preserve">Alhassan, N., &amp; </w:t>
      </w:r>
      <w:proofErr w:type="spellStart"/>
      <w:r w:rsidRPr="00FF3897">
        <w:t>Ndomakaah</w:t>
      </w:r>
      <w:proofErr w:type="spellEnd"/>
      <w:r w:rsidRPr="00FF3897">
        <w:t xml:space="preserve">, A. (2024). </w:t>
      </w:r>
      <w:r w:rsidRPr="00FF3897">
        <w:rPr>
          <w:i/>
          <w:iCs/>
        </w:rPr>
        <w:t>Aloe vera</w:t>
      </w:r>
      <w:r w:rsidRPr="00FF3897">
        <w:t xml:space="preserve"> gel coating maintains physicochemical parameters, extends the storage life, and preserves the qualities of </w:t>
      </w:r>
      <w:proofErr w:type="spellStart"/>
      <w:r w:rsidRPr="00FF3897">
        <w:t>Lantundan</w:t>
      </w:r>
      <w:proofErr w:type="spellEnd"/>
      <w:r w:rsidRPr="00FF3897">
        <w:t xml:space="preserve"> and Cavendish bananas. </w:t>
      </w:r>
      <w:r w:rsidRPr="00FF3897">
        <w:rPr>
          <w:i/>
          <w:iCs/>
        </w:rPr>
        <w:t>Journal of Horticulture and Postharvest Research, 7</w:t>
      </w:r>
      <w:r w:rsidRPr="00FF3897">
        <w:t xml:space="preserve">(3), 287–300. </w:t>
      </w:r>
      <w:hyperlink r:id="rId10" w:tgtFrame="_new" w:history="1">
        <w:r w:rsidRPr="00FF3897">
          <w:rPr>
            <w:color w:val="0000FF"/>
            <w:u w:val="single"/>
          </w:rPr>
          <w:t>https://doi.org/10.22077/jhpr.2024.7190.1357</w:t>
        </w:r>
      </w:hyperlink>
      <w:r w:rsidRPr="00FF3897">
        <w:t xml:space="preserve"> </w:t>
      </w:r>
    </w:p>
    <w:p w14:paraId="617DD72D" w14:textId="6A354461" w:rsidR="00FF3897" w:rsidRPr="00FF3897" w:rsidRDefault="00FF3897" w:rsidP="00FF3897">
      <w:pPr>
        <w:ind w:left="540" w:hanging="540"/>
        <w:jc w:val="both"/>
      </w:pPr>
      <w:r w:rsidRPr="00FF3897">
        <w:t>Al-Dairi, M., Pathare, P. B., Al-</w:t>
      </w:r>
      <w:proofErr w:type="spellStart"/>
      <w:r w:rsidRPr="00FF3897">
        <w:t>Yahyai</w:t>
      </w:r>
      <w:proofErr w:type="spellEnd"/>
      <w:r w:rsidRPr="00FF3897">
        <w:t>, R., Jayasuriya, H., &amp; Al-</w:t>
      </w:r>
      <w:proofErr w:type="spellStart"/>
      <w:r w:rsidRPr="00FF3897">
        <w:t>Attabi</w:t>
      </w:r>
      <w:proofErr w:type="spellEnd"/>
      <w:r w:rsidRPr="00FF3897">
        <w:t xml:space="preserve">, Z. (2023). Postharvest quality, technologies, and strategies to reduce losses along the supply chain of banana: A review. </w:t>
      </w:r>
      <w:r w:rsidRPr="00FF3897">
        <w:rPr>
          <w:i/>
          <w:iCs/>
        </w:rPr>
        <w:t>Trends in Food Science &amp; Technology, 134</w:t>
      </w:r>
      <w:r w:rsidRPr="00FF3897">
        <w:t xml:space="preserve">, 177–191. </w:t>
      </w:r>
      <w:hyperlink r:id="rId11" w:tgtFrame="_new" w:history="1">
        <w:r w:rsidRPr="00FF3897">
          <w:rPr>
            <w:color w:val="0000FF"/>
            <w:u w:val="single"/>
          </w:rPr>
          <w:t>https://doi.org/10.1016/j.tifs.2023.03.003</w:t>
        </w:r>
      </w:hyperlink>
      <w:r w:rsidRPr="00FF3897">
        <w:t xml:space="preserve"> </w:t>
      </w:r>
    </w:p>
    <w:p w14:paraId="33B4B79C" w14:textId="54714BA2" w:rsidR="00FF3897" w:rsidRPr="00FF3897" w:rsidRDefault="00FF3897" w:rsidP="00FF3897">
      <w:pPr>
        <w:ind w:left="540" w:hanging="540"/>
        <w:jc w:val="both"/>
      </w:pPr>
      <w:r w:rsidRPr="00FF3897">
        <w:t xml:space="preserve">Arshad, M., &amp; </w:t>
      </w:r>
      <w:proofErr w:type="spellStart"/>
      <w:r w:rsidRPr="00FF3897">
        <w:t>Haghshenas</w:t>
      </w:r>
      <w:proofErr w:type="spellEnd"/>
      <w:r w:rsidRPr="00FF3897">
        <w:t xml:space="preserve">, M. (2025). Melatonin and chitosan coating effects on banana postharvest life and physiological traits. </w:t>
      </w:r>
      <w:r w:rsidRPr="00FF3897">
        <w:rPr>
          <w:i/>
          <w:iCs/>
        </w:rPr>
        <w:t>International Journal of Horticultural Science and Technology, 12</w:t>
      </w:r>
      <w:r w:rsidRPr="00FF3897">
        <w:t xml:space="preserve">(1), 31–42. </w:t>
      </w:r>
      <w:hyperlink r:id="rId12" w:tgtFrame="_new" w:history="1">
        <w:r w:rsidRPr="00FF3897">
          <w:rPr>
            <w:color w:val="0000FF"/>
            <w:u w:val="single"/>
          </w:rPr>
          <w:t>https://ijhst.ut.ac.ir/article_96367.html</w:t>
        </w:r>
      </w:hyperlink>
      <w:r w:rsidRPr="00FF3897">
        <w:t xml:space="preserve"> </w:t>
      </w:r>
    </w:p>
    <w:p w14:paraId="36F4A27B" w14:textId="10E79056" w:rsidR="00FF3897" w:rsidRPr="00FF3897" w:rsidRDefault="00FF3897" w:rsidP="00FF3897">
      <w:pPr>
        <w:ind w:left="540" w:hanging="540"/>
        <w:jc w:val="both"/>
      </w:pPr>
      <w:r w:rsidRPr="00FF3897">
        <w:t xml:space="preserve">Awad, M. A., Al-Qurashi, A. D., Elsayed, M. I., &amp; Ali, A. (2023). Effect of procyanidin and chitosan treatments on quality and senescence of ‘William’ banana fruit during ripening. </w:t>
      </w:r>
      <w:r w:rsidRPr="00FF3897">
        <w:rPr>
          <w:i/>
          <w:iCs/>
        </w:rPr>
        <w:t xml:space="preserve">The Journal of </w:t>
      </w:r>
      <w:r w:rsidRPr="00FF3897">
        <w:rPr>
          <w:i/>
          <w:iCs/>
        </w:rPr>
        <w:lastRenderedPageBreak/>
        <w:t>Horticultural Science and Biotechnology, 98</w:t>
      </w:r>
      <w:r w:rsidRPr="00FF3897">
        <w:t xml:space="preserve">(1), 121–131. </w:t>
      </w:r>
      <w:hyperlink r:id="rId13" w:tgtFrame="_new" w:history="1">
        <w:r w:rsidRPr="00FF3897">
          <w:rPr>
            <w:color w:val="0000FF"/>
            <w:u w:val="single"/>
          </w:rPr>
          <w:t>https://doi.org/10.1080/14620316.2022.2090453</w:t>
        </w:r>
      </w:hyperlink>
      <w:r w:rsidRPr="00FF3897">
        <w:t xml:space="preserve"> </w:t>
      </w:r>
    </w:p>
    <w:p w14:paraId="620A151C" w14:textId="4E95C66D" w:rsidR="00FF3897" w:rsidRPr="00FF3897" w:rsidRDefault="00FF3897" w:rsidP="00FF3897">
      <w:pPr>
        <w:ind w:left="540" w:hanging="540"/>
        <w:jc w:val="both"/>
      </w:pPr>
      <w:r w:rsidRPr="00FF3897">
        <w:t xml:space="preserve">Aziz, T., Hassan, M. K., Talukder, F. U., &amp; Rahman, M. S. (2021). Effects of different concentrations of chitosan on shelf life and quality of banana fruit. </w:t>
      </w:r>
      <w:r w:rsidRPr="00FF3897">
        <w:rPr>
          <w:i/>
          <w:iCs/>
        </w:rPr>
        <w:t>International Journal of Horticultural Science and Technology, 8</w:t>
      </w:r>
      <w:r w:rsidRPr="00FF3897">
        <w:t xml:space="preserve">(1), 1–12. </w:t>
      </w:r>
      <w:hyperlink r:id="rId14" w:tgtFrame="_new" w:history="1">
        <w:r w:rsidRPr="00FF3897">
          <w:rPr>
            <w:color w:val="0000FF"/>
            <w:u w:val="single"/>
          </w:rPr>
          <w:t>https://doi.org/10.22059/ijhst.2020.309397.387</w:t>
        </w:r>
      </w:hyperlink>
      <w:r w:rsidRPr="00FF3897">
        <w:t xml:space="preserve"> </w:t>
      </w:r>
    </w:p>
    <w:p w14:paraId="37D8B780" w14:textId="2F690CB2" w:rsidR="00FF3897" w:rsidRPr="00FF3897" w:rsidRDefault="00FF3897" w:rsidP="00FF3897">
      <w:pPr>
        <w:ind w:left="540" w:hanging="540"/>
        <w:jc w:val="both"/>
      </w:pPr>
      <w:r w:rsidRPr="00FF3897">
        <w:rPr>
          <w:lang w:val="nl-BE"/>
        </w:rPr>
        <w:t xml:space="preserve">Başak, H., Seyrek, G. Ç., Horzum, Ö., &amp; Demir, K. (2025). </w:t>
      </w:r>
      <w:r w:rsidRPr="00FF3897">
        <w:t xml:space="preserve">Impact of GA₃ application at different times and methods on tomato growth and fruit shelf life. </w:t>
      </w:r>
      <w:r w:rsidRPr="00FF3897">
        <w:rPr>
          <w:i/>
          <w:iCs/>
        </w:rPr>
        <w:t>Turkish Journal of Agricultural and Natural Sciences, 12</w:t>
      </w:r>
      <w:r w:rsidRPr="00FF3897">
        <w:t xml:space="preserve">(3), 613–626. </w:t>
      </w:r>
      <w:hyperlink r:id="rId15" w:tgtFrame="_new" w:history="1">
        <w:r w:rsidRPr="00FF3897">
          <w:rPr>
            <w:color w:val="0000FF"/>
            <w:u w:val="single"/>
          </w:rPr>
          <w:t>https://doi.org/10.30910/turkjans.1667623</w:t>
        </w:r>
      </w:hyperlink>
      <w:r w:rsidRPr="00FF3897">
        <w:t xml:space="preserve"> </w:t>
      </w:r>
    </w:p>
    <w:p w14:paraId="10048BA9" w14:textId="3DFCBD36" w:rsidR="00FF3897" w:rsidRPr="00FF3897" w:rsidRDefault="00FF3897" w:rsidP="00FF3897">
      <w:pPr>
        <w:ind w:left="540" w:hanging="540"/>
        <w:jc w:val="both"/>
      </w:pPr>
      <w:r w:rsidRPr="00FF3897">
        <w:rPr>
          <w:lang w:val="nl-BE"/>
        </w:rPr>
        <w:t xml:space="preserve">Behera, S. D., Neog, M., Behera, S. D., Behera, B., Dwibedi, S. K., Nandi, A., &amp; Pathak, N. (2025). </w:t>
      </w:r>
      <w:r w:rsidRPr="00FF3897">
        <w:t xml:space="preserve">Physiochemical properties, fruit pathology and shelf life of bananas under pre-harvest bunch spray, post-harvest hand dipping and storage period. </w:t>
      </w:r>
      <w:r w:rsidRPr="00FF3897">
        <w:rPr>
          <w:i/>
          <w:iCs/>
        </w:rPr>
        <w:t xml:space="preserve">Scientia </w:t>
      </w:r>
      <w:proofErr w:type="spellStart"/>
      <w:r w:rsidRPr="00FF3897">
        <w:rPr>
          <w:i/>
          <w:iCs/>
        </w:rPr>
        <w:t>Horticulturae</w:t>
      </w:r>
      <w:proofErr w:type="spellEnd"/>
      <w:r w:rsidRPr="00FF3897">
        <w:rPr>
          <w:i/>
          <w:iCs/>
        </w:rPr>
        <w:t>, 341</w:t>
      </w:r>
      <w:r w:rsidRPr="00FF3897">
        <w:t xml:space="preserve">, 113977. </w:t>
      </w:r>
      <w:hyperlink r:id="rId16" w:tgtFrame="_new" w:history="1">
        <w:r w:rsidRPr="00FF3897">
          <w:rPr>
            <w:color w:val="0000FF"/>
            <w:u w:val="single"/>
          </w:rPr>
          <w:t>https://doi.org/10.1016/j.scienta.2025.113977</w:t>
        </w:r>
      </w:hyperlink>
      <w:r w:rsidRPr="00FF3897">
        <w:t xml:space="preserve"> </w:t>
      </w:r>
    </w:p>
    <w:p w14:paraId="196E83ED" w14:textId="68B2399F" w:rsidR="00FF3897" w:rsidRPr="00FF3897" w:rsidRDefault="00FF3897" w:rsidP="00FF3897">
      <w:pPr>
        <w:ind w:left="540" w:hanging="540"/>
        <w:jc w:val="both"/>
      </w:pPr>
      <w:r w:rsidRPr="00FF3897">
        <w:rPr>
          <w:lang w:val="nl-BE"/>
        </w:rPr>
        <w:t xml:space="preserve">Chouhan, A., Bisen, B., Kumar, L., &amp; Veera Nagaveni, S. R. (2025). </w:t>
      </w:r>
      <w:r w:rsidRPr="00FF3897">
        <w:t>Effect of potassium nitrate (KNO₃) and gibberellic acid (GA₃) on quality attributes of mango (</w:t>
      </w:r>
      <w:r w:rsidRPr="00FF3897">
        <w:rPr>
          <w:i/>
          <w:iCs/>
        </w:rPr>
        <w:t>Mangifera indica</w:t>
      </w:r>
      <w:r w:rsidRPr="00FF3897">
        <w:t xml:space="preserve"> L.) cv. Amrapali. </w:t>
      </w:r>
      <w:r w:rsidRPr="00FF3897">
        <w:rPr>
          <w:i/>
          <w:iCs/>
        </w:rPr>
        <w:t>International Journal of Advanced Biochemistry Research, 9</w:t>
      </w:r>
      <w:r w:rsidRPr="00FF3897">
        <w:t xml:space="preserve">(5), 435–439. </w:t>
      </w:r>
      <w:hyperlink r:id="rId17" w:tgtFrame="_new" w:history="1">
        <w:r w:rsidRPr="00FF3897">
          <w:rPr>
            <w:color w:val="0000FF"/>
            <w:u w:val="single"/>
          </w:rPr>
          <w:t>https://doi.org/10.33545/26174693.2025.v9.i5f.4368</w:t>
        </w:r>
      </w:hyperlink>
      <w:r w:rsidRPr="00FF3897">
        <w:t xml:space="preserve">  </w:t>
      </w:r>
    </w:p>
    <w:p w14:paraId="3FC7D10C" w14:textId="3D061485" w:rsidR="00FF3897" w:rsidRPr="00FF3897" w:rsidRDefault="00FF3897" w:rsidP="00FF3897">
      <w:pPr>
        <w:ind w:left="540" w:hanging="540"/>
        <w:jc w:val="both"/>
      </w:pPr>
      <w:r w:rsidRPr="00FF3897">
        <w:t xml:space="preserve">Chawla, R., </w:t>
      </w:r>
      <w:proofErr w:type="spellStart"/>
      <w:r w:rsidRPr="00FF3897">
        <w:t>Guleria</w:t>
      </w:r>
      <w:proofErr w:type="spellEnd"/>
      <w:r w:rsidRPr="00FF3897">
        <w:t xml:space="preserve">, T., &amp; Thakur, A. (2025). Role of plant growth regulators in fruit crop production: A comprehensive review. </w:t>
      </w:r>
      <w:r w:rsidRPr="00FF3897">
        <w:rPr>
          <w:i/>
          <w:iCs/>
        </w:rPr>
        <w:t>Applied Fruit Science, 67</w:t>
      </w:r>
      <w:r w:rsidRPr="00FF3897">
        <w:t xml:space="preserve">(4), 294. </w:t>
      </w:r>
      <w:hyperlink r:id="rId18" w:tgtFrame="_new" w:history="1">
        <w:r w:rsidRPr="00FF3897">
          <w:rPr>
            <w:color w:val="0000FF"/>
            <w:u w:val="single"/>
          </w:rPr>
          <w:t>https://doi.org/10.1007/s10341-025-01535-z</w:t>
        </w:r>
      </w:hyperlink>
      <w:r w:rsidRPr="00FF3897">
        <w:t xml:space="preserve"> </w:t>
      </w:r>
    </w:p>
    <w:p w14:paraId="6FAB8ACE" w14:textId="3C750245" w:rsidR="00FF3897" w:rsidRPr="00FF3897" w:rsidRDefault="00FF3897" w:rsidP="00FF3897">
      <w:pPr>
        <w:ind w:left="540" w:hanging="540"/>
        <w:jc w:val="both"/>
      </w:pPr>
      <w:r w:rsidRPr="00FF3897">
        <w:t xml:space="preserve">DuBois, M., Gilles, K. A., Hamilton, J. K., </w:t>
      </w:r>
      <w:proofErr w:type="spellStart"/>
      <w:r w:rsidRPr="00FF3897">
        <w:t>Rebers</w:t>
      </w:r>
      <w:proofErr w:type="spellEnd"/>
      <w:r w:rsidRPr="00FF3897">
        <w:t xml:space="preserve">, P. A., &amp; Smith, F. (1956). Colorimetric method for determination of sugars and related substances. </w:t>
      </w:r>
      <w:r w:rsidRPr="00FF3897">
        <w:rPr>
          <w:i/>
          <w:iCs/>
        </w:rPr>
        <w:t>Analytical Chemistry, 28</w:t>
      </w:r>
      <w:r w:rsidRPr="00FF3897">
        <w:t xml:space="preserve">(3), 350–356. </w:t>
      </w:r>
      <w:hyperlink r:id="rId19" w:tgtFrame="_new" w:history="1">
        <w:r w:rsidRPr="00FF3897">
          <w:rPr>
            <w:color w:val="0000FF"/>
            <w:u w:val="single"/>
          </w:rPr>
          <w:t>https://doi.org/10.1021/ac60111a017</w:t>
        </w:r>
      </w:hyperlink>
      <w:r w:rsidRPr="00FF3897">
        <w:t xml:space="preserve"> </w:t>
      </w:r>
    </w:p>
    <w:p w14:paraId="22F8EBB0" w14:textId="3057AA68" w:rsidR="00FF3897" w:rsidRPr="00FF3897" w:rsidRDefault="00FF3897" w:rsidP="00FF3897">
      <w:pPr>
        <w:ind w:left="540" w:hanging="540"/>
        <w:jc w:val="both"/>
      </w:pPr>
      <w:proofErr w:type="spellStart"/>
      <w:r w:rsidRPr="00FF3897">
        <w:t>Dwivany</w:t>
      </w:r>
      <w:proofErr w:type="spellEnd"/>
      <w:r w:rsidRPr="00FF3897">
        <w:t xml:space="preserve">, F. M., Fauziah, T., Yamamoto, K., </w:t>
      </w:r>
      <w:proofErr w:type="spellStart"/>
      <w:r w:rsidRPr="00FF3897">
        <w:t>Novianti</w:t>
      </w:r>
      <w:proofErr w:type="spellEnd"/>
      <w:r w:rsidRPr="00FF3897">
        <w:t xml:space="preserve">, C., Cadu Perwira, K. P., Rizanti, M., </w:t>
      </w:r>
      <w:proofErr w:type="spellStart"/>
      <w:r w:rsidRPr="00FF3897">
        <w:t>Radjasa</w:t>
      </w:r>
      <w:proofErr w:type="spellEnd"/>
      <w:r w:rsidRPr="00FF3897">
        <w:t xml:space="preserve">, S. K., Hakim, F. S., Salim, A. S. P., Putri, R. R., &amp; </w:t>
      </w:r>
      <w:proofErr w:type="spellStart"/>
      <w:r w:rsidRPr="00FF3897">
        <w:t>Nugrahapraja</w:t>
      </w:r>
      <w:proofErr w:type="spellEnd"/>
      <w:r w:rsidRPr="00FF3897">
        <w:t xml:space="preserve">, H. (2025). Chitosan coating to delay the ripening process in banana: A transcriptomics study. </w:t>
      </w:r>
      <w:r w:rsidRPr="00FF3897">
        <w:rPr>
          <w:i/>
          <w:iCs/>
        </w:rPr>
        <w:t>Horticulture, Environment, and Biotechnology, 66</w:t>
      </w:r>
      <w:r w:rsidRPr="00FF3897">
        <w:t xml:space="preserve">(1), 123–136. </w:t>
      </w:r>
      <w:hyperlink r:id="rId20" w:tgtFrame="_new" w:history="1">
        <w:r w:rsidRPr="00FF3897">
          <w:rPr>
            <w:color w:val="0000FF"/>
            <w:u w:val="single"/>
          </w:rPr>
          <w:t>https://doi.org/10.1007/s13580-024-00642-2</w:t>
        </w:r>
      </w:hyperlink>
      <w:r w:rsidRPr="00FF3897">
        <w:t xml:space="preserve"> </w:t>
      </w:r>
    </w:p>
    <w:p w14:paraId="42767350" w14:textId="0D108828" w:rsidR="00FF3897" w:rsidRPr="00FF3897" w:rsidRDefault="00FF3897" w:rsidP="00FF3897">
      <w:pPr>
        <w:ind w:left="540" w:hanging="540"/>
        <w:jc w:val="both"/>
      </w:pPr>
      <w:r w:rsidRPr="00FF3897">
        <w:t xml:space="preserve">El-Mahdy, T. K., Abdel-Salam, M. M., </w:t>
      </w:r>
      <w:proofErr w:type="spellStart"/>
      <w:r w:rsidRPr="00FF3897">
        <w:t>Abdelzaher</w:t>
      </w:r>
      <w:proofErr w:type="spellEnd"/>
      <w:r w:rsidRPr="00FF3897">
        <w:t xml:space="preserve"> Radwan, E. M., Haleem, A. Y., &amp; Mahmoud, A. A. (2024). Effects of some pre- and post-harvest treatments on physical and chemical properties of Flame Seedless grapevines during cold storage. </w:t>
      </w:r>
      <w:r w:rsidRPr="00FF3897">
        <w:rPr>
          <w:i/>
          <w:iCs/>
        </w:rPr>
        <w:t>New Valley Journal of Agricultural Science, 4</w:t>
      </w:r>
      <w:r w:rsidRPr="00FF3897">
        <w:t xml:space="preserve">(2), 1–15. </w:t>
      </w:r>
      <w:hyperlink r:id="rId21" w:tgtFrame="_new" w:history="1">
        <w:r w:rsidRPr="00FF3897">
          <w:rPr>
            <w:color w:val="0000FF"/>
            <w:u w:val="single"/>
          </w:rPr>
          <w:t>https://doi.org/10.21608/nvjas.2024.251308.1266</w:t>
        </w:r>
      </w:hyperlink>
      <w:r w:rsidRPr="00FF3897">
        <w:t xml:space="preserve"> </w:t>
      </w:r>
    </w:p>
    <w:p w14:paraId="55329CA0" w14:textId="3BDA3C71" w:rsidR="00FF3897" w:rsidRPr="00FF3897" w:rsidRDefault="00FF3897" w:rsidP="00FF3897">
      <w:pPr>
        <w:ind w:left="540" w:hanging="540"/>
        <w:jc w:val="both"/>
      </w:pPr>
      <w:r w:rsidRPr="00FF3897">
        <w:t xml:space="preserve">El </w:t>
      </w:r>
      <w:proofErr w:type="spellStart"/>
      <w:r w:rsidRPr="00FF3897">
        <w:t>Amerany</w:t>
      </w:r>
      <w:proofErr w:type="spellEnd"/>
      <w:r w:rsidRPr="00FF3897">
        <w:t xml:space="preserve">, F., Rhazi, M., Balcke, G., Wahbi, S., </w:t>
      </w:r>
      <w:proofErr w:type="spellStart"/>
      <w:r w:rsidRPr="00FF3897">
        <w:t>Meddich</w:t>
      </w:r>
      <w:proofErr w:type="spellEnd"/>
      <w:r w:rsidRPr="00FF3897">
        <w:t xml:space="preserve">, A., Taourirte, M., &amp; Hause, B. (2022). The effect of chitosan on plant physiology, wound response, and fruit quality of tomato. </w:t>
      </w:r>
      <w:r w:rsidRPr="00FF3897">
        <w:rPr>
          <w:i/>
          <w:iCs/>
        </w:rPr>
        <w:t>Polymers, 14</w:t>
      </w:r>
      <w:r w:rsidRPr="00FF3897">
        <w:t xml:space="preserve">(22), 5006. </w:t>
      </w:r>
      <w:hyperlink r:id="rId22" w:tgtFrame="_new" w:history="1">
        <w:r w:rsidRPr="00FF3897">
          <w:rPr>
            <w:color w:val="0000FF"/>
            <w:u w:val="single"/>
          </w:rPr>
          <w:t>https://doi.org/10.3390/polym14225006</w:t>
        </w:r>
      </w:hyperlink>
      <w:r w:rsidRPr="00FF3897">
        <w:t xml:space="preserve"> </w:t>
      </w:r>
    </w:p>
    <w:p w14:paraId="11AF9ACB" w14:textId="3F204EED" w:rsidR="00FF3897" w:rsidRPr="00FF3897" w:rsidRDefault="00FF3897" w:rsidP="00FF3897">
      <w:pPr>
        <w:ind w:left="540" w:hanging="540"/>
        <w:jc w:val="both"/>
      </w:pPr>
      <w:r w:rsidRPr="00FF3897">
        <w:t>García-Castaño, S. G., Gallego-</w:t>
      </w:r>
      <w:proofErr w:type="spellStart"/>
      <w:r w:rsidRPr="00FF3897">
        <w:t>Álzate</w:t>
      </w:r>
      <w:proofErr w:type="spellEnd"/>
      <w:r w:rsidRPr="00FF3897">
        <w:t xml:space="preserve">, I. A., Reyes-Castañeda, B. J., Restrepo-Restrepo, W. E., Vargas-Zapata, A. M., Barrera Violeth, J. L., &amp; </w:t>
      </w:r>
      <w:proofErr w:type="spellStart"/>
      <w:r w:rsidRPr="00FF3897">
        <w:t>Pompelli</w:t>
      </w:r>
      <w:proofErr w:type="spellEnd"/>
      <w:r w:rsidRPr="00FF3897">
        <w:t xml:space="preserve">, M. F. (2025). Gibberellic acid and zeatin delay </w:t>
      </w:r>
      <w:r w:rsidRPr="00FF3897">
        <w:lastRenderedPageBreak/>
        <w:t>“Harton” plantain (</w:t>
      </w:r>
      <w:r w:rsidRPr="00FF3897">
        <w:rPr>
          <w:i/>
          <w:iCs/>
        </w:rPr>
        <w:t>Musa paradisiaca</w:t>
      </w:r>
      <w:r w:rsidRPr="00FF3897">
        <w:t xml:space="preserve">) ripening. </w:t>
      </w:r>
      <w:proofErr w:type="spellStart"/>
      <w:r w:rsidRPr="00FF3897">
        <w:rPr>
          <w:i/>
          <w:iCs/>
        </w:rPr>
        <w:t>Horticulturae</w:t>
      </w:r>
      <w:proofErr w:type="spellEnd"/>
      <w:r w:rsidRPr="00FF3897">
        <w:rPr>
          <w:i/>
          <w:iCs/>
        </w:rPr>
        <w:t>, 11</w:t>
      </w:r>
      <w:r w:rsidRPr="00FF3897">
        <w:t xml:space="preserve">(10), 1169. </w:t>
      </w:r>
      <w:hyperlink r:id="rId23" w:tgtFrame="_new" w:history="1">
        <w:r w:rsidRPr="00FF3897">
          <w:rPr>
            <w:color w:val="0000FF"/>
            <w:u w:val="single"/>
          </w:rPr>
          <w:t>https://doi.org/10.3390/horticulturae11101169</w:t>
        </w:r>
      </w:hyperlink>
      <w:r w:rsidRPr="00FF3897">
        <w:t xml:space="preserve"> </w:t>
      </w:r>
    </w:p>
    <w:p w14:paraId="18D20A1B" w14:textId="03267E31" w:rsidR="00FF3897" w:rsidRPr="00FF3897" w:rsidRDefault="00FF3897" w:rsidP="00FF3897">
      <w:pPr>
        <w:ind w:left="540" w:hanging="540"/>
        <w:jc w:val="both"/>
      </w:pPr>
      <w:r w:rsidRPr="00FF3897">
        <w:t xml:space="preserve">Gundogdu, M., Berk, S., Yıldız, K., Kaki, B., Tuna, S., Canan, I., </w:t>
      </w:r>
      <w:proofErr w:type="spellStart"/>
      <w:r w:rsidRPr="00FF3897">
        <w:t>Okatan</w:t>
      </w:r>
      <w:proofErr w:type="spellEnd"/>
      <w:r w:rsidRPr="00FF3897">
        <w:t xml:space="preserve">, V., &amp; </w:t>
      </w:r>
      <w:proofErr w:type="spellStart"/>
      <w:r w:rsidRPr="00FF3897">
        <w:t>Ercisli</w:t>
      </w:r>
      <w:proofErr w:type="spellEnd"/>
      <w:r w:rsidRPr="00FF3897">
        <w:t xml:space="preserve">, S. (2021). Influence of foliar application with gibberellic acid on phenolic and bioactive compounds of strawberry fruits. </w:t>
      </w:r>
      <w:proofErr w:type="spellStart"/>
      <w:r w:rsidRPr="00FF3897">
        <w:rPr>
          <w:i/>
          <w:iCs/>
        </w:rPr>
        <w:t>Erwerbs-Obstbau</w:t>
      </w:r>
      <w:proofErr w:type="spellEnd"/>
      <w:r w:rsidRPr="00FF3897">
        <w:rPr>
          <w:i/>
          <w:iCs/>
        </w:rPr>
        <w:t>, 63</w:t>
      </w:r>
      <w:r w:rsidRPr="00FF3897">
        <w:t xml:space="preserve">(1), 15–23. </w:t>
      </w:r>
      <w:hyperlink r:id="rId24" w:tgtFrame="_new" w:history="1">
        <w:r w:rsidRPr="00FF3897">
          <w:rPr>
            <w:color w:val="0000FF"/>
            <w:u w:val="single"/>
          </w:rPr>
          <w:t>https://doi.org/10.1007/s10341-021-00543-z</w:t>
        </w:r>
      </w:hyperlink>
      <w:r w:rsidRPr="00FF3897">
        <w:t xml:space="preserve"> </w:t>
      </w:r>
    </w:p>
    <w:p w14:paraId="4CDA75AA" w14:textId="54E0DC7F" w:rsidR="00FF3897" w:rsidRPr="00FF3897" w:rsidRDefault="00FF3897" w:rsidP="00FF3897">
      <w:pPr>
        <w:ind w:left="540" w:hanging="540"/>
        <w:jc w:val="both"/>
      </w:pPr>
      <w:r w:rsidRPr="00FF3897">
        <w:t>Ghimire, R., Yadav, P. K., Khanal, S., Shrestha, A. K., Devkota, A. R., &amp; Shrestha, J. (2021). Effect of different levels of gibberellic acid and kinetin on quality and self-life of banana (</w:t>
      </w:r>
      <w:r w:rsidRPr="00FF3897">
        <w:rPr>
          <w:i/>
          <w:iCs/>
        </w:rPr>
        <w:t>Musa</w:t>
      </w:r>
      <w:r w:rsidRPr="00FF3897">
        <w:t xml:space="preserve"> spp.) fruits. </w:t>
      </w:r>
      <w:proofErr w:type="spellStart"/>
      <w:r w:rsidRPr="00FF3897">
        <w:rPr>
          <w:i/>
          <w:iCs/>
        </w:rPr>
        <w:t>Heliyon</w:t>
      </w:r>
      <w:proofErr w:type="spellEnd"/>
      <w:r w:rsidRPr="00FF3897">
        <w:rPr>
          <w:i/>
          <w:iCs/>
        </w:rPr>
        <w:t>, 7</w:t>
      </w:r>
      <w:r w:rsidRPr="00FF3897">
        <w:t xml:space="preserve">(9), e08019. </w:t>
      </w:r>
      <w:hyperlink r:id="rId25" w:tgtFrame="_new" w:history="1">
        <w:r w:rsidRPr="00FF3897">
          <w:rPr>
            <w:color w:val="0000FF"/>
            <w:u w:val="single"/>
          </w:rPr>
          <w:t>https://doi.org/10.1016/j.heliyon.2021.e08019</w:t>
        </w:r>
      </w:hyperlink>
      <w:r w:rsidRPr="00FF3897">
        <w:t xml:space="preserve"> </w:t>
      </w:r>
    </w:p>
    <w:p w14:paraId="73E0DC03" w14:textId="3D5799E6" w:rsidR="00FF3897" w:rsidRPr="00FF3897" w:rsidRDefault="00FF3897" w:rsidP="00FF3897">
      <w:pPr>
        <w:ind w:left="540" w:hanging="540"/>
        <w:jc w:val="both"/>
      </w:pPr>
      <w:r w:rsidRPr="00FF3897">
        <w:t xml:space="preserve">Gurjar, R. A., Shah, K. A., </w:t>
      </w:r>
      <w:proofErr w:type="spellStart"/>
      <w:r w:rsidRPr="00FF3897">
        <w:t>Velamuri</w:t>
      </w:r>
      <w:proofErr w:type="spellEnd"/>
      <w:r w:rsidRPr="00FF3897">
        <w:t xml:space="preserve">, A., &amp; Chauhan, N. M. (2023). Effect of </w:t>
      </w:r>
      <w:proofErr w:type="spellStart"/>
      <w:r w:rsidRPr="00FF3897">
        <w:t>nauroji</w:t>
      </w:r>
      <w:proofErr w:type="spellEnd"/>
      <w:r w:rsidRPr="00FF3897">
        <w:t xml:space="preserve"> novel banana pseudo stem based organic liquid nutrients on yield of mango and sapota. </w:t>
      </w:r>
      <w:r w:rsidRPr="00FF3897">
        <w:rPr>
          <w:i/>
          <w:iCs/>
        </w:rPr>
        <w:t>Current Advances in Agricultural Sciences, 15</w:t>
      </w:r>
      <w:r w:rsidRPr="00FF3897">
        <w:t xml:space="preserve">, 377–381. </w:t>
      </w:r>
      <w:hyperlink r:id="rId26" w:tgtFrame="_new" w:history="1">
        <w:r w:rsidRPr="00FF3897">
          <w:rPr>
            <w:color w:val="0000FF"/>
            <w:u w:val="single"/>
          </w:rPr>
          <w:t>https://doi.org/10.5958/2394-4471.2023.00070.9</w:t>
        </w:r>
      </w:hyperlink>
      <w:r w:rsidRPr="00FF3897">
        <w:t xml:space="preserve"> </w:t>
      </w:r>
    </w:p>
    <w:p w14:paraId="14655674" w14:textId="5E292ED5" w:rsidR="00FF3897" w:rsidRPr="00FF3897" w:rsidRDefault="00FF3897" w:rsidP="00FF3897">
      <w:pPr>
        <w:ind w:left="540" w:hanging="540"/>
        <w:jc w:val="both"/>
      </w:pPr>
      <w:r w:rsidRPr="00FF3897">
        <w:t>Gomaa, A. M., &amp; Ibrahim, H. F. (2024). Fruit quality of ‘</w:t>
      </w:r>
      <w:proofErr w:type="spellStart"/>
      <w:r w:rsidRPr="00FF3897">
        <w:t>Manfalouty</w:t>
      </w:r>
      <w:proofErr w:type="spellEnd"/>
      <w:r w:rsidRPr="00FF3897">
        <w:t xml:space="preserve">’ pomegranate as affected by preharvest putrescine and chitosan treatments. </w:t>
      </w:r>
      <w:proofErr w:type="spellStart"/>
      <w:r w:rsidRPr="00FF3897">
        <w:rPr>
          <w:i/>
          <w:iCs/>
        </w:rPr>
        <w:t>Hortscience</w:t>
      </w:r>
      <w:proofErr w:type="spellEnd"/>
      <w:r w:rsidRPr="00FF3897">
        <w:rPr>
          <w:i/>
          <w:iCs/>
        </w:rPr>
        <w:t xml:space="preserve"> Journal of Suez Canal University, 13</w:t>
      </w:r>
      <w:r w:rsidRPr="00FF3897">
        <w:t xml:space="preserve">(1), 1–9. </w:t>
      </w:r>
      <w:hyperlink r:id="rId27" w:tgtFrame="_new" w:history="1">
        <w:r w:rsidRPr="00FF3897">
          <w:rPr>
            <w:color w:val="0000FF"/>
            <w:u w:val="single"/>
          </w:rPr>
          <w:t>https://doi.org/10.21608/hjsc.2024.281211.1003</w:t>
        </w:r>
      </w:hyperlink>
      <w:r w:rsidRPr="00FF3897">
        <w:t xml:space="preserve"> </w:t>
      </w:r>
    </w:p>
    <w:p w14:paraId="0EB26142" w14:textId="2A033037" w:rsidR="00FF3897" w:rsidRPr="00FF3897" w:rsidRDefault="00FF3897" w:rsidP="00FF3897">
      <w:pPr>
        <w:ind w:left="540" w:hanging="540"/>
        <w:jc w:val="both"/>
      </w:pPr>
      <w:r w:rsidRPr="00FF3897">
        <w:t xml:space="preserve">El </w:t>
      </w:r>
      <w:proofErr w:type="spellStart"/>
      <w:r w:rsidRPr="00FF3897">
        <w:t>Amerany</w:t>
      </w:r>
      <w:proofErr w:type="spellEnd"/>
      <w:r w:rsidRPr="00FF3897">
        <w:t xml:space="preserve">, F., Rhazi, M., Balcke, G., Wahbi, S., </w:t>
      </w:r>
      <w:proofErr w:type="spellStart"/>
      <w:r w:rsidRPr="00FF3897">
        <w:t>Meddich</w:t>
      </w:r>
      <w:proofErr w:type="spellEnd"/>
      <w:r w:rsidRPr="00FF3897">
        <w:t xml:space="preserve">, A., Taourirte, M., &amp; Hause, B. (2022). The effect of chitosan on plant physiology, wound response, and fruit quality of tomato. </w:t>
      </w:r>
      <w:r w:rsidRPr="00FF3897">
        <w:rPr>
          <w:i/>
          <w:iCs/>
        </w:rPr>
        <w:t>Polymers, 14</w:t>
      </w:r>
      <w:r w:rsidRPr="00FF3897">
        <w:t xml:space="preserve">(22), 5006. </w:t>
      </w:r>
      <w:hyperlink r:id="rId28" w:tgtFrame="_new" w:history="1">
        <w:r w:rsidRPr="00FF3897">
          <w:rPr>
            <w:color w:val="0000FF"/>
            <w:u w:val="single"/>
          </w:rPr>
          <w:t>https://doi.org/10.3390/polym14225006</w:t>
        </w:r>
      </w:hyperlink>
    </w:p>
    <w:p w14:paraId="6C49CE88" w14:textId="44B006A1" w:rsidR="00FF3897" w:rsidRPr="00FF3897" w:rsidRDefault="00FF3897" w:rsidP="00FF3897">
      <w:pPr>
        <w:ind w:left="540" w:hanging="540"/>
        <w:jc w:val="both"/>
      </w:pPr>
      <w:proofErr w:type="spellStart"/>
      <w:r w:rsidRPr="00FF3897">
        <w:t>Paradava</w:t>
      </w:r>
      <w:proofErr w:type="spellEnd"/>
      <w:r w:rsidRPr="00FF3897">
        <w:t xml:space="preserve">, D. R., Patel, M. J., &amp; Kacha, H. L. (2021). Effect of post shooting spray and covering material on banana bunch on its yield attributes and yield. </w:t>
      </w:r>
      <w:r w:rsidRPr="00FF3897">
        <w:rPr>
          <w:i/>
          <w:iCs/>
        </w:rPr>
        <w:t xml:space="preserve">Journal of </w:t>
      </w:r>
      <w:proofErr w:type="spellStart"/>
      <w:r w:rsidRPr="00FF3897">
        <w:rPr>
          <w:i/>
          <w:iCs/>
        </w:rPr>
        <w:t>AgriSearch</w:t>
      </w:r>
      <w:proofErr w:type="spellEnd"/>
      <w:r w:rsidRPr="00FF3897">
        <w:rPr>
          <w:i/>
          <w:iCs/>
        </w:rPr>
        <w:t>, 8</w:t>
      </w:r>
      <w:r w:rsidRPr="00FF3897">
        <w:t xml:space="preserve">(4), 364–369. </w:t>
      </w:r>
      <w:hyperlink r:id="rId29" w:tgtFrame="_new" w:history="1">
        <w:r w:rsidRPr="00FF3897">
          <w:rPr>
            <w:color w:val="0000FF"/>
            <w:u w:val="single"/>
          </w:rPr>
          <w:t>https://doi.org/10.21921/jas.v8i04.7755</w:t>
        </w:r>
      </w:hyperlink>
      <w:r w:rsidRPr="00FF3897">
        <w:t xml:space="preserve"> </w:t>
      </w:r>
    </w:p>
    <w:p w14:paraId="66852207" w14:textId="088BF046" w:rsidR="00FF3897" w:rsidRPr="00FF3897" w:rsidRDefault="00FF3897" w:rsidP="00FF3897">
      <w:pPr>
        <w:ind w:left="540" w:hanging="540"/>
        <w:jc w:val="both"/>
      </w:pPr>
      <w:r w:rsidRPr="00FF3897">
        <w:t xml:space="preserve">Khan, M. J., Sakhi, S., Azam, N., Ahmad, Z., </w:t>
      </w:r>
      <w:proofErr w:type="spellStart"/>
      <w:r w:rsidRPr="00FF3897">
        <w:t>Hadayat</w:t>
      </w:r>
      <w:proofErr w:type="spellEnd"/>
      <w:r w:rsidRPr="00FF3897">
        <w:t>, N., Ahmad, B., Hussain, F., Shuaib, M., Khan, S., Hussain, F., &amp; Gaafar, A. R. Z. (2024). Effect of chitosan and gibberellic acid on fruit yield and production of peach (</w:t>
      </w:r>
      <w:r w:rsidRPr="00FF3897">
        <w:rPr>
          <w:i/>
          <w:iCs/>
        </w:rPr>
        <w:t>Prunus persica</w:t>
      </w:r>
      <w:r w:rsidRPr="00FF3897">
        <w:t xml:space="preserve"> L.). </w:t>
      </w:r>
      <w:r w:rsidRPr="00FF3897">
        <w:rPr>
          <w:i/>
          <w:iCs/>
        </w:rPr>
        <w:t>Polish Journal of Environmental Studies, 33</w:t>
      </w:r>
      <w:r w:rsidRPr="00FF3897">
        <w:t xml:space="preserve">(1), 721–726. </w:t>
      </w:r>
      <w:hyperlink r:id="rId30" w:tgtFrame="_new" w:history="1">
        <w:r w:rsidRPr="00FF3897">
          <w:rPr>
            <w:color w:val="0000FF"/>
            <w:u w:val="single"/>
          </w:rPr>
          <w:t>https://doi.org/10.15244/pjoes/171982</w:t>
        </w:r>
      </w:hyperlink>
      <w:r w:rsidRPr="00FF3897">
        <w:t xml:space="preserve"> </w:t>
      </w:r>
    </w:p>
    <w:p w14:paraId="1C7752AB" w14:textId="1AA315FC" w:rsidR="00FF3897" w:rsidRPr="00FF3897" w:rsidRDefault="00FF3897" w:rsidP="00FF3897">
      <w:pPr>
        <w:ind w:left="540" w:hanging="540"/>
        <w:jc w:val="both"/>
      </w:pPr>
      <w:r w:rsidRPr="00FF3897">
        <w:t xml:space="preserve">Kumar, M., Shukla, S., &amp; Yadav, V. (2025). Gibberellic acid: The growth booster revolutionizing fruit farming. </w:t>
      </w:r>
      <w:r w:rsidRPr="00FF3897">
        <w:rPr>
          <w:i/>
          <w:iCs/>
        </w:rPr>
        <w:t>Vigyan Varta, 6</w:t>
      </w:r>
      <w:r w:rsidRPr="00FF3897">
        <w:t xml:space="preserve">(2), 241–247. </w:t>
      </w:r>
      <w:hyperlink r:id="rId31" w:tgtFrame="_new" w:history="1">
        <w:r w:rsidRPr="00FF3897">
          <w:rPr>
            <w:color w:val="0000FF"/>
            <w:u w:val="single"/>
          </w:rPr>
          <w:t>https://vigyanvarta.in/adminpanel/upload_doc/VV_0225_56.pdf</w:t>
        </w:r>
      </w:hyperlink>
      <w:r w:rsidRPr="00FF3897">
        <w:t xml:space="preserve"> </w:t>
      </w:r>
    </w:p>
    <w:p w14:paraId="28AB21B8" w14:textId="64D07654" w:rsidR="00FF3897" w:rsidRPr="00FF3897" w:rsidRDefault="00FF3897" w:rsidP="00FF3897">
      <w:pPr>
        <w:ind w:left="540" w:hanging="540"/>
        <w:jc w:val="both"/>
      </w:pPr>
      <w:r w:rsidRPr="00FF3897">
        <w:t>Kwok, J. J. N., Chen, M. K., Ong, C. W., &amp; Chen, L. (2025). Antidiabetic potential of bananas (</w:t>
      </w:r>
      <w:r w:rsidRPr="00FF3897">
        <w:rPr>
          <w:i/>
          <w:iCs/>
        </w:rPr>
        <w:t>Musa</w:t>
      </w:r>
      <w:r w:rsidRPr="00FF3897">
        <w:t xml:space="preserve"> spp.): A systematic review of bioactive compounds and antihyperglycemic activities. </w:t>
      </w:r>
      <w:r w:rsidRPr="00FF3897">
        <w:rPr>
          <w:i/>
          <w:iCs/>
        </w:rPr>
        <w:t>Current Nutrition Reports, 14</w:t>
      </w:r>
      <w:r w:rsidRPr="00FF3897">
        <w:t xml:space="preserve">(1), 38. https://doi.org/10.1007/s13668-025-00629-0 </w:t>
      </w:r>
    </w:p>
    <w:p w14:paraId="48396124" w14:textId="68F166FA" w:rsidR="00FF3897" w:rsidRPr="00FF3897" w:rsidRDefault="00FF3897" w:rsidP="00FF3897">
      <w:pPr>
        <w:ind w:left="540" w:hanging="540"/>
        <w:jc w:val="both"/>
      </w:pPr>
      <w:r w:rsidRPr="00FF3897">
        <w:t xml:space="preserve">Lad, B., Solanki, P. D., Gurjar, R. A., Tandel, B. M., &amp; Chaudhary, A. P. (2025). Effect of foliar application of different nutrients and GA₃ on yield and quality of strawberry. </w:t>
      </w:r>
      <w:r w:rsidRPr="00FF3897">
        <w:rPr>
          <w:i/>
          <w:iCs/>
        </w:rPr>
        <w:t>Plant Archives, 25</w:t>
      </w:r>
      <w:r w:rsidRPr="00FF3897">
        <w:t xml:space="preserve">(Supplement 1), 3099–3103. </w:t>
      </w:r>
      <w:hyperlink r:id="rId32" w:tgtFrame="_new" w:history="1">
        <w:r w:rsidRPr="00FF3897">
          <w:rPr>
            <w:color w:val="0000FF"/>
            <w:u w:val="single"/>
          </w:rPr>
          <w:t>https://doi.org/10.51470/PLANTARCHIVES.2025.v25.supplement-1.423</w:t>
        </w:r>
      </w:hyperlink>
      <w:r w:rsidRPr="00FF3897">
        <w:t xml:space="preserve"> </w:t>
      </w:r>
    </w:p>
    <w:p w14:paraId="5C507EFD" w14:textId="58FAD9F3" w:rsidR="00FF3897" w:rsidRPr="00FF3897" w:rsidRDefault="00FF3897" w:rsidP="00FF3897">
      <w:pPr>
        <w:ind w:left="540" w:hanging="540"/>
        <w:jc w:val="both"/>
      </w:pPr>
      <w:r w:rsidRPr="00FF3897">
        <w:rPr>
          <w:lang w:val="nl-BE"/>
        </w:rPr>
        <w:lastRenderedPageBreak/>
        <w:t xml:space="preserve">Li, M., Cheng, S., Wang, Y., &amp; Dong, Y. (2020). </w:t>
      </w:r>
      <w:r w:rsidRPr="00FF3897">
        <w:t xml:space="preserve">Improving fruit coloration, quality attributes, and phenolics content in ‘Rainier’ and ‘Bing’ cherries by gibberellic acid combined with </w:t>
      </w:r>
      <w:proofErr w:type="spellStart"/>
      <w:r w:rsidRPr="00FF3897">
        <w:t>homobrassinolide</w:t>
      </w:r>
      <w:proofErr w:type="spellEnd"/>
      <w:r w:rsidRPr="00FF3897">
        <w:t xml:space="preserve">. </w:t>
      </w:r>
      <w:r w:rsidRPr="00FF3897">
        <w:rPr>
          <w:i/>
          <w:iCs/>
        </w:rPr>
        <w:t>Journal of Plant Growth Regulation, 39</w:t>
      </w:r>
      <w:r w:rsidRPr="00FF3897">
        <w:t xml:space="preserve">(3), 1130–1139. </w:t>
      </w:r>
      <w:hyperlink r:id="rId33" w:tgtFrame="_new" w:history="1">
        <w:r w:rsidRPr="00FF3897">
          <w:rPr>
            <w:color w:val="0000FF"/>
            <w:u w:val="single"/>
          </w:rPr>
          <w:t>https://doi.org/10.1007/s00344-019-10049-4</w:t>
        </w:r>
      </w:hyperlink>
      <w:r w:rsidRPr="00FF3897">
        <w:t xml:space="preserve"> </w:t>
      </w:r>
    </w:p>
    <w:p w14:paraId="172492BE" w14:textId="57D604EC" w:rsidR="00FF3897" w:rsidRPr="00FF3897" w:rsidRDefault="00FF3897" w:rsidP="00FF3897">
      <w:pPr>
        <w:ind w:left="540" w:hanging="540"/>
        <w:jc w:val="both"/>
      </w:pPr>
      <w:r w:rsidRPr="00FF3897">
        <w:t xml:space="preserve">Mansour, A. H., Fekry, O. M., Abdel-Alim, W. M., &amp; Abd-Elmonsef, G. (2025). Effect of some pre-harvest treatments on the quality characteristics of semi-dry date fruits (Saidy cultivar) during storage. </w:t>
      </w:r>
      <w:r w:rsidRPr="00FF3897">
        <w:rPr>
          <w:i/>
          <w:iCs/>
        </w:rPr>
        <w:t>Horticulture Research Journal, 3</w:t>
      </w:r>
      <w:r w:rsidRPr="00FF3897">
        <w:t xml:space="preserve">(1), 75–87. </w:t>
      </w:r>
      <w:hyperlink r:id="rId34" w:tgtFrame="_new" w:history="1">
        <w:r w:rsidRPr="00FF3897">
          <w:rPr>
            <w:color w:val="0000FF"/>
            <w:u w:val="single"/>
          </w:rPr>
          <w:t>https://doi.org/10.21608/hrj.2025.418439</w:t>
        </w:r>
      </w:hyperlink>
      <w:r w:rsidRPr="00FF3897">
        <w:t xml:space="preserve"> </w:t>
      </w:r>
    </w:p>
    <w:p w14:paraId="711E4CE6" w14:textId="7A5E51D0" w:rsidR="00FF3897" w:rsidRPr="00FF3897" w:rsidRDefault="00FF3897" w:rsidP="00FF3897">
      <w:pPr>
        <w:ind w:left="540" w:hanging="540"/>
        <w:jc w:val="both"/>
      </w:pPr>
      <w:proofErr w:type="spellStart"/>
      <w:r w:rsidRPr="00FF3897">
        <w:t>Mawale</w:t>
      </w:r>
      <w:proofErr w:type="spellEnd"/>
      <w:r w:rsidRPr="00FF3897">
        <w:t xml:space="preserve">, K. S., &amp; Giridhar, P. (2024). Chitosan nanoparticles modulate plant growth and yield, as well as thrips infestation in </w:t>
      </w:r>
      <w:r w:rsidRPr="00FF3897">
        <w:rPr>
          <w:i/>
          <w:iCs/>
        </w:rPr>
        <w:t>Capsicum</w:t>
      </w:r>
      <w:r w:rsidRPr="00FF3897">
        <w:t xml:space="preserve"> spp. </w:t>
      </w:r>
      <w:r w:rsidRPr="00FF3897">
        <w:rPr>
          <w:i/>
          <w:iCs/>
        </w:rPr>
        <w:t>International Journal of Biological Macromolecules, 254</w:t>
      </w:r>
      <w:r w:rsidRPr="00FF3897">
        <w:t xml:space="preserve">(1), 127682. </w:t>
      </w:r>
      <w:hyperlink r:id="rId35" w:tgtFrame="_new" w:history="1">
        <w:r w:rsidRPr="00FF3897">
          <w:rPr>
            <w:color w:val="0000FF"/>
            <w:u w:val="single"/>
          </w:rPr>
          <w:t>https://doi.org/10.1016/j.ijbiomac.2023.127682</w:t>
        </w:r>
      </w:hyperlink>
      <w:r w:rsidRPr="00FF3897">
        <w:t xml:space="preserve"> </w:t>
      </w:r>
    </w:p>
    <w:p w14:paraId="32791781" w14:textId="11B0A4B8" w:rsidR="00FF3897" w:rsidRPr="00FF3897" w:rsidRDefault="00FF3897" w:rsidP="00FF3897">
      <w:pPr>
        <w:ind w:left="540" w:hanging="540"/>
        <w:jc w:val="both"/>
      </w:pPr>
      <w:proofErr w:type="spellStart"/>
      <w:r w:rsidRPr="00FF3897">
        <w:t>Mohibul</w:t>
      </w:r>
      <w:proofErr w:type="spellEnd"/>
      <w:r w:rsidRPr="00FF3897">
        <w:t xml:space="preserve"> Hossen, S., &amp; Islam, R. (2025). Numerical breakdown of contemporary banana production and its prospects in Bangladesh. </w:t>
      </w:r>
      <w:r w:rsidRPr="00FF3897">
        <w:rPr>
          <w:i/>
          <w:iCs/>
        </w:rPr>
        <w:t>Applied Fruit Science, 67</w:t>
      </w:r>
      <w:r w:rsidRPr="00FF3897">
        <w:t xml:space="preserve">(5), 376. </w:t>
      </w:r>
      <w:hyperlink r:id="rId36" w:tgtFrame="_new" w:history="1">
        <w:r w:rsidRPr="00FF3897">
          <w:rPr>
            <w:color w:val="0000FF"/>
            <w:u w:val="single"/>
          </w:rPr>
          <w:t>https://doi.org/10.1007/s10341-025-01610-5</w:t>
        </w:r>
      </w:hyperlink>
      <w:r w:rsidRPr="00FF3897">
        <w:t xml:space="preserve"> </w:t>
      </w:r>
    </w:p>
    <w:p w14:paraId="6A8784C1" w14:textId="5DE442D2" w:rsidR="00FF3897" w:rsidRPr="00FF3897" w:rsidRDefault="00FF3897" w:rsidP="00FF3897">
      <w:pPr>
        <w:ind w:left="540" w:hanging="540"/>
        <w:jc w:val="both"/>
      </w:pPr>
      <w:r w:rsidRPr="00FF3897">
        <w:t xml:space="preserve">Mohamed, H. A., El-Sheikh Aly, M. M., &amp; El-Emary, F. A. (2024). Influence of growth regulator sprays on morphological, physiological, yield, and fruit quality traits of Grande </w:t>
      </w:r>
      <w:proofErr w:type="spellStart"/>
      <w:r w:rsidRPr="00FF3897">
        <w:t>Naine</w:t>
      </w:r>
      <w:proofErr w:type="spellEnd"/>
      <w:r w:rsidRPr="00FF3897">
        <w:t xml:space="preserve"> bananas (</w:t>
      </w:r>
      <w:r w:rsidRPr="00FF3897">
        <w:rPr>
          <w:i/>
          <w:iCs/>
        </w:rPr>
        <w:t xml:space="preserve">Musa </w:t>
      </w:r>
      <w:proofErr w:type="spellStart"/>
      <w:r w:rsidRPr="00FF3897">
        <w:rPr>
          <w:i/>
          <w:iCs/>
        </w:rPr>
        <w:t>cavendishii</w:t>
      </w:r>
      <w:proofErr w:type="spellEnd"/>
      <w:r w:rsidRPr="00FF3897">
        <w:t xml:space="preserve">) under Upper Egypt conditions. </w:t>
      </w:r>
      <w:r w:rsidRPr="00FF3897">
        <w:rPr>
          <w:i/>
          <w:iCs/>
        </w:rPr>
        <w:t>Archives of Agriculture Sciences Journal, 7</w:t>
      </w:r>
      <w:r w:rsidRPr="00FF3897">
        <w:t xml:space="preserve">(2), 187–193. </w:t>
      </w:r>
      <w:hyperlink r:id="rId37" w:tgtFrame="_new" w:history="1">
        <w:r w:rsidRPr="00FF3897">
          <w:rPr>
            <w:color w:val="0000FF"/>
            <w:u w:val="single"/>
          </w:rPr>
          <w:t>https://doi.org/10.21608/aasj.2024.386941</w:t>
        </w:r>
      </w:hyperlink>
      <w:r w:rsidRPr="00FF3897">
        <w:t xml:space="preserve"> </w:t>
      </w:r>
    </w:p>
    <w:p w14:paraId="6BFCD898" w14:textId="434CC8A4" w:rsidR="00FF3897" w:rsidRPr="00FF3897" w:rsidRDefault="00FF3897" w:rsidP="00FF3897">
      <w:pPr>
        <w:ind w:left="540" w:hanging="540"/>
        <w:jc w:val="both"/>
      </w:pPr>
      <w:r w:rsidRPr="00FF3897">
        <w:t xml:space="preserve">Munira, S., Khan, S. A. K. U., Shams, M. I., &amp; Kabir, M. Y. (2025). Potentials of chitin nanofiber for postharvest quality of banana. </w:t>
      </w:r>
      <w:r w:rsidRPr="00FF3897">
        <w:rPr>
          <w:i/>
          <w:iCs/>
        </w:rPr>
        <w:t>Journal of Food Processing and Preservation, 2025</w:t>
      </w:r>
      <w:r w:rsidRPr="00FF3897">
        <w:t xml:space="preserve">(1), 2776934. </w:t>
      </w:r>
      <w:hyperlink r:id="rId38" w:tgtFrame="_new" w:history="1">
        <w:r w:rsidRPr="00FF3897">
          <w:rPr>
            <w:color w:val="0000FF"/>
            <w:u w:val="single"/>
          </w:rPr>
          <w:t>https://doi.org/10.1155/jfpp/2776934</w:t>
        </w:r>
      </w:hyperlink>
      <w:r w:rsidRPr="00FF3897">
        <w:t xml:space="preserve"> </w:t>
      </w:r>
    </w:p>
    <w:p w14:paraId="5E0E426B" w14:textId="03EB6609" w:rsidR="00FF3897" w:rsidRPr="00FF3897" w:rsidRDefault="00FF3897" w:rsidP="00FF3897">
      <w:pPr>
        <w:ind w:left="540" w:hanging="540"/>
        <w:jc w:val="both"/>
      </w:pPr>
      <w:r w:rsidRPr="00FF3897">
        <w:t>Noor, F., Hossain, F., &amp; Ara, U. (2017). Effects of gibberellic acid (GA₃) on growth and yield parameters of French bean (</w:t>
      </w:r>
      <w:r w:rsidRPr="00FF3897">
        <w:rPr>
          <w:i/>
          <w:iCs/>
        </w:rPr>
        <w:t>Phaseolus vulgaris</w:t>
      </w:r>
      <w:r w:rsidRPr="00FF3897">
        <w:t xml:space="preserve"> L.). </w:t>
      </w:r>
      <w:r w:rsidRPr="00FF3897">
        <w:rPr>
          <w:i/>
          <w:iCs/>
        </w:rPr>
        <w:t>Journal of the Asiatic Society of Bangladesh, Science, 43</w:t>
      </w:r>
      <w:r w:rsidRPr="00FF3897">
        <w:t xml:space="preserve">(1), 49–60. https://doi.org/10.3329/jasbs.v43i1.46243 </w:t>
      </w:r>
    </w:p>
    <w:p w14:paraId="6416DECE" w14:textId="5066D6D3" w:rsidR="00FF3897" w:rsidRPr="00FF3897" w:rsidRDefault="00FF3897" w:rsidP="00FF3897">
      <w:pPr>
        <w:ind w:left="540" w:hanging="540"/>
        <w:jc w:val="both"/>
      </w:pPr>
      <w:proofErr w:type="spellStart"/>
      <w:r w:rsidRPr="00FF3897">
        <w:t>Nugrahapraja</w:t>
      </w:r>
      <w:proofErr w:type="spellEnd"/>
      <w:r w:rsidRPr="00FF3897">
        <w:t xml:space="preserve">, H., Syam, F., </w:t>
      </w:r>
      <w:proofErr w:type="spellStart"/>
      <w:r w:rsidRPr="00FF3897">
        <w:t>Momole</w:t>
      </w:r>
      <w:proofErr w:type="spellEnd"/>
      <w:r w:rsidRPr="00FF3897">
        <w:t xml:space="preserve">, J., </w:t>
      </w:r>
      <w:proofErr w:type="spellStart"/>
      <w:r w:rsidRPr="00FF3897">
        <w:t>Meitha</w:t>
      </w:r>
      <w:proofErr w:type="spellEnd"/>
      <w:r w:rsidRPr="00FF3897">
        <w:t xml:space="preserve">, K., Wicaksono, A., </w:t>
      </w:r>
      <w:proofErr w:type="spellStart"/>
      <w:r w:rsidRPr="00FF3897">
        <w:t>Moeis</w:t>
      </w:r>
      <w:proofErr w:type="spellEnd"/>
      <w:r w:rsidRPr="00FF3897">
        <w:t xml:space="preserve">, M. R., </w:t>
      </w:r>
      <w:proofErr w:type="spellStart"/>
      <w:r w:rsidRPr="00FF3897">
        <w:t>Radjasa</w:t>
      </w:r>
      <w:proofErr w:type="spellEnd"/>
      <w:r w:rsidRPr="00FF3897">
        <w:t xml:space="preserve">, O. K., &amp; </w:t>
      </w:r>
      <w:proofErr w:type="spellStart"/>
      <w:r w:rsidRPr="00FF3897">
        <w:t>Dwivany</w:t>
      </w:r>
      <w:proofErr w:type="spellEnd"/>
      <w:r w:rsidRPr="00FF3897">
        <w:t xml:space="preserve">, F. M. (2024). Response of the microbial community in unripe and ripe bananas with chitosan treatment to delay fruit ripening. </w:t>
      </w:r>
      <w:r w:rsidRPr="00FF3897">
        <w:rPr>
          <w:i/>
          <w:iCs/>
        </w:rPr>
        <w:t>Agricultural Research</w:t>
      </w:r>
      <w:r w:rsidRPr="00FF3897">
        <w:t xml:space="preserve">. Advance online publication. </w:t>
      </w:r>
      <w:hyperlink r:id="rId39" w:tgtFrame="_new" w:history="1">
        <w:r w:rsidRPr="00FF3897">
          <w:rPr>
            <w:color w:val="0000FF"/>
            <w:u w:val="single"/>
          </w:rPr>
          <w:t>https://doi.org/10.1007/s40003-024-00817-4</w:t>
        </w:r>
      </w:hyperlink>
      <w:r w:rsidRPr="00FF3897">
        <w:t xml:space="preserve"> </w:t>
      </w:r>
    </w:p>
    <w:p w14:paraId="5C6E802B" w14:textId="4CDAB5BD" w:rsidR="00FF3897" w:rsidRPr="00FF3897" w:rsidRDefault="00FF3897" w:rsidP="00FF3897">
      <w:pPr>
        <w:ind w:left="540" w:hanging="540"/>
        <w:jc w:val="both"/>
      </w:pPr>
      <w:proofErr w:type="spellStart"/>
      <w:r w:rsidRPr="00FF3897">
        <w:t>Oleiwi</w:t>
      </w:r>
      <w:proofErr w:type="spellEnd"/>
      <w:r w:rsidRPr="00FF3897">
        <w:t>, H. Q., &amp; Al-</w:t>
      </w:r>
      <w:proofErr w:type="spellStart"/>
      <w:r w:rsidRPr="00FF3897">
        <w:t>Falahy</w:t>
      </w:r>
      <w:proofErr w:type="spellEnd"/>
      <w:r w:rsidRPr="00FF3897">
        <w:t xml:space="preserve">, T. H. (2023). Influence of foliar spray with urea and GA₃ on some vegetative growth characteristics of mandarin saplings cv. Clementine. </w:t>
      </w:r>
      <w:proofErr w:type="spellStart"/>
      <w:r w:rsidRPr="00FF3897">
        <w:rPr>
          <w:i/>
          <w:iCs/>
        </w:rPr>
        <w:t>Bionatura</w:t>
      </w:r>
      <w:proofErr w:type="spellEnd"/>
      <w:r w:rsidRPr="00FF3897">
        <w:rPr>
          <w:i/>
          <w:iCs/>
        </w:rPr>
        <w:t>, 8</w:t>
      </w:r>
      <w:r w:rsidRPr="00FF3897">
        <w:t xml:space="preserve">(4), 63. </w:t>
      </w:r>
      <w:hyperlink r:id="rId40" w:tgtFrame="_new" w:history="1">
        <w:r w:rsidRPr="00FF3897">
          <w:rPr>
            <w:color w:val="0000FF"/>
            <w:u w:val="single"/>
          </w:rPr>
          <w:t>https://doi.org/10.21931/RB/CSS/2023.08.04.08</w:t>
        </w:r>
      </w:hyperlink>
      <w:r w:rsidRPr="00FF3897">
        <w:t xml:space="preserve"> </w:t>
      </w:r>
    </w:p>
    <w:p w14:paraId="1637CAB7" w14:textId="0F13CB36" w:rsidR="00FF3897" w:rsidRPr="00FF3897" w:rsidRDefault="00FF3897" w:rsidP="00FF3897">
      <w:pPr>
        <w:ind w:left="540" w:hanging="540"/>
        <w:jc w:val="both"/>
      </w:pPr>
      <w:r w:rsidRPr="00FF3897">
        <w:t xml:space="preserve">Pavani, K., Susila, T., Prasad, M. S., &amp; Kumar, Y. S. (2025). Impact of </w:t>
      </w:r>
      <w:proofErr w:type="spellStart"/>
      <w:r w:rsidRPr="00FF3897">
        <w:t>dehanding</w:t>
      </w:r>
      <w:proofErr w:type="spellEnd"/>
      <w:r w:rsidRPr="00FF3897">
        <w:t xml:space="preserve"> and growth regulators spray on yield characteristics of banana cv. Grand </w:t>
      </w:r>
      <w:proofErr w:type="spellStart"/>
      <w:r w:rsidRPr="00FF3897">
        <w:t>Naine</w:t>
      </w:r>
      <w:proofErr w:type="spellEnd"/>
      <w:r w:rsidRPr="00FF3897">
        <w:t xml:space="preserve">. </w:t>
      </w:r>
      <w:r w:rsidRPr="00FF3897">
        <w:rPr>
          <w:i/>
          <w:iCs/>
        </w:rPr>
        <w:t>International Journal of Bio-resource and Stress Management, 16</w:t>
      </w:r>
      <w:r w:rsidRPr="00FF3897">
        <w:t xml:space="preserve">(10), 1–7. </w:t>
      </w:r>
      <w:hyperlink r:id="rId41" w:tgtFrame="_new" w:history="1">
        <w:r w:rsidRPr="00FF3897">
          <w:rPr>
            <w:color w:val="0000FF"/>
            <w:u w:val="single"/>
          </w:rPr>
          <w:t>https://doi.org/10.23910/1.2025.6310</w:t>
        </w:r>
      </w:hyperlink>
      <w:r w:rsidRPr="00FF3897">
        <w:t xml:space="preserve"> </w:t>
      </w:r>
    </w:p>
    <w:p w14:paraId="756880D4" w14:textId="172A7D20" w:rsidR="00FF3897" w:rsidRPr="00FF3897" w:rsidRDefault="00FF3897" w:rsidP="00FF3897">
      <w:pPr>
        <w:ind w:left="540" w:hanging="540"/>
        <w:jc w:val="both"/>
      </w:pPr>
      <w:r w:rsidRPr="00FF3897">
        <w:lastRenderedPageBreak/>
        <w:t xml:space="preserve">Reyes-Pérez, J. J., Llerena-Ramos, L. T., </w:t>
      </w:r>
      <w:proofErr w:type="spellStart"/>
      <w:r w:rsidRPr="00FF3897">
        <w:t>Tezara</w:t>
      </w:r>
      <w:proofErr w:type="spellEnd"/>
      <w:r w:rsidRPr="00FF3897">
        <w:t xml:space="preserve">, W., Reynel, V., Hernández-Montiel, L. G., &amp; Juárez-Maldonado, A. (2025). Chitosan application improves the growth and physiological parameters of tomato crops. </w:t>
      </w:r>
      <w:proofErr w:type="spellStart"/>
      <w:r w:rsidRPr="00FF3897">
        <w:rPr>
          <w:i/>
          <w:iCs/>
        </w:rPr>
        <w:t>Horticulturae</w:t>
      </w:r>
      <w:proofErr w:type="spellEnd"/>
      <w:r w:rsidRPr="00FF3897">
        <w:rPr>
          <w:i/>
          <w:iCs/>
        </w:rPr>
        <w:t>, 11</w:t>
      </w:r>
      <w:r w:rsidRPr="00FF3897">
        <w:t xml:space="preserve">(8), 878. </w:t>
      </w:r>
      <w:hyperlink r:id="rId42" w:tgtFrame="_new" w:history="1">
        <w:r w:rsidRPr="00FF3897">
          <w:rPr>
            <w:color w:val="0000FF"/>
            <w:u w:val="single"/>
          </w:rPr>
          <w:t>https://doi.org/10.3390/horticulturae11080878</w:t>
        </w:r>
      </w:hyperlink>
      <w:r w:rsidRPr="00FF3897">
        <w:t xml:space="preserve"> </w:t>
      </w:r>
    </w:p>
    <w:p w14:paraId="4523479E" w14:textId="7D7A9749" w:rsidR="00FF3897" w:rsidRPr="00FF3897" w:rsidRDefault="00FF3897" w:rsidP="00FF3897">
      <w:pPr>
        <w:ind w:left="540" w:hanging="540"/>
        <w:jc w:val="both"/>
      </w:pPr>
      <w:r w:rsidRPr="00FF3897">
        <w:t xml:space="preserve">Pradeep, M., </w:t>
      </w:r>
      <w:proofErr w:type="spellStart"/>
      <w:r w:rsidRPr="00FF3897">
        <w:t>Srivignesh</w:t>
      </w:r>
      <w:proofErr w:type="spellEnd"/>
      <w:r w:rsidRPr="00FF3897">
        <w:t xml:space="preserve">, S., Krishna, K. R., Kathiresan, S., Pravin, I. A., &amp; Kumar, A. R. (2024). Enhancing yield and economics of banana cultivar </w:t>
      </w:r>
      <w:proofErr w:type="spellStart"/>
      <w:r w:rsidRPr="00FF3897">
        <w:t>Rasthali</w:t>
      </w:r>
      <w:proofErr w:type="spellEnd"/>
      <w:r w:rsidRPr="00FF3897">
        <w:t xml:space="preserve"> (Silk-AAB) through bunch spray of growth regulators and nutrients. </w:t>
      </w:r>
      <w:r w:rsidRPr="00FF3897">
        <w:rPr>
          <w:i/>
          <w:iCs/>
        </w:rPr>
        <w:t>Journal of Environmental Biology, 45</w:t>
      </w:r>
      <w:r w:rsidRPr="00FF3897">
        <w:t xml:space="preserve">(6), 756–762. </w:t>
      </w:r>
      <w:hyperlink r:id="rId43" w:tgtFrame="_new" w:history="1">
        <w:r w:rsidRPr="00FF3897">
          <w:rPr>
            <w:color w:val="0000FF"/>
            <w:u w:val="single"/>
          </w:rPr>
          <w:t>https://doi.org/10.22438/jeb/45/6/MRN-5342</w:t>
        </w:r>
      </w:hyperlink>
      <w:r w:rsidRPr="00FF3897">
        <w:t xml:space="preserve"> </w:t>
      </w:r>
    </w:p>
    <w:p w14:paraId="757F42F3" w14:textId="5646B63A" w:rsidR="00FF3897" w:rsidRPr="00FF3897" w:rsidRDefault="00FF3897" w:rsidP="00FF3897">
      <w:pPr>
        <w:ind w:left="540" w:hanging="540"/>
        <w:jc w:val="both"/>
      </w:pPr>
      <w:r w:rsidRPr="00FF3897">
        <w:rPr>
          <w:lang w:val="nl-BE"/>
        </w:rPr>
        <w:t xml:space="preserve">Pratama, J., &amp; Anggarani, M. A. (2025). </w:t>
      </w:r>
      <w:r w:rsidRPr="00FF3897">
        <w:t xml:space="preserve">Total phenolics and potential antioxidant activity in natural materials: Banana stems and bean sprouts as growth regulators for </w:t>
      </w:r>
      <w:proofErr w:type="spellStart"/>
      <w:r w:rsidRPr="00FF3897">
        <w:t>chilli</w:t>
      </w:r>
      <w:proofErr w:type="spellEnd"/>
      <w:r w:rsidRPr="00FF3897">
        <w:t xml:space="preserve"> peppers (</w:t>
      </w:r>
      <w:r w:rsidRPr="00FF3897">
        <w:rPr>
          <w:i/>
          <w:iCs/>
        </w:rPr>
        <w:t>Capsicum frutescens</w:t>
      </w:r>
      <w:r w:rsidRPr="00FF3897">
        <w:t xml:space="preserve"> L.). </w:t>
      </w:r>
      <w:proofErr w:type="spellStart"/>
      <w:r w:rsidRPr="00FF3897">
        <w:rPr>
          <w:i/>
          <w:iCs/>
        </w:rPr>
        <w:t>Jurnal</w:t>
      </w:r>
      <w:proofErr w:type="spellEnd"/>
      <w:r w:rsidRPr="00FF3897">
        <w:rPr>
          <w:i/>
          <w:iCs/>
        </w:rPr>
        <w:t xml:space="preserve"> </w:t>
      </w:r>
      <w:proofErr w:type="spellStart"/>
      <w:r w:rsidRPr="00FF3897">
        <w:rPr>
          <w:i/>
          <w:iCs/>
        </w:rPr>
        <w:t>Pijar</w:t>
      </w:r>
      <w:proofErr w:type="spellEnd"/>
      <w:r w:rsidRPr="00FF3897">
        <w:rPr>
          <w:i/>
          <w:iCs/>
        </w:rPr>
        <w:t xml:space="preserve"> Mipa, 20</w:t>
      </w:r>
      <w:r w:rsidRPr="00FF3897">
        <w:t xml:space="preserve">(5), 952–957. </w:t>
      </w:r>
      <w:hyperlink r:id="rId44" w:tgtFrame="_new" w:history="1">
        <w:r w:rsidRPr="00FF3897">
          <w:rPr>
            <w:color w:val="0000FF"/>
            <w:u w:val="single"/>
          </w:rPr>
          <w:t>https://doi.org/10.29303/jpm.v20i5.9548</w:t>
        </w:r>
      </w:hyperlink>
      <w:r w:rsidRPr="00FF3897">
        <w:t xml:space="preserve"> </w:t>
      </w:r>
    </w:p>
    <w:p w14:paraId="2E385A37" w14:textId="64B00C0B" w:rsidR="00FF3897" w:rsidRPr="00FF3897" w:rsidRDefault="00FF3897" w:rsidP="00FF3897">
      <w:pPr>
        <w:ind w:left="540" w:hanging="540"/>
        <w:jc w:val="both"/>
      </w:pPr>
      <w:proofErr w:type="spellStart"/>
      <w:r w:rsidRPr="00FF3897">
        <w:t>Purseth</w:t>
      </w:r>
      <w:proofErr w:type="spellEnd"/>
      <w:r w:rsidRPr="00FF3897">
        <w:t>, K., &amp; Topno, S. E. (2023). Optimization of suckers and application of phytohormones for better growth, yield and quality of banana (</w:t>
      </w:r>
      <w:r w:rsidRPr="00FF3897">
        <w:rPr>
          <w:i/>
          <w:iCs/>
        </w:rPr>
        <w:t>Musa paradisiaca</w:t>
      </w:r>
      <w:r w:rsidRPr="00FF3897">
        <w:t xml:space="preserve"> L.) cv. </w:t>
      </w:r>
      <w:proofErr w:type="spellStart"/>
      <w:r w:rsidRPr="00FF3897">
        <w:t>Udhayam</w:t>
      </w:r>
      <w:proofErr w:type="spellEnd"/>
      <w:r w:rsidRPr="00FF3897">
        <w:t xml:space="preserve">. In </w:t>
      </w:r>
      <w:r w:rsidRPr="00FF3897">
        <w:rPr>
          <w:i/>
          <w:iCs/>
        </w:rPr>
        <w:t>Novel Perspectives of Geography, Environment and Earth Sciences</w:t>
      </w:r>
      <w:r w:rsidRPr="00FF3897">
        <w:t xml:space="preserve"> (Vol. 5, pp. 1–17). </w:t>
      </w:r>
      <w:hyperlink r:id="rId45" w:tgtFrame="_new" w:history="1">
        <w:r w:rsidRPr="00FF3897">
          <w:rPr>
            <w:color w:val="0000FF"/>
            <w:u w:val="single"/>
          </w:rPr>
          <w:t>https://doi.org/10.9734/bpi/npgees/v5/17702D</w:t>
        </w:r>
      </w:hyperlink>
      <w:r w:rsidRPr="00FF3897">
        <w:t xml:space="preserve"> </w:t>
      </w:r>
    </w:p>
    <w:p w14:paraId="42E9C639" w14:textId="21C1BF0C" w:rsidR="00FF3897" w:rsidRPr="00FF3897" w:rsidRDefault="00FF3897" w:rsidP="00FF3897">
      <w:pPr>
        <w:ind w:left="540" w:hanging="540"/>
        <w:jc w:val="both"/>
      </w:pPr>
      <w:r w:rsidRPr="00FF3897">
        <w:t xml:space="preserve">Rajendra, B., Bhaskar, J., </w:t>
      </w:r>
      <w:proofErr w:type="spellStart"/>
      <w:r w:rsidRPr="00FF3897">
        <w:t>Sethunath</w:t>
      </w:r>
      <w:proofErr w:type="spellEnd"/>
      <w:r w:rsidRPr="00FF3897">
        <w:t xml:space="preserve">, K., Naidu, S. A., Manohar, A., &amp; Patra, S. (2024). Scientific study of </w:t>
      </w:r>
      <w:proofErr w:type="spellStart"/>
      <w:r w:rsidRPr="00FF3897">
        <w:t>brassinosteroids</w:t>
      </w:r>
      <w:proofErr w:type="spellEnd"/>
      <w:r w:rsidRPr="00FF3897">
        <w:t xml:space="preserve"> on production of fruit crops: A review. </w:t>
      </w:r>
      <w:r w:rsidRPr="00FF3897">
        <w:rPr>
          <w:i/>
          <w:iCs/>
        </w:rPr>
        <w:t>International Journal of Plant &amp; Soil Science, 36</w:t>
      </w:r>
      <w:r w:rsidRPr="00FF3897">
        <w:t xml:space="preserve">(6), 288–303. </w:t>
      </w:r>
      <w:hyperlink r:id="rId46" w:tgtFrame="_new" w:history="1">
        <w:r w:rsidRPr="00FF3897">
          <w:rPr>
            <w:color w:val="0000FF"/>
            <w:u w:val="single"/>
          </w:rPr>
          <w:t>https://doi.org/10.9734/IJPSS/2024/v36i64632</w:t>
        </w:r>
      </w:hyperlink>
      <w:r w:rsidRPr="00FF3897">
        <w:t xml:space="preserve"> </w:t>
      </w:r>
    </w:p>
    <w:p w14:paraId="1D66552C" w14:textId="39F66B43" w:rsidR="00FF3897" w:rsidRPr="00FF3897" w:rsidRDefault="00FF3897" w:rsidP="00FF3897">
      <w:pPr>
        <w:ind w:left="540" w:hanging="540"/>
        <w:jc w:val="both"/>
      </w:pPr>
      <w:r w:rsidRPr="00FF3897">
        <w:t xml:space="preserve">Romanazzi, G., &amp; Moumni, M. (2022). Chitosan and other edible coatings to extend shelf life, manage postharvest decay, and reduce loss and waste of fresh fruits and vegetables. </w:t>
      </w:r>
      <w:r w:rsidRPr="00FF3897">
        <w:rPr>
          <w:i/>
          <w:iCs/>
        </w:rPr>
        <w:t>Current Opinion in Biotechnology, 78</w:t>
      </w:r>
      <w:r w:rsidRPr="00FF3897">
        <w:t xml:space="preserve">, 102834. </w:t>
      </w:r>
      <w:hyperlink r:id="rId47" w:tgtFrame="_new" w:history="1">
        <w:r w:rsidRPr="00FF3897">
          <w:rPr>
            <w:color w:val="0000FF"/>
            <w:u w:val="single"/>
          </w:rPr>
          <w:t>https://doi.org/10.1016/j.copbio.2022.102834</w:t>
        </w:r>
      </w:hyperlink>
      <w:r w:rsidRPr="00FF3897">
        <w:t xml:space="preserve"> </w:t>
      </w:r>
    </w:p>
    <w:p w14:paraId="79DE3200" w14:textId="105C5309" w:rsidR="00FF3897" w:rsidRPr="00FF3897" w:rsidRDefault="00FF3897" w:rsidP="00FF3897">
      <w:pPr>
        <w:ind w:left="540" w:hanging="540"/>
        <w:jc w:val="both"/>
      </w:pPr>
      <w:r w:rsidRPr="00FF3897">
        <w:t xml:space="preserve">Rodríguez-Jurado, S., Guevara-González, R. G., Aguirre-Becerra, H., Esquivel-Escalante, K., &amp; Feregrino-Pérez, A. A. (2025). Nanoparticles as potential </w:t>
      </w:r>
      <w:proofErr w:type="spellStart"/>
      <w:r w:rsidRPr="00FF3897">
        <w:t>eustressors</w:t>
      </w:r>
      <w:proofErr w:type="spellEnd"/>
      <w:r w:rsidRPr="00FF3897">
        <w:t xml:space="preserve"> in plants. </w:t>
      </w:r>
      <w:r w:rsidRPr="00FF3897">
        <w:rPr>
          <w:i/>
          <w:iCs/>
        </w:rPr>
        <w:t>Agronomy, 15</w:t>
      </w:r>
      <w:r w:rsidRPr="00FF3897">
        <w:t xml:space="preserve">(9), 2186. </w:t>
      </w:r>
      <w:hyperlink r:id="rId48" w:tgtFrame="_new" w:history="1">
        <w:r w:rsidRPr="00FF3897">
          <w:rPr>
            <w:color w:val="0000FF"/>
            <w:u w:val="single"/>
          </w:rPr>
          <w:t>https://doi.org/10.3390/agronomy15092186</w:t>
        </w:r>
      </w:hyperlink>
      <w:r w:rsidRPr="00FF3897">
        <w:t xml:space="preserve"> </w:t>
      </w:r>
    </w:p>
    <w:p w14:paraId="5C3132F8" w14:textId="1B59581C" w:rsidR="00FF3897" w:rsidRPr="00FF3897" w:rsidRDefault="00FF3897" w:rsidP="00FF3897">
      <w:pPr>
        <w:ind w:left="540" w:hanging="540"/>
        <w:jc w:val="both"/>
      </w:pPr>
      <w:r w:rsidRPr="00FF3897">
        <w:t xml:space="preserve">Regmi, P., </w:t>
      </w:r>
      <w:proofErr w:type="spellStart"/>
      <w:r w:rsidRPr="00FF3897">
        <w:t>Bagale</w:t>
      </w:r>
      <w:proofErr w:type="spellEnd"/>
      <w:r w:rsidRPr="00FF3897">
        <w:t xml:space="preserve">, P., Pokhrel, S., &amp; Subedi, D. (2024). Review on techniques to maintain quality and post-harvest shelf-life of banana fruits. </w:t>
      </w:r>
      <w:r w:rsidRPr="00FF3897">
        <w:rPr>
          <w:i/>
          <w:iCs/>
        </w:rPr>
        <w:t>Tropical Agrobiodiversity, 5</w:t>
      </w:r>
      <w:r w:rsidRPr="00FF3897">
        <w:t xml:space="preserve">(1), 26–29. </w:t>
      </w:r>
      <w:hyperlink r:id="rId49" w:tgtFrame="_new" w:history="1">
        <w:r w:rsidRPr="00FF3897">
          <w:rPr>
            <w:color w:val="0000FF"/>
            <w:u w:val="single"/>
          </w:rPr>
          <w:t>https://doi.org/10.26480/trab.01.2024.26.29</w:t>
        </w:r>
      </w:hyperlink>
      <w:r w:rsidRPr="00FF3897">
        <w:t xml:space="preserve"> </w:t>
      </w:r>
    </w:p>
    <w:p w14:paraId="667D2F6E" w14:textId="73E2771C" w:rsidR="00FF3897" w:rsidRPr="00FF3897" w:rsidRDefault="00FF3897" w:rsidP="00FF3897">
      <w:pPr>
        <w:ind w:left="540" w:hanging="540"/>
        <w:jc w:val="both"/>
      </w:pPr>
      <w:r w:rsidRPr="00FF3897">
        <w:t>Sajid, M., Basit, A., Ullah, Z., Shah, S. T., Ullah, I., Mohamed, H. I., &amp; Ullah, I. (2020). Chitosan-based foliar application modulated the yield and biochemical attributes of peach (</w:t>
      </w:r>
      <w:r w:rsidRPr="00FF3897">
        <w:rPr>
          <w:i/>
          <w:iCs/>
        </w:rPr>
        <w:t>Prunus persica</w:t>
      </w:r>
      <w:r w:rsidRPr="00FF3897">
        <w:t xml:space="preserve"> L.) cv. Early Grand. </w:t>
      </w:r>
      <w:r w:rsidRPr="00FF3897">
        <w:rPr>
          <w:i/>
          <w:iCs/>
        </w:rPr>
        <w:t>Bulletin of the National Research Centre, 44</w:t>
      </w:r>
      <w:r w:rsidRPr="00FF3897">
        <w:t xml:space="preserve">(1), 150. </w:t>
      </w:r>
      <w:hyperlink r:id="rId50" w:tgtFrame="_new" w:history="1">
        <w:r w:rsidRPr="00FF3897">
          <w:rPr>
            <w:color w:val="0000FF"/>
            <w:u w:val="single"/>
          </w:rPr>
          <w:t>https://doi.org/10.1186/s42269-020-00405-w</w:t>
        </w:r>
      </w:hyperlink>
      <w:r w:rsidRPr="00FF3897">
        <w:t xml:space="preserve"> </w:t>
      </w:r>
    </w:p>
    <w:p w14:paraId="6B9178E8" w14:textId="22814234" w:rsidR="00FF3897" w:rsidRPr="00FF3897" w:rsidRDefault="00FF3897" w:rsidP="00FF3897">
      <w:pPr>
        <w:ind w:left="540" w:hanging="540"/>
        <w:jc w:val="both"/>
      </w:pPr>
      <w:r w:rsidRPr="00FF3897">
        <w:t xml:space="preserve">Sarkar, A., </w:t>
      </w:r>
      <w:proofErr w:type="spellStart"/>
      <w:r w:rsidRPr="00FF3897">
        <w:t>Pongen</w:t>
      </w:r>
      <w:proofErr w:type="spellEnd"/>
      <w:r w:rsidRPr="00FF3897">
        <w:t xml:space="preserve">, A., Sema, A., &amp; </w:t>
      </w:r>
      <w:proofErr w:type="spellStart"/>
      <w:r w:rsidRPr="00FF3897">
        <w:t>Kanaujia</w:t>
      </w:r>
      <w:proofErr w:type="spellEnd"/>
      <w:r w:rsidRPr="00FF3897">
        <w:t>, S. P. (2022). Influence of foliar application of nutrients and growth regulators on yield and quality in pineapple (</w:t>
      </w:r>
      <w:r w:rsidRPr="00FF3897">
        <w:rPr>
          <w:i/>
          <w:iCs/>
        </w:rPr>
        <w:t>Ananas comosus</w:t>
      </w:r>
      <w:r w:rsidRPr="00FF3897">
        <w:t xml:space="preserve"> L.). </w:t>
      </w:r>
      <w:r w:rsidRPr="00FF3897">
        <w:rPr>
          <w:i/>
          <w:iCs/>
        </w:rPr>
        <w:t>Annals of Plant and Soil Research, 24</w:t>
      </w:r>
      <w:r w:rsidRPr="00FF3897">
        <w:t xml:space="preserve">(2), 300–304. </w:t>
      </w:r>
      <w:hyperlink r:id="rId51" w:tgtFrame="_new" w:history="1">
        <w:r w:rsidRPr="00FF3897">
          <w:rPr>
            <w:color w:val="0000FF"/>
            <w:u w:val="single"/>
          </w:rPr>
          <w:t>https://doi.org/10.47815/apsr.2022.10165</w:t>
        </w:r>
      </w:hyperlink>
      <w:r w:rsidRPr="00FF3897">
        <w:t xml:space="preserve"> </w:t>
      </w:r>
    </w:p>
    <w:p w14:paraId="46D85657" w14:textId="048817B3" w:rsidR="00FF3897" w:rsidRPr="00FF3897" w:rsidRDefault="00FF3897" w:rsidP="00FF3897">
      <w:pPr>
        <w:ind w:left="540" w:hanging="540"/>
        <w:jc w:val="both"/>
      </w:pPr>
      <w:proofErr w:type="spellStart"/>
      <w:r w:rsidRPr="00FF3897">
        <w:t>Sardos</w:t>
      </w:r>
      <w:proofErr w:type="spellEnd"/>
      <w:r w:rsidRPr="00FF3897">
        <w:t xml:space="preserve">, J., Cenci, A., Martin, G., Breton, C., </w:t>
      </w:r>
      <w:proofErr w:type="spellStart"/>
      <w:r w:rsidRPr="00FF3897">
        <w:t>Guignon</w:t>
      </w:r>
      <w:proofErr w:type="spellEnd"/>
      <w:r w:rsidRPr="00FF3897">
        <w:t xml:space="preserve">, V., Van den Houwe, I., Mendez, Y., Sachter-Smith, G. L., Chase, R., Ruas, M., &amp; </w:t>
      </w:r>
      <w:proofErr w:type="spellStart"/>
      <w:r w:rsidRPr="00FF3897">
        <w:t>Rouard</w:t>
      </w:r>
      <w:proofErr w:type="spellEnd"/>
      <w:r w:rsidRPr="00FF3897">
        <w:t xml:space="preserve">, M. (2025). Painting the diversity of a world’s favorite fruit: A </w:t>
      </w:r>
      <w:r w:rsidRPr="00FF3897">
        <w:lastRenderedPageBreak/>
        <w:t xml:space="preserve">next generation catalog of cultivated bananas. </w:t>
      </w:r>
      <w:r w:rsidRPr="00FF3897">
        <w:rPr>
          <w:i/>
          <w:iCs/>
        </w:rPr>
        <w:t>Plants, People, Planet, 7</w:t>
      </w:r>
      <w:r w:rsidRPr="00FF3897">
        <w:t xml:space="preserve">(1), 263–283. </w:t>
      </w:r>
      <w:hyperlink r:id="rId52" w:tgtFrame="_new" w:history="1">
        <w:r w:rsidRPr="00FF3897">
          <w:rPr>
            <w:color w:val="0000FF"/>
            <w:u w:val="single"/>
          </w:rPr>
          <w:t>https://doi.org/10.1002/ppp3.10581</w:t>
        </w:r>
      </w:hyperlink>
      <w:r w:rsidRPr="00FF3897">
        <w:t xml:space="preserve"> </w:t>
      </w:r>
    </w:p>
    <w:p w14:paraId="74751D65" w14:textId="5FDBE81F" w:rsidR="00FF3897" w:rsidRPr="00FF3897" w:rsidRDefault="00FF3897" w:rsidP="00FF3897">
      <w:pPr>
        <w:ind w:left="540" w:hanging="540"/>
        <w:jc w:val="both"/>
      </w:pPr>
      <w:r w:rsidRPr="00FF3897">
        <w:t xml:space="preserve">Shrestha, S., Bhattarai, S., Tamang, P., &amp; </w:t>
      </w:r>
      <w:proofErr w:type="spellStart"/>
      <w:r w:rsidRPr="00FF3897">
        <w:t>Ranabhat</w:t>
      </w:r>
      <w:proofErr w:type="spellEnd"/>
      <w:r w:rsidRPr="00FF3897">
        <w:t xml:space="preserve">, A. (2023). Effect of bunch feeding on yield parameters of banana cv. Grand </w:t>
      </w:r>
      <w:proofErr w:type="spellStart"/>
      <w:r w:rsidRPr="00FF3897">
        <w:t>Naine</w:t>
      </w:r>
      <w:proofErr w:type="spellEnd"/>
      <w:r w:rsidRPr="00FF3897">
        <w:t xml:space="preserve"> in </w:t>
      </w:r>
      <w:proofErr w:type="spellStart"/>
      <w:r w:rsidRPr="00FF3897">
        <w:t>Ratnanagar</w:t>
      </w:r>
      <w:proofErr w:type="spellEnd"/>
      <w:r w:rsidRPr="00FF3897">
        <w:t xml:space="preserve">, Chitwan, Nepal. </w:t>
      </w:r>
      <w:r w:rsidRPr="00FF3897">
        <w:rPr>
          <w:i/>
          <w:iCs/>
        </w:rPr>
        <w:t>International Journal of Applied Sciences and Biotechnology, 11</w:t>
      </w:r>
      <w:r w:rsidRPr="00FF3897">
        <w:t xml:space="preserve">(1), 25–29. </w:t>
      </w:r>
      <w:hyperlink r:id="rId53" w:tgtFrame="_new" w:history="1">
        <w:r w:rsidRPr="00FF3897">
          <w:rPr>
            <w:color w:val="0000FF"/>
            <w:u w:val="single"/>
          </w:rPr>
          <w:t>https://doi.org/10.3126/ijasbt.v11i1.53709</w:t>
        </w:r>
      </w:hyperlink>
      <w:r w:rsidRPr="00FF3897">
        <w:t xml:space="preserve"> </w:t>
      </w:r>
    </w:p>
    <w:p w14:paraId="4BF5AB12" w14:textId="1866F999" w:rsidR="00FF3897" w:rsidRPr="00FF3897" w:rsidRDefault="00FF3897" w:rsidP="00FF3897">
      <w:pPr>
        <w:ind w:left="540" w:hanging="540"/>
        <w:jc w:val="both"/>
      </w:pPr>
      <w:r w:rsidRPr="00FF3897">
        <w:t xml:space="preserve">Singleton, V. L., </w:t>
      </w:r>
      <w:proofErr w:type="spellStart"/>
      <w:r w:rsidRPr="00FF3897">
        <w:t>Orthofer</w:t>
      </w:r>
      <w:proofErr w:type="spellEnd"/>
      <w:r w:rsidRPr="00FF3897">
        <w:t xml:space="preserve">, R., &amp; </w:t>
      </w:r>
      <w:proofErr w:type="spellStart"/>
      <w:r w:rsidRPr="00FF3897">
        <w:t>Lamuela-Raventós</w:t>
      </w:r>
      <w:proofErr w:type="spellEnd"/>
      <w:r w:rsidRPr="00FF3897">
        <w:t>, R. M. (1999). Analysis of total phenols and other oxidation substrates and antioxidants by means of Folin–</w:t>
      </w:r>
      <w:proofErr w:type="spellStart"/>
      <w:r w:rsidRPr="00FF3897">
        <w:t>Ciocalteu</w:t>
      </w:r>
      <w:proofErr w:type="spellEnd"/>
      <w:r w:rsidRPr="00FF3897">
        <w:t xml:space="preserve"> reagent. </w:t>
      </w:r>
      <w:r w:rsidRPr="00FF3897">
        <w:rPr>
          <w:i/>
          <w:iCs/>
        </w:rPr>
        <w:t>Methods in Enzymology, 299</w:t>
      </w:r>
      <w:r w:rsidRPr="00FF3897">
        <w:t xml:space="preserve">, 152–178. </w:t>
      </w:r>
      <w:hyperlink r:id="rId54" w:tgtFrame="_new" w:history="1">
        <w:r w:rsidRPr="00FF3897">
          <w:rPr>
            <w:color w:val="0000FF"/>
            <w:u w:val="single"/>
          </w:rPr>
          <w:t>https://doi.org/10.1016/S0076-6879(99)99017-1</w:t>
        </w:r>
      </w:hyperlink>
      <w:r w:rsidRPr="00FF3897">
        <w:t xml:space="preserve"> </w:t>
      </w:r>
    </w:p>
    <w:p w14:paraId="2AB0A34A" w14:textId="008AF523" w:rsidR="00FF3897" w:rsidRPr="00FF3897" w:rsidRDefault="00FF3897" w:rsidP="00FF3897">
      <w:pPr>
        <w:ind w:left="540" w:hanging="540"/>
        <w:jc w:val="both"/>
      </w:pPr>
      <w:r w:rsidRPr="00FF3897">
        <w:t xml:space="preserve">Talat, H., Shafqat, W., Qureshi, M. A., Sharif, N., Raza, M. K., Ud Din, S., Ikram, S., &amp; </w:t>
      </w:r>
      <w:proofErr w:type="spellStart"/>
      <w:r w:rsidRPr="00FF3897">
        <w:t>Jaskani</w:t>
      </w:r>
      <w:proofErr w:type="spellEnd"/>
      <w:r w:rsidRPr="00FF3897">
        <w:t xml:space="preserve">, M. J. (2020). Effect of gibberellic acid on fruit quality of </w:t>
      </w:r>
      <w:proofErr w:type="spellStart"/>
      <w:r w:rsidRPr="00FF3897">
        <w:t>Kinnow</w:t>
      </w:r>
      <w:proofErr w:type="spellEnd"/>
      <w:r w:rsidRPr="00FF3897">
        <w:t xml:space="preserve"> mandarin. </w:t>
      </w:r>
      <w:r w:rsidRPr="00FF3897">
        <w:rPr>
          <w:i/>
          <w:iCs/>
        </w:rPr>
        <w:t>Journal of Global Innovations in Agricultural and Social Sciences, 8</w:t>
      </w:r>
      <w:r w:rsidRPr="00FF3897">
        <w:t xml:space="preserve">, 59–63. </w:t>
      </w:r>
      <w:hyperlink r:id="rId55" w:tgtFrame="_new" w:history="1">
        <w:r w:rsidRPr="00FF3897">
          <w:rPr>
            <w:color w:val="0000FF"/>
            <w:u w:val="single"/>
          </w:rPr>
          <w:t>https://doi.org/10.22194/JGIASS/8.901</w:t>
        </w:r>
      </w:hyperlink>
      <w:r w:rsidRPr="00FF3897">
        <w:t xml:space="preserve"> </w:t>
      </w:r>
    </w:p>
    <w:p w14:paraId="557507E0" w14:textId="28F4E0D4" w:rsidR="00FF3897" w:rsidRPr="00FF3897" w:rsidRDefault="00FF3897" w:rsidP="00FF3897">
      <w:pPr>
        <w:ind w:left="540" w:hanging="540"/>
        <w:jc w:val="both"/>
      </w:pPr>
      <w:r w:rsidRPr="00FF3897">
        <w:t>Tang, J., Xia, X., Li, Y., Zhang, X., Luo, R., Wu, C., Wang, Q., Yang, Y., &amp; Qian, J. (2025). Unravelling molecular mechanisms underlying growth-promoting effects of gibberellic acid (GA₃) on ‘Da Hong Tian’ cultivar of pomegranate (</w:t>
      </w:r>
      <w:r w:rsidRPr="00FF3897">
        <w:rPr>
          <w:i/>
          <w:iCs/>
        </w:rPr>
        <w:t>Punica granatum</w:t>
      </w:r>
      <w:r w:rsidRPr="00FF3897">
        <w:t xml:space="preserve"> L.). </w:t>
      </w:r>
      <w:r w:rsidRPr="00FF3897">
        <w:rPr>
          <w:i/>
          <w:iCs/>
        </w:rPr>
        <w:t xml:space="preserve">Scientia </w:t>
      </w:r>
      <w:proofErr w:type="spellStart"/>
      <w:r w:rsidRPr="00FF3897">
        <w:rPr>
          <w:i/>
          <w:iCs/>
        </w:rPr>
        <w:t>Horticulturae</w:t>
      </w:r>
      <w:proofErr w:type="spellEnd"/>
      <w:r w:rsidRPr="00FF3897">
        <w:rPr>
          <w:i/>
          <w:iCs/>
        </w:rPr>
        <w:t>, 343</w:t>
      </w:r>
      <w:r w:rsidRPr="00FF3897">
        <w:t xml:space="preserve">, 114067. </w:t>
      </w:r>
      <w:hyperlink r:id="rId56" w:tgtFrame="_new" w:history="1">
        <w:r w:rsidRPr="00FF3897">
          <w:rPr>
            <w:color w:val="0000FF"/>
            <w:u w:val="single"/>
          </w:rPr>
          <w:t>https://doi.org/10.1016/j.scienta.2025.114067</w:t>
        </w:r>
      </w:hyperlink>
      <w:r w:rsidRPr="00FF3897">
        <w:t xml:space="preserve"> </w:t>
      </w:r>
    </w:p>
    <w:p w14:paraId="05BC0CD9" w14:textId="1788C3EF" w:rsidR="00FF3897" w:rsidRPr="00FF3897" w:rsidRDefault="00FF3897" w:rsidP="00FF3897">
      <w:pPr>
        <w:ind w:left="540" w:hanging="540"/>
        <w:jc w:val="both"/>
      </w:pPr>
      <w:proofErr w:type="spellStart"/>
      <w:r w:rsidRPr="00FF3897">
        <w:t>Thammadi</w:t>
      </w:r>
      <w:proofErr w:type="spellEnd"/>
      <w:r w:rsidRPr="00FF3897">
        <w:t xml:space="preserve">, S., Vijaya, G., Srinivasa, R., &amp; Mallesh, S. (2024). Studies on the effect of fruit growth enhancing substance and bunch covering on fruit growth, yield and sun burn percentage of banana cv. </w:t>
      </w:r>
      <w:proofErr w:type="spellStart"/>
      <w:r w:rsidRPr="00FF3897">
        <w:t>Karpura</w:t>
      </w:r>
      <w:proofErr w:type="spellEnd"/>
      <w:r w:rsidRPr="00FF3897">
        <w:t xml:space="preserve"> </w:t>
      </w:r>
      <w:proofErr w:type="spellStart"/>
      <w:r w:rsidRPr="00FF3897">
        <w:t>Chakkera</w:t>
      </w:r>
      <w:proofErr w:type="spellEnd"/>
      <w:r w:rsidRPr="00FF3897">
        <w:t xml:space="preserve"> Keli. </w:t>
      </w:r>
      <w:r w:rsidRPr="00FF3897">
        <w:rPr>
          <w:i/>
          <w:iCs/>
        </w:rPr>
        <w:t>International Journal of Advanced Biochemistry Research, 8</w:t>
      </w:r>
      <w:r w:rsidRPr="00FF3897">
        <w:t xml:space="preserve">(10), 1296–1303. </w:t>
      </w:r>
      <w:hyperlink r:id="rId57" w:tgtFrame="_new" w:history="1">
        <w:r w:rsidRPr="00FF3897">
          <w:rPr>
            <w:color w:val="0000FF"/>
            <w:u w:val="single"/>
          </w:rPr>
          <w:t>https://doi.org/10.33545/26174693.2024.v8.i10q.2738</w:t>
        </w:r>
      </w:hyperlink>
      <w:r w:rsidRPr="00FF3897">
        <w:t xml:space="preserve"> </w:t>
      </w:r>
    </w:p>
    <w:p w14:paraId="1A458699" w14:textId="197B341A" w:rsidR="00FF3897" w:rsidRPr="00FF3897" w:rsidRDefault="00FF3897" w:rsidP="00FF3897">
      <w:pPr>
        <w:ind w:left="540" w:hanging="540"/>
        <w:jc w:val="both"/>
      </w:pPr>
      <w:r w:rsidRPr="00FF3897">
        <w:t xml:space="preserve">Tee, E. S., Young, S. I., Ho, S. K., &amp; Mizura, S. S. (1988). Determination of vitamin C in fresh fruits and vegetables using the dye-titration and microfluorometric methods. </w:t>
      </w:r>
      <w:proofErr w:type="spellStart"/>
      <w:r w:rsidRPr="00FF3897">
        <w:rPr>
          <w:i/>
          <w:iCs/>
        </w:rPr>
        <w:t>Pertanika</w:t>
      </w:r>
      <w:proofErr w:type="spellEnd"/>
      <w:r w:rsidRPr="00FF3897">
        <w:rPr>
          <w:i/>
          <w:iCs/>
        </w:rPr>
        <w:t>, 11</w:t>
      </w:r>
      <w:r w:rsidRPr="00FF3897">
        <w:t xml:space="preserve">, 39–44. https://www.pertanika.upm.edu.my/pjssh/browse/regular-issue?article=PERT-0457-1988 </w:t>
      </w:r>
    </w:p>
    <w:p w14:paraId="78496409" w14:textId="06510F96" w:rsidR="00FF3897" w:rsidRPr="00FF3897" w:rsidRDefault="00FF3897" w:rsidP="00FF3897">
      <w:pPr>
        <w:ind w:left="540" w:hanging="540"/>
        <w:jc w:val="both"/>
      </w:pPr>
      <w:r w:rsidRPr="00FF3897">
        <w:t xml:space="preserve">Tumaini, S., </w:t>
      </w:r>
      <w:proofErr w:type="spellStart"/>
      <w:r w:rsidRPr="00FF3897">
        <w:t>Gwahula</w:t>
      </w:r>
      <w:proofErr w:type="spellEnd"/>
      <w:r w:rsidRPr="00FF3897">
        <w:t xml:space="preserve">, R., &amp; Macha, S. (2024). Influence of product, price, promotion and place on banana market trend in Kilimanjaro-Tanzania. </w:t>
      </w:r>
      <w:r w:rsidRPr="00FF3897">
        <w:rPr>
          <w:i/>
          <w:iCs/>
        </w:rPr>
        <w:t>European Scientific Journal, ESJ, 20</w:t>
      </w:r>
      <w:r w:rsidRPr="00FF3897">
        <w:t xml:space="preserve">(28), 40. </w:t>
      </w:r>
      <w:hyperlink r:id="rId58" w:tgtFrame="_new" w:history="1">
        <w:r w:rsidRPr="00FF3897">
          <w:rPr>
            <w:color w:val="0000FF"/>
            <w:u w:val="single"/>
          </w:rPr>
          <w:t>https://doi.org/10.19044/esj.2024.v20n28p40</w:t>
        </w:r>
      </w:hyperlink>
      <w:r w:rsidRPr="00FF3897">
        <w:t xml:space="preserve"> </w:t>
      </w:r>
    </w:p>
    <w:p w14:paraId="328F9FE9" w14:textId="421BEB67" w:rsidR="00FF3897" w:rsidRPr="00FF3897" w:rsidRDefault="00FF3897" w:rsidP="00FF3897">
      <w:pPr>
        <w:ind w:left="540" w:hanging="540"/>
        <w:jc w:val="both"/>
      </w:pPr>
      <w:r w:rsidRPr="00FF3897">
        <w:t xml:space="preserve">Waris, I., Saleem, M., Sher, N., Shahid, M., Abbas, M. J., Aziz, S. U., Nabi, M. M. U., &amp; Noor, H. (2024). The regulation of stress responses in fruit crops is influenced by plant hormones: A review. </w:t>
      </w:r>
      <w:r w:rsidRPr="00FF3897">
        <w:rPr>
          <w:i/>
          <w:iCs/>
        </w:rPr>
        <w:t>Asian Journal of Research in Agriculture and Forestry, 10</w:t>
      </w:r>
      <w:r w:rsidRPr="00FF3897">
        <w:t xml:space="preserve">(1), 72–78. </w:t>
      </w:r>
      <w:hyperlink r:id="rId59" w:tgtFrame="_new" w:history="1">
        <w:r w:rsidRPr="00FF3897">
          <w:rPr>
            <w:color w:val="0000FF"/>
            <w:u w:val="single"/>
          </w:rPr>
          <w:t>https://doi.org/10.9734/ajraf/2024/v10i1270</w:t>
        </w:r>
      </w:hyperlink>
      <w:r w:rsidRPr="00FF3897">
        <w:t xml:space="preserve"> </w:t>
      </w:r>
    </w:p>
    <w:p w14:paraId="4AF68430" w14:textId="7FD70030" w:rsidR="00FF3897" w:rsidRPr="00FF3897" w:rsidRDefault="00FF3897" w:rsidP="00FF3897">
      <w:pPr>
        <w:ind w:left="540" w:hanging="540"/>
        <w:jc w:val="both"/>
      </w:pPr>
      <w:r w:rsidRPr="00FF3897">
        <w:t xml:space="preserve">Wagle, N., Sharma, S., Bhattarai, K., Khatri, D., &amp; Dutta, J. P. (2022). Effect of post-shooting bunch spray of growth hormone and fertilizer on yield attributing characters of banana. </w:t>
      </w:r>
      <w:r w:rsidRPr="00FF3897">
        <w:rPr>
          <w:i/>
          <w:iCs/>
        </w:rPr>
        <w:t>SAARC Journal of Agriculture, 20</w:t>
      </w:r>
      <w:r w:rsidRPr="00FF3897">
        <w:t xml:space="preserve">(1), 157–169. </w:t>
      </w:r>
      <w:hyperlink r:id="rId60" w:tgtFrame="_new" w:history="1">
        <w:r w:rsidRPr="00FF3897">
          <w:rPr>
            <w:color w:val="0000FF"/>
            <w:u w:val="single"/>
          </w:rPr>
          <w:t>https://doi.org/10.3329/sja.v20i1.60609</w:t>
        </w:r>
      </w:hyperlink>
      <w:r w:rsidRPr="00FF3897">
        <w:t xml:space="preserve"> </w:t>
      </w:r>
    </w:p>
    <w:p w14:paraId="6E39F768" w14:textId="71871FF4" w:rsidR="00FF3897" w:rsidRPr="00FF3897" w:rsidRDefault="00FF3897" w:rsidP="00FF3897">
      <w:pPr>
        <w:ind w:left="540" w:hanging="540"/>
        <w:jc w:val="both"/>
      </w:pPr>
      <w:r w:rsidRPr="00FF3897">
        <w:t xml:space="preserve">Yazar, K. (2025). Evaluation of the effects of chitosan application and growing media on the adaptation process of </w:t>
      </w:r>
      <w:proofErr w:type="spellStart"/>
      <w:r w:rsidRPr="00FF3897">
        <w:t>Fercal</w:t>
      </w:r>
      <w:proofErr w:type="spellEnd"/>
      <w:r w:rsidRPr="00FF3897">
        <w:t xml:space="preserve"> grape rootstock. </w:t>
      </w:r>
      <w:r w:rsidRPr="00FF3897">
        <w:rPr>
          <w:i/>
          <w:iCs/>
        </w:rPr>
        <w:t>BMC Plant Biology, 25</w:t>
      </w:r>
      <w:r w:rsidRPr="00FF3897">
        <w:t xml:space="preserve">(1), 1152. </w:t>
      </w:r>
      <w:hyperlink r:id="rId61" w:tgtFrame="_new" w:history="1">
        <w:r w:rsidRPr="00FF3897">
          <w:rPr>
            <w:color w:val="0000FF"/>
            <w:u w:val="single"/>
          </w:rPr>
          <w:t>https://doi.org/10.1186/s12870-025-07197-z</w:t>
        </w:r>
      </w:hyperlink>
      <w:r w:rsidRPr="00FF3897">
        <w:t xml:space="preserve"> </w:t>
      </w:r>
    </w:p>
    <w:p w14:paraId="40D5460B" w14:textId="099959A0" w:rsidR="00FF3897" w:rsidRPr="00FF3897" w:rsidRDefault="00FF3897" w:rsidP="00FF3897">
      <w:pPr>
        <w:ind w:left="540" w:hanging="540"/>
        <w:jc w:val="both"/>
      </w:pPr>
      <w:r w:rsidRPr="00FF3897">
        <w:rPr>
          <w:lang w:val="nl-BE"/>
        </w:rPr>
        <w:lastRenderedPageBreak/>
        <w:t xml:space="preserve">Aparna, M., &amp; Geetha Lekshmi, P. R. (2024). </w:t>
      </w:r>
      <w:r w:rsidRPr="00FF3897">
        <w:t xml:space="preserve">Chitosan-based edible coatings: Enhancing shelf life and quality in fruits and vegetables. </w:t>
      </w:r>
      <w:r w:rsidRPr="00FF3897">
        <w:rPr>
          <w:i/>
          <w:iCs/>
        </w:rPr>
        <w:t>Journal of Advances in Biology &amp; Biotechnology, 27</w:t>
      </w:r>
      <w:r w:rsidRPr="00FF3897">
        <w:t xml:space="preserve">(11), 178–191. </w:t>
      </w:r>
      <w:hyperlink r:id="rId62" w:tgtFrame="_new" w:history="1">
        <w:r w:rsidRPr="00FF3897">
          <w:rPr>
            <w:color w:val="0000FF"/>
            <w:u w:val="single"/>
          </w:rPr>
          <w:t>https://doi.org/10.9734/jabb/2024/v27i111603</w:t>
        </w:r>
      </w:hyperlink>
      <w:r w:rsidRPr="00FF3897">
        <w:t xml:space="preserve"> </w:t>
      </w:r>
    </w:p>
    <w:p w14:paraId="50ECF82D" w14:textId="2C6ACCDB" w:rsidR="00FF3897" w:rsidRPr="00FF3897" w:rsidRDefault="00FF3897" w:rsidP="00FF3897">
      <w:pPr>
        <w:ind w:left="540" w:hanging="540"/>
        <w:jc w:val="both"/>
      </w:pPr>
      <w:proofErr w:type="spellStart"/>
      <w:r w:rsidRPr="00FF3897">
        <w:t>Gomasta</w:t>
      </w:r>
      <w:proofErr w:type="spellEnd"/>
      <w:r w:rsidRPr="00FF3897">
        <w:t xml:space="preserve">, J., Sarker, B. C., Islam, M., Khatun, M., </w:t>
      </w:r>
      <w:proofErr w:type="spellStart"/>
      <w:r w:rsidRPr="00FF3897">
        <w:t>Kayesh</w:t>
      </w:r>
      <w:proofErr w:type="spellEnd"/>
      <w:r w:rsidRPr="00FF3897">
        <w:t>, E., &amp; Mondal, F. (2026). Reproductive-stage GA₃ application reduces fruit drop and enhances productivity, fruit physiochemistry and shelf life in hog plum (</w:t>
      </w:r>
      <w:proofErr w:type="spellStart"/>
      <w:r w:rsidRPr="00FF3897">
        <w:rPr>
          <w:i/>
          <w:iCs/>
        </w:rPr>
        <w:t>Spondias</w:t>
      </w:r>
      <w:proofErr w:type="spellEnd"/>
      <w:r w:rsidRPr="00FF3897">
        <w:rPr>
          <w:i/>
          <w:iCs/>
        </w:rPr>
        <w:t xml:space="preserve"> </w:t>
      </w:r>
      <w:proofErr w:type="spellStart"/>
      <w:r w:rsidRPr="00FF3897">
        <w:rPr>
          <w:i/>
          <w:iCs/>
        </w:rPr>
        <w:t>mangifera</w:t>
      </w:r>
      <w:proofErr w:type="spellEnd"/>
      <w:r w:rsidRPr="00FF3897">
        <w:t xml:space="preserve"> Willd.). </w:t>
      </w:r>
      <w:r w:rsidRPr="00FF3897">
        <w:rPr>
          <w:i/>
          <w:iCs/>
        </w:rPr>
        <w:t>Applied Fruit Science, 68</w:t>
      </w:r>
      <w:r w:rsidRPr="00FF3897">
        <w:t xml:space="preserve">, 19. </w:t>
      </w:r>
      <w:hyperlink r:id="rId63" w:tgtFrame="_new" w:history="1">
        <w:r w:rsidRPr="00FF3897">
          <w:rPr>
            <w:color w:val="0000FF"/>
            <w:u w:val="single"/>
          </w:rPr>
          <w:t>https://doi.org/10.1007/s10341-025-01724-w</w:t>
        </w:r>
      </w:hyperlink>
      <w:r w:rsidRPr="00FF3897">
        <w:t xml:space="preserve"> </w:t>
      </w:r>
    </w:p>
    <w:p w14:paraId="2DF9AA92" w14:textId="521DBA8E" w:rsidR="00FF3897" w:rsidRPr="00FF3897" w:rsidRDefault="00FF3897" w:rsidP="00FF3897">
      <w:pPr>
        <w:ind w:left="540" w:hanging="540"/>
        <w:jc w:val="both"/>
      </w:pPr>
      <w:r w:rsidRPr="00FF3897">
        <w:t xml:space="preserve">Okeh, O. C., Egwu-Ikechukwu, M. M., </w:t>
      </w:r>
      <w:proofErr w:type="spellStart"/>
      <w:r w:rsidRPr="00FF3897">
        <w:t>Ikwuakor</w:t>
      </w:r>
      <w:proofErr w:type="spellEnd"/>
      <w:r w:rsidRPr="00FF3897">
        <w:t>, C. G., &amp; Onu, H. C. (2026). Isolation and characterization of bacterial species associated with spoilage of banana (</w:t>
      </w:r>
      <w:r w:rsidRPr="00FF3897">
        <w:rPr>
          <w:i/>
          <w:iCs/>
        </w:rPr>
        <w:t>Musa acuminata</w:t>
      </w:r>
      <w:r w:rsidRPr="00FF3897">
        <w:t xml:space="preserve">) fruits marketed in Magaret Umahi International Market, </w:t>
      </w:r>
      <w:proofErr w:type="spellStart"/>
      <w:r w:rsidRPr="00FF3897">
        <w:t>Abakaliki</w:t>
      </w:r>
      <w:proofErr w:type="spellEnd"/>
      <w:r w:rsidRPr="00FF3897">
        <w:t xml:space="preserve">. </w:t>
      </w:r>
      <w:r w:rsidRPr="00FF3897">
        <w:rPr>
          <w:i/>
          <w:iCs/>
        </w:rPr>
        <w:t>Journal of Disease and Global Health, 19</w:t>
      </w:r>
      <w:r w:rsidRPr="00FF3897">
        <w:t xml:space="preserve">(1), 33–41. </w:t>
      </w:r>
      <w:hyperlink r:id="rId64" w:tgtFrame="_new" w:history="1">
        <w:r w:rsidRPr="00FF3897">
          <w:rPr>
            <w:color w:val="0000FF"/>
            <w:u w:val="single"/>
          </w:rPr>
          <w:t>https://doi.org/10.56557/jodagh/2026/v19i110136</w:t>
        </w:r>
      </w:hyperlink>
      <w:r w:rsidRPr="00FF3897">
        <w:t xml:space="preserve"> </w:t>
      </w:r>
    </w:p>
    <w:p w14:paraId="5E115CCF" w14:textId="644EC5B1" w:rsidR="00FF3897" w:rsidRPr="00FF3897" w:rsidRDefault="00FF3897" w:rsidP="00FF3897">
      <w:pPr>
        <w:ind w:left="540" w:hanging="540"/>
        <w:jc w:val="both"/>
      </w:pPr>
      <w:proofErr w:type="spellStart"/>
      <w:r w:rsidRPr="00FF3897">
        <w:t>Roidoung</w:t>
      </w:r>
      <w:proofErr w:type="spellEnd"/>
      <w:r w:rsidRPr="00FF3897">
        <w:t xml:space="preserve">, S., </w:t>
      </w:r>
      <w:proofErr w:type="spellStart"/>
      <w:r w:rsidRPr="00FF3897">
        <w:t>Wongsudtho</w:t>
      </w:r>
      <w:proofErr w:type="spellEnd"/>
      <w:r w:rsidRPr="00FF3897">
        <w:t xml:space="preserve">, S., </w:t>
      </w:r>
      <w:proofErr w:type="spellStart"/>
      <w:r w:rsidRPr="00FF3897">
        <w:t>Pongsanhan</w:t>
      </w:r>
      <w:proofErr w:type="spellEnd"/>
      <w:r w:rsidRPr="00FF3897">
        <w:t xml:space="preserve">, M., Samsudin, H., &amp; </w:t>
      </w:r>
      <w:proofErr w:type="spellStart"/>
      <w:r w:rsidRPr="00FF3897">
        <w:t>Sogi</w:t>
      </w:r>
      <w:proofErr w:type="spellEnd"/>
      <w:r w:rsidRPr="00FF3897">
        <w:t xml:space="preserve">, D. S. (2025). Effect of </w:t>
      </w:r>
      <w:proofErr w:type="spellStart"/>
      <w:r w:rsidRPr="00FF3897">
        <w:t>nanoclay</w:t>
      </w:r>
      <w:proofErr w:type="spellEnd"/>
      <w:r w:rsidRPr="00FF3897">
        <w:t xml:space="preserve"> in chitosan-based coating on ripening retardation of banana fruits. </w:t>
      </w:r>
      <w:r w:rsidRPr="00FF3897">
        <w:rPr>
          <w:i/>
          <w:iCs/>
        </w:rPr>
        <w:t>Discover Food, 5</w:t>
      </w:r>
      <w:r w:rsidRPr="00FF3897">
        <w:t xml:space="preserve">, 152. </w:t>
      </w:r>
      <w:hyperlink r:id="rId65" w:tgtFrame="_new" w:history="1">
        <w:r w:rsidRPr="00FF3897">
          <w:rPr>
            <w:color w:val="0000FF"/>
            <w:u w:val="single"/>
          </w:rPr>
          <w:t>https://doi.org/10.1007/s44187-025-00431-5</w:t>
        </w:r>
      </w:hyperlink>
      <w:r w:rsidRPr="00FF3897">
        <w:t xml:space="preserve"> </w:t>
      </w:r>
    </w:p>
    <w:p w14:paraId="28C52EA8" w14:textId="12FA8276" w:rsidR="00802565" w:rsidRDefault="00FF3897" w:rsidP="00FF3897">
      <w:pPr>
        <w:spacing w:line="360" w:lineRule="auto"/>
        <w:ind w:left="540" w:hanging="540"/>
        <w:jc w:val="both"/>
      </w:pPr>
      <w:r w:rsidRPr="00FF3897">
        <w:t xml:space="preserve">Shinga, M. H., Silue, Y., &amp; Fawole, O. A. (2025). Recent advancements and trends in postharvest application of edible coatings on bananas: A comprehensive review. </w:t>
      </w:r>
      <w:r w:rsidRPr="00FF3897">
        <w:rPr>
          <w:i/>
          <w:iCs/>
        </w:rPr>
        <w:t>Plants, 14</w:t>
      </w:r>
      <w:r w:rsidRPr="00FF3897">
        <w:t xml:space="preserve">(4), 581. </w:t>
      </w:r>
      <w:hyperlink r:id="rId66" w:tgtFrame="_new" w:history="1">
        <w:r w:rsidRPr="00FF3897">
          <w:rPr>
            <w:color w:val="0000FF"/>
            <w:u w:val="single"/>
          </w:rPr>
          <w:t>https://doi.org/10.3390/plants14040581</w:t>
        </w:r>
      </w:hyperlink>
    </w:p>
    <w:sectPr w:rsidR="00802565">
      <w:headerReference w:type="even" r:id="rId67"/>
      <w:headerReference w:type="default" r:id="rId68"/>
      <w:footerReference w:type="even" r:id="rId69"/>
      <w:footerReference w:type="default" r:id="rId70"/>
      <w:headerReference w:type="first" r:id="rId71"/>
      <w:footerReference w:type="first" r:id="rId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91091" w14:textId="77777777" w:rsidR="001B30AE" w:rsidRDefault="001B30AE" w:rsidP="001B0981">
      <w:pPr>
        <w:spacing w:after="0" w:line="240" w:lineRule="auto"/>
      </w:pPr>
      <w:r>
        <w:separator/>
      </w:r>
    </w:p>
  </w:endnote>
  <w:endnote w:type="continuationSeparator" w:id="0">
    <w:p w14:paraId="261AE646" w14:textId="77777777" w:rsidR="001B30AE" w:rsidRDefault="001B30AE" w:rsidP="001B0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47CC6" w14:textId="77777777" w:rsidR="00D14D4B" w:rsidRDefault="00D14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647530"/>
      <w:docPartObj>
        <w:docPartGallery w:val="Page Numbers (Bottom of Page)"/>
        <w:docPartUnique/>
      </w:docPartObj>
    </w:sdtPr>
    <w:sdtEndPr>
      <w:rPr>
        <w:noProof/>
      </w:rPr>
    </w:sdtEndPr>
    <w:sdtContent>
      <w:p w14:paraId="10BC7C5E" w14:textId="77777777" w:rsidR="00327359" w:rsidRDefault="00327359">
        <w:pPr>
          <w:pStyle w:val="Footer"/>
          <w:jc w:val="center"/>
        </w:pPr>
        <w:r>
          <w:fldChar w:fldCharType="begin"/>
        </w:r>
        <w:r>
          <w:instrText xml:space="preserve"> PAGE   \* MERGEFORMAT </w:instrText>
        </w:r>
        <w:r>
          <w:fldChar w:fldCharType="separate"/>
        </w:r>
        <w:r w:rsidR="00880958">
          <w:rPr>
            <w:noProof/>
          </w:rPr>
          <w:t>20</w:t>
        </w:r>
        <w:r>
          <w:rPr>
            <w:noProof/>
          </w:rPr>
          <w:fldChar w:fldCharType="end"/>
        </w:r>
      </w:p>
    </w:sdtContent>
  </w:sdt>
  <w:p w14:paraId="29FBED01" w14:textId="77777777" w:rsidR="00327359" w:rsidRDefault="003273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9173" w14:textId="77777777" w:rsidR="00D14D4B" w:rsidRDefault="00D14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9B436" w14:textId="77777777" w:rsidR="001B30AE" w:rsidRDefault="001B30AE" w:rsidP="001B0981">
      <w:pPr>
        <w:spacing w:after="0" w:line="240" w:lineRule="auto"/>
      </w:pPr>
      <w:r>
        <w:separator/>
      </w:r>
    </w:p>
  </w:footnote>
  <w:footnote w:type="continuationSeparator" w:id="0">
    <w:p w14:paraId="14327B7E" w14:textId="77777777" w:rsidR="001B30AE" w:rsidRDefault="001B30AE" w:rsidP="001B09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B7A7" w14:textId="77777777" w:rsidR="00D14D4B" w:rsidRDefault="00000000">
    <w:pPr>
      <w:pStyle w:val="Header"/>
    </w:pPr>
    <w:r>
      <w:rPr>
        <w:noProof/>
      </w:rPr>
      <w:pict w14:anchorId="335DFA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5509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D3FDA" w14:textId="77777777" w:rsidR="00D14D4B" w:rsidRDefault="00000000">
    <w:pPr>
      <w:pStyle w:val="Header"/>
    </w:pPr>
    <w:r>
      <w:rPr>
        <w:noProof/>
      </w:rPr>
      <w:pict w14:anchorId="476A2B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5509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77563" w14:textId="77777777" w:rsidR="00D14D4B" w:rsidRDefault="00000000">
    <w:pPr>
      <w:pStyle w:val="Header"/>
    </w:pPr>
    <w:r>
      <w:rPr>
        <w:noProof/>
      </w:rPr>
      <w:pict w14:anchorId="50C39C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5509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02963"/>
    <w:multiLevelType w:val="hybridMultilevel"/>
    <w:tmpl w:val="CE54FA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B35B5C"/>
    <w:multiLevelType w:val="hybridMultilevel"/>
    <w:tmpl w:val="0482421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E306EC"/>
    <w:multiLevelType w:val="hybridMultilevel"/>
    <w:tmpl w:val="066247F2"/>
    <w:lvl w:ilvl="0" w:tplc="0409000F">
      <w:start w:val="1"/>
      <w:numFmt w:val="decimal"/>
      <w:lvlText w:val="%1."/>
      <w:lvlJc w:val="left"/>
      <w:pPr>
        <w:tabs>
          <w:tab w:val="num" w:pos="720"/>
        </w:tabs>
        <w:ind w:left="720" w:hanging="360"/>
      </w:pPr>
    </w:lvl>
    <w:lvl w:ilvl="1" w:tplc="68840F9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8441E6B"/>
    <w:multiLevelType w:val="hybridMultilevel"/>
    <w:tmpl w:val="5A3C0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7694841">
    <w:abstractNumId w:val="0"/>
  </w:num>
  <w:num w:numId="2" w16cid:durableId="944657919">
    <w:abstractNumId w:val="2"/>
  </w:num>
  <w:num w:numId="3" w16cid:durableId="24795651">
    <w:abstractNumId w:val="3"/>
  </w:num>
  <w:num w:numId="4" w16cid:durableId="1568803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BQlNDU1NjQxMzSyUdpeDU4uLM/DyQAsNaAHBYalcsAAAA"/>
  </w:docVars>
  <w:rsids>
    <w:rsidRoot w:val="001F2479"/>
    <w:rsid w:val="00004AEA"/>
    <w:rsid w:val="00007A33"/>
    <w:rsid w:val="0001153A"/>
    <w:rsid w:val="00016D17"/>
    <w:rsid w:val="0002206A"/>
    <w:rsid w:val="00022777"/>
    <w:rsid w:val="000272B0"/>
    <w:rsid w:val="000339BF"/>
    <w:rsid w:val="00044908"/>
    <w:rsid w:val="00045049"/>
    <w:rsid w:val="000577BB"/>
    <w:rsid w:val="00061C2D"/>
    <w:rsid w:val="000661A0"/>
    <w:rsid w:val="000706EC"/>
    <w:rsid w:val="00084072"/>
    <w:rsid w:val="0008431D"/>
    <w:rsid w:val="000924C7"/>
    <w:rsid w:val="000C72CA"/>
    <w:rsid w:val="000F5287"/>
    <w:rsid w:val="00105297"/>
    <w:rsid w:val="00112A77"/>
    <w:rsid w:val="00170A22"/>
    <w:rsid w:val="001741E5"/>
    <w:rsid w:val="0018310E"/>
    <w:rsid w:val="00186645"/>
    <w:rsid w:val="00193FA0"/>
    <w:rsid w:val="00196CB3"/>
    <w:rsid w:val="001B0981"/>
    <w:rsid w:val="001B30AE"/>
    <w:rsid w:val="001C7CAD"/>
    <w:rsid w:val="001D06EA"/>
    <w:rsid w:val="001F2479"/>
    <w:rsid w:val="00224515"/>
    <w:rsid w:val="00225412"/>
    <w:rsid w:val="002270D8"/>
    <w:rsid w:val="002323FD"/>
    <w:rsid w:val="00232959"/>
    <w:rsid w:val="00271178"/>
    <w:rsid w:val="00277F4F"/>
    <w:rsid w:val="00280D4C"/>
    <w:rsid w:val="00285199"/>
    <w:rsid w:val="00294FEA"/>
    <w:rsid w:val="002954A5"/>
    <w:rsid w:val="00296A33"/>
    <w:rsid w:val="002A485A"/>
    <w:rsid w:val="002B26EA"/>
    <w:rsid w:val="002B37F5"/>
    <w:rsid w:val="002B58E9"/>
    <w:rsid w:val="002B6ABA"/>
    <w:rsid w:val="002B77CD"/>
    <w:rsid w:val="002C378E"/>
    <w:rsid w:val="002C4097"/>
    <w:rsid w:val="002C51B8"/>
    <w:rsid w:val="00327359"/>
    <w:rsid w:val="003275AE"/>
    <w:rsid w:val="0033211E"/>
    <w:rsid w:val="00335814"/>
    <w:rsid w:val="00337A85"/>
    <w:rsid w:val="003422A6"/>
    <w:rsid w:val="00345B99"/>
    <w:rsid w:val="00352203"/>
    <w:rsid w:val="003538B9"/>
    <w:rsid w:val="00356B98"/>
    <w:rsid w:val="003611A6"/>
    <w:rsid w:val="003633D8"/>
    <w:rsid w:val="0039786E"/>
    <w:rsid w:val="003B5DC5"/>
    <w:rsid w:val="003C2A86"/>
    <w:rsid w:val="003C7F8E"/>
    <w:rsid w:val="0040206B"/>
    <w:rsid w:val="00407A81"/>
    <w:rsid w:val="0041322B"/>
    <w:rsid w:val="00423B60"/>
    <w:rsid w:val="00440322"/>
    <w:rsid w:val="00446ADD"/>
    <w:rsid w:val="00452B94"/>
    <w:rsid w:val="004614A0"/>
    <w:rsid w:val="00472EB0"/>
    <w:rsid w:val="0047319C"/>
    <w:rsid w:val="004846BF"/>
    <w:rsid w:val="00497929"/>
    <w:rsid w:val="004A729A"/>
    <w:rsid w:val="004B42B8"/>
    <w:rsid w:val="004B70BB"/>
    <w:rsid w:val="004C1DE9"/>
    <w:rsid w:val="004C2123"/>
    <w:rsid w:val="004C76F4"/>
    <w:rsid w:val="004D0045"/>
    <w:rsid w:val="004F08AE"/>
    <w:rsid w:val="004F47E4"/>
    <w:rsid w:val="00517921"/>
    <w:rsid w:val="005208E6"/>
    <w:rsid w:val="00523157"/>
    <w:rsid w:val="00541486"/>
    <w:rsid w:val="00542A20"/>
    <w:rsid w:val="005502D6"/>
    <w:rsid w:val="0055315A"/>
    <w:rsid w:val="00593EEF"/>
    <w:rsid w:val="00597330"/>
    <w:rsid w:val="005A7811"/>
    <w:rsid w:val="005B2A7C"/>
    <w:rsid w:val="005D3F29"/>
    <w:rsid w:val="005D48E3"/>
    <w:rsid w:val="005E58CA"/>
    <w:rsid w:val="005F1951"/>
    <w:rsid w:val="00627C33"/>
    <w:rsid w:val="006319CD"/>
    <w:rsid w:val="00634EF4"/>
    <w:rsid w:val="00646324"/>
    <w:rsid w:val="00676BEB"/>
    <w:rsid w:val="0068024C"/>
    <w:rsid w:val="00692038"/>
    <w:rsid w:val="006B1946"/>
    <w:rsid w:val="006B2123"/>
    <w:rsid w:val="006B5BEA"/>
    <w:rsid w:val="00703077"/>
    <w:rsid w:val="007057C7"/>
    <w:rsid w:val="007155E2"/>
    <w:rsid w:val="00721B9F"/>
    <w:rsid w:val="00725754"/>
    <w:rsid w:val="007328E0"/>
    <w:rsid w:val="007350B0"/>
    <w:rsid w:val="00743E0A"/>
    <w:rsid w:val="00744D46"/>
    <w:rsid w:val="0076478F"/>
    <w:rsid w:val="007730D3"/>
    <w:rsid w:val="007766AF"/>
    <w:rsid w:val="00776E57"/>
    <w:rsid w:val="00780716"/>
    <w:rsid w:val="00783613"/>
    <w:rsid w:val="007942FD"/>
    <w:rsid w:val="00795946"/>
    <w:rsid w:val="00795B49"/>
    <w:rsid w:val="007A2806"/>
    <w:rsid w:val="007C420F"/>
    <w:rsid w:val="007F3D6D"/>
    <w:rsid w:val="0080115B"/>
    <w:rsid w:val="00802565"/>
    <w:rsid w:val="00820617"/>
    <w:rsid w:val="00820705"/>
    <w:rsid w:val="008237E8"/>
    <w:rsid w:val="00840162"/>
    <w:rsid w:val="00853B95"/>
    <w:rsid w:val="00855D80"/>
    <w:rsid w:val="0086068A"/>
    <w:rsid w:val="0086434C"/>
    <w:rsid w:val="008738C4"/>
    <w:rsid w:val="00880958"/>
    <w:rsid w:val="0088443F"/>
    <w:rsid w:val="008A02CD"/>
    <w:rsid w:val="008B2C17"/>
    <w:rsid w:val="008C5A7F"/>
    <w:rsid w:val="008D0E92"/>
    <w:rsid w:val="008D0F76"/>
    <w:rsid w:val="008D1172"/>
    <w:rsid w:val="008D1D22"/>
    <w:rsid w:val="008F7561"/>
    <w:rsid w:val="0090245B"/>
    <w:rsid w:val="00902C1A"/>
    <w:rsid w:val="00904C56"/>
    <w:rsid w:val="00914F77"/>
    <w:rsid w:val="00921E2A"/>
    <w:rsid w:val="0094212D"/>
    <w:rsid w:val="00944812"/>
    <w:rsid w:val="00951152"/>
    <w:rsid w:val="0095561B"/>
    <w:rsid w:val="009632FF"/>
    <w:rsid w:val="00966B72"/>
    <w:rsid w:val="009754A6"/>
    <w:rsid w:val="0097773B"/>
    <w:rsid w:val="00981F05"/>
    <w:rsid w:val="00982A46"/>
    <w:rsid w:val="009B280D"/>
    <w:rsid w:val="009C0198"/>
    <w:rsid w:val="009D2034"/>
    <w:rsid w:val="009E2C9C"/>
    <w:rsid w:val="009E5888"/>
    <w:rsid w:val="009E5AEA"/>
    <w:rsid w:val="009E636A"/>
    <w:rsid w:val="009E7906"/>
    <w:rsid w:val="009F5BB4"/>
    <w:rsid w:val="009F5CFA"/>
    <w:rsid w:val="009F758E"/>
    <w:rsid w:val="00A02C05"/>
    <w:rsid w:val="00A057FB"/>
    <w:rsid w:val="00A22915"/>
    <w:rsid w:val="00A46D9D"/>
    <w:rsid w:val="00A51C77"/>
    <w:rsid w:val="00A51F44"/>
    <w:rsid w:val="00A55C04"/>
    <w:rsid w:val="00A60A8A"/>
    <w:rsid w:val="00A7365D"/>
    <w:rsid w:val="00A82C0E"/>
    <w:rsid w:val="00A87D1F"/>
    <w:rsid w:val="00AB1417"/>
    <w:rsid w:val="00AC3B20"/>
    <w:rsid w:val="00AC653E"/>
    <w:rsid w:val="00AD0D11"/>
    <w:rsid w:val="00AE34E0"/>
    <w:rsid w:val="00B03C44"/>
    <w:rsid w:val="00B062FF"/>
    <w:rsid w:val="00B07F8D"/>
    <w:rsid w:val="00B128FF"/>
    <w:rsid w:val="00B12C00"/>
    <w:rsid w:val="00B150BE"/>
    <w:rsid w:val="00B178B9"/>
    <w:rsid w:val="00B338E5"/>
    <w:rsid w:val="00B34BED"/>
    <w:rsid w:val="00B42A15"/>
    <w:rsid w:val="00B465B0"/>
    <w:rsid w:val="00B52A13"/>
    <w:rsid w:val="00B57548"/>
    <w:rsid w:val="00B60BF8"/>
    <w:rsid w:val="00B66EF3"/>
    <w:rsid w:val="00B77A4E"/>
    <w:rsid w:val="00BA3B01"/>
    <w:rsid w:val="00BA7E0E"/>
    <w:rsid w:val="00BB480E"/>
    <w:rsid w:val="00BB4E90"/>
    <w:rsid w:val="00BC3887"/>
    <w:rsid w:val="00BE0BF3"/>
    <w:rsid w:val="00BE212A"/>
    <w:rsid w:val="00BF6515"/>
    <w:rsid w:val="00C12E35"/>
    <w:rsid w:val="00C15E9D"/>
    <w:rsid w:val="00C314A9"/>
    <w:rsid w:val="00C33E71"/>
    <w:rsid w:val="00C36676"/>
    <w:rsid w:val="00C37292"/>
    <w:rsid w:val="00C40229"/>
    <w:rsid w:val="00C657CF"/>
    <w:rsid w:val="00C65E29"/>
    <w:rsid w:val="00C91816"/>
    <w:rsid w:val="00CB4104"/>
    <w:rsid w:val="00CB4456"/>
    <w:rsid w:val="00CC176C"/>
    <w:rsid w:val="00CD4EE2"/>
    <w:rsid w:val="00CD7D64"/>
    <w:rsid w:val="00CE42CF"/>
    <w:rsid w:val="00CE4A3D"/>
    <w:rsid w:val="00D01563"/>
    <w:rsid w:val="00D05B7E"/>
    <w:rsid w:val="00D1049A"/>
    <w:rsid w:val="00D14D4B"/>
    <w:rsid w:val="00D258BE"/>
    <w:rsid w:val="00D25DB9"/>
    <w:rsid w:val="00D374F8"/>
    <w:rsid w:val="00D404B3"/>
    <w:rsid w:val="00D47EF5"/>
    <w:rsid w:val="00D660F2"/>
    <w:rsid w:val="00D72900"/>
    <w:rsid w:val="00D8200B"/>
    <w:rsid w:val="00D960D9"/>
    <w:rsid w:val="00D9779E"/>
    <w:rsid w:val="00DB59BB"/>
    <w:rsid w:val="00DB6962"/>
    <w:rsid w:val="00DC0601"/>
    <w:rsid w:val="00DD1FFD"/>
    <w:rsid w:val="00DE2792"/>
    <w:rsid w:val="00DF7AB6"/>
    <w:rsid w:val="00E12B22"/>
    <w:rsid w:val="00E15B53"/>
    <w:rsid w:val="00E16364"/>
    <w:rsid w:val="00E22AE7"/>
    <w:rsid w:val="00E31EDD"/>
    <w:rsid w:val="00E36883"/>
    <w:rsid w:val="00E410E3"/>
    <w:rsid w:val="00E74380"/>
    <w:rsid w:val="00E74D91"/>
    <w:rsid w:val="00E84134"/>
    <w:rsid w:val="00EA47F5"/>
    <w:rsid w:val="00EB76F8"/>
    <w:rsid w:val="00ED00E6"/>
    <w:rsid w:val="00ED1D29"/>
    <w:rsid w:val="00ED21BD"/>
    <w:rsid w:val="00EE5CDF"/>
    <w:rsid w:val="00F01317"/>
    <w:rsid w:val="00F01445"/>
    <w:rsid w:val="00F07ED1"/>
    <w:rsid w:val="00F15386"/>
    <w:rsid w:val="00F17B2C"/>
    <w:rsid w:val="00F22C81"/>
    <w:rsid w:val="00F252E2"/>
    <w:rsid w:val="00F3415F"/>
    <w:rsid w:val="00F40135"/>
    <w:rsid w:val="00F41079"/>
    <w:rsid w:val="00F47540"/>
    <w:rsid w:val="00F573DE"/>
    <w:rsid w:val="00F62F9C"/>
    <w:rsid w:val="00F7254F"/>
    <w:rsid w:val="00F8142D"/>
    <w:rsid w:val="00F81BA8"/>
    <w:rsid w:val="00F81D09"/>
    <w:rsid w:val="00F972D5"/>
    <w:rsid w:val="00FA1A02"/>
    <w:rsid w:val="00FB16A1"/>
    <w:rsid w:val="00FD5C71"/>
    <w:rsid w:val="00FE34BD"/>
    <w:rsid w:val="00FE6EBA"/>
    <w:rsid w:val="00FF3897"/>
    <w:rsid w:val="00FF5F8D"/>
    <w:rsid w:val="00FF6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F7F2D"/>
  <w15:docId w15:val="{0EF8932C-76FD-4463-99D8-17DF03D74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B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2479"/>
    <w:pPr>
      <w:spacing w:after="0" w:line="240" w:lineRule="auto"/>
      <w:ind w:left="720"/>
    </w:pPr>
    <w:rPr>
      <w:rFonts w:ascii="Times New Roman" w:eastAsia="Times New Roman" w:hAnsi="Times New Roman" w:cs="Times New Roman"/>
      <w:sz w:val="24"/>
      <w:szCs w:val="24"/>
    </w:rPr>
  </w:style>
  <w:style w:type="character" w:styleId="Emphasis">
    <w:name w:val="Emphasis"/>
    <w:basedOn w:val="DefaultParagraphFont"/>
    <w:uiPriority w:val="20"/>
    <w:qFormat/>
    <w:rsid w:val="001F2479"/>
    <w:rPr>
      <w:i/>
      <w:iCs/>
    </w:rPr>
  </w:style>
  <w:style w:type="paragraph" w:styleId="NoSpacing">
    <w:name w:val="No Spacing"/>
    <w:uiPriority w:val="1"/>
    <w:qFormat/>
    <w:rsid w:val="004846BF"/>
    <w:pPr>
      <w:spacing w:after="0" w:line="240" w:lineRule="auto"/>
    </w:pPr>
  </w:style>
  <w:style w:type="table" w:styleId="TableGrid">
    <w:name w:val="Table Grid"/>
    <w:basedOn w:val="TableNormal"/>
    <w:uiPriority w:val="39"/>
    <w:rsid w:val="003C2A8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09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0981"/>
  </w:style>
  <w:style w:type="paragraph" w:styleId="Footer">
    <w:name w:val="footer"/>
    <w:basedOn w:val="Normal"/>
    <w:link w:val="FooterChar"/>
    <w:uiPriority w:val="99"/>
    <w:unhideWhenUsed/>
    <w:rsid w:val="001B09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0981"/>
  </w:style>
  <w:style w:type="character" w:styleId="Hyperlink">
    <w:name w:val="Hyperlink"/>
    <w:basedOn w:val="DefaultParagraphFont"/>
    <w:uiPriority w:val="99"/>
    <w:unhideWhenUsed/>
    <w:rsid w:val="00B03C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5958/2394-4471.2023.00070.9" TargetMode="External"/><Relationship Id="rId21" Type="http://schemas.openxmlformats.org/officeDocument/2006/relationships/hyperlink" Target="https://doi.org/10.21608/nvjas.2024.251308.1266" TargetMode="External"/><Relationship Id="rId42" Type="http://schemas.openxmlformats.org/officeDocument/2006/relationships/hyperlink" Target="https://doi.org/10.3390/horticulturae11080878" TargetMode="External"/><Relationship Id="rId47" Type="http://schemas.openxmlformats.org/officeDocument/2006/relationships/hyperlink" Target="https://doi.org/10.1016/j.copbio.2022.102834" TargetMode="External"/><Relationship Id="rId63" Type="http://schemas.openxmlformats.org/officeDocument/2006/relationships/hyperlink" Target="https://doi.org/10.1007/s10341-025-01724-w" TargetMode="External"/><Relationship Id="rId6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1016/j.scienta.2025.113977" TargetMode="External"/><Relationship Id="rId29" Type="http://schemas.openxmlformats.org/officeDocument/2006/relationships/hyperlink" Target="https://doi.org/10.21921/jas.v8i04.7755" TargetMode="External"/><Relationship Id="rId11" Type="http://schemas.openxmlformats.org/officeDocument/2006/relationships/hyperlink" Target="https://doi.org/10.1016/j.tifs.2023.03.003" TargetMode="External"/><Relationship Id="rId24" Type="http://schemas.openxmlformats.org/officeDocument/2006/relationships/hyperlink" Target="https://doi.org/10.1007/s10341-021-00543-z" TargetMode="External"/><Relationship Id="rId32" Type="http://schemas.openxmlformats.org/officeDocument/2006/relationships/hyperlink" Target="https://doi.org/10.51470/PLANTARCHIVES.2025.v25.supplement-1.423" TargetMode="External"/><Relationship Id="rId37" Type="http://schemas.openxmlformats.org/officeDocument/2006/relationships/hyperlink" Target="https://doi.org/10.21608/aasj.2024.386941" TargetMode="External"/><Relationship Id="rId40" Type="http://schemas.openxmlformats.org/officeDocument/2006/relationships/hyperlink" Target="https://doi.org/10.21931/RB/CSS/2023.08.04.08" TargetMode="External"/><Relationship Id="rId45" Type="http://schemas.openxmlformats.org/officeDocument/2006/relationships/hyperlink" Target="https://doi.org/10.9734/bpi/npgees/v5/17702D" TargetMode="External"/><Relationship Id="rId53" Type="http://schemas.openxmlformats.org/officeDocument/2006/relationships/hyperlink" Target="https://doi.org/10.3126/ijasbt.v11i1.53709" TargetMode="External"/><Relationship Id="rId58" Type="http://schemas.openxmlformats.org/officeDocument/2006/relationships/hyperlink" Target="https://doi.org/10.19044/esj.2024.v20n28p40" TargetMode="External"/><Relationship Id="rId66" Type="http://schemas.openxmlformats.org/officeDocument/2006/relationships/hyperlink" Target="https://doi.org/10.3390/plants14040581"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186/s12870-025-07197-z" TargetMode="External"/><Relationship Id="rId19" Type="http://schemas.openxmlformats.org/officeDocument/2006/relationships/hyperlink" Target="https://doi.org/10.1021/ac60111a017" TargetMode="External"/><Relationship Id="rId14" Type="http://schemas.openxmlformats.org/officeDocument/2006/relationships/hyperlink" Target="https://doi.org/10.22059/ijhst.2020.309397.387" TargetMode="External"/><Relationship Id="rId22" Type="http://schemas.openxmlformats.org/officeDocument/2006/relationships/hyperlink" Target="https://doi.org/10.3390/polym14225006" TargetMode="External"/><Relationship Id="rId27" Type="http://schemas.openxmlformats.org/officeDocument/2006/relationships/hyperlink" Target="https://doi.org/10.21608/hjsc.2024.281211.1003" TargetMode="External"/><Relationship Id="rId30" Type="http://schemas.openxmlformats.org/officeDocument/2006/relationships/hyperlink" Target="https://doi.org/10.15244/pjoes/171982" TargetMode="External"/><Relationship Id="rId35" Type="http://schemas.openxmlformats.org/officeDocument/2006/relationships/hyperlink" Target="https://doi.org/10.1016/j.ijbiomac.2023.127682" TargetMode="External"/><Relationship Id="rId43" Type="http://schemas.openxmlformats.org/officeDocument/2006/relationships/hyperlink" Target="https://doi.org/10.22438/jeb/45/6/MRN-5342" TargetMode="External"/><Relationship Id="rId48" Type="http://schemas.openxmlformats.org/officeDocument/2006/relationships/hyperlink" Target="https://doi.org/10.3390/agronomy15092186" TargetMode="External"/><Relationship Id="rId56" Type="http://schemas.openxmlformats.org/officeDocument/2006/relationships/hyperlink" Target="https://doi.org/10.1016/j.scienta.2025.114067" TargetMode="External"/><Relationship Id="rId64" Type="http://schemas.openxmlformats.org/officeDocument/2006/relationships/hyperlink" Target="https://doi.org/10.56557/jodagh/2026/v19i110136" TargetMode="External"/><Relationship Id="rId69" Type="http://schemas.openxmlformats.org/officeDocument/2006/relationships/footer" Target="footer1.xml"/><Relationship Id="rId8" Type="http://schemas.openxmlformats.org/officeDocument/2006/relationships/hyperlink" Target="https://ir.uitm.edu.my/id/eprint/46610/1/46610.pdf?utm_source=chatgpt.com" TargetMode="External"/><Relationship Id="rId51" Type="http://schemas.openxmlformats.org/officeDocument/2006/relationships/hyperlink" Target="https://doi.org/10.47815/apsr.2022.10165"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ijhst.ut.ac.ir/article_96367.html?utm_source=chatgpt.com" TargetMode="External"/><Relationship Id="rId17" Type="http://schemas.openxmlformats.org/officeDocument/2006/relationships/hyperlink" Target="https://doi.org/10.33545/26174693.2025.v9.i5f.4368" TargetMode="External"/><Relationship Id="rId25" Type="http://schemas.openxmlformats.org/officeDocument/2006/relationships/hyperlink" Target="https://doi.org/10.1016/j.heliyon.2021.e08019" TargetMode="External"/><Relationship Id="rId33" Type="http://schemas.openxmlformats.org/officeDocument/2006/relationships/hyperlink" Target="https://doi.org/10.1007/s00344-019-10049-4" TargetMode="External"/><Relationship Id="rId38" Type="http://schemas.openxmlformats.org/officeDocument/2006/relationships/hyperlink" Target="https://doi.org/10.1155/jfpp/2776934" TargetMode="External"/><Relationship Id="rId46" Type="http://schemas.openxmlformats.org/officeDocument/2006/relationships/hyperlink" Target="https://doi.org/10.9734/IJPSS/2024/v36i64632" TargetMode="External"/><Relationship Id="rId59" Type="http://schemas.openxmlformats.org/officeDocument/2006/relationships/hyperlink" Target="https://doi.org/10.9734/ajraf/2024/v10i1270" TargetMode="External"/><Relationship Id="rId67" Type="http://schemas.openxmlformats.org/officeDocument/2006/relationships/header" Target="header1.xml"/><Relationship Id="rId20" Type="http://schemas.openxmlformats.org/officeDocument/2006/relationships/hyperlink" Target="https://doi.org/10.1007/s13580-024-00642-2" TargetMode="External"/><Relationship Id="rId41" Type="http://schemas.openxmlformats.org/officeDocument/2006/relationships/hyperlink" Target="https://doi.org/10.23910/1.2025.6310" TargetMode="External"/><Relationship Id="rId54" Type="http://schemas.openxmlformats.org/officeDocument/2006/relationships/hyperlink" Target="https://doi.org/10.1016/S0076-6879(99)99017-1" TargetMode="External"/><Relationship Id="rId62" Type="http://schemas.openxmlformats.org/officeDocument/2006/relationships/hyperlink" Target="https://doi.org/10.9734/jabb/2024/v27i111603"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0910/turkjans.1667623" TargetMode="External"/><Relationship Id="rId23" Type="http://schemas.openxmlformats.org/officeDocument/2006/relationships/hyperlink" Target="https://doi.org/10.3390/horticulturae11101169" TargetMode="External"/><Relationship Id="rId28" Type="http://schemas.openxmlformats.org/officeDocument/2006/relationships/hyperlink" Target="https://doi.org/10.3390/polym14225006" TargetMode="External"/><Relationship Id="rId36" Type="http://schemas.openxmlformats.org/officeDocument/2006/relationships/hyperlink" Target="https://doi.org/10.1007/s10341-025-01610-5" TargetMode="External"/><Relationship Id="rId49" Type="http://schemas.openxmlformats.org/officeDocument/2006/relationships/hyperlink" Target="https://doi.org/10.26480/trab.01.2024.26.29" TargetMode="External"/><Relationship Id="rId57" Type="http://schemas.openxmlformats.org/officeDocument/2006/relationships/hyperlink" Target="https://doi.org/10.33545/26174693.2024.v8.i10q.2738" TargetMode="External"/><Relationship Id="rId10" Type="http://schemas.openxmlformats.org/officeDocument/2006/relationships/hyperlink" Target="https://doi.org/10.22077/jhpr.2024.7190.1357" TargetMode="External"/><Relationship Id="rId31" Type="http://schemas.openxmlformats.org/officeDocument/2006/relationships/hyperlink" Target="https://vigyanvarta.in/adminpanel/upload_doc/VV_0225_56.pdf?utm_source=chatgpt.com" TargetMode="External"/><Relationship Id="rId44" Type="http://schemas.openxmlformats.org/officeDocument/2006/relationships/hyperlink" Target="https://doi.org/10.29303/jpm.v20i5.9548" TargetMode="External"/><Relationship Id="rId52" Type="http://schemas.openxmlformats.org/officeDocument/2006/relationships/hyperlink" Target="https://doi.org/10.1002/ppp3.10581" TargetMode="External"/><Relationship Id="rId60" Type="http://schemas.openxmlformats.org/officeDocument/2006/relationships/hyperlink" Target="https://doi.org/10.3329/sja.v20i1.60609" TargetMode="External"/><Relationship Id="rId65" Type="http://schemas.openxmlformats.org/officeDocument/2006/relationships/hyperlink" Target="https://doi.org/10.1007/s44187-025-00431-5"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07/s13197-023-05819-8" TargetMode="External"/><Relationship Id="rId13" Type="http://schemas.openxmlformats.org/officeDocument/2006/relationships/hyperlink" Target="https://doi.org/10.1080/14620316.2022.2090453" TargetMode="External"/><Relationship Id="rId18" Type="http://schemas.openxmlformats.org/officeDocument/2006/relationships/hyperlink" Target="https://doi.org/10.1007/s10341-025-01535-z" TargetMode="External"/><Relationship Id="rId39" Type="http://schemas.openxmlformats.org/officeDocument/2006/relationships/hyperlink" Target="https://doi.org/10.1007/s40003-024-00817-4" TargetMode="External"/><Relationship Id="rId34" Type="http://schemas.openxmlformats.org/officeDocument/2006/relationships/hyperlink" Target="https://doi.org/10.21608/hrj.2025.418439" TargetMode="External"/><Relationship Id="rId50" Type="http://schemas.openxmlformats.org/officeDocument/2006/relationships/hyperlink" Target="https://doi.org/10.1186/s42269-020-00405-w" TargetMode="External"/><Relationship Id="rId55" Type="http://schemas.openxmlformats.org/officeDocument/2006/relationships/hyperlink" Target="https://doi.org/10.22194/JGIASS/8.901" TargetMode="External"/><Relationship Id="rId7" Type="http://schemas.openxmlformats.org/officeDocument/2006/relationships/endnotes" Target="endnotes.xml"/><Relationship Id="rId7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14628-C69F-409D-8645-5056D5199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18</Pages>
  <Words>7424</Words>
  <Characters>42321</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Editor-90</cp:lastModifiedBy>
  <cp:revision>124</cp:revision>
  <cp:lastPrinted>2026-01-13T08:22:00Z</cp:lastPrinted>
  <dcterms:created xsi:type="dcterms:W3CDTF">2026-06-17T09:57:00Z</dcterms:created>
  <dcterms:modified xsi:type="dcterms:W3CDTF">2026-07-03T07:19:00Z</dcterms:modified>
</cp:coreProperties>
</file>