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C4FBF" w14:textId="77777777" w:rsidR="000C3D91" w:rsidRPr="000C3D91" w:rsidRDefault="000C3D91" w:rsidP="000425C1">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0C3D91">
        <w:rPr>
          <w:rFonts w:ascii="Times New Roman" w:eastAsia="Times New Roman" w:hAnsi="Times New Roman" w:cs="Times New Roman"/>
          <w:b/>
          <w:bCs/>
          <w:i/>
          <w:iCs/>
          <w:sz w:val="36"/>
          <w:szCs w:val="36"/>
          <w:u w:val="single"/>
          <w:lang w:val="en-US" w:eastAsia="en-GB"/>
        </w:rPr>
        <w:t>Review Article</w:t>
      </w:r>
    </w:p>
    <w:p w14:paraId="0AAE23DD" w14:textId="77777777" w:rsidR="00C1273A" w:rsidRPr="00BE6AEB" w:rsidRDefault="00C1273A" w:rsidP="000425C1">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BE6AEB">
        <w:rPr>
          <w:rFonts w:ascii="Times New Roman" w:eastAsia="Times New Roman" w:hAnsi="Times New Roman" w:cs="Times New Roman"/>
          <w:b/>
          <w:bCs/>
          <w:sz w:val="36"/>
          <w:szCs w:val="36"/>
          <w:lang w:eastAsia="en-GB"/>
        </w:rPr>
        <w:t>Androgenesis and Embryogenesis in Rice: Mechanisms, Biotechnological Applications, and Breeding Prospects</w:t>
      </w:r>
    </w:p>
    <w:p w14:paraId="55A27C8C"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Abstract</w:t>
      </w:r>
    </w:p>
    <w:p w14:paraId="5590E797"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hAnsi="Times New Roman" w:cs="Times New Roman"/>
        </w:rPr>
        <w:t xml:space="preserve">Rice improvement increasingly depends on the rapid generation of homozygous lines and on a deeper understanding of the cellular pathways that govern embryo formation, whether from gametes, somatic tissue, or engineered reproductive systems. Androgenesis, the redirection of the male gametophyte towards a </w:t>
      </w:r>
      <w:proofErr w:type="spellStart"/>
      <w:r w:rsidRPr="00BE6AEB">
        <w:rPr>
          <w:rFonts w:ascii="Times New Roman" w:hAnsi="Times New Roman" w:cs="Times New Roman"/>
        </w:rPr>
        <w:t>sporophytic</w:t>
      </w:r>
      <w:proofErr w:type="spellEnd"/>
      <w:r w:rsidRPr="00BE6AEB">
        <w:rPr>
          <w:rFonts w:ascii="Times New Roman" w:hAnsi="Times New Roman" w:cs="Times New Roman"/>
        </w:rPr>
        <w:t>, embryogenic fate, has underpinned doubled haploid breeding in rice for more than five decades, yet its practical value remains constrained by strong genotype dependence, persistent albinism among regenerated plantlets, and the comparative recalcitrance of indica backgrounds relative to japonica. Parallel advances in the molecular dissection of embryogenesis, particularly the elucidation of the BABY BOOM–auxin module governing zygotic and somatic embryo initiation and the identification of phospholipase genes and gamete-fusion-associated DMP genes that contribute to in vivo haploid induction, have opened a second, genetically tractable route to haploid and doubled haploid production that largely bypasses tissue culture. This review traces the cellular, physiological and molecular basis of androgenesis and embryogenesis in rice, critically appraises the principal in vitro and in vivo platforms used to generate haploid and doubled haploid material, and evaluates how these technologies intersect with contemporary efforts to engineer synthetic apomixis for the fixation of hybrid vigour. Particular attention is given to the comparative efficiency, fertility costs, and genomic stability of competing haploid-induction strategies, to the persistent biological barriers that limit indica responsiveness, and to the breeding outcomes—ranging from quantitative trait locus mapping populations to improved parental and restorer lines—that these technologies have enabled. The review concludes that, while in vitro androgenesis remains an indispensable tool for several rice breeding programmes, the convergence of haploid-inducer genetics, genome editing, and embryogenic trigger genes is reshaping the field towards genotype-independent, in vivo systems whose translation into widely deployable commercial technology will depend on resolving trade-offs between induction frequency, seed fertility, and regulatory acceptance.</w:t>
      </w:r>
    </w:p>
    <w:p w14:paraId="331178CD"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Keywords:</w:t>
      </w:r>
      <w:r w:rsidRPr="00BE6AEB">
        <w:rPr>
          <w:rFonts w:ascii="Times New Roman" w:eastAsia="Times New Roman" w:hAnsi="Times New Roman" w:cs="Times New Roman"/>
          <w:sz w:val="24"/>
          <w:szCs w:val="24"/>
          <w:lang w:eastAsia="en-GB"/>
        </w:rPr>
        <w:t xml:space="preserve"> androgenesis;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doubled haploid; embryogenesis; haploid induction; rice breeding; synthetic apomixis</w:t>
      </w:r>
    </w:p>
    <w:p w14:paraId="40542E5C"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788349BF"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1. Introduction</w:t>
      </w:r>
    </w:p>
    <w:p w14:paraId="5FB12BC8"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1.1 Rice, breeding efficiency, and the rationale for haploid technologies</w:t>
      </w:r>
    </w:p>
    <w:p w14:paraId="3430D650" w14:textId="64D41ED5"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hAnsi="Times New Roman" w:cs="Times New Roman"/>
        </w:rPr>
        <w:t>Rice (</w:t>
      </w:r>
      <w:r w:rsidRPr="00BE6AEB">
        <w:rPr>
          <w:rFonts w:ascii="Times New Roman" w:hAnsi="Times New Roman" w:cs="Times New Roman"/>
          <w:i/>
        </w:rPr>
        <w:t>Oryza sativa</w:t>
      </w:r>
      <w:r w:rsidRPr="00BE6AEB">
        <w:rPr>
          <w:rFonts w:ascii="Times New Roman" w:hAnsi="Times New Roman" w:cs="Times New Roman"/>
        </w:rPr>
        <w:t xml:space="preserve"> L.) sustains more than half of the global population as a primary calorific source, and its genetic improvement remains central to food security under conditions of population growth, shrinking arable land, and an increasingly variable climate (Lin et al., 2026). Conventional pedigree breeding requires repeated cycles of </w:t>
      </w:r>
      <w:proofErr w:type="spellStart"/>
      <w:r w:rsidRPr="00BE6AEB">
        <w:rPr>
          <w:rFonts w:ascii="Times New Roman" w:hAnsi="Times New Roman" w:cs="Times New Roman"/>
        </w:rPr>
        <w:t>selfing</w:t>
      </w:r>
      <w:proofErr w:type="spellEnd"/>
      <w:r w:rsidRPr="00BE6AEB">
        <w:rPr>
          <w:rFonts w:ascii="Times New Roman" w:hAnsi="Times New Roman" w:cs="Times New Roman"/>
        </w:rPr>
        <w:t xml:space="preserve"> across five to eight generations before segregating progeny stabilise into homozygous lines—a pace that struggles to keep up with the speed at which new biotic and abiotic stresses emerge across rice-growing regions (Bhuyan et al., 2025). Doubled haploid (DH) technology shortens this trajectory considerably: a single haploid cell, once doubled in chromosome number, yields a fully homozygous individual within one generation, collapsing several years of inbreeding into a single cycle of in vitro or in vivo manipulation (Mishra &amp; Rao, 2016). It is this acceleration that explains the durable interest rice breeders have shown in androgenesis-based haploid production and, more recently, in genetically engineered haploid-inducer systems that achieve </w:t>
      </w:r>
      <w:r w:rsidRPr="00BE6AEB">
        <w:rPr>
          <w:rFonts w:ascii="Times New Roman" w:hAnsi="Times New Roman" w:cs="Times New Roman"/>
        </w:rPr>
        <w:lastRenderedPageBreak/>
        <w:t>a comparable outcome without recourse to tissue culture.</w:t>
      </w:r>
      <w:r w:rsidR="000425C1">
        <w:rPr>
          <w:rFonts w:ascii="Times New Roman" w:eastAsia="Times New Roman" w:hAnsi="Times New Roman" w:cs="Times New Roman"/>
          <w:sz w:val="24"/>
          <w:szCs w:val="24"/>
          <w:lang w:eastAsia="en-GB"/>
        </w:rPr>
        <w:t xml:space="preserve"> </w:t>
      </w:r>
      <w:r w:rsidRPr="000425C1">
        <w:rPr>
          <w:bCs/>
          <w:highlight w:val="yellow"/>
        </w:rPr>
        <w:t>Recent breeding applications further illustrate this rationale: anther culture-derived doubled haploid lines have been used as fixed materials for selecting drought-responsive upland rice genotypes, while superior in vivo haploid-inducer lines have begun to support larger-scale haploid production in photoperiod- and thermo-sensitive genic male sterile backgrounds (Tripathy &amp; Maharana, 2024; Liu et al., 2024).</w:t>
      </w:r>
      <w:r w:rsidR="000425C1" w:rsidRPr="000425C1">
        <w:rPr>
          <w:rFonts w:ascii="Times New Roman" w:eastAsia="Times New Roman" w:hAnsi="Times New Roman" w:cs="Times New Roman"/>
          <w:bCs/>
          <w:sz w:val="24"/>
          <w:szCs w:val="24"/>
          <w:lang w:eastAsia="en-GB"/>
        </w:rPr>
        <w:t xml:space="preserve"> </w:t>
      </w:r>
      <w:r w:rsidRPr="000425C1">
        <w:rPr>
          <w:bCs/>
          <w:highlight w:val="yellow"/>
        </w:rPr>
        <w:t>Recent indica rice work using doubled haploid lines for early-stage drought screening further supports the value of DH populations as stable experimental and breeding materials for stress-resilience assessment (Singh et al., 2025).</w:t>
      </w:r>
    </w:p>
    <w:p w14:paraId="5A0157CE"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1.2 Androgenesis and embryogenesis: a conceptual framework</w:t>
      </w:r>
    </w:p>
    <w:p w14:paraId="509A89A9" w14:textId="491F944C" w:rsidR="00C1273A" w:rsidRPr="000425C1"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Androgenesis refers to the developmental reprogramming of the male gametophyte—the immature pollen grain or microspore—away from its normal gametophytic differentiation pathway and towards a </w:t>
      </w:r>
      <w:proofErr w:type="spellStart"/>
      <w:r w:rsidRPr="00BE6AEB">
        <w:rPr>
          <w:rFonts w:ascii="Times New Roman" w:eastAsia="Times New Roman" w:hAnsi="Times New Roman" w:cs="Times New Roman"/>
          <w:sz w:val="24"/>
          <w:szCs w:val="24"/>
          <w:lang w:eastAsia="en-GB"/>
        </w:rPr>
        <w:t>sporophytic</w:t>
      </w:r>
      <w:proofErr w:type="spellEnd"/>
      <w:r w:rsidRPr="00BE6AEB">
        <w:rPr>
          <w:rFonts w:ascii="Times New Roman" w:eastAsia="Times New Roman" w:hAnsi="Times New Roman" w:cs="Times New Roman"/>
          <w:sz w:val="24"/>
          <w:szCs w:val="24"/>
          <w:lang w:eastAsia="en-GB"/>
        </w:rPr>
        <w:t>, embryogenic one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Induced in vitro, typically through stress pre-treatment of excised anthers or isolated microspores, androgenesis culminates in the formation of haploid or, following spontaneous or induced chromosome doubling, doubled haploid embryos and plantlets. Embryogenesis is the broader developmental programme of which androgenesis is one expression: the process by which a totipotent cell—whether a fertilised zygote, an unfertilised egg cell, a somatic cell within a callus, or a reprogrammed microspore—acquires an organised embryonic body plan. Seen this way, androgenesis is best understood as one of several routes by which embryogenesis can be triggered outside the conventional sexual cycle, alongside gynogenesis (embryogenesis from the female gametophyte), somatic embryogenesis (embryogenesis from differentiated vegetative tissue), and, most recently, synthetic parthenogenesis and apomixis, in which embryogenic competence is engineered directly into the egg cell or zygote of a hybrid plant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2019;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&amp; Sundaresan, 2021). These pathways converge on a shared biological problem—how a cell with restricted developmental potential is reprogrammed towards totipotency—and rice has become one of the principal systems in which this problem has been dissected at the molecular level.</w:t>
      </w:r>
      <w:r w:rsidR="000425C1">
        <w:rPr>
          <w:rFonts w:ascii="Times New Roman" w:eastAsia="Times New Roman" w:hAnsi="Times New Roman" w:cs="Times New Roman"/>
          <w:sz w:val="24"/>
          <w:szCs w:val="24"/>
          <w:lang w:eastAsia="en-GB"/>
        </w:rPr>
        <w:t xml:space="preserve"> </w:t>
      </w:r>
      <w:r w:rsidRPr="000425C1">
        <w:rPr>
          <w:bCs/>
          <w:highlight w:val="yellow"/>
        </w:rPr>
        <w:t>Recent comparative transcriptomic evidence from rice microspore culture indicates that embryogenic initiation differs between japonica and indica backgrounds at the level of early stress and developmental transcriptional responses, reinforcing the view that embryogenesis is both a cellular reprogramming process and a genotype-conditioned outcome (Zhang et al., 2025).</w:t>
      </w:r>
    </w:p>
    <w:p w14:paraId="0BA9029B"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1.3 A short history of androgenesis research in rice</w:t>
      </w:r>
    </w:p>
    <w:p w14:paraId="6DD5A72F"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hAnsi="Times New Roman" w:cs="Times New Roman"/>
        </w:rPr>
        <w:t xml:space="preserve">In vitro anther culture in rice was first reported in the late 1960s, and over the following decades incremental refinements of induction and regeneration media, pre-treatment regimes, and donor-plant management turned androgenesis from a laboratory curiosity into a working breeding tool, capable of generating commercially released japonica varieties, particularly in China, Hungary, and other temperate rice-growing regions (Chen et al., 2025; Feng et al., 2026). Indica rice, which dominates production across South and Southeast Asia, proved comparatively recalcitrant to </w:t>
      </w:r>
      <w:proofErr w:type="spellStart"/>
      <w:r w:rsidRPr="00BE6AEB">
        <w:rPr>
          <w:rFonts w:ascii="Times New Roman" w:hAnsi="Times New Roman" w:cs="Times New Roman"/>
        </w:rPr>
        <w:t>anther</w:t>
      </w:r>
      <w:proofErr w:type="spellEnd"/>
      <w:r w:rsidRPr="00BE6AEB">
        <w:rPr>
          <w:rFonts w:ascii="Times New Roman" w:hAnsi="Times New Roman" w:cs="Times New Roman"/>
        </w:rPr>
        <w:t xml:space="preserve"> culture, a disparity that has motivated a substantial methodological literature aimed at optimising media composition, stress pre-treatments, and carbohydrate sources for indica genotypes specifically (Dash et al., 2022), as well as parallel refinements addressed to temperate japonica backgrounds, where similar fine-tuning has likewise proved necessary (Sakina et al., 2020). The discovery, in maize, that a native mutation in the pollen-specific phospholipase gene MATRILINEAL (MTL) could trigger in vivo haploid induction (Yao et al., 2018) opened a parallel, largely independent research trajectory in rice, in which haploid production is achieved through targeted mutagenesis of conserved phospholipase and aspartic protease genes rather than through tissue culture. More recently still, the molecular characterisation of the BABY BOOM (BBM) transcription factor family and its role in initiating both zygotic and ectopic embryogenesis (</w:t>
      </w:r>
      <w:proofErr w:type="spellStart"/>
      <w:r w:rsidRPr="00BE6AEB">
        <w:rPr>
          <w:rFonts w:ascii="Times New Roman" w:hAnsi="Times New Roman" w:cs="Times New Roman"/>
        </w:rPr>
        <w:t>Khanday</w:t>
      </w:r>
      <w:proofErr w:type="spellEnd"/>
      <w:r w:rsidRPr="00BE6AEB">
        <w:rPr>
          <w:rFonts w:ascii="Times New Roman" w:hAnsi="Times New Roman" w:cs="Times New Roman"/>
        </w:rPr>
        <w:t xml:space="preserve"> et al., 2019, 2023; Ren et al., 2024) has </w:t>
      </w:r>
      <w:r w:rsidRPr="00BE6AEB">
        <w:rPr>
          <w:rFonts w:ascii="Times New Roman" w:hAnsi="Times New Roman" w:cs="Times New Roman"/>
        </w:rPr>
        <w:lastRenderedPageBreak/>
        <w:t>provided a mechanistic bridge between androgenesis, gynogenesis, and the engineering of synthetic apomixis, placing rice at the centre of efforts to fix hybrid vigour through clonal seed production (Vernet et al., 2022; Wang et al., 2019).</w:t>
      </w:r>
    </w:p>
    <w:p w14:paraId="53A006FD" w14:textId="77777777" w:rsidR="00C1273A" w:rsidRPr="000425C1" w:rsidRDefault="00C1273A" w:rsidP="000425C1">
      <w:pPr>
        <w:spacing w:before="100" w:beforeAutospacing="1" w:after="100" w:afterAutospacing="1" w:line="240" w:lineRule="auto"/>
        <w:jc w:val="both"/>
        <w:rPr>
          <w:rFonts w:ascii="Times New Roman" w:eastAsia="Times New Roman" w:hAnsi="Times New Roman" w:cs="Times New Roman"/>
          <w:bCs/>
          <w:sz w:val="24"/>
          <w:szCs w:val="24"/>
          <w:lang w:eastAsia="en-GB"/>
        </w:rPr>
      </w:pPr>
      <w:r w:rsidRPr="000425C1">
        <w:rPr>
          <w:bCs/>
          <w:highlight w:val="yellow"/>
        </w:rPr>
        <w:t>Although these advances have clarified several cellular and molecular entry points into haploid and doubled haploid production, the literature remains fragmented across tissue-culture physiology, haploid-inducer genetics, and engineered embryogenesis; therefore, an integrated review is still needed to compare these routes while retaining attention to genotype dependence, fertility costs, albinism, and deployment constraints in rice breeding.</w:t>
      </w:r>
    </w:p>
    <w:p w14:paraId="387BA83A"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1.4 Scope and objectives of this review</w:t>
      </w:r>
    </w:p>
    <w:p w14:paraId="7AF19BBF"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This review addresses three interconnected questions. First, what cellular and molecular events underlie the redirection of microspores, egg cells, and somatic cells towards embryogenic fates in rice, and how do these mechanisms differ across androgenic, gynogenic, somatic, and synthetic embryogenic pathways? Second, how do the principal in vitro platforms (anther culture and isolated microspore culture) and in vivo platforms (haploid-inducer genotypes generated by genome editing) compare in terms of induction efficiency, genotype dependence, and downstream fertility and genomic stability, and what persistent technical bottlenecks—most notably albinism and indica recalcitrance—continue to limit their deployment? Third, how have these technologies translated into concrete breeding outcomes, including quantitative trait locus mapping populations, improved parental and restorer lines, transformation platforms, and emerging synthetic apomixis systems aimed at fixing heterosis in hybrid rice? The review moves from cellular mechanism, through methodological comparison, to applied breeding outcome, before closing with a critical appraisal of unresolved constraints and a statement of the limitations inherent to a narrative synthesis of this kind.</w:t>
      </w:r>
    </w:p>
    <w:p w14:paraId="21F0F70F"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3442B9EA"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2. Methods for Literature Selection</w:t>
      </w:r>
    </w:p>
    <w:p w14:paraId="7EE31A13"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This review was conducted as a narrative rather than a systematic review. That choice reflects the breadth and methodological heterogeneity of the rice androgenesis and embryogenesis literature, which spans plant physiology, molecular genetics, genome editing, and applied breeding, and which does not lend itself to a single, pre-registered protocol with a homogeneous outcome measure. Narrative review remains an appropriate and recognised format for synthesising mechanistic and technological literature of this kind, allowing the material to be organised thematically around biological processes and technological platforms rather than around a narrowly defined clinical or agronomic outcome; even so, the review was conducted with explicit attention to the transparency expected of good narrative synthesis, including clear reporting of search strategy, source-selection criteria, and the rationale for the chosen format (</w:t>
      </w:r>
      <w:proofErr w:type="spellStart"/>
      <w:r w:rsidRPr="00BE6AEB">
        <w:rPr>
          <w:rFonts w:ascii="Times New Roman" w:eastAsia="Times New Roman" w:hAnsi="Times New Roman" w:cs="Times New Roman"/>
          <w:sz w:val="24"/>
          <w:szCs w:val="24"/>
          <w:lang w:eastAsia="en-GB"/>
        </w:rPr>
        <w:t>Baethge</w:t>
      </w:r>
      <w:proofErr w:type="spellEnd"/>
      <w:r w:rsidRPr="00BE6AEB">
        <w:rPr>
          <w:rFonts w:ascii="Times New Roman" w:eastAsia="Times New Roman" w:hAnsi="Times New Roman" w:cs="Times New Roman"/>
          <w:sz w:val="24"/>
          <w:szCs w:val="24"/>
          <w:lang w:eastAsia="en-GB"/>
        </w:rPr>
        <w:t xml:space="preserve"> et al., 2019).</w:t>
      </w:r>
    </w:p>
    <w:p w14:paraId="696C4376" w14:textId="62828F50"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hAnsi="Times New Roman" w:cs="Times New Roman"/>
        </w:rPr>
        <w:t xml:space="preserve">Literature was identified through structured searches of Web of Science, Scopus, PubMed, and Google Scholar, supplemented by field-specific indexing resources comprising AGRICOLA, CAB Abstracts, the Directory of Open Access Journals, BIOSIS Previews, Agris (the FAO international information system for agricultural sciences and technology), and the China National Knowledge Infrastructure—the last included given the substantial contribution of Chinese rice-breeding institutions to </w:t>
      </w:r>
      <w:proofErr w:type="spellStart"/>
      <w:r w:rsidRPr="00BE6AEB">
        <w:rPr>
          <w:rFonts w:ascii="Times New Roman" w:hAnsi="Times New Roman" w:cs="Times New Roman"/>
        </w:rPr>
        <w:t>anther</w:t>
      </w:r>
      <w:proofErr w:type="spellEnd"/>
      <w:r w:rsidRPr="00BE6AEB">
        <w:rPr>
          <w:rFonts w:ascii="Times New Roman" w:hAnsi="Times New Roman" w:cs="Times New Roman"/>
        </w:rPr>
        <w:t xml:space="preserve"> culture methodology and haploid-inducer genetics. Search strings combined the core terms "rice" or "</w:t>
      </w:r>
      <w:r w:rsidRPr="00BE6AEB">
        <w:rPr>
          <w:rFonts w:ascii="Times New Roman" w:hAnsi="Times New Roman" w:cs="Times New Roman"/>
          <w:i/>
        </w:rPr>
        <w:t>Oryza sativa</w:t>
      </w:r>
      <w:r w:rsidRPr="00BE6AEB">
        <w:rPr>
          <w:rFonts w:ascii="Times New Roman" w:hAnsi="Times New Roman" w:cs="Times New Roman"/>
        </w:rPr>
        <w:t>" with "androgenesis", "</w:t>
      </w:r>
      <w:proofErr w:type="spellStart"/>
      <w:r w:rsidRPr="00BE6AEB">
        <w:rPr>
          <w:rFonts w:ascii="Times New Roman" w:hAnsi="Times New Roman" w:cs="Times New Roman"/>
        </w:rPr>
        <w:t>anther</w:t>
      </w:r>
      <w:proofErr w:type="spellEnd"/>
      <w:r w:rsidRPr="00BE6AEB">
        <w:rPr>
          <w:rFonts w:ascii="Times New Roman" w:hAnsi="Times New Roman" w:cs="Times New Roman"/>
        </w:rPr>
        <w:t xml:space="preserve"> culture", "microspore culture", </w:t>
      </w:r>
      <w:r w:rsidRPr="00BE6AEB">
        <w:rPr>
          <w:rFonts w:ascii="Times New Roman" w:hAnsi="Times New Roman" w:cs="Times New Roman"/>
        </w:rPr>
        <w:lastRenderedPageBreak/>
        <w:t>"haploid induction", "doubled haploid", "somatic embryogenesis", "gynogenesis", "synthetic apomixis", "BABY BOOM", "MATRILINEAL", and related gene names (</w:t>
      </w:r>
      <w:proofErr w:type="spellStart"/>
      <w:r w:rsidRPr="00BE6AEB">
        <w:rPr>
          <w:rFonts w:ascii="Times New Roman" w:hAnsi="Times New Roman" w:cs="Times New Roman"/>
        </w:rPr>
        <w:t>OsMATL</w:t>
      </w:r>
      <w:proofErr w:type="spellEnd"/>
      <w:r w:rsidRPr="00BE6AEB">
        <w:rPr>
          <w:rFonts w:ascii="Times New Roman" w:hAnsi="Times New Roman" w:cs="Times New Roman"/>
        </w:rPr>
        <w:t xml:space="preserve">, </w:t>
      </w:r>
      <w:proofErr w:type="spellStart"/>
      <w:r w:rsidRPr="00BE6AEB">
        <w:rPr>
          <w:rFonts w:ascii="Times New Roman" w:hAnsi="Times New Roman" w:cs="Times New Roman"/>
        </w:rPr>
        <w:t>OsDMP</w:t>
      </w:r>
      <w:proofErr w:type="spellEnd"/>
      <w:r w:rsidRPr="00BE6AEB">
        <w:rPr>
          <w:rFonts w:ascii="Times New Roman" w:hAnsi="Times New Roman" w:cs="Times New Roman"/>
        </w:rPr>
        <w:t xml:space="preserve">, OsPLA1, CENH3), combined using Boolean operators. The search covered publications from January 2015 to early </w:t>
      </w:r>
      <w:r w:rsidR="00C8093D">
        <w:rPr>
          <w:rFonts w:ascii="Times New Roman" w:hAnsi="Times New Roman" w:cs="Times New Roman"/>
        </w:rPr>
        <w:t>March</w:t>
      </w:r>
      <w:r w:rsidRPr="00BE6AEB">
        <w:rPr>
          <w:rFonts w:ascii="Times New Roman" w:hAnsi="Times New Roman" w:cs="Times New Roman"/>
        </w:rPr>
        <w:t xml:space="preserve"> 2026, a window chosen to capture both the methodological consolidation of in vitro androgenesis protocols over the past decade and the rapid expansion, from roughly 2018 onward, of in vivo haploid-induction genetics and synthetic apomixis research; a small number of earlier, field-defining studies were retained where they remain the primary reference for a technique still in active use.</w:t>
      </w:r>
    </w:p>
    <w:p w14:paraId="7964E9BE"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Records were screened first by title and abstract for relevance to rice-specific androgenesis, embryogenesis, haploid induction, or closely related applied breeding outcomes, and full texts were then assessed for methodological clarity, publication in a peer-reviewed, indexed journal, and the availability of verifiable bibliographic metadata. Conference abstracts, theses, preprints, patents, and grey literature were excluded, as were studies whose underlying data could not be traced to a peer-reviewed, digital object identifier-bearing publication. Duplicate records retrieved across databases were identified by matching digital object identifiers and retained once. No formal language restriction was applied at the search stage, but in practice almost all studies meeting the inclusion criteria were published in English; non-English sources lacking an English abstract sufficient for assessment were excluded. Influential or field-defining studies were prioritised for inclusion where they represented the original report of a mechanism, gene, or technique—for example, the original description of the BABY BOOM-mediated embryogenic trigger, or the original report of </w:t>
      </w:r>
      <w:r w:rsidRPr="00BE6AEB">
        <w:rPr>
          <w:rFonts w:ascii="Times New Roman" w:eastAsia="Times New Roman" w:hAnsi="Times New Roman" w:cs="Times New Roman"/>
          <w:i/>
          <w:iCs/>
          <w:sz w:val="24"/>
          <w:szCs w:val="24"/>
          <w:lang w:eastAsia="en-GB"/>
        </w:rPr>
        <w:t>MATRILINEAL</w:t>
      </w:r>
      <w:r w:rsidRPr="00BE6AEB">
        <w:rPr>
          <w:rFonts w:ascii="Times New Roman" w:eastAsia="Times New Roman" w:hAnsi="Times New Roman" w:cs="Times New Roman"/>
          <w:sz w:val="24"/>
          <w:szCs w:val="24"/>
          <w:lang w:eastAsia="en-GB"/>
        </w:rPr>
        <w:t>-based haploid induction—even where more recent work had since extended or refined the finding; in such cases both the original and the most recent extending study were generally retained, to preserve historical traceability while still reflecting current understanding.</w:t>
      </w:r>
    </w:p>
    <w:p w14:paraId="2F682319"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49174056"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3. Cellular and Developmental Basis of Androgenesis in Rice</w:t>
      </w:r>
    </w:p>
    <w:p w14:paraId="1C0BFD4F"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3.1 The microspore developmental window and the limits of totipotency</w:t>
      </w:r>
    </w:p>
    <w:p w14:paraId="13017FEA"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rice microspore's capacity to abandon its gametophytic programme and re-enter a </w:t>
      </w:r>
      <w:proofErr w:type="spellStart"/>
      <w:r w:rsidRPr="00BE6AEB">
        <w:rPr>
          <w:rFonts w:ascii="Times New Roman" w:eastAsia="Times New Roman" w:hAnsi="Times New Roman" w:cs="Times New Roman"/>
          <w:sz w:val="24"/>
          <w:szCs w:val="24"/>
          <w:lang w:eastAsia="en-GB"/>
        </w:rPr>
        <w:t>sporophytic</w:t>
      </w:r>
      <w:proofErr w:type="spellEnd"/>
      <w:r w:rsidRPr="00BE6AEB">
        <w:rPr>
          <w:rFonts w:ascii="Times New Roman" w:eastAsia="Times New Roman" w:hAnsi="Times New Roman" w:cs="Times New Roman"/>
          <w:sz w:val="24"/>
          <w:szCs w:val="24"/>
          <w:lang w:eastAsia="en-GB"/>
        </w:rPr>
        <w:t>, mitotic cycle is confined to a narrow developmental window. Microspores are most responsive to androgenic induction around the time of the first pollen mitosis, spanning the mid- to late-uninucleate stage and extending into the early bicellular stage; microspores sampled outside this interval show markedly reduced embryogenic competence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Because this developmental stage cannot be observed directly without destructive cytological sampling, breeders instead rely on correlated, non-destructive proxies—principally the distance between the flag leaf and the penultimate leaf, and the position and colour of the anther within the floret—to identify panicles at the optimal collection stage, a practice formalised across several indica and japonica protocols (Dash et al., 2022; Lantos et al., 2023). The precision with which this window is identified is arguably the single largest contributor to variability in reported induction efficiencies between studies, and several recent protocol papers have placed renewed emphasis on standardising morphological staging criteria as a precondition for reproducible androgenesis (Gao et al., 2024).</w:t>
      </w:r>
    </w:p>
    <w:p w14:paraId="3B950109"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3.2 Stress-induced reprogramming of the male gametophyte</w:t>
      </w:r>
    </w:p>
    <w:p w14:paraId="5E55859E"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Androgenic induction in rice, as in other cereals, depends on imposing a stress stimulus on the collected panicle, anther, or isolated microspore prior to or during culture initiation. Cold pre-treatment, typically in the range of 4–13°C and sustained from several days to several weeks depending on genotype, remains the most widely used stimulus, acting to disrupt the normal gametophytic developmental programme and to favour the survival and subsequent embryogenic division of a subpopulation of microspores (Mishra &amp; Rao, 2016). Carbohydrate stress—whether osmotic or imposed through outright starvation—applied as a pre-culture treatment or simply through the choice of carbon source within the induction medium, has a comparable reprogramming effect; maltose has repeatedly outperformed sucrose both in promoting embryogenic callus formation and in reducing the incidence of albino regenerants, an observation usually attributed to differences in osmotic potential and in the rate at which the two sugars are metabolised within the cultured tissue (</w:t>
      </w:r>
      <w:proofErr w:type="spellStart"/>
      <w:r w:rsidRPr="00BE6AEB">
        <w:rPr>
          <w:rFonts w:ascii="Times New Roman" w:eastAsia="Times New Roman" w:hAnsi="Times New Roman" w:cs="Times New Roman"/>
          <w:sz w:val="24"/>
          <w:szCs w:val="24"/>
          <w:lang w:eastAsia="en-GB"/>
        </w:rPr>
        <w:t>Tajedini</w:t>
      </w:r>
      <w:proofErr w:type="spellEnd"/>
      <w:r w:rsidRPr="00BE6AEB">
        <w:rPr>
          <w:rFonts w:ascii="Times New Roman" w:eastAsia="Times New Roman" w:hAnsi="Times New Roman" w:cs="Times New Roman"/>
          <w:sz w:val="24"/>
          <w:szCs w:val="24"/>
          <w:lang w:eastAsia="en-GB"/>
        </w:rPr>
        <w:t xml:space="preserve"> et al., 2022). At the cellular level, these stresses appear to act by disrupting the asymmetric, polarised division that normally commits the microspore to a gametophytic fate, permitting instead a symmetric division that initiates a multicellular, callus-like or embryo-like structure; recent isolated microspore culture work in japonica rice has shown that precise control of low-temperature pre-treatment duration, combined with accurate staging of microspore developmental status, can substantially increase the proportion of microspores entering this alternative, </w:t>
      </w:r>
      <w:proofErr w:type="spellStart"/>
      <w:r w:rsidRPr="00BE6AEB">
        <w:rPr>
          <w:rFonts w:ascii="Times New Roman" w:eastAsia="Times New Roman" w:hAnsi="Times New Roman" w:cs="Times New Roman"/>
          <w:sz w:val="24"/>
          <w:szCs w:val="24"/>
          <w:lang w:eastAsia="en-GB"/>
        </w:rPr>
        <w:t>sporophytic</w:t>
      </w:r>
      <w:proofErr w:type="spellEnd"/>
      <w:r w:rsidRPr="00BE6AEB">
        <w:rPr>
          <w:rFonts w:ascii="Times New Roman" w:eastAsia="Times New Roman" w:hAnsi="Times New Roman" w:cs="Times New Roman"/>
          <w:sz w:val="24"/>
          <w:szCs w:val="24"/>
          <w:lang w:eastAsia="en-GB"/>
        </w:rPr>
        <w:t xml:space="preserve"> division pathway (Gao et al., 2024).</w:t>
      </w:r>
    </w:p>
    <w:p w14:paraId="11F3E5F4"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3.3 From reprogrammed microspore to embryogenic callus</w:t>
      </w:r>
    </w:p>
    <w:p w14:paraId="54C9762A"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Once redirected, microspores in rice typically proceed through an indirect route, forming a disorganised, embryogenic callus from which shoots and roots are subsequently regenerated, rather than developing directly into an organised embryo as occurs in some other species. The genetic and epigenetic regulation of this callus-formation step has only recently begun to be resolved at the molecular level. Work on somatic callus induction—mechanistically continuous with the early stages of androgenic callus formation—has identified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encoding a histone H3K9 methyltransferase, as a positive regulator of callus induction rate, acting through the integration of auxin- and cytokinin-responsive gene expression; CRISPR/Cas9 knockout of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substantially reduces callus induction efficiency and disrupts normal callus morphology (Song et al., 2025). This places callus formation, and by extension the early stages of androgenic reprogramming, within a broader epigenetic landscape in which histone modification states govern the developmental plasticity of cells exposed to exogenous auxin and cytokinin—a landscape increasingly recognised as shared between androgenic, somatic, and gynogenic embryogenesis pathways (Song et al., 2025). Segregation distortion patterns observed in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culture-derived doubled haploid populations, in which particular chromosomal regions are over- or under-represented among regenerated plants relative to Mendelian expectation, offer complementary, population-genetic evidence that anther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is itself a genetically and epigenetically determined trait rather than a uniform property of the rice genome (Sun et al., 2023).</w:t>
      </w:r>
    </w:p>
    <w:p w14:paraId="4FC70FC2"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Table 1. Selected factors influencing anther and microspore culture efficiency in rice, as reported in recent indica and japonica protocols</w:t>
      </w:r>
    </w:p>
    <w:tbl>
      <w:tblPr>
        <w:tblStyle w:val="TableGrid"/>
        <w:tblW w:w="0" w:type="auto"/>
        <w:tblLook w:val="04A0" w:firstRow="1" w:lastRow="0" w:firstColumn="1" w:lastColumn="0" w:noHBand="0" w:noVBand="1"/>
      </w:tblPr>
      <w:tblGrid>
        <w:gridCol w:w="2557"/>
        <w:gridCol w:w="3102"/>
        <w:gridCol w:w="3583"/>
      </w:tblGrid>
      <w:tr w:rsidR="00C1273A" w:rsidRPr="00BE6AEB" w14:paraId="7BDB128A" w14:textId="77777777" w:rsidTr="00BE6AEB">
        <w:tc>
          <w:tcPr>
            <w:tcW w:w="0" w:type="auto"/>
            <w:hideMark/>
          </w:tcPr>
          <w:p w14:paraId="22B471E6"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Factor</w:t>
            </w:r>
          </w:p>
        </w:tc>
        <w:tc>
          <w:tcPr>
            <w:tcW w:w="0" w:type="auto"/>
            <w:hideMark/>
          </w:tcPr>
          <w:p w14:paraId="7F825805"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Reported effect</w:t>
            </w:r>
          </w:p>
        </w:tc>
        <w:tc>
          <w:tcPr>
            <w:tcW w:w="0" w:type="auto"/>
            <w:hideMark/>
          </w:tcPr>
          <w:p w14:paraId="4677C55B"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Representative finding</w:t>
            </w:r>
          </w:p>
        </w:tc>
      </w:tr>
      <w:tr w:rsidR="00C1273A" w:rsidRPr="00BE6AEB" w14:paraId="3B765A59" w14:textId="77777777" w:rsidTr="00BE6AEB">
        <w:tc>
          <w:tcPr>
            <w:tcW w:w="0" w:type="auto"/>
            <w:hideMark/>
          </w:tcPr>
          <w:p w14:paraId="1E633A36"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Genotype/subspecies</w:t>
            </w:r>
          </w:p>
        </w:tc>
        <w:tc>
          <w:tcPr>
            <w:tcW w:w="0" w:type="auto"/>
            <w:hideMark/>
          </w:tcPr>
          <w:p w14:paraId="5FBCE9AE"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Strong, often dominant determinant of callus induction and green-plant regeneration rate</w:t>
            </w:r>
          </w:p>
        </w:tc>
        <w:tc>
          <w:tcPr>
            <w:tcW w:w="0" w:type="auto"/>
            <w:hideMark/>
          </w:tcPr>
          <w:p w14:paraId="6D5D9DA9"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Calli/100 anthers varied from 264.60 to 468.80 across five temperate rice genotypes evaluated on the same induction </w:t>
            </w:r>
            <w:r w:rsidRPr="00BE6AEB">
              <w:rPr>
                <w:rFonts w:ascii="Times New Roman" w:eastAsia="Times New Roman" w:hAnsi="Times New Roman" w:cs="Times New Roman"/>
                <w:sz w:val="24"/>
                <w:szCs w:val="24"/>
                <w:lang w:eastAsia="en-GB"/>
              </w:rPr>
              <w:lastRenderedPageBreak/>
              <w:t>medium</w:t>
            </w:r>
          </w:p>
        </w:tc>
      </w:tr>
      <w:tr w:rsidR="00C1273A" w:rsidRPr="00BE6AEB" w14:paraId="3F4A89BE" w14:textId="77777777" w:rsidTr="00BE6AEB">
        <w:tc>
          <w:tcPr>
            <w:tcW w:w="0" w:type="auto"/>
            <w:hideMark/>
          </w:tcPr>
          <w:p w14:paraId="4674EF35"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Cold pre-treatment</w:t>
            </w:r>
          </w:p>
        </w:tc>
        <w:tc>
          <w:tcPr>
            <w:tcW w:w="0" w:type="auto"/>
            <w:hideMark/>
          </w:tcPr>
          <w:p w14:paraId="0F09AD28"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Increases embryogenic competence by disrupting gametophytic programme</w:t>
            </w:r>
          </w:p>
        </w:tc>
        <w:tc>
          <w:tcPr>
            <w:tcW w:w="0" w:type="auto"/>
            <w:hideMark/>
          </w:tcPr>
          <w:p w14:paraId="01449666"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8–13°C for 7–14 days improved induction in indica and japonica backgrounds</w:t>
            </w:r>
          </w:p>
        </w:tc>
      </w:tr>
      <w:tr w:rsidR="00C1273A" w:rsidRPr="00BE6AEB" w14:paraId="420F20E8" w14:textId="77777777" w:rsidTr="00BE6AEB">
        <w:tc>
          <w:tcPr>
            <w:tcW w:w="0" w:type="auto"/>
            <w:hideMark/>
          </w:tcPr>
          <w:p w14:paraId="29930AD4"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Carbohydrate source</w:t>
            </w:r>
          </w:p>
        </w:tc>
        <w:tc>
          <w:tcPr>
            <w:tcW w:w="0" w:type="auto"/>
            <w:hideMark/>
          </w:tcPr>
          <w:p w14:paraId="09132CED"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Maltose favours embryogenesis and reduces albinism relative to sucrose</w:t>
            </w:r>
          </w:p>
        </w:tc>
        <w:tc>
          <w:tcPr>
            <w:tcW w:w="0" w:type="auto"/>
            <w:hideMark/>
          </w:tcPr>
          <w:p w14:paraId="3FAF45A2"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Maltose-supplemented media improved green plantlet yield and reduced albino frequency</w:t>
            </w:r>
          </w:p>
        </w:tc>
      </w:tr>
      <w:tr w:rsidR="00C1273A" w:rsidRPr="00BE6AEB" w14:paraId="059DA48D" w14:textId="77777777" w:rsidTr="00BE6AEB">
        <w:tc>
          <w:tcPr>
            <w:tcW w:w="0" w:type="auto"/>
            <w:hideMark/>
          </w:tcPr>
          <w:p w14:paraId="596E41F1"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Induction medium composition</w:t>
            </w:r>
          </w:p>
        </w:tc>
        <w:tc>
          <w:tcPr>
            <w:tcW w:w="0" w:type="auto"/>
            <w:hideMark/>
          </w:tcPr>
          <w:p w14:paraId="75E49656"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N6- and modified N6-based media generally outperform MS-based induction media</w:t>
            </w:r>
          </w:p>
        </w:tc>
        <w:tc>
          <w:tcPr>
            <w:tcW w:w="0" w:type="auto"/>
            <w:hideMark/>
          </w:tcPr>
          <w:p w14:paraId="5D684EA3"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N6NDZ medium yielded an average of 103.88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per 100 anthers versus 6.96 for Ali-1 medium</w:t>
            </w:r>
          </w:p>
        </w:tc>
      </w:tr>
      <w:tr w:rsidR="00C1273A" w:rsidRPr="00BE6AEB" w14:paraId="2FC64A07" w14:textId="77777777" w:rsidTr="00BE6AEB">
        <w:tc>
          <w:tcPr>
            <w:tcW w:w="0" w:type="auto"/>
            <w:hideMark/>
          </w:tcPr>
          <w:p w14:paraId="0BBE66D4"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Microspore developmental stage</w:t>
            </w:r>
          </w:p>
        </w:tc>
        <w:tc>
          <w:tcPr>
            <w:tcW w:w="0" w:type="auto"/>
            <w:hideMark/>
          </w:tcPr>
          <w:p w14:paraId="227B8FEF"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Mid- to late-uninucleate stage is optimal; precise staging improves reproducibility</w:t>
            </w:r>
          </w:p>
        </w:tc>
        <w:tc>
          <w:tcPr>
            <w:tcW w:w="0" w:type="auto"/>
            <w:hideMark/>
          </w:tcPr>
          <w:p w14:paraId="794D9126"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Yellow-green florets at defined panicle positions identified as the optimal collection stage</w:t>
            </w:r>
          </w:p>
        </w:tc>
      </w:tr>
      <w:tr w:rsidR="00C1273A" w:rsidRPr="00BE6AEB" w14:paraId="46226E37" w14:textId="77777777" w:rsidTr="00BE6AEB">
        <w:tc>
          <w:tcPr>
            <w:tcW w:w="0" w:type="auto"/>
            <w:hideMark/>
          </w:tcPr>
          <w:p w14:paraId="6512C5AF"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Regeneration medium hormone balance</w:t>
            </w:r>
          </w:p>
        </w:tc>
        <w:tc>
          <w:tcPr>
            <w:tcW w:w="0" w:type="auto"/>
            <w:hideMark/>
          </w:tcPr>
          <w:p w14:paraId="1C36ADEF"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Combined auxin–cytokinin formulations (e.g., NAA, BAP, kinetin) maximise green plantlet recovery</w:t>
            </w:r>
          </w:p>
        </w:tc>
        <w:tc>
          <w:tcPr>
            <w:tcW w:w="0" w:type="auto"/>
            <w:hideMark/>
          </w:tcPr>
          <w:p w14:paraId="78BB57C1"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Up to 95.2 green plantlets per 100 anthers achieved with an optimised regeneration medium</w:t>
            </w:r>
          </w:p>
        </w:tc>
      </w:tr>
    </w:tbl>
    <w:p w14:paraId="31EB0B6C"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F62F3">
        <w:rPr>
          <w:rFonts w:ascii="Times New Roman" w:eastAsia="Times New Roman" w:hAnsi="Times New Roman" w:cs="Times New Roman"/>
          <w:i/>
          <w:iCs/>
          <w:sz w:val="24"/>
          <w:szCs w:val="24"/>
          <w:lang w:val="nl-BE" w:eastAsia="en-GB"/>
        </w:rPr>
        <w:t xml:space="preserve">Sources: Dash et al. (2022); Gao et al. (2024); Lantos et al. (2022, 2023); Sakina et al. (2020); Tajedini et al. </w:t>
      </w:r>
      <w:r w:rsidRPr="00BE6AEB">
        <w:rPr>
          <w:rFonts w:ascii="Times New Roman" w:eastAsia="Times New Roman" w:hAnsi="Times New Roman" w:cs="Times New Roman"/>
          <w:i/>
          <w:iCs/>
          <w:sz w:val="24"/>
          <w:szCs w:val="24"/>
          <w:lang w:eastAsia="en-GB"/>
        </w:rPr>
        <w:t>(2022).</w:t>
      </w:r>
    </w:p>
    <w:p w14:paraId="2122071A"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Table 1 brings together the principal experimental levers that recent rice androgenesis studies have manipulated in pursuit of higher and more reproducible induction efficiency. What stands out is how consistently genotype emerges as the dominant source of variance, even after pre-treatment, medium, and carbohydrate source have all been optimised—a pattern that underpins the argument developed in Section 4, that protocol refinement alone is unlikely to fully resolve the indica recalcitrance problem, and that genetic dissection of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itself will probably be needed for further progress.</w:t>
      </w:r>
    </w:p>
    <w:p w14:paraId="31773442"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451C8A37"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4. In Vitro Androgenesis: Protocols, Media, and Genotype Dependency</w:t>
      </w:r>
    </w:p>
    <w:p w14:paraId="72EF2955"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4.1 Anther culture: protocol architecture and recent refinements</w:t>
      </w:r>
    </w:p>
    <w:p w14:paraId="5C119B69"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proceeds through two operationally distinct phases: an induction phase, in which excised anthers are cultured on a callus-inducing medium, typically based on N6 or modified N6 formulations supplemented with auxins such as 2,4-dichlorophenoxyacetic acid (2,4-D) or naphthaleneacetic acid (NAA) alongside a cytokinin, and a regeneration phase, in which induced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are transferred to a hormonally distinct medium that favours shoot and root organogenesis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Recent comparative work in temperate japonica rice has shown that systematic variation of induction medium composition—including substitution of standard N6 with modified formulations incorporating silver nitrate, kinetin, and zeatin in differing ratios—can shift callus induction rates from negligible to several hundred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per hundred anthers, with corresponding but proportionally smaller gains in green plantlet recovery (Lantos et al., 2022, 2023). A parallel line of work has tried to establish a single, generic anther culture workflow applicable across both japonica and indica genotypes, using a modified M8 medium tested across fifteen genotypes; although absolute induction rates remained genotype-dependent, ranging from under one to nearly </w:t>
      </w:r>
      <w:r w:rsidRPr="00BE6AEB">
        <w:rPr>
          <w:rFonts w:ascii="Times New Roman" w:eastAsia="Times New Roman" w:hAnsi="Times New Roman" w:cs="Times New Roman"/>
          <w:sz w:val="24"/>
          <w:szCs w:val="24"/>
          <w:lang w:eastAsia="en-GB"/>
        </w:rPr>
        <w:lastRenderedPageBreak/>
        <w:t xml:space="preserve">fourteen per cent of cultured anthers forming callus, the study showed that a shared protocol architecture, rather than genotype-bespoke optimisation, could achieve workable efficiencies across both subspecies—a result of real practical value for breeding programmes that must process heterogeneous germplasm (Guo et al., 2024). In China, where anther culture-derived rice varieties have entered commercial cultivation over several decades, accumulated breeding experience has been distilled into broader recommendations regarding panicle pre-treatment duration, induction medium nitrogen source, and acclimatisation procedures for regenerated plantlets, reflecting the maturity of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as an operational, if still imperfect, breeding tool in that context (Chen et al., 2025).</w:t>
      </w:r>
    </w:p>
    <w:p w14:paraId="2A83FCF6"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4.2 Isolated microspore culture: a single-cell platform with persistent limitations</w:t>
      </w:r>
    </w:p>
    <w:p w14:paraId="248C3FD6"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Isolated microspore culture removes the confounding influence of surrounding anther wall and connective tissue, offering both a cleaner experimental system for studying microspore embryogenesis and, in principle, a route to higher induction efficiencies and more uniform doubled haploid populations than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allows. In practice, rice microspore culture has lagged behind its application in other cereals such as barley and wheat, hampered by low callus induction rates, weak regeneration capacity, and pronounced genotype dependency (Gao et al., 2024). Recent protocol development in japonica rice has shown that low-temperature pre-treatment at 4°C for ten to fifteen days, combined with precise identification of the optimal microspore developmental stage through correlated floret colour and panicle position, substantially improves both callus induction and plantlet regeneration, while careful choice of induction medium composition and auxin concentration further shapes outcomes in a genotype-specific way (Gao et al., 2024). Complementary work combining gum </w:t>
      </w:r>
      <w:proofErr w:type="spellStart"/>
      <w:r w:rsidRPr="00BE6AEB">
        <w:rPr>
          <w:rFonts w:ascii="Times New Roman" w:eastAsia="Times New Roman" w:hAnsi="Times New Roman" w:cs="Times New Roman"/>
          <w:sz w:val="24"/>
          <w:szCs w:val="24"/>
          <w:lang w:eastAsia="en-GB"/>
        </w:rPr>
        <w:t>arabic</w:t>
      </w:r>
      <w:proofErr w:type="spellEnd"/>
      <w:r w:rsidRPr="00BE6AEB">
        <w:rPr>
          <w:rFonts w:ascii="Times New Roman" w:eastAsia="Times New Roman" w:hAnsi="Times New Roman" w:cs="Times New Roman"/>
          <w:sz w:val="24"/>
          <w:szCs w:val="24"/>
          <w:lang w:eastAsia="en-GB"/>
        </w:rPr>
        <w:t xml:space="preserve"> supplementation, cold shock, and a comparison of shed-microspore versus conventional anther culture pathways in </w:t>
      </w:r>
      <w:proofErr w:type="spellStart"/>
      <w:r w:rsidRPr="00BE6AEB">
        <w:rPr>
          <w:rFonts w:ascii="Times New Roman" w:eastAsia="Times New Roman" w:hAnsi="Times New Roman" w:cs="Times New Roman"/>
          <w:sz w:val="24"/>
          <w:szCs w:val="24"/>
          <w:lang w:eastAsia="en-GB"/>
        </w:rPr>
        <w:t>mutagenised</w:t>
      </w:r>
      <w:proofErr w:type="spellEnd"/>
      <w:r w:rsidRPr="00BE6AEB">
        <w:rPr>
          <w:rFonts w:ascii="Times New Roman" w:eastAsia="Times New Roman" w:hAnsi="Times New Roman" w:cs="Times New Roman"/>
          <w:sz w:val="24"/>
          <w:szCs w:val="24"/>
          <w:lang w:eastAsia="en-GB"/>
        </w:rPr>
        <w:t xml:space="preserve"> indica cultivars has reported that a shed-microspore approach, in which microspores are released from anthers into liquid medium rather than cultured within intact anther sacs, can achieve appreciable haploid induction frequencies while reducing some of the tissue-culture artefacts associated with conventional anther culture—evidence of the continued methodological experimentation occurring at the interface between anther and isolated microspore systems (</w:t>
      </w:r>
      <w:proofErr w:type="spellStart"/>
      <w:r w:rsidRPr="00BE6AEB">
        <w:rPr>
          <w:rFonts w:ascii="Times New Roman" w:eastAsia="Times New Roman" w:hAnsi="Times New Roman" w:cs="Times New Roman"/>
          <w:sz w:val="24"/>
          <w:szCs w:val="24"/>
          <w:lang w:eastAsia="en-GB"/>
        </w:rPr>
        <w:t>Tajedini</w:t>
      </w:r>
      <w:proofErr w:type="spellEnd"/>
      <w:r w:rsidRPr="00BE6AEB">
        <w:rPr>
          <w:rFonts w:ascii="Times New Roman" w:eastAsia="Times New Roman" w:hAnsi="Times New Roman" w:cs="Times New Roman"/>
          <w:sz w:val="24"/>
          <w:szCs w:val="24"/>
          <w:lang w:eastAsia="en-GB"/>
        </w:rPr>
        <w:t xml:space="preserve"> et al., 2022).</w:t>
      </w:r>
    </w:p>
    <w:p w14:paraId="3379BFBF"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 xml:space="preserve">4.3 The genetic basis of anther </w:t>
      </w:r>
      <w:proofErr w:type="spellStart"/>
      <w:r w:rsidRPr="00BE6AEB">
        <w:rPr>
          <w:rFonts w:ascii="Times New Roman" w:eastAsia="Times New Roman" w:hAnsi="Times New Roman" w:cs="Times New Roman"/>
          <w:b/>
          <w:bCs/>
          <w:sz w:val="24"/>
          <w:szCs w:val="24"/>
          <w:lang w:eastAsia="en-GB"/>
        </w:rPr>
        <w:t>culturability</w:t>
      </w:r>
      <w:proofErr w:type="spellEnd"/>
    </w:p>
    <w:p w14:paraId="60BDD568"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The persistent observation that anther culture response varies markedly and reproducibly across rice genotypes has prompted efforts to map the underlying genetic architecture using doubled haploid populations as mapping resources in their own right. Segregation distortion analysis, in which the representation of parental alleles among regenerated doubled haploid individuals is compared against the Mendelian expectation of equal transmission, offers a means of identifying genomic regions that favour or disfavour the chance that a given microspore will successfully complete androgenesis. Applied to a doubled haploid population derived from the japonica hybrid </w:t>
      </w:r>
      <w:proofErr w:type="spellStart"/>
      <w:r w:rsidRPr="00BE6AEB">
        <w:rPr>
          <w:rFonts w:ascii="Times New Roman" w:eastAsia="Times New Roman" w:hAnsi="Times New Roman" w:cs="Times New Roman"/>
          <w:sz w:val="24"/>
          <w:szCs w:val="24"/>
          <w:lang w:eastAsia="en-GB"/>
        </w:rPr>
        <w:t>Shenyou</w:t>
      </w:r>
      <w:proofErr w:type="spellEnd"/>
      <w:r w:rsidRPr="00BE6AEB">
        <w:rPr>
          <w:rFonts w:ascii="Times New Roman" w:eastAsia="Times New Roman" w:hAnsi="Times New Roman" w:cs="Times New Roman"/>
          <w:sz w:val="24"/>
          <w:szCs w:val="24"/>
          <w:lang w:eastAsia="en-GB"/>
        </w:rPr>
        <w:t xml:space="preserve"> 26, this approach identified multiple segregation distortion loci distributed across several chromosomes, with alleles from either parent overrepresented at different loci—indicating that anther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is governed by several genetic factors, dependent on parent of origin, rather than by a single dominant locus (Sun et al., 2023). These findings reinforce the conclusion that genotype dependency in rice androgenesis reflects genuine underlying genetic variation in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rather than purely procedural or environmental noise, and they point towards marker-assisted pre-selection of favourable parental combinations as a strategy that could complement continued protocol optimisation.</w:t>
      </w:r>
    </w:p>
    <w:p w14:paraId="6DB0DA82"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34BBA45D"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5. The Albinism Problem in Androgenic Regeneration</w:t>
      </w:r>
    </w:p>
    <w:p w14:paraId="1D9D566F"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disproportionate fraction of plantlets regenerated through rice anther and microspore culture are chlorophyll-deficient albinos, incapable of autotrophic growth and therefore of no direct breeding value; in some genotype–medium combinations the proportion of albino regenerants can approach or even exceed that of green, fertile plantlets, making this one of the most economically significant inefficiencies in androgenesis-based doubled haploid production (Mishra &amp; Rao, 2016). The phenomenon is now understood to be rooted substantially in instability of the plastid genome during androgenic development. Early molecular analyses demonstrated that a proportion of albino rice plants regenerated from pollen-derived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carry large-scale deletions in their plastid DNA, with the deleted region varying in extent and location between individual albino plants but consistently encompassing genes essential for chloroplast biogenesis;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re-initiated from the roots of these albino plants retained the same deleted plastid genotype, confirming that the deletion arises early in androgenic development and is stably inherited through subsequent rounds of cell division. Together with later work showing that the plastid genome can also carry more subtle alterations affecting plastid ribosome assembly and gene expression—rather than gross deletion alone—these findings have established that albinism in </w:t>
      </w:r>
      <w:proofErr w:type="spellStart"/>
      <w:r w:rsidRPr="00BE6AEB">
        <w:rPr>
          <w:rFonts w:ascii="Times New Roman" w:eastAsia="Times New Roman" w:hAnsi="Times New Roman" w:cs="Times New Roman"/>
          <w:sz w:val="24"/>
          <w:szCs w:val="24"/>
          <w:lang w:eastAsia="en-GB"/>
        </w:rPr>
        <w:t>androgenically</w:t>
      </w:r>
      <w:proofErr w:type="spellEnd"/>
      <w:r w:rsidRPr="00BE6AEB">
        <w:rPr>
          <w:rFonts w:ascii="Times New Roman" w:eastAsia="Times New Roman" w:hAnsi="Times New Roman" w:cs="Times New Roman"/>
          <w:sz w:val="24"/>
          <w:szCs w:val="24"/>
          <w:lang w:eastAsia="en-GB"/>
        </w:rPr>
        <w:t xml:space="preserve"> derived rice plants is mechanistically distinct from the rare albino phenotypes occasionally seen among somatically derived regenerants, and instead is bound up with the unusual cellular environment in which a haploid microspore nucleus is induced to divide repeatedly under in vitro stress, without the normal complement of maternal plastid inheritance signals (Mishra &amp; Rao, 2016;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w:t>
      </w:r>
    </w:p>
    <w:p w14:paraId="3809A137"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Strategies to reduce albinism frequency have centred on three levers, each targeting a different stage of the susceptibility window. First, modifying the carbon source within induction and regeneration media—particularly substituting sucrose with maltose—has repeatedly been associated with reduced albino frequency, plausibly because the slower metabolism of maltose moderates the osmotic and metabolic stress experienced by the developing androgenic embryo during the period of plastid genome replication (</w:t>
      </w:r>
      <w:proofErr w:type="spellStart"/>
      <w:r w:rsidRPr="00BE6AEB">
        <w:rPr>
          <w:rFonts w:ascii="Times New Roman" w:eastAsia="Times New Roman" w:hAnsi="Times New Roman" w:cs="Times New Roman"/>
          <w:sz w:val="24"/>
          <w:szCs w:val="24"/>
          <w:lang w:eastAsia="en-GB"/>
        </w:rPr>
        <w:t>Tajedini</w:t>
      </w:r>
      <w:proofErr w:type="spellEnd"/>
      <w:r w:rsidRPr="00BE6AEB">
        <w:rPr>
          <w:rFonts w:ascii="Times New Roman" w:eastAsia="Times New Roman" w:hAnsi="Times New Roman" w:cs="Times New Roman"/>
          <w:sz w:val="24"/>
          <w:szCs w:val="24"/>
          <w:lang w:eastAsia="en-GB"/>
        </w:rPr>
        <w:t xml:space="preserve"> et al., 2022). Second, careful control of pre-treatment temperature and duration matters, since both insufficient and excessive cold exposure have been linked to elevated albino frequencies in different genotype contexts, while briefer, optimised cold or heat pre-treatments tend to minimise albino incidence while still achieving adequate induction (Mishra &amp; Rao, 2016). Third, selecting induction and regeneration media that minimise the duration and intensity of culture-associated oxidative and osmotic stress has proved useful, an approach reflected in the comparative testing of multiple induction media formulations (N6NDK, N6NDZ, and Ali-1) and multiple regeneration media in recent indica rice anther culture protocols, where green plantlet yield and albino proportion were optimised jointly rather than treated as independent outcomes (Lantos et al., 2023). Despite this accumulated knowledge, albinism remains incompletely controllable through protocol manipulation alone, and its continued prevalence is among the strongest practical arguments in favour of developing in vivo haploid-induction systems that bypass tissue culture altogether—the subject of the following section.</w:t>
      </w:r>
    </w:p>
    <w:p w14:paraId="647A79FE"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49A6FC42"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6. In Vivo Haploid Induction: Genome Editing-Based Androgenesis</w:t>
      </w:r>
    </w:p>
    <w:p w14:paraId="26285AE7"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lastRenderedPageBreak/>
        <w:t>6.1 MATRILINEAL, the phospholipase gene family, and chromosome elimination</w:t>
      </w:r>
    </w:p>
    <w:p w14:paraId="75340B1C"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The discovery that intraspecific haploid induction in maize is triggered by a native frameshift mutation in </w:t>
      </w:r>
      <w:r w:rsidRPr="00BE6AEB">
        <w:rPr>
          <w:rFonts w:ascii="Times New Roman" w:eastAsia="Times New Roman" w:hAnsi="Times New Roman" w:cs="Times New Roman"/>
          <w:i/>
          <w:iCs/>
          <w:sz w:val="24"/>
          <w:szCs w:val="24"/>
          <w:lang w:eastAsia="en-GB"/>
        </w:rPr>
        <w:t>MATRILINEAL</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MTL</w:t>
      </w:r>
      <w:r w:rsidRPr="00BE6AEB">
        <w:rPr>
          <w:rFonts w:ascii="Times New Roman" w:eastAsia="Times New Roman" w:hAnsi="Times New Roman" w:cs="Times New Roman"/>
          <w:sz w:val="24"/>
          <w:szCs w:val="24"/>
          <w:lang w:eastAsia="en-GB"/>
        </w:rPr>
        <w:t xml:space="preserve">, also known as </w:t>
      </w:r>
      <w:r w:rsidRPr="00BE6AEB">
        <w:rPr>
          <w:rFonts w:ascii="Times New Roman" w:eastAsia="Times New Roman" w:hAnsi="Times New Roman" w:cs="Times New Roman"/>
          <w:i/>
          <w:iCs/>
          <w:sz w:val="24"/>
          <w:szCs w:val="24"/>
          <w:lang w:eastAsia="en-GB"/>
        </w:rPr>
        <w:t>NOT LIKE DAD</w:t>
      </w:r>
      <w:r w:rsidRPr="00BE6AEB">
        <w:rPr>
          <w:rFonts w:ascii="Times New Roman" w:eastAsia="Times New Roman" w:hAnsi="Times New Roman" w:cs="Times New Roman"/>
          <w:sz w:val="24"/>
          <w:szCs w:val="24"/>
          <w:lang w:eastAsia="en-GB"/>
        </w:rPr>
        <w:t xml:space="preserve"> or </w:t>
      </w:r>
      <w:proofErr w:type="spellStart"/>
      <w:r w:rsidRPr="00BE6AEB">
        <w:rPr>
          <w:rFonts w:ascii="Times New Roman" w:eastAsia="Times New Roman" w:hAnsi="Times New Roman" w:cs="Times New Roman"/>
          <w:i/>
          <w:iCs/>
          <w:sz w:val="24"/>
          <w:szCs w:val="24"/>
          <w:lang w:eastAsia="en-GB"/>
        </w:rPr>
        <w:t>ZmPHOSPHOLIPASE</w:t>
      </w:r>
      <w:proofErr w:type="spellEnd"/>
      <w:r w:rsidRPr="00BE6AEB">
        <w:rPr>
          <w:rFonts w:ascii="Times New Roman" w:eastAsia="Times New Roman" w:hAnsi="Times New Roman" w:cs="Times New Roman"/>
          <w:i/>
          <w:iCs/>
          <w:sz w:val="24"/>
          <w:szCs w:val="24"/>
          <w:lang w:eastAsia="en-GB"/>
        </w:rPr>
        <w:t xml:space="preserve"> A1</w:t>
      </w:r>
      <w:r w:rsidRPr="00BE6AEB">
        <w:rPr>
          <w:rFonts w:ascii="Times New Roman" w:eastAsia="Times New Roman" w:hAnsi="Times New Roman" w:cs="Times New Roman"/>
          <w:sz w:val="24"/>
          <w:szCs w:val="24"/>
          <w:lang w:eastAsia="en-GB"/>
        </w:rPr>
        <w:t xml:space="preserve">), a pollen-specific phospholipase, opened up an entirely different route to haploid production: rather than reprogramming the microspore in culture, a sperm cell carrying a defective fertilisation-related protein is used to pollinate a normal egg cell, after which the paternal chromosome set is selectively eliminated during early zygotic division, yielding a maternal haploid embryo (Yao et al., 2018). Targeted knockout of the rice orthologue, </w:t>
      </w:r>
      <w:proofErr w:type="spellStart"/>
      <w:r w:rsidRPr="00BE6AEB">
        <w:rPr>
          <w:rFonts w:ascii="Times New Roman" w:eastAsia="Times New Roman" w:hAnsi="Times New Roman" w:cs="Times New Roman"/>
          <w:i/>
          <w:iCs/>
          <w:sz w:val="24"/>
          <w:szCs w:val="24"/>
          <w:lang w:eastAsia="en-GB"/>
        </w:rPr>
        <w:t>OsMATL</w:t>
      </w:r>
      <w:proofErr w:type="spellEnd"/>
      <w:r w:rsidRPr="00BE6AEB">
        <w:rPr>
          <w:rFonts w:ascii="Times New Roman" w:eastAsia="Times New Roman" w:hAnsi="Times New Roman" w:cs="Times New Roman"/>
          <w:sz w:val="24"/>
          <w:szCs w:val="24"/>
          <w:lang w:eastAsia="en-GB"/>
        </w:rPr>
        <w:t xml:space="preserve">, via genome editing reduced seed-setting rate and induced haploid seed formation at a frequency of roughly two to six per cent, with the induction capacity varying by exon position of the mutation and by genetic background—indica knockout mutants generally outperforming japonica mutants of the same gene (Liang et al., 2025; Yao et al., 2018). Subsequent characterisation of </w:t>
      </w:r>
      <w:proofErr w:type="spellStart"/>
      <w:r w:rsidRPr="00BE6AEB">
        <w:rPr>
          <w:rFonts w:ascii="Times New Roman" w:eastAsia="Times New Roman" w:hAnsi="Times New Roman" w:cs="Times New Roman"/>
          <w:i/>
          <w:iCs/>
          <w:sz w:val="24"/>
          <w:szCs w:val="24"/>
          <w:lang w:eastAsia="en-GB"/>
        </w:rPr>
        <w:t>OsMTL</w:t>
      </w:r>
      <w:proofErr w:type="spellEnd"/>
      <w:r w:rsidRPr="00BE6AEB">
        <w:rPr>
          <w:rFonts w:ascii="Times New Roman" w:eastAsia="Times New Roman" w:hAnsi="Times New Roman" w:cs="Times New Roman"/>
          <w:sz w:val="24"/>
          <w:szCs w:val="24"/>
          <w:lang w:eastAsia="en-GB"/>
        </w:rPr>
        <w:t xml:space="preserve"> loss-of-function alleles has revealed a more complex phenotypic spectrum than originally appreciated, with mutant lines simultaneously generating haploid, diploid, and unexpectedly triploid embryos, an outcome attributed to elevated reactive oxygen species at anthesis disrupting redox homeostasis during late pollen development and promoting both chromosome fragmentation and aberrant fertilisation events (Hu et al., 2026). A closely related paralogue, </w:t>
      </w:r>
      <w:r w:rsidRPr="00BE6AEB">
        <w:rPr>
          <w:rFonts w:ascii="Times New Roman" w:eastAsia="Times New Roman" w:hAnsi="Times New Roman" w:cs="Times New Roman"/>
          <w:i/>
          <w:iCs/>
          <w:sz w:val="24"/>
          <w:szCs w:val="24"/>
          <w:lang w:eastAsia="en-GB"/>
        </w:rPr>
        <w:t>OsPLA1</w:t>
      </w:r>
      <w:r w:rsidRPr="00BE6AEB">
        <w:rPr>
          <w:rFonts w:ascii="Times New Roman" w:eastAsia="Times New Roman" w:hAnsi="Times New Roman" w:cs="Times New Roman"/>
          <w:sz w:val="24"/>
          <w:szCs w:val="24"/>
          <w:lang w:eastAsia="en-GB"/>
        </w:rPr>
        <w:t xml:space="preserve">, has independently been shown to confer haploid induction capacity when knocked out in both indica and japonica backgrounds, although combining it with mutations in two further paralogues, </w:t>
      </w:r>
      <w:r w:rsidRPr="00BE6AEB">
        <w:rPr>
          <w:rFonts w:ascii="Times New Roman" w:eastAsia="Times New Roman" w:hAnsi="Times New Roman" w:cs="Times New Roman"/>
          <w:i/>
          <w:iCs/>
          <w:sz w:val="24"/>
          <w:szCs w:val="24"/>
          <w:lang w:eastAsia="en-GB"/>
        </w:rPr>
        <w:t>OsDMP3</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OsDMP6</w:t>
      </w:r>
      <w:r w:rsidRPr="00BE6AEB">
        <w:rPr>
          <w:rFonts w:ascii="Times New Roman" w:eastAsia="Times New Roman" w:hAnsi="Times New Roman" w:cs="Times New Roman"/>
          <w:sz w:val="24"/>
          <w:szCs w:val="24"/>
          <w:lang w:eastAsia="en-GB"/>
        </w:rPr>
        <w:t>, failed to enhance induction frequency—indicating that not all members of the phospholipase gene family contribute equally to haploid induction in rice (Liu et al., 2024).</w:t>
      </w:r>
    </w:p>
    <w:p w14:paraId="689B1E0A"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6.2 DMP genes, gamete fusion, and synergistic combinations</w:t>
      </w:r>
    </w:p>
    <w:p w14:paraId="21DC62FD"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second, mechanistically distinct class of haploid-inducer genes acts not on chromosome elimination after normal fertilisation, but on the process of gamete membrane fusion itself. </w:t>
      </w:r>
      <w:r w:rsidRPr="00BE6AEB">
        <w:rPr>
          <w:rFonts w:ascii="Times New Roman" w:eastAsia="Times New Roman" w:hAnsi="Times New Roman" w:cs="Times New Roman"/>
          <w:i/>
          <w:iCs/>
          <w:sz w:val="24"/>
          <w:szCs w:val="24"/>
          <w:lang w:eastAsia="en-GB"/>
        </w:rPr>
        <w:t>DMP</w:t>
      </w:r>
      <w:r w:rsidRPr="00BE6AEB">
        <w:rPr>
          <w:rFonts w:ascii="Times New Roman" w:eastAsia="Times New Roman" w:hAnsi="Times New Roman" w:cs="Times New Roman"/>
          <w:sz w:val="24"/>
          <w:szCs w:val="24"/>
          <w:lang w:eastAsia="en-GB"/>
        </w:rPr>
        <w:t xml:space="preserve"> genes encode small membrane proteins required for translocating the gamete fusion protein HAP2/GCS1 to the sperm cell membrane; their disruption can cause failed gamete fusion and single fertilisation events that themselves generate haploid embryos, a mechanism first worked out in maize and since extended to several dicotyledonous species (Liang et al., 2025; Liu et al., 2024). In rice, the relationship between </w:t>
      </w:r>
      <w:r w:rsidRPr="00BE6AEB">
        <w:rPr>
          <w:rFonts w:ascii="Times New Roman" w:eastAsia="Times New Roman" w:hAnsi="Times New Roman" w:cs="Times New Roman"/>
          <w:i/>
          <w:iCs/>
          <w:sz w:val="24"/>
          <w:szCs w:val="24"/>
          <w:lang w:eastAsia="en-GB"/>
        </w:rPr>
        <w:t>DMP</w:t>
      </w:r>
      <w:r w:rsidRPr="00BE6AEB">
        <w:rPr>
          <w:rFonts w:ascii="Times New Roman" w:eastAsia="Times New Roman" w:hAnsi="Times New Roman" w:cs="Times New Roman"/>
          <w:sz w:val="24"/>
          <w:szCs w:val="24"/>
          <w:lang w:eastAsia="en-GB"/>
        </w:rPr>
        <w:t xml:space="preserve"> gene disruption and haploid induction has proved more genotype- and combination-dependent than in maize: systematic analysis of multiple </w:t>
      </w:r>
      <w:proofErr w:type="spellStart"/>
      <w:r w:rsidRPr="00BE6AEB">
        <w:rPr>
          <w:rFonts w:ascii="Times New Roman" w:eastAsia="Times New Roman" w:hAnsi="Times New Roman" w:cs="Times New Roman"/>
          <w:i/>
          <w:iCs/>
          <w:sz w:val="24"/>
          <w:szCs w:val="24"/>
          <w:lang w:eastAsia="en-GB"/>
        </w:rPr>
        <w:t>OsMATL</w:t>
      </w:r>
      <w:proofErr w:type="spellEnd"/>
      <w:r w:rsidRPr="00BE6AEB">
        <w:rPr>
          <w:rFonts w:ascii="Times New Roman" w:eastAsia="Times New Roman" w:hAnsi="Times New Roman" w:cs="Times New Roman"/>
          <w:sz w:val="24"/>
          <w:szCs w:val="24"/>
          <w:lang w:eastAsia="en-GB"/>
        </w:rPr>
        <w:t xml:space="preserve"> mutant alleles combined with </w:t>
      </w:r>
      <w:r w:rsidRPr="00BE6AEB">
        <w:rPr>
          <w:rFonts w:ascii="Times New Roman" w:eastAsia="Times New Roman" w:hAnsi="Times New Roman" w:cs="Times New Roman"/>
          <w:i/>
          <w:iCs/>
          <w:sz w:val="24"/>
          <w:szCs w:val="24"/>
          <w:lang w:eastAsia="en-GB"/>
        </w:rPr>
        <w:t>OsDMP1</w:t>
      </w:r>
      <w:r w:rsidRPr="00BE6AEB">
        <w:rPr>
          <w:rFonts w:ascii="Times New Roman" w:eastAsia="Times New Roman" w:hAnsi="Times New Roman" w:cs="Times New Roman"/>
          <w:sz w:val="24"/>
          <w:szCs w:val="24"/>
          <w:lang w:eastAsia="en-GB"/>
        </w:rPr>
        <w:t xml:space="preserve"> or </w:t>
      </w:r>
      <w:r w:rsidRPr="00BE6AEB">
        <w:rPr>
          <w:rFonts w:ascii="Times New Roman" w:eastAsia="Times New Roman" w:hAnsi="Times New Roman" w:cs="Times New Roman"/>
          <w:i/>
          <w:iCs/>
          <w:sz w:val="24"/>
          <w:szCs w:val="24"/>
          <w:lang w:eastAsia="en-GB"/>
        </w:rPr>
        <w:t>OsDMP3</w:t>
      </w:r>
      <w:r w:rsidRPr="00BE6AEB">
        <w:rPr>
          <w:rFonts w:ascii="Times New Roman" w:eastAsia="Times New Roman" w:hAnsi="Times New Roman" w:cs="Times New Roman"/>
          <w:sz w:val="24"/>
          <w:szCs w:val="24"/>
          <w:lang w:eastAsia="en-GB"/>
        </w:rPr>
        <w:t xml:space="preserve"> knockouts showed that particular combinations raise haploid induction rate relative to </w:t>
      </w:r>
      <w:proofErr w:type="spellStart"/>
      <w:r w:rsidRPr="00BE6AEB">
        <w:rPr>
          <w:rFonts w:ascii="Times New Roman" w:eastAsia="Times New Roman" w:hAnsi="Times New Roman" w:cs="Times New Roman"/>
          <w:i/>
          <w:iCs/>
          <w:sz w:val="24"/>
          <w:szCs w:val="24"/>
          <w:lang w:eastAsia="en-GB"/>
        </w:rPr>
        <w:t>OsMATL</w:t>
      </w:r>
      <w:proofErr w:type="spellEnd"/>
      <w:r w:rsidRPr="00BE6AEB">
        <w:rPr>
          <w:rFonts w:ascii="Times New Roman" w:eastAsia="Times New Roman" w:hAnsi="Times New Roman" w:cs="Times New Roman"/>
          <w:sz w:val="24"/>
          <w:szCs w:val="24"/>
          <w:lang w:eastAsia="en-GB"/>
        </w:rPr>
        <w:t xml:space="preserve"> knockout alone, but that this gain is accompanied by an antagonistic reduction in seed-setting rate in at least some genetic backgrounds—a recurring trade-off between induction efficiency and the practical seed yield needed for breeding-scale deployment (Liang et al., 2025). Parallel work to identify rice and wheat orthologues of the full suite of maize haploid-inducer genes, including </w:t>
      </w:r>
      <w:r w:rsidRPr="00BE6AEB">
        <w:rPr>
          <w:rFonts w:ascii="Times New Roman" w:eastAsia="Times New Roman" w:hAnsi="Times New Roman" w:cs="Times New Roman"/>
          <w:i/>
          <w:iCs/>
          <w:sz w:val="24"/>
          <w:szCs w:val="24"/>
          <w:lang w:eastAsia="en-GB"/>
        </w:rPr>
        <w:t>DMP</w:t>
      </w:r>
      <w:r w:rsidRPr="00BE6AEB">
        <w:rPr>
          <w:rFonts w:ascii="Times New Roman" w:eastAsia="Times New Roman" w:hAnsi="Times New Roman" w:cs="Times New Roman"/>
          <w:sz w:val="24"/>
          <w:szCs w:val="24"/>
          <w:lang w:eastAsia="en-GB"/>
        </w:rPr>
        <w:t xml:space="preserve">, the phospholipase D gene </w:t>
      </w:r>
      <w:r w:rsidRPr="00BE6AEB">
        <w:rPr>
          <w:rFonts w:ascii="Times New Roman" w:eastAsia="Times New Roman" w:hAnsi="Times New Roman" w:cs="Times New Roman"/>
          <w:i/>
          <w:iCs/>
          <w:sz w:val="24"/>
          <w:szCs w:val="24"/>
          <w:lang w:eastAsia="en-GB"/>
        </w:rPr>
        <w:t>PLD3</w:t>
      </w:r>
      <w:r w:rsidRPr="00BE6AEB">
        <w:rPr>
          <w:rFonts w:ascii="Times New Roman" w:eastAsia="Times New Roman" w:hAnsi="Times New Roman" w:cs="Times New Roman"/>
          <w:sz w:val="24"/>
          <w:szCs w:val="24"/>
          <w:lang w:eastAsia="en-GB"/>
        </w:rPr>
        <w:t xml:space="preserve">, and the peroxidase gene </w:t>
      </w:r>
      <w:r w:rsidRPr="00BE6AEB">
        <w:rPr>
          <w:rFonts w:ascii="Times New Roman" w:eastAsia="Times New Roman" w:hAnsi="Times New Roman" w:cs="Times New Roman"/>
          <w:i/>
          <w:iCs/>
          <w:sz w:val="24"/>
          <w:szCs w:val="24"/>
          <w:lang w:eastAsia="en-GB"/>
        </w:rPr>
        <w:t>POD65</w:t>
      </w:r>
      <w:r w:rsidRPr="00BE6AEB">
        <w:rPr>
          <w:rFonts w:ascii="Times New Roman" w:eastAsia="Times New Roman" w:hAnsi="Times New Roman" w:cs="Times New Roman"/>
          <w:sz w:val="24"/>
          <w:szCs w:val="24"/>
          <w:lang w:eastAsia="en-GB"/>
        </w:rPr>
        <w:t xml:space="preserve">, using comparative genomic and expression-based approaches, has begun to map a broader landscape of candidate targets for future genome editing-based haploid inducer development, beyond the </w:t>
      </w:r>
      <w:r w:rsidRPr="00BE6AEB">
        <w:rPr>
          <w:rFonts w:ascii="Times New Roman" w:eastAsia="Times New Roman" w:hAnsi="Times New Roman" w:cs="Times New Roman"/>
          <w:i/>
          <w:iCs/>
          <w:sz w:val="24"/>
          <w:szCs w:val="24"/>
          <w:lang w:eastAsia="en-GB"/>
        </w:rPr>
        <w:t>MATL</w:t>
      </w:r>
      <w:r w:rsidRPr="00BE6AEB">
        <w:rPr>
          <w:rFonts w:ascii="Times New Roman" w:eastAsia="Times New Roman" w:hAnsi="Times New Roman" w:cs="Times New Roman"/>
          <w:sz w:val="24"/>
          <w:szCs w:val="24"/>
          <w:lang w:eastAsia="en-GB"/>
        </w:rPr>
        <w:t>/</w:t>
      </w:r>
      <w:r w:rsidRPr="00BE6AEB">
        <w:rPr>
          <w:rFonts w:ascii="Times New Roman" w:eastAsia="Times New Roman" w:hAnsi="Times New Roman" w:cs="Times New Roman"/>
          <w:i/>
          <w:iCs/>
          <w:sz w:val="24"/>
          <w:szCs w:val="24"/>
          <w:lang w:eastAsia="en-GB"/>
        </w:rPr>
        <w:t>PLA</w:t>
      </w:r>
      <w:r w:rsidRPr="00BE6AEB">
        <w:rPr>
          <w:rFonts w:ascii="Times New Roman" w:eastAsia="Times New Roman" w:hAnsi="Times New Roman" w:cs="Times New Roman"/>
          <w:sz w:val="24"/>
          <w:szCs w:val="24"/>
          <w:lang w:eastAsia="en-GB"/>
        </w:rPr>
        <w:t xml:space="preserve"> family alone (Goyal et al., 2024).</w:t>
      </w:r>
    </w:p>
    <w:p w14:paraId="1ECE5955"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6.3 CENH3-mediated genome elimination and molecular marker development</w:t>
      </w:r>
    </w:p>
    <w:p w14:paraId="6D45C80D"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third in vivo strategy, distinct from phospholipase- and DMP-mediated mechanisms, exploits the centromeric histone H3 variant CENH3, which is essential for kinetochore assembly and accurate chromosome segregation. In several species, expressing an altered </w:t>
      </w:r>
      <w:r w:rsidRPr="00BE6AEB">
        <w:rPr>
          <w:rFonts w:ascii="Times New Roman" w:eastAsia="Times New Roman" w:hAnsi="Times New Roman" w:cs="Times New Roman"/>
          <w:sz w:val="24"/>
          <w:szCs w:val="24"/>
          <w:lang w:eastAsia="en-GB"/>
        </w:rPr>
        <w:lastRenderedPageBreak/>
        <w:t xml:space="preserve">CENH3 variant in one parental line, when crossed to a wild-type partner, causes the wild-type parent's chromosomes to be preferentially retained while those carrying the altered centromeric protein are eliminated, generating haploid progeny of the wild-type parent. This strategy has been explored less extensively in rice than the </w:t>
      </w:r>
      <w:r w:rsidRPr="00BE6AEB">
        <w:rPr>
          <w:rFonts w:ascii="Times New Roman" w:eastAsia="Times New Roman" w:hAnsi="Times New Roman" w:cs="Times New Roman"/>
          <w:i/>
          <w:iCs/>
          <w:sz w:val="24"/>
          <w:szCs w:val="24"/>
          <w:lang w:eastAsia="en-GB"/>
        </w:rPr>
        <w:t>MATL</w:t>
      </w:r>
      <w:r w:rsidRPr="00BE6AEB">
        <w:rPr>
          <w:rFonts w:ascii="Times New Roman" w:eastAsia="Times New Roman" w:hAnsi="Times New Roman" w:cs="Times New Roman"/>
          <w:sz w:val="24"/>
          <w:szCs w:val="24"/>
          <w:lang w:eastAsia="en-GB"/>
        </w:rPr>
        <w:t>/</w:t>
      </w:r>
      <w:r w:rsidRPr="00BE6AEB">
        <w:rPr>
          <w:rFonts w:ascii="Times New Roman" w:eastAsia="Times New Roman" w:hAnsi="Times New Roman" w:cs="Times New Roman"/>
          <w:i/>
          <w:iCs/>
          <w:sz w:val="24"/>
          <w:szCs w:val="24"/>
          <w:lang w:eastAsia="en-GB"/>
        </w:rPr>
        <w:t>DMP</w:t>
      </w:r>
      <w:r w:rsidRPr="00BE6AEB">
        <w:rPr>
          <w:rFonts w:ascii="Times New Roman" w:eastAsia="Times New Roman" w:hAnsi="Times New Roman" w:cs="Times New Roman"/>
          <w:sz w:val="24"/>
          <w:szCs w:val="24"/>
          <w:lang w:eastAsia="en-GB"/>
        </w:rPr>
        <w:t xml:space="preserve"> route, and the available evidence suggests that the CENH3 mechanism, while conceptually attractive, has not yet been translated into a rice haploid inducer with anything like the reliability achieved for </w:t>
      </w:r>
      <w:r w:rsidRPr="00BE6AEB">
        <w:rPr>
          <w:rFonts w:ascii="Times New Roman" w:eastAsia="Times New Roman" w:hAnsi="Times New Roman" w:cs="Times New Roman"/>
          <w:i/>
          <w:iCs/>
          <w:sz w:val="24"/>
          <w:szCs w:val="24"/>
          <w:lang w:eastAsia="en-GB"/>
        </w:rPr>
        <w:t>MATL</w:t>
      </w:r>
      <w:r w:rsidRPr="00BE6AEB">
        <w:rPr>
          <w:rFonts w:ascii="Times New Roman" w:eastAsia="Times New Roman" w:hAnsi="Times New Roman" w:cs="Times New Roman"/>
          <w:sz w:val="24"/>
          <w:szCs w:val="24"/>
          <w:lang w:eastAsia="en-GB"/>
        </w:rPr>
        <w:t xml:space="preserve">-based systems (Kyum et al., 2022;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One practical consequence of the expanding genetic toolkit for in vivo haploid induction has been the parallel development of molecular and morphological marker systems able to rapidly distinguish true haploid progeny from diploid siblings among the seed or seedling progeny of haploid-inducer crosses, since haploid identification efficiency is itself a rate-limiting step for deploying in vivo systems at breeding scale; integrated molecular and phenotypic marker platforms built into </w:t>
      </w:r>
      <w:proofErr w:type="spellStart"/>
      <w:r w:rsidRPr="00BE6AEB">
        <w:rPr>
          <w:rFonts w:ascii="Times New Roman" w:eastAsia="Times New Roman" w:hAnsi="Times New Roman" w:cs="Times New Roman"/>
          <w:i/>
          <w:iCs/>
          <w:sz w:val="24"/>
          <w:szCs w:val="24"/>
          <w:lang w:eastAsia="en-GB"/>
        </w:rPr>
        <w:t>OsMTL</w:t>
      </w:r>
      <w:proofErr w:type="spellEnd"/>
      <w:r w:rsidRPr="00BE6AEB">
        <w:rPr>
          <w:rFonts w:ascii="Times New Roman" w:eastAsia="Times New Roman" w:hAnsi="Times New Roman" w:cs="Times New Roman"/>
          <w:sz w:val="24"/>
          <w:szCs w:val="24"/>
          <w:lang w:eastAsia="en-GB"/>
        </w:rPr>
        <w:t>-edited haploid-inducer lines have substantially improved the throughput of this identification step (Wang et al., 2023).</w:t>
      </w:r>
    </w:p>
    <w:p w14:paraId="29188114"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6.4 Comparative assessment of in vitro and in vivo platforms</w:t>
      </w:r>
    </w:p>
    <w:p w14:paraId="2C1C948A"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Table 2. Comparative characteristics of in vitro and in vivo haploid induction systems in rice</w:t>
      </w:r>
    </w:p>
    <w:tbl>
      <w:tblPr>
        <w:tblStyle w:val="TableGrid"/>
        <w:tblW w:w="0" w:type="auto"/>
        <w:tblLook w:val="04A0" w:firstRow="1" w:lastRow="0" w:firstColumn="1" w:lastColumn="0" w:noHBand="0" w:noVBand="1"/>
      </w:tblPr>
      <w:tblGrid>
        <w:gridCol w:w="2094"/>
        <w:gridCol w:w="1777"/>
        <w:gridCol w:w="1870"/>
        <w:gridCol w:w="1816"/>
        <w:gridCol w:w="1685"/>
      </w:tblGrid>
      <w:tr w:rsidR="00C1273A" w:rsidRPr="00BE6AEB" w14:paraId="0A4D7BD7" w14:textId="77777777" w:rsidTr="00BE6AEB">
        <w:tc>
          <w:tcPr>
            <w:tcW w:w="0" w:type="auto"/>
            <w:hideMark/>
          </w:tcPr>
          <w:p w14:paraId="5F7B356B"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System</w:t>
            </w:r>
          </w:p>
        </w:tc>
        <w:tc>
          <w:tcPr>
            <w:tcW w:w="0" w:type="auto"/>
            <w:hideMark/>
          </w:tcPr>
          <w:p w14:paraId="14BD280F"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Mechanistic basis</w:t>
            </w:r>
          </w:p>
        </w:tc>
        <w:tc>
          <w:tcPr>
            <w:tcW w:w="0" w:type="auto"/>
            <w:hideMark/>
          </w:tcPr>
          <w:p w14:paraId="37B6874A"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Typical reported efficiency</w:t>
            </w:r>
          </w:p>
        </w:tc>
        <w:tc>
          <w:tcPr>
            <w:tcW w:w="0" w:type="auto"/>
            <w:hideMark/>
          </w:tcPr>
          <w:p w14:paraId="7070F26E"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Principal advantage</w:t>
            </w:r>
          </w:p>
        </w:tc>
        <w:tc>
          <w:tcPr>
            <w:tcW w:w="0" w:type="auto"/>
            <w:hideMark/>
          </w:tcPr>
          <w:p w14:paraId="381149EB"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Principal limitation</w:t>
            </w:r>
          </w:p>
        </w:tc>
      </w:tr>
      <w:tr w:rsidR="00C1273A" w:rsidRPr="00BE6AEB" w14:paraId="0CFB3D06" w14:textId="77777777" w:rsidTr="00BE6AEB">
        <w:tc>
          <w:tcPr>
            <w:tcW w:w="0" w:type="auto"/>
            <w:hideMark/>
          </w:tcPr>
          <w:p w14:paraId="599494CF" w14:textId="77777777" w:rsidR="00C1273A" w:rsidRPr="00BE6AEB" w:rsidRDefault="00C1273A" w:rsidP="000425C1">
            <w:pPr>
              <w:jc w:val="both"/>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(in vitro)</w:t>
            </w:r>
          </w:p>
        </w:tc>
        <w:tc>
          <w:tcPr>
            <w:tcW w:w="0" w:type="auto"/>
            <w:hideMark/>
          </w:tcPr>
          <w:p w14:paraId="341DC1C3"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Stress-induced reprogramming of microspore towards </w:t>
            </w:r>
            <w:proofErr w:type="spellStart"/>
            <w:r w:rsidRPr="00BE6AEB">
              <w:rPr>
                <w:rFonts w:ascii="Times New Roman" w:eastAsia="Times New Roman" w:hAnsi="Times New Roman" w:cs="Times New Roman"/>
                <w:sz w:val="24"/>
                <w:szCs w:val="24"/>
                <w:lang w:eastAsia="en-GB"/>
              </w:rPr>
              <w:t>sporophytic</w:t>
            </w:r>
            <w:proofErr w:type="spellEnd"/>
            <w:r w:rsidRPr="00BE6AEB">
              <w:rPr>
                <w:rFonts w:ascii="Times New Roman" w:eastAsia="Times New Roman" w:hAnsi="Times New Roman" w:cs="Times New Roman"/>
                <w:sz w:val="24"/>
                <w:szCs w:val="24"/>
                <w:lang w:eastAsia="en-GB"/>
              </w:rPr>
              <w:t xml:space="preserve"> division</w:t>
            </w:r>
          </w:p>
        </w:tc>
        <w:tc>
          <w:tcPr>
            <w:tcW w:w="0" w:type="auto"/>
            <w:hideMark/>
          </w:tcPr>
          <w:p w14:paraId="749F1347"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Highly variable; tens to several hundred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per 100 anthers depending on genotype and medium</w:t>
            </w:r>
          </w:p>
        </w:tc>
        <w:tc>
          <w:tcPr>
            <w:tcW w:w="0" w:type="auto"/>
            <w:hideMark/>
          </w:tcPr>
          <w:p w14:paraId="15B388E6"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Mature, widely used protocol; applicable to elite hybrids without prior transgenesis</w:t>
            </w:r>
          </w:p>
        </w:tc>
        <w:tc>
          <w:tcPr>
            <w:tcW w:w="0" w:type="auto"/>
            <w:hideMark/>
          </w:tcPr>
          <w:p w14:paraId="2397AE02"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Strong genotype dependence (indica recalcitrance); albinism; labour- and time-intensive</w:t>
            </w:r>
          </w:p>
        </w:tc>
      </w:tr>
      <w:tr w:rsidR="00C1273A" w:rsidRPr="00BE6AEB" w14:paraId="65C9E161" w14:textId="77777777" w:rsidTr="00BE6AEB">
        <w:tc>
          <w:tcPr>
            <w:tcW w:w="0" w:type="auto"/>
            <w:hideMark/>
          </w:tcPr>
          <w:p w14:paraId="1D60CECC"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Isolated microspore culture (in vitro)</w:t>
            </w:r>
          </w:p>
        </w:tc>
        <w:tc>
          <w:tcPr>
            <w:tcW w:w="0" w:type="auto"/>
            <w:hideMark/>
          </w:tcPr>
          <w:p w14:paraId="25EA23C1"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Single-cell stress induction without anther wall tissue</w:t>
            </w:r>
          </w:p>
        </w:tc>
        <w:tc>
          <w:tcPr>
            <w:tcW w:w="0" w:type="auto"/>
            <w:hideMark/>
          </w:tcPr>
          <w:p w14:paraId="226A6D12"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Genotype-dependent; generally lower and less consistent than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in rice</w:t>
            </w:r>
          </w:p>
        </w:tc>
        <w:tc>
          <w:tcPr>
            <w:tcW w:w="0" w:type="auto"/>
            <w:hideMark/>
          </w:tcPr>
          <w:p w14:paraId="67E709BA"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Excellent experimental platform for studying embryogenesis mechanism</w:t>
            </w:r>
          </w:p>
        </w:tc>
        <w:tc>
          <w:tcPr>
            <w:tcW w:w="0" w:type="auto"/>
            <w:hideMark/>
          </w:tcPr>
          <w:p w14:paraId="256D1BA2"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Lower regeneration capacity; technically demanding; pronounced genotype dependency</w:t>
            </w:r>
          </w:p>
        </w:tc>
      </w:tr>
      <w:tr w:rsidR="00C1273A" w:rsidRPr="00BE6AEB" w14:paraId="6DC4E31A" w14:textId="77777777" w:rsidTr="00BE6AEB">
        <w:tc>
          <w:tcPr>
            <w:tcW w:w="0" w:type="auto"/>
            <w:hideMark/>
          </w:tcPr>
          <w:p w14:paraId="0CD823AD" w14:textId="77777777" w:rsidR="00C1273A" w:rsidRPr="00BE6AEB" w:rsidRDefault="00C1273A" w:rsidP="000425C1">
            <w:pPr>
              <w:jc w:val="both"/>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OsMATL</w:t>
            </w:r>
            <w:proofErr w:type="spellEnd"/>
            <w:r w:rsidRPr="00BE6AEB">
              <w:rPr>
                <w:rFonts w:ascii="Times New Roman" w:eastAsia="Times New Roman" w:hAnsi="Times New Roman" w:cs="Times New Roman"/>
                <w:sz w:val="24"/>
                <w:szCs w:val="24"/>
                <w:lang w:eastAsia="en-GB"/>
              </w:rPr>
              <w:t>/OsPLA1 knockout (in vivo)</w:t>
            </w:r>
          </w:p>
        </w:tc>
        <w:tc>
          <w:tcPr>
            <w:tcW w:w="0" w:type="auto"/>
            <w:hideMark/>
          </w:tcPr>
          <w:p w14:paraId="5ADD6ABA"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Paternal phospholipase loss disrupts fertilisation, promoting chromosome elimination</w:t>
            </w:r>
          </w:p>
        </w:tc>
        <w:tc>
          <w:tcPr>
            <w:tcW w:w="0" w:type="auto"/>
            <w:hideMark/>
          </w:tcPr>
          <w:p w14:paraId="7B545B53"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Approximately 2–15% depending on background and allele</w:t>
            </w:r>
          </w:p>
        </w:tc>
        <w:tc>
          <w:tcPr>
            <w:tcW w:w="0" w:type="auto"/>
            <w:hideMark/>
          </w:tcPr>
          <w:p w14:paraId="6E4085B9"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Tissue-culture-free; genotype-independent in principle once inducer line established</w:t>
            </w:r>
          </w:p>
        </w:tc>
        <w:tc>
          <w:tcPr>
            <w:tcW w:w="0" w:type="auto"/>
            <w:hideMark/>
          </w:tcPr>
          <w:p w14:paraId="3C56ECBD"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hAnsi="Times New Roman" w:cs="Times New Roman"/>
              </w:rPr>
              <w:t>Requires prior genome editing; reduced seed-setting rate; haploid identification and chromosome doubling remain required</w:t>
            </w:r>
          </w:p>
        </w:tc>
      </w:tr>
      <w:tr w:rsidR="00C1273A" w:rsidRPr="00BE6AEB" w14:paraId="1AE1605D" w14:textId="77777777" w:rsidTr="00BE6AEB">
        <w:tc>
          <w:tcPr>
            <w:tcW w:w="0" w:type="auto"/>
            <w:hideMark/>
          </w:tcPr>
          <w:p w14:paraId="3549517C" w14:textId="77777777" w:rsidR="00C1273A" w:rsidRPr="00BE6AEB" w:rsidRDefault="00C1273A" w:rsidP="000425C1">
            <w:pPr>
              <w:jc w:val="both"/>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OsDMP</w:t>
            </w:r>
            <w:proofErr w:type="spellEnd"/>
            <w:r w:rsidRPr="00BE6AEB">
              <w:rPr>
                <w:rFonts w:ascii="Times New Roman" w:eastAsia="Times New Roman" w:hAnsi="Times New Roman" w:cs="Times New Roman"/>
                <w:sz w:val="24"/>
                <w:szCs w:val="24"/>
                <w:lang w:eastAsia="en-GB"/>
              </w:rPr>
              <w:t xml:space="preserve"> combinations (in </w:t>
            </w:r>
            <w:r w:rsidRPr="00BE6AEB">
              <w:rPr>
                <w:rFonts w:ascii="Times New Roman" w:eastAsia="Times New Roman" w:hAnsi="Times New Roman" w:cs="Times New Roman"/>
                <w:sz w:val="24"/>
                <w:szCs w:val="24"/>
                <w:lang w:eastAsia="en-GB"/>
              </w:rPr>
              <w:lastRenderedPageBreak/>
              <w:t>vivo)</w:t>
            </w:r>
          </w:p>
        </w:tc>
        <w:tc>
          <w:tcPr>
            <w:tcW w:w="0" w:type="auto"/>
            <w:hideMark/>
          </w:tcPr>
          <w:p w14:paraId="58C7D165"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 xml:space="preserve">Disrupted gamete </w:t>
            </w:r>
            <w:r w:rsidRPr="00BE6AEB">
              <w:rPr>
                <w:rFonts w:ascii="Times New Roman" w:eastAsia="Times New Roman" w:hAnsi="Times New Roman" w:cs="Times New Roman"/>
                <w:sz w:val="24"/>
                <w:szCs w:val="24"/>
                <w:lang w:eastAsia="en-GB"/>
              </w:rPr>
              <w:lastRenderedPageBreak/>
              <w:t>membrane fusion</w:t>
            </w:r>
          </w:p>
        </w:tc>
        <w:tc>
          <w:tcPr>
            <w:tcW w:w="0" w:type="auto"/>
            <w:hideMark/>
          </w:tcPr>
          <w:p w14:paraId="04B8F73F"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 xml:space="preserve">Variable; can enhance </w:t>
            </w:r>
            <w:proofErr w:type="spellStart"/>
            <w:r w:rsidRPr="00BE6AEB">
              <w:rPr>
                <w:rFonts w:ascii="Times New Roman" w:eastAsia="Times New Roman" w:hAnsi="Times New Roman" w:cs="Times New Roman"/>
                <w:sz w:val="24"/>
                <w:szCs w:val="24"/>
                <w:lang w:eastAsia="en-GB"/>
              </w:rPr>
              <w:lastRenderedPageBreak/>
              <w:t>OsMATL</w:t>
            </w:r>
            <w:proofErr w:type="spellEnd"/>
            <w:r w:rsidRPr="00BE6AEB">
              <w:rPr>
                <w:rFonts w:ascii="Times New Roman" w:eastAsia="Times New Roman" w:hAnsi="Times New Roman" w:cs="Times New Roman"/>
                <w:sz w:val="24"/>
                <w:szCs w:val="24"/>
                <w:lang w:eastAsia="en-GB"/>
              </w:rPr>
              <w:t>-based induction in specific combinations</w:t>
            </w:r>
          </w:p>
        </w:tc>
        <w:tc>
          <w:tcPr>
            <w:tcW w:w="0" w:type="auto"/>
            <w:hideMark/>
          </w:tcPr>
          <w:p w14:paraId="46F1E069"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 xml:space="preserve">Potential synergy with </w:t>
            </w:r>
            <w:r w:rsidRPr="00BE6AEB">
              <w:rPr>
                <w:rFonts w:ascii="Times New Roman" w:eastAsia="Times New Roman" w:hAnsi="Times New Roman" w:cs="Times New Roman"/>
                <w:sz w:val="24"/>
                <w:szCs w:val="24"/>
                <w:lang w:eastAsia="en-GB"/>
              </w:rPr>
              <w:lastRenderedPageBreak/>
              <w:t>phospholipase-based systems</w:t>
            </w:r>
          </w:p>
        </w:tc>
        <w:tc>
          <w:tcPr>
            <w:tcW w:w="0" w:type="auto"/>
            <w:hideMark/>
          </w:tcPr>
          <w:p w14:paraId="483B02A5"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 xml:space="preserve">Antagonistic relationship </w:t>
            </w:r>
            <w:r w:rsidRPr="00BE6AEB">
              <w:rPr>
                <w:rFonts w:ascii="Times New Roman" w:eastAsia="Times New Roman" w:hAnsi="Times New Roman" w:cs="Times New Roman"/>
                <w:sz w:val="24"/>
                <w:szCs w:val="24"/>
                <w:lang w:eastAsia="en-GB"/>
              </w:rPr>
              <w:lastRenderedPageBreak/>
              <w:t>between induction rate and seed-setting rate in some combinations</w:t>
            </w:r>
          </w:p>
        </w:tc>
      </w:tr>
      <w:tr w:rsidR="00C1273A" w:rsidRPr="00BE6AEB" w14:paraId="60084715" w14:textId="77777777" w:rsidTr="00BE6AEB">
        <w:tc>
          <w:tcPr>
            <w:tcW w:w="0" w:type="auto"/>
            <w:hideMark/>
          </w:tcPr>
          <w:p w14:paraId="533AA341"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CENH3-based genome elimination (in vivo)</w:t>
            </w:r>
          </w:p>
        </w:tc>
        <w:tc>
          <w:tcPr>
            <w:tcW w:w="0" w:type="auto"/>
            <w:hideMark/>
          </w:tcPr>
          <w:p w14:paraId="0B95DBCB"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Centromeric protein incompatibility drives uniparental chromosome loss</w:t>
            </w:r>
          </w:p>
        </w:tc>
        <w:tc>
          <w:tcPr>
            <w:tcW w:w="0" w:type="auto"/>
            <w:hideMark/>
          </w:tcPr>
          <w:p w14:paraId="0F1DB2CC"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Currently low/inconsistent in rice</w:t>
            </w:r>
          </w:p>
        </w:tc>
        <w:tc>
          <w:tcPr>
            <w:tcW w:w="0" w:type="auto"/>
            <w:hideMark/>
          </w:tcPr>
          <w:p w14:paraId="0160EA7E"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Mechanistically distinct; potentially complementary to phospholipase route</w:t>
            </w:r>
          </w:p>
        </w:tc>
        <w:tc>
          <w:tcPr>
            <w:tcW w:w="0" w:type="auto"/>
            <w:hideMark/>
          </w:tcPr>
          <w:p w14:paraId="7E10A7F4"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Efficient rice inducer lines not yet robustly achieved</w:t>
            </w:r>
          </w:p>
        </w:tc>
      </w:tr>
    </w:tbl>
    <w:p w14:paraId="389BD75B"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F62F3">
        <w:rPr>
          <w:rFonts w:ascii="Times New Roman" w:eastAsia="Times New Roman" w:hAnsi="Times New Roman" w:cs="Times New Roman"/>
          <w:i/>
          <w:iCs/>
          <w:sz w:val="24"/>
          <w:szCs w:val="24"/>
          <w:lang w:val="nl-BE" w:eastAsia="en-GB"/>
        </w:rPr>
        <w:t xml:space="preserve">Sources: Goyal et al. (2024); Hu et al. (2026); Kyum et al. (2022); Liang et al. (2025); Liu et al. </w:t>
      </w:r>
      <w:r w:rsidRPr="00BE6AEB">
        <w:rPr>
          <w:rFonts w:ascii="Times New Roman" w:eastAsia="Times New Roman" w:hAnsi="Times New Roman" w:cs="Times New Roman"/>
          <w:i/>
          <w:iCs/>
          <w:sz w:val="24"/>
          <w:szCs w:val="24"/>
          <w:lang w:eastAsia="en-GB"/>
        </w:rPr>
        <w:t>(2024); Yao et al. (2018).</w:t>
      </w:r>
    </w:p>
    <w:p w14:paraId="4DA19905"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Table 2 makes explicit a pattern that recurs throughout this review: every haploid-induction platform currently available for rice, in vitro or in vivo, buys its induction efficiency at some cost, whether in reduced seed-setting rate, persistent albinism, or the technical and regulatory complexity that comes with genome editing. No single system currently combines high induction frequency, genotype independence, and full preservation of plant fertility and genomic integrity—a conclusion that argues for the continued parallel development of several complementary platforms rather than for convergence on one preferred technology.</w:t>
      </w:r>
    </w:p>
    <w:p w14:paraId="4B784249"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5F93D2D1"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7. Embryogenesis in Rice: Zygotic, Somatic, and Engineered Pathways</w:t>
      </w:r>
    </w:p>
    <w:p w14:paraId="450B9622"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7.1 Zygotic embryogenesis and the BABY BOOM–auxin module</w:t>
      </w:r>
    </w:p>
    <w:p w14:paraId="688B7A01"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Embryogenesis in flowering plants is normally initiated only after the fusion of male and female gametes, yet the molecular trigger that converts a fertilised zygote into a dividing, patterned embryo has historically been poorly understood. Work in rice has gone a long way towards clarifying this trigger: the AP2/ERF-family transcription factor BABY BOOM 1 (OsBBM1) is expressed from the paternal genome shortly after fertilisation and is necessary for normal embryogenesis, since triple knockout of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together with its paralogues </w:t>
      </w:r>
      <w:r w:rsidRPr="00BE6AEB">
        <w:rPr>
          <w:rFonts w:ascii="Times New Roman" w:eastAsia="Times New Roman" w:hAnsi="Times New Roman" w:cs="Times New Roman"/>
          <w:i/>
          <w:iCs/>
          <w:sz w:val="24"/>
          <w:szCs w:val="24"/>
          <w:lang w:eastAsia="en-GB"/>
        </w:rPr>
        <w:t>OsBBM2</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OsBBM3</w:t>
      </w:r>
      <w:r w:rsidRPr="00BE6AEB">
        <w:rPr>
          <w:rFonts w:ascii="Times New Roman" w:eastAsia="Times New Roman" w:hAnsi="Times New Roman" w:cs="Times New Roman"/>
          <w:sz w:val="24"/>
          <w:szCs w:val="24"/>
          <w:lang w:eastAsia="en-GB"/>
        </w:rPr>
        <w:t xml:space="preserve"> causes embryo arrest that can be rescued specifically by male-transmitted, functional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2019). More strikingly still, when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is ectopically expressed within the unfertilised egg cell itself, using an egg-cell-specific promoter, embryogenesis can be initiated without fertilisation at all, generating haploid, parthenogenetic progeny derived solely from the maternal genome; this single finding established that a discrete, genetically tractable trigger is sufficient to override the normal fertilisation requirement for embryo initiation in rice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2019). Subsequent dissection of the downstream pathway has shown that OsBBM1 acts largely through activation of auxin biosynthesis genes of the </w:t>
      </w:r>
      <w:proofErr w:type="spellStart"/>
      <w:r w:rsidRPr="00BE6AEB">
        <w:rPr>
          <w:rFonts w:ascii="Times New Roman" w:eastAsia="Times New Roman" w:hAnsi="Times New Roman" w:cs="Times New Roman"/>
          <w:i/>
          <w:iCs/>
          <w:sz w:val="24"/>
          <w:szCs w:val="24"/>
          <w:lang w:eastAsia="en-GB"/>
        </w:rPr>
        <w:t>OsYUC</w:t>
      </w:r>
      <w:proofErr w:type="spellEnd"/>
      <w:r w:rsidRPr="00BE6AEB">
        <w:rPr>
          <w:rFonts w:ascii="Times New Roman" w:eastAsia="Times New Roman" w:hAnsi="Times New Roman" w:cs="Times New Roman"/>
          <w:sz w:val="24"/>
          <w:szCs w:val="24"/>
          <w:lang w:eastAsia="en-GB"/>
        </w:rPr>
        <w:t xml:space="preserve"> family, with exogenously applied auxin alone capable of inducing somatic embryogenesis from </w:t>
      </w:r>
      <w:proofErr w:type="spellStart"/>
      <w:r w:rsidRPr="00BE6AEB">
        <w:rPr>
          <w:rFonts w:ascii="Times New Roman" w:eastAsia="Times New Roman" w:hAnsi="Times New Roman" w:cs="Times New Roman"/>
          <w:sz w:val="24"/>
          <w:szCs w:val="24"/>
          <w:lang w:eastAsia="en-GB"/>
        </w:rPr>
        <w:t>scutellar</w:t>
      </w:r>
      <w:proofErr w:type="spellEnd"/>
      <w:r w:rsidRPr="00BE6AEB">
        <w:rPr>
          <w:rFonts w:ascii="Times New Roman" w:eastAsia="Times New Roman" w:hAnsi="Times New Roman" w:cs="Times New Roman"/>
          <w:sz w:val="24"/>
          <w:szCs w:val="24"/>
          <w:lang w:eastAsia="en-GB"/>
        </w:rPr>
        <w:t xml:space="preserve"> or leaf tissue in an OsBBM1-dependent manner—indicating that the BBM–auxin module is shared, at least in part, between zygotic embryo initiation and somatic embryogenic competence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2023). The trigger has since been shown to act synergistically with a second, paternally </w:t>
      </w:r>
      <w:r w:rsidRPr="00BE6AEB">
        <w:rPr>
          <w:rFonts w:ascii="Times New Roman" w:eastAsia="Times New Roman" w:hAnsi="Times New Roman" w:cs="Times New Roman"/>
          <w:sz w:val="24"/>
          <w:szCs w:val="24"/>
          <w:lang w:eastAsia="en-GB"/>
        </w:rPr>
        <w:lastRenderedPageBreak/>
        <w:t>expressed WOX-family transcription factor, OsWOX9A/OsDWT1: co-expressing OsWOX9A together with OsBBM1 in the egg cell raised parthenogenesis frequency to 86–91 per cent, a four- to fifteen-fold increase over OsBBM1 expression alone, demonstrating that embryo initiation in rice is most efficiently triggered by the combined action of multiple paternal-genome-expressed transcription factors rather than by any one gene in isolation (Ren et al., 2024).</w:t>
      </w:r>
    </w:p>
    <w:p w14:paraId="49D46888"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7.2 Somatic embryogenesis from callus tissue</w:t>
      </w:r>
    </w:p>
    <w:p w14:paraId="74BB0005"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Somatic embryogenesis, in which differentiated vegetative cells regain embryogenic competence under exogenous hormonal stimulation, remains the principal route by which transgenic and genome-edited rice plants are regenerated following genetic transformation, and overlaps substantially in its regulation with both androgenic and zygotic embryogenesis. Auxin, typically supplied as 2,4-D, remains the dominant inducer of embryogenic callus formation from mature embryo-derived </w:t>
      </w:r>
      <w:proofErr w:type="spellStart"/>
      <w:r w:rsidRPr="00BE6AEB">
        <w:rPr>
          <w:rFonts w:ascii="Times New Roman" w:eastAsia="Times New Roman" w:hAnsi="Times New Roman" w:cs="Times New Roman"/>
          <w:sz w:val="24"/>
          <w:szCs w:val="24"/>
          <w:lang w:eastAsia="en-GB"/>
        </w:rPr>
        <w:t>scutellar</w:t>
      </w:r>
      <w:proofErr w:type="spellEnd"/>
      <w:r w:rsidRPr="00BE6AEB">
        <w:rPr>
          <w:rFonts w:ascii="Times New Roman" w:eastAsia="Times New Roman" w:hAnsi="Times New Roman" w:cs="Times New Roman"/>
          <w:sz w:val="24"/>
          <w:szCs w:val="24"/>
          <w:lang w:eastAsia="en-GB"/>
        </w:rPr>
        <w:t xml:space="preserve"> tissue, with subsequent transfer to cytokinin-enriched regeneration media required to complete shoot organogenesis. The epigenetic regulation of this process, discussed in Section 3.3 in relation to androgenic callus formation, applies with equal force here: the histone H3K9 methyltransferase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positively regulates callus induction rate by integrating auxin- and cytokinin-responsive transcriptional programmes, and its disruption substantially impairs callus formation and morphology (Song et al., 2025). Because regenerable, embryogenic competence is a prerequisite for recovering whole, fertile plants from transformed or edited cells, the same hormonal and genetic factors that govern callus induction in general—epigenetic regulators such as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among them—directly shape the throughput of rice transformation and genome-editing pipelines (Song et al., 2025).</w:t>
      </w:r>
    </w:p>
    <w:p w14:paraId="44FCBF1F"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7.3 Gynogenesis and egg-cell-based embryogenesis</w:t>
      </w:r>
    </w:p>
    <w:p w14:paraId="2F3CD31E"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Gynogenesis—the induction of haploid embryos from the unfertilised female gametophyte—has historically attracted less attention than androgenesis in rice, partly because of lower reported efficiencies and partly because of the technical difficulty of isolating and culturing egg cells or whole ovaries without disrupting their developmental competence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It nonetheless offers a potentially important complementary route to haploid production, not least because regenerants derived from the female gametophyte have generally shown lower rates of albinism than their </w:t>
      </w:r>
      <w:proofErr w:type="spellStart"/>
      <w:r w:rsidRPr="00BE6AEB">
        <w:rPr>
          <w:rFonts w:ascii="Times New Roman" w:eastAsia="Times New Roman" w:hAnsi="Times New Roman" w:cs="Times New Roman"/>
          <w:sz w:val="24"/>
          <w:szCs w:val="24"/>
          <w:lang w:eastAsia="en-GB"/>
        </w:rPr>
        <w:t>androgenically</w:t>
      </w:r>
      <w:proofErr w:type="spellEnd"/>
      <w:r w:rsidRPr="00BE6AEB">
        <w:rPr>
          <w:rFonts w:ascii="Times New Roman" w:eastAsia="Times New Roman" w:hAnsi="Times New Roman" w:cs="Times New Roman"/>
          <w:sz w:val="24"/>
          <w:szCs w:val="24"/>
          <w:lang w:eastAsia="en-GB"/>
        </w:rPr>
        <w:t xml:space="preserve"> derived counterparts, consistent with the maternal, rather than paternal, transmission of plastids in most angiosperm lineages. Recent work isolating individual egg cells from both japonica and indica rice subspecies has shown that cold treatment alone can release the developmental quiescence normally maintained in the unfertilised egg cell, triggering autonomous division and, in a fertilisation-independent manner, regeneration of complete plantlets from cultured egg cells. Strikingly, genome duplication accompanied this autonomous development, with a substantial proportion of regenerated plants—seven of twelve in one reported dataset—emerging as tetraploid rather than haploid, indicating that egg-cell-based embryogenesis in rice comes with ploidy instability that will need to be understood and controlled before the approach can be reliably harnessed for doubled haploid production (</w:t>
      </w:r>
      <w:proofErr w:type="spellStart"/>
      <w:r w:rsidRPr="00BE6AEB">
        <w:rPr>
          <w:rFonts w:ascii="Times New Roman" w:eastAsia="Times New Roman" w:hAnsi="Times New Roman" w:cs="Times New Roman"/>
          <w:sz w:val="24"/>
          <w:szCs w:val="24"/>
          <w:lang w:eastAsia="en-GB"/>
        </w:rPr>
        <w:t>Rattanawong</w:t>
      </w:r>
      <w:proofErr w:type="spellEnd"/>
      <w:r w:rsidRPr="00BE6AEB">
        <w:rPr>
          <w:rFonts w:ascii="Times New Roman" w:eastAsia="Times New Roman" w:hAnsi="Times New Roman" w:cs="Times New Roman"/>
          <w:sz w:val="24"/>
          <w:szCs w:val="24"/>
          <w:lang w:eastAsia="en-GB"/>
        </w:rPr>
        <w:t xml:space="preserve"> et al., 2026). This finding both confirms the long-standing hypothesis that environmental stress can trigger parthenogenetic development of the rice egg cell independent of ovular or fertilisation-derived signals, and highlights an aspect of egg-cell reprogramming, namely control of genome duplication, that remains mechanistically distinct from, and less well controlled than, the equivalent process in androgenesis.</w:t>
      </w:r>
    </w:p>
    <w:p w14:paraId="4B7BEAFB"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lastRenderedPageBreak/>
        <w:t>7.4 Synthetic apomixis: engineering clonal embryogenesis to fix heterosis</w:t>
      </w:r>
    </w:p>
    <w:p w14:paraId="6BF28B27"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The most far-reaching recent extension of embryogenesis research in rice concerns the deliberate engineering of apomixis: a naturally rare reproductive mode in which seeds form clonally, genetically identical to the maternal parent, without either meiotic recombination or fertilisation. Because hybrid rice varieties owe their yield advantage to heterozygosity that is lost through Mendelian segregation in the following generation, an apomictic hybrid rice variety would, in principle, allow farmers to save and replant seed from a hybrid crop while retaining its full heterotic vigour indefinitely, eliminating the recurring cost of annual hybrid seed production (Underwood &amp; Mercier, 2022; Wang et al., 2019). The first practical demonstration of synthetic apomixis in rice combined two independent engineering steps: multiplex CRISPR–Cas9 editing of three meiotic genes (</w:t>
      </w:r>
      <w:r w:rsidRPr="00BE6AEB">
        <w:rPr>
          <w:rFonts w:ascii="Times New Roman" w:eastAsia="Times New Roman" w:hAnsi="Times New Roman" w:cs="Times New Roman"/>
          <w:i/>
          <w:iCs/>
          <w:sz w:val="24"/>
          <w:szCs w:val="24"/>
          <w:lang w:eastAsia="en-GB"/>
        </w:rPr>
        <w:t>REC8</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PAIR1</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OSD1</w:t>
      </w:r>
      <w:r w:rsidRPr="00BE6AEB">
        <w:rPr>
          <w:rFonts w:ascii="Times New Roman" w:eastAsia="Times New Roman" w:hAnsi="Times New Roman" w:cs="Times New Roman"/>
          <w:sz w:val="24"/>
          <w:szCs w:val="24"/>
          <w:lang w:eastAsia="en-GB"/>
        </w:rPr>
        <w:t xml:space="preserve">), collectively termed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(Mitosis instead of Meiosis), converted meiotic division into a mitosis-like process generating unreduced, unrecombined diploid gametes, while editing of </w:t>
      </w:r>
      <w:r w:rsidRPr="00BE6AEB">
        <w:rPr>
          <w:rFonts w:ascii="Times New Roman" w:eastAsia="Times New Roman" w:hAnsi="Times New Roman" w:cs="Times New Roman"/>
          <w:i/>
          <w:iCs/>
          <w:sz w:val="24"/>
          <w:szCs w:val="24"/>
          <w:lang w:eastAsia="en-GB"/>
        </w:rPr>
        <w:t>MTL</w:t>
      </w:r>
      <w:r w:rsidRPr="00BE6AEB">
        <w:rPr>
          <w:rFonts w:ascii="Times New Roman" w:eastAsia="Times New Roman" w:hAnsi="Times New Roman" w:cs="Times New Roman"/>
          <w:sz w:val="24"/>
          <w:szCs w:val="24"/>
          <w:lang w:eastAsia="en-GB"/>
        </w:rPr>
        <w:t xml:space="preserve"> induced haploid formation through paternal genome elimination; combining both modifications in a single hybrid rice line produced plants capable of clonal propagation through seed, albeit at modest efficiency (Wang et al., 2019). Building on this, combining the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system with egg-cell-specific ectopic expression of the BBM1 embryogenic trigger described in Section 7.1 achieved a substantially higher frequency of clonal seed formation, exceeding ninety-five per cent in some hybrid backgrounds, and established that the BBM-driven parthenogenesis mechanism originally elucidated in the context of zygotic embryo initiation could be repurposed as the parthenogenesis-inducing component of a complete synthetic apomixis system (Vernet et al., 2022).</w:t>
      </w:r>
    </w:p>
    <w:p w14:paraId="52D14D8E"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Subsequent refinements have sought to resolve the main obstacle still standing in the way of commercial deployment: the trade-off between high clonal seed frequency and adequate seed-setting rate, since strategies that maximise parthenogenetic embryo formation often compromise normal endosperm development and seed fertility at the same time. Using an alternative egg-cell-specific promoter to drive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expression, in combination with the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mutant background, achieved a high frequency of clonal seed formation together with near-normal fertility in elite hybrid rice, a substantial improvement over earlier constructs (Wei et al., 2023). Further combinatorial work, using fusion promoters to co-express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together with a </w:t>
      </w:r>
      <w:r w:rsidRPr="00BE6AEB">
        <w:rPr>
          <w:rFonts w:ascii="Times New Roman" w:eastAsia="Times New Roman" w:hAnsi="Times New Roman" w:cs="Times New Roman"/>
          <w:i/>
          <w:iCs/>
          <w:sz w:val="24"/>
          <w:szCs w:val="24"/>
          <w:lang w:eastAsia="en-GB"/>
        </w:rPr>
        <w:t>WUSCHEL</w:t>
      </w:r>
      <w:r w:rsidRPr="00BE6AEB">
        <w:rPr>
          <w:rFonts w:ascii="Times New Roman" w:eastAsia="Times New Roman" w:hAnsi="Times New Roman" w:cs="Times New Roman"/>
          <w:sz w:val="24"/>
          <w:szCs w:val="24"/>
          <w:lang w:eastAsia="en-GB"/>
        </w:rPr>
        <w:t xml:space="preserve">-related transcription factor in egg cells, pushed apomixis frequencies as high as 98.7 per cent with seed-setting rates approaching 84 per cent, while also revealing the occurrence of multiple-embryo seeds at appreciable frequency—an unanticipated phenotype with potential implications for seed quality and uniformity (Dan et al., 2024). An independently developed strategy combining enhanced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-induced parthenogenesis with simultaneous inactivation of </w:t>
      </w:r>
      <w:r w:rsidRPr="00BE6AEB">
        <w:rPr>
          <w:rFonts w:ascii="Times New Roman" w:eastAsia="Times New Roman" w:hAnsi="Times New Roman" w:cs="Times New Roman"/>
          <w:i/>
          <w:iCs/>
          <w:sz w:val="24"/>
          <w:szCs w:val="24"/>
          <w:lang w:eastAsia="en-GB"/>
        </w:rPr>
        <w:t>PAIR1</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REC8</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OSD1</w:t>
      </w:r>
      <w:r w:rsidRPr="00BE6AEB">
        <w:rPr>
          <w:rFonts w:ascii="Times New Roman" w:eastAsia="Times New Roman" w:hAnsi="Times New Roman" w:cs="Times New Roman"/>
          <w:sz w:val="24"/>
          <w:szCs w:val="24"/>
          <w:lang w:eastAsia="en-GB"/>
        </w:rPr>
        <w:t xml:space="preserve"> in elite hybrid backgrounds likewise achieved clonal progeny frequencies exceeding 95 per cent while preserving high, near-normal fertility and the full complement of agronomic traits characteristic of the parental hybrid (Song et al., 2024). Despite this rapid technical progress, recent multi-generation and multi-environment evaluation of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-based apomictic lines has uncovered a previously unappreciated source of instability: the frequency and stability of clonal seed formation in these lines appears to be environmentally sensitive, varying across generations and growing locations in ways that complicate any future attempt to set robust quality-control standards for commercial apomictic hybrid rice (Wang et al., 2026).</w:t>
      </w:r>
    </w:p>
    <w:p w14:paraId="42991A20"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Table 3. Selected milestones in the engineering of synthetic apomixis and parthenogenetic embryogenesis in hybrid rice</w:t>
      </w:r>
    </w:p>
    <w:tbl>
      <w:tblPr>
        <w:tblStyle w:val="TableGrid"/>
        <w:tblW w:w="0" w:type="auto"/>
        <w:tblLook w:val="04A0" w:firstRow="1" w:lastRow="0" w:firstColumn="1" w:lastColumn="0" w:noHBand="0" w:noVBand="1"/>
      </w:tblPr>
      <w:tblGrid>
        <w:gridCol w:w="2653"/>
        <w:gridCol w:w="3485"/>
        <w:gridCol w:w="3104"/>
      </w:tblGrid>
      <w:tr w:rsidR="00C1273A" w:rsidRPr="00BE6AEB" w14:paraId="3A915F36" w14:textId="77777777" w:rsidTr="00BE6AEB">
        <w:tc>
          <w:tcPr>
            <w:tcW w:w="0" w:type="auto"/>
            <w:hideMark/>
          </w:tcPr>
          <w:p w14:paraId="068C19CA"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lastRenderedPageBreak/>
              <w:t>Milestone</w:t>
            </w:r>
          </w:p>
        </w:tc>
        <w:tc>
          <w:tcPr>
            <w:tcW w:w="0" w:type="auto"/>
            <w:hideMark/>
          </w:tcPr>
          <w:p w14:paraId="47C61DE5"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Strategy</w:t>
            </w:r>
          </w:p>
        </w:tc>
        <w:tc>
          <w:tcPr>
            <w:tcW w:w="0" w:type="auto"/>
            <w:hideMark/>
          </w:tcPr>
          <w:p w14:paraId="1675A6EC"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Reported outcome</w:t>
            </w:r>
          </w:p>
        </w:tc>
      </w:tr>
      <w:tr w:rsidR="00C1273A" w:rsidRPr="00BE6AEB" w14:paraId="0014A3A9" w14:textId="77777777" w:rsidTr="00BE6AEB">
        <w:tc>
          <w:tcPr>
            <w:tcW w:w="0" w:type="auto"/>
            <w:hideMark/>
          </w:tcPr>
          <w:p w14:paraId="75FE6C49"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Identification of the zygotic embryogenic trigger</w:t>
            </w:r>
          </w:p>
        </w:tc>
        <w:tc>
          <w:tcPr>
            <w:tcW w:w="0" w:type="auto"/>
            <w:hideMark/>
          </w:tcPr>
          <w:p w14:paraId="3C8D2C46"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Paternal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expression shown necessary and, when expressed ectopically in the egg cell, sufficient for embryo initiation</w:t>
            </w:r>
          </w:p>
        </w:tc>
        <w:tc>
          <w:tcPr>
            <w:tcW w:w="0" w:type="auto"/>
            <w:hideMark/>
          </w:tcPr>
          <w:p w14:paraId="0EE847BC"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Established BBM-mediated parthenogenesis as a tool for haploid/clonal embryogenesis</w:t>
            </w:r>
          </w:p>
        </w:tc>
      </w:tr>
      <w:tr w:rsidR="00C1273A" w:rsidRPr="00BE6AEB" w14:paraId="5A04A0C1" w14:textId="77777777" w:rsidTr="00BE6AEB">
        <w:tc>
          <w:tcPr>
            <w:tcW w:w="0" w:type="auto"/>
            <w:hideMark/>
          </w:tcPr>
          <w:p w14:paraId="32D72BE3"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Fixation of heterozygosity via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 MTL editing</w:t>
            </w:r>
          </w:p>
        </w:tc>
        <w:tc>
          <w:tcPr>
            <w:tcW w:w="0" w:type="auto"/>
            <w:hideMark/>
          </w:tcPr>
          <w:p w14:paraId="03BB84BA"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Multiplex CRISPR–Cas9 editing of </w:t>
            </w:r>
            <w:r w:rsidRPr="00BE6AEB">
              <w:rPr>
                <w:rFonts w:ascii="Times New Roman" w:eastAsia="Times New Roman" w:hAnsi="Times New Roman" w:cs="Times New Roman"/>
                <w:i/>
                <w:iCs/>
                <w:sz w:val="24"/>
                <w:szCs w:val="24"/>
                <w:lang w:eastAsia="en-GB"/>
              </w:rPr>
              <w:t>REC8</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PAIR1</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OSD1</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MTL</w:t>
            </w:r>
            <w:r w:rsidRPr="00BE6AEB">
              <w:rPr>
                <w:rFonts w:ascii="Times New Roman" w:eastAsia="Times New Roman" w:hAnsi="Times New Roman" w:cs="Times New Roman"/>
                <w:sz w:val="24"/>
                <w:szCs w:val="24"/>
                <w:lang w:eastAsia="en-GB"/>
              </w:rPr>
              <w:t xml:space="preserve"> in hybrid rice</w:t>
            </w:r>
          </w:p>
        </w:tc>
        <w:tc>
          <w:tcPr>
            <w:tcW w:w="0" w:type="auto"/>
            <w:hideMark/>
          </w:tcPr>
          <w:p w14:paraId="4BDF8BD7"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First demonstration of clonal propagation through seed in a rice F1 hybrid</w:t>
            </w:r>
          </w:p>
        </w:tc>
      </w:tr>
      <w:tr w:rsidR="00C1273A" w:rsidRPr="00BE6AEB" w14:paraId="32318521" w14:textId="77777777" w:rsidTr="00BE6AEB">
        <w:tc>
          <w:tcPr>
            <w:tcW w:w="0" w:type="auto"/>
            <w:hideMark/>
          </w:tcPr>
          <w:p w14:paraId="7E97EA4B"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High-frequency synthetic apomixis</w:t>
            </w:r>
          </w:p>
        </w:tc>
        <w:tc>
          <w:tcPr>
            <w:tcW w:w="0" w:type="auto"/>
            <w:hideMark/>
          </w:tcPr>
          <w:p w14:paraId="25044BD0" w14:textId="77777777" w:rsidR="00C1273A" w:rsidRPr="00BE6AEB" w:rsidRDefault="00C1273A" w:rsidP="000425C1">
            <w:pPr>
              <w:jc w:val="both"/>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combined with egg-cell-specific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expression in hybrid rice</w:t>
            </w:r>
          </w:p>
        </w:tc>
        <w:tc>
          <w:tcPr>
            <w:tcW w:w="0" w:type="auto"/>
            <w:hideMark/>
          </w:tcPr>
          <w:p w14:paraId="30DD3B1D"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Clonal seed frequency exceeding 95% across multiple generations</w:t>
            </w:r>
          </w:p>
        </w:tc>
      </w:tr>
      <w:tr w:rsidR="00C1273A" w:rsidRPr="00BE6AEB" w14:paraId="2BE983F7" w14:textId="77777777" w:rsidTr="00BE6AEB">
        <w:tc>
          <w:tcPr>
            <w:tcW w:w="0" w:type="auto"/>
            <w:hideMark/>
          </w:tcPr>
          <w:p w14:paraId="30CD024E"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Normal-fertility synthetic apomixis</w:t>
            </w:r>
          </w:p>
        </w:tc>
        <w:tc>
          <w:tcPr>
            <w:tcW w:w="0" w:type="auto"/>
            <w:hideMark/>
          </w:tcPr>
          <w:p w14:paraId="43DE3078"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Alternative egg-cell promoter driving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in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background</w:t>
            </w:r>
          </w:p>
        </w:tc>
        <w:tc>
          <w:tcPr>
            <w:tcW w:w="0" w:type="auto"/>
            <w:hideMark/>
          </w:tcPr>
          <w:p w14:paraId="3DF64608"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High clonal frequency combined with near-normal seed-setting rate</w:t>
            </w:r>
          </w:p>
        </w:tc>
      </w:tr>
      <w:tr w:rsidR="00C1273A" w:rsidRPr="00BE6AEB" w14:paraId="38FBD818" w14:textId="77777777" w:rsidTr="00BE6AEB">
        <w:tc>
          <w:tcPr>
            <w:tcW w:w="0" w:type="auto"/>
            <w:hideMark/>
          </w:tcPr>
          <w:p w14:paraId="38785327"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Fusion-promoter co-expression of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WUSCHEL</w:t>
            </w:r>
            <w:r w:rsidRPr="00BE6AEB">
              <w:rPr>
                <w:rFonts w:ascii="Times New Roman" w:eastAsia="Times New Roman" w:hAnsi="Times New Roman" w:cs="Times New Roman"/>
                <w:sz w:val="24"/>
                <w:szCs w:val="24"/>
                <w:lang w:eastAsia="en-GB"/>
              </w:rPr>
              <w:t>-related factor</w:t>
            </w:r>
          </w:p>
        </w:tc>
        <w:tc>
          <w:tcPr>
            <w:tcW w:w="0" w:type="auto"/>
            <w:hideMark/>
          </w:tcPr>
          <w:p w14:paraId="7B1AD063"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Combined transcription factor expression in egg cells</w:t>
            </w:r>
          </w:p>
        </w:tc>
        <w:tc>
          <w:tcPr>
            <w:tcW w:w="0" w:type="auto"/>
            <w:hideMark/>
          </w:tcPr>
          <w:p w14:paraId="4EB96245"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Apomixis frequency up to 98.7%; multiple-embryo phenotype observed</w:t>
            </w:r>
          </w:p>
        </w:tc>
      </w:tr>
      <w:tr w:rsidR="00C1273A" w:rsidRPr="00BE6AEB" w14:paraId="141C5F0D" w14:textId="77777777" w:rsidTr="00BE6AEB">
        <w:tc>
          <w:tcPr>
            <w:tcW w:w="0" w:type="auto"/>
            <w:hideMark/>
          </w:tcPr>
          <w:p w14:paraId="309DE131"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Synergistic enhancement via paternal transcription factor combination</w:t>
            </w:r>
          </w:p>
        </w:tc>
        <w:tc>
          <w:tcPr>
            <w:tcW w:w="0" w:type="auto"/>
            <w:hideMark/>
          </w:tcPr>
          <w:p w14:paraId="33D4F1CA"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Co-expression of </w:t>
            </w:r>
            <w:r w:rsidRPr="00BE6AEB">
              <w:rPr>
                <w:rFonts w:ascii="Times New Roman" w:eastAsia="Times New Roman" w:hAnsi="Times New Roman" w:cs="Times New Roman"/>
                <w:i/>
                <w:iCs/>
                <w:sz w:val="24"/>
                <w:szCs w:val="24"/>
                <w:lang w:eastAsia="en-GB"/>
              </w:rPr>
              <w:t>OsWOX9A</w:t>
            </w:r>
            <w:r w:rsidRPr="00BE6AEB">
              <w:rPr>
                <w:rFonts w:ascii="Times New Roman" w:eastAsia="Times New Roman" w:hAnsi="Times New Roman" w:cs="Times New Roman"/>
                <w:sz w:val="24"/>
                <w:szCs w:val="24"/>
                <w:lang w:eastAsia="en-GB"/>
              </w:rPr>
              <w:t xml:space="preserve"> with </w:t>
            </w:r>
            <w:r w:rsidRPr="00BE6AEB">
              <w:rPr>
                <w:rFonts w:ascii="Times New Roman" w:eastAsia="Times New Roman" w:hAnsi="Times New Roman" w:cs="Times New Roman"/>
                <w:i/>
                <w:iCs/>
                <w:sz w:val="24"/>
                <w:szCs w:val="24"/>
                <w:lang w:eastAsia="en-GB"/>
              </w:rPr>
              <w:t>OsBBM1</w:t>
            </w:r>
          </w:p>
        </w:tc>
        <w:tc>
          <w:tcPr>
            <w:tcW w:w="0" w:type="auto"/>
            <w:hideMark/>
          </w:tcPr>
          <w:p w14:paraId="0B4C95D2"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4- to 15-fold increase in parthenogenesis frequency over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alone</w:t>
            </w:r>
          </w:p>
        </w:tc>
      </w:tr>
      <w:tr w:rsidR="00C1273A" w:rsidRPr="00BE6AEB" w14:paraId="1A1F1CC0" w14:textId="77777777" w:rsidTr="00BE6AEB">
        <w:tc>
          <w:tcPr>
            <w:tcW w:w="0" w:type="auto"/>
            <w:hideMark/>
          </w:tcPr>
          <w:p w14:paraId="1F772D52"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Identification of inheritance instability</w:t>
            </w:r>
          </w:p>
        </w:tc>
        <w:tc>
          <w:tcPr>
            <w:tcW w:w="0" w:type="auto"/>
            <w:hideMark/>
          </w:tcPr>
          <w:p w14:paraId="3A127416"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Multi-generation, multi-location evaluation of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-based apomictic lines</w:t>
            </w:r>
          </w:p>
        </w:tc>
        <w:tc>
          <w:tcPr>
            <w:tcW w:w="0" w:type="auto"/>
            <w:hideMark/>
          </w:tcPr>
          <w:p w14:paraId="70FC4CE7"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Environmentally sensitive variation in apomixis frequency across generations</w:t>
            </w:r>
          </w:p>
        </w:tc>
      </w:tr>
    </w:tbl>
    <w:p w14:paraId="369EBBB5"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F62F3">
        <w:rPr>
          <w:rFonts w:ascii="Times New Roman" w:eastAsia="Times New Roman" w:hAnsi="Times New Roman" w:cs="Times New Roman"/>
          <w:i/>
          <w:iCs/>
          <w:sz w:val="24"/>
          <w:szCs w:val="24"/>
          <w:lang w:val="nl-BE" w:eastAsia="en-GB"/>
        </w:rPr>
        <w:t xml:space="preserve">Sources: Dan et al. (2024); Khanday et al. (2019); Ren et al. (2024); Song et al. </w:t>
      </w:r>
      <w:r w:rsidRPr="00BE6AEB">
        <w:rPr>
          <w:rFonts w:ascii="Times New Roman" w:eastAsia="Times New Roman" w:hAnsi="Times New Roman" w:cs="Times New Roman"/>
          <w:i/>
          <w:iCs/>
          <w:sz w:val="24"/>
          <w:szCs w:val="24"/>
          <w:lang w:eastAsia="en-GB"/>
        </w:rPr>
        <w:t>(2024); Vernet et al. (2022); Wang et al. (2019, 2026); Wei et al. (2023).</w:t>
      </w:r>
    </w:p>
    <w:p w14:paraId="0293CCF3"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The trajectory summarised in Table 3 illustrates a field moving quickly from proof-of-concept towards application-relevant performance—but one in which each successive gain in induction frequency or fertility has, so far, been followed by the discovery of a new and previously unanticipated limitation. That pattern is consistent with the broader argument developed in Section 9: no haploid- or embryogenesis-engineering platform in rice has yet achieved simultaneous optimisation of efficiency, fertility, and stability.</w:t>
      </w:r>
    </w:p>
    <w:p w14:paraId="7B2A309C"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1C97C291"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8. Breeding and Biotechnological Applications</w:t>
      </w:r>
    </w:p>
    <w:p w14:paraId="051002D4"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8.1 Doubled haploid populations as genetic mapping resources</w:t>
      </w:r>
    </w:p>
    <w:p w14:paraId="524943CD"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Beyond their direct role in line development, doubled haploid populations generated by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have become a standard resource for quantitative trait locus mapping in rice. Their appeal lies in the complete homozygosity and genetic stability of DH lines relative to recombinant inbred or F2 populations, which allows a population to be evaluated repeatedly, across multiple seasons and environments, without further segregation muddying the picture.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culture-derived DH populations have supported quantitative trait locus mapping for a wide range of agronomic and stress-related traits, and segregation-distortion analysis of these same populations has, in turn, helped reveal the genetic architecture of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itself </w:t>
      </w:r>
      <w:r w:rsidRPr="00BE6AEB">
        <w:rPr>
          <w:rFonts w:ascii="Times New Roman" w:eastAsia="Times New Roman" w:hAnsi="Times New Roman" w:cs="Times New Roman"/>
          <w:sz w:val="24"/>
          <w:szCs w:val="24"/>
          <w:lang w:eastAsia="en-GB"/>
        </w:rPr>
        <w:lastRenderedPageBreak/>
        <w:t>(Section 4.3; Sun et al., 2023). More broadly, doubled haploid populations are recognised as an important resource for dissecting complex traits and accelerating their introgression into elite material across the rice breeding sector (Lin et al., 2026; Bhuyan et al., 2025). DH populations have also supported the identification of quantitative trait loci for resilience traits directly relevant to climate adaptation, including resistance to prolonged flooding, where anther culture-derived doubled haploid lines have been used both to dissect the genetic basis of flooding tolerance and to generate flooding-tolerant doubled haploid lines suitable for direct breeding deployment (</w:t>
      </w:r>
      <w:proofErr w:type="spellStart"/>
      <w:r w:rsidRPr="00BE6AEB">
        <w:rPr>
          <w:rFonts w:ascii="Times New Roman" w:eastAsia="Times New Roman" w:hAnsi="Times New Roman" w:cs="Times New Roman"/>
          <w:sz w:val="24"/>
          <w:szCs w:val="24"/>
          <w:lang w:eastAsia="en-GB"/>
        </w:rPr>
        <w:t>Kostylev</w:t>
      </w:r>
      <w:proofErr w:type="spellEnd"/>
      <w:r w:rsidRPr="00BE6AEB">
        <w:rPr>
          <w:rFonts w:ascii="Times New Roman" w:eastAsia="Times New Roman" w:hAnsi="Times New Roman" w:cs="Times New Roman"/>
          <w:sz w:val="24"/>
          <w:szCs w:val="24"/>
          <w:lang w:eastAsia="en-GB"/>
        </w:rPr>
        <w:t xml:space="preserve"> et al., 2023).</w:t>
      </w:r>
    </w:p>
    <w:p w14:paraId="5FBADF92"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8.2 Parental and restorer line improvement in hybrid rice breeding</w:t>
      </w:r>
    </w:p>
    <w:p w14:paraId="1F1FC48D"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particularly consequential application of doubled haploid technology lies in improving the parental and restorer lines used in three-line and two-line hybrid rice breeding systems, where genetic uniformity in the parents is a precondition for producing phenotypically uniform, high-yielding hybrid seed. Doubled haploid breeding has been used to </w:t>
      </w:r>
      <w:proofErr w:type="spellStart"/>
      <w:r w:rsidRPr="00BE6AEB">
        <w:rPr>
          <w:rFonts w:ascii="Times New Roman" w:eastAsia="Times New Roman" w:hAnsi="Times New Roman" w:cs="Times New Roman"/>
          <w:sz w:val="24"/>
          <w:szCs w:val="24"/>
          <w:lang w:eastAsia="en-GB"/>
        </w:rPr>
        <w:t>introgress</w:t>
      </w:r>
      <w:proofErr w:type="spellEnd"/>
      <w:r w:rsidRPr="00BE6AEB">
        <w:rPr>
          <w:rFonts w:ascii="Times New Roman" w:eastAsia="Times New Roman" w:hAnsi="Times New Roman" w:cs="Times New Roman"/>
          <w:sz w:val="24"/>
          <w:szCs w:val="24"/>
          <w:lang w:eastAsia="en-GB"/>
        </w:rPr>
        <w:t xml:space="preserve"> and pyramid multiple quantitative trait loci and resistance and stress-tolerance genes into elite restorer lines, substantially compressing the number of backcross and </w:t>
      </w:r>
      <w:proofErr w:type="spellStart"/>
      <w:r w:rsidRPr="00BE6AEB">
        <w:rPr>
          <w:rFonts w:ascii="Times New Roman" w:eastAsia="Times New Roman" w:hAnsi="Times New Roman" w:cs="Times New Roman"/>
          <w:sz w:val="24"/>
          <w:szCs w:val="24"/>
          <w:lang w:eastAsia="en-GB"/>
        </w:rPr>
        <w:t>selfing</w:t>
      </w:r>
      <w:proofErr w:type="spellEnd"/>
      <w:r w:rsidRPr="00BE6AEB">
        <w:rPr>
          <w:rFonts w:ascii="Times New Roman" w:eastAsia="Times New Roman" w:hAnsi="Times New Roman" w:cs="Times New Roman"/>
          <w:sz w:val="24"/>
          <w:szCs w:val="24"/>
          <w:lang w:eastAsia="en-GB"/>
        </w:rPr>
        <w:t xml:space="preserve"> generations that would otherwise be needed to arrive at a stable, multi-gene-pyramided parental line (Bhuyan et al., 2025). Comparative competency studies evaluating androgenesis across multiple indica hybrid combinations and parental backgrounds, including widely deployed commercial hybrids, have established reproducible media and pre-treatment combinations capable of generating appreciable numbers of doubled haploid lines suitable for downstream marker-assisted selection and field evaluation, giving breeding programmes a working template for folding doubled haploid technology into their existing hybrid development pipelines (Dash et al., 2022). Field evaluation of doubled haploid lines derived from temperate japonica anther culture has further confirmed that lines generated this way can be carried successfully through micro- and small-plot trials and selected for promising agronomic performance within an integrated pedigree breeding programme, demonstrating that, once established, doubled haploid technology can become a routine rather than an experimental component of a breeding pipeline (Lantos et al., 2022).</w:t>
      </w:r>
    </w:p>
    <w:p w14:paraId="20C406E7"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8.3 Embryogenic callus as a transformation and genome-editing platform</w:t>
      </w:r>
    </w:p>
    <w:p w14:paraId="1B498FCE"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The embryogenic callus systems discussed in Section 7.2 also serve as the principal explant platform for genetic transformation and genome editing in rice, since regenerable, embryogenic competence is a prerequisite for recovering whole, fertile transgenic or edited plants from transformed cells. This dependency creates a direct, mechanistic link between basic research on the molecular control of somatic embryogenesis and the practical throughput of genome-editing pipelines used to generate the haploid-inducer and apomixis lines discussed in Sections 6 and 7.4, since the genome-editing constructs underlying </w:t>
      </w:r>
      <w:proofErr w:type="spellStart"/>
      <w:r w:rsidRPr="00BE6AEB">
        <w:rPr>
          <w:rFonts w:ascii="Times New Roman" w:eastAsia="Times New Roman" w:hAnsi="Times New Roman" w:cs="Times New Roman"/>
          <w:i/>
          <w:iCs/>
          <w:sz w:val="24"/>
          <w:szCs w:val="24"/>
          <w:lang w:eastAsia="en-GB"/>
        </w:rPr>
        <w:t>OsMATL</w:t>
      </w:r>
      <w:proofErr w:type="spellEnd"/>
      <w:r w:rsidRPr="00BE6AEB">
        <w:rPr>
          <w:rFonts w:ascii="Times New Roman" w:eastAsia="Times New Roman" w:hAnsi="Times New Roman" w:cs="Times New Roman"/>
          <w:sz w:val="24"/>
          <w:szCs w:val="24"/>
          <w:lang w:eastAsia="en-GB"/>
        </w:rPr>
        <w:t xml:space="preserve"> knockout lines,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-driven parthenogenesis lines, and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-edited apomictic lines must all, at some stage, pass through an embryogenic callus regeneration step governed by the same regulatory genes—</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among them—that determine callus induction more generally (Song et al., 2025).</w:t>
      </w:r>
    </w:p>
    <w:p w14:paraId="701E9B0A" w14:textId="77777777" w:rsidR="00C1273A" w:rsidRPr="00BE6AEB" w:rsidRDefault="00C1273A" w:rsidP="000425C1">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8.4 Towards fixed hybrid vigour: apomixis as a breeding deployment strategy</w:t>
      </w:r>
    </w:p>
    <w:p w14:paraId="612EBA3A"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Table 4. Selected breeding applications of doubled haploid and embryogenic engineering technologies in rice</w:t>
      </w:r>
    </w:p>
    <w:tbl>
      <w:tblPr>
        <w:tblStyle w:val="TableGrid"/>
        <w:tblW w:w="0" w:type="auto"/>
        <w:tblLook w:val="04A0" w:firstRow="1" w:lastRow="0" w:firstColumn="1" w:lastColumn="0" w:noHBand="0" w:noVBand="1"/>
      </w:tblPr>
      <w:tblGrid>
        <w:gridCol w:w="2300"/>
        <w:gridCol w:w="2904"/>
        <w:gridCol w:w="4038"/>
      </w:tblGrid>
      <w:tr w:rsidR="00C1273A" w:rsidRPr="00BE6AEB" w14:paraId="03BBEAF0" w14:textId="77777777" w:rsidTr="00BE6AEB">
        <w:tc>
          <w:tcPr>
            <w:tcW w:w="0" w:type="auto"/>
            <w:hideMark/>
          </w:tcPr>
          <w:p w14:paraId="58AB3CFA"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lastRenderedPageBreak/>
              <w:t>Application domain</w:t>
            </w:r>
          </w:p>
        </w:tc>
        <w:tc>
          <w:tcPr>
            <w:tcW w:w="0" w:type="auto"/>
            <w:hideMark/>
          </w:tcPr>
          <w:p w14:paraId="3C4F30F7"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Technology employed</w:t>
            </w:r>
          </w:p>
        </w:tc>
        <w:tc>
          <w:tcPr>
            <w:tcW w:w="0" w:type="auto"/>
            <w:hideMark/>
          </w:tcPr>
          <w:p w14:paraId="45164E05" w14:textId="77777777" w:rsidR="00C1273A" w:rsidRPr="00BE6AEB" w:rsidRDefault="00C1273A" w:rsidP="000425C1">
            <w:pPr>
              <w:jc w:val="both"/>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Representative outcome</w:t>
            </w:r>
          </w:p>
        </w:tc>
      </w:tr>
      <w:tr w:rsidR="00C1273A" w:rsidRPr="00BE6AEB" w14:paraId="319A8EAF" w14:textId="77777777" w:rsidTr="00BE6AEB">
        <w:tc>
          <w:tcPr>
            <w:tcW w:w="0" w:type="auto"/>
            <w:hideMark/>
          </w:tcPr>
          <w:p w14:paraId="5B30B9D9"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QTL mapping</w:t>
            </w:r>
          </w:p>
        </w:tc>
        <w:tc>
          <w:tcPr>
            <w:tcW w:w="0" w:type="auto"/>
            <w:hideMark/>
          </w:tcPr>
          <w:p w14:paraId="7756B0AA" w14:textId="77777777" w:rsidR="00C1273A" w:rsidRPr="00BE6AEB" w:rsidRDefault="00C1273A" w:rsidP="000425C1">
            <w:pPr>
              <w:jc w:val="both"/>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culture-derived DH populations</w:t>
            </w:r>
          </w:p>
        </w:tc>
        <w:tc>
          <w:tcPr>
            <w:tcW w:w="0" w:type="auto"/>
            <w:hideMark/>
          </w:tcPr>
          <w:p w14:paraId="53C46D1B"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Mapping of agronomic and stress-related QTLs, and of the genetic basis of anther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itself</w:t>
            </w:r>
          </w:p>
        </w:tc>
      </w:tr>
      <w:tr w:rsidR="00C1273A" w:rsidRPr="00BE6AEB" w14:paraId="0A9E8731" w14:textId="77777777" w:rsidTr="00BE6AEB">
        <w:tc>
          <w:tcPr>
            <w:tcW w:w="0" w:type="auto"/>
            <w:hideMark/>
          </w:tcPr>
          <w:p w14:paraId="11609C4E"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Climate resilience breeding</w:t>
            </w:r>
          </w:p>
        </w:tc>
        <w:tc>
          <w:tcPr>
            <w:tcW w:w="0" w:type="auto"/>
            <w:hideMark/>
          </w:tcPr>
          <w:p w14:paraId="42590FD0" w14:textId="77777777" w:rsidR="00C1273A" w:rsidRPr="00BE6AEB" w:rsidRDefault="00C1273A" w:rsidP="000425C1">
            <w:pPr>
              <w:jc w:val="both"/>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culture-derived DH lines</w:t>
            </w:r>
          </w:p>
        </w:tc>
        <w:tc>
          <w:tcPr>
            <w:tcW w:w="0" w:type="auto"/>
            <w:hideMark/>
          </w:tcPr>
          <w:p w14:paraId="6DC0703B"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Generation of flooding-tolerant rice doubled haploid lines via anther culture</w:t>
            </w:r>
          </w:p>
        </w:tc>
      </w:tr>
      <w:tr w:rsidR="00C1273A" w:rsidRPr="00BE6AEB" w14:paraId="7DBAE3C2" w14:textId="77777777" w:rsidTr="00BE6AEB">
        <w:tc>
          <w:tcPr>
            <w:tcW w:w="0" w:type="auto"/>
            <w:hideMark/>
          </w:tcPr>
          <w:p w14:paraId="7EB50ABC"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Parental/restorer line improvement</w:t>
            </w:r>
          </w:p>
        </w:tc>
        <w:tc>
          <w:tcPr>
            <w:tcW w:w="0" w:type="auto"/>
            <w:hideMark/>
          </w:tcPr>
          <w:p w14:paraId="0269C763"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DH breeding combined with marker-assisted backcrossing</w:t>
            </w:r>
          </w:p>
        </w:tc>
        <w:tc>
          <w:tcPr>
            <w:tcW w:w="0" w:type="auto"/>
            <w:hideMark/>
          </w:tcPr>
          <w:p w14:paraId="2F12C276"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Introgression and pyramiding of resistance and quality genes into elite restorer lines</w:t>
            </w:r>
          </w:p>
        </w:tc>
      </w:tr>
      <w:tr w:rsidR="00C1273A" w:rsidRPr="00BE6AEB" w14:paraId="70411252" w14:textId="77777777" w:rsidTr="00BE6AEB">
        <w:tc>
          <w:tcPr>
            <w:tcW w:w="0" w:type="auto"/>
            <w:hideMark/>
          </w:tcPr>
          <w:p w14:paraId="05C097D8"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Genetic transformation</w:t>
            </w:r>
          </w:p>
        </w:tc>
        <w:tc>
          <w:tcPr>
            <w:tcW w:w="0" w:type="auto"/>
            <w:hideMark/>
          </w:tcPr>
          <w:p w14:paraId="488DF171"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Embryogenic callus regeneration</w:t>
            </w:r>
          </w:p>
        </w:tc>
        <w:tc>
          <w:tcPr>
            <w:tcW w:w="0" w:type="auto"/>
            <w:hideMark/>
          </w:tcPr>
          <w:p w14:paraId="087449D4"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Recovery of transgenic and genome-edited rice plants from embryogenic </w:t>
            </w:r>
            <w:proofErr w:type="spellStart"/>
            <w:r w:rsidRPr="00BE6AEB">
              <w:rPr>
                <w:rFonts w:ascii="Times New Roman" w:eastAsia="Times New Roman" w:hAnsi="Times New Roman" w:cs="Times New Roman"/>
                <w:sz w:val="24"/>
                <w:szCs w:val="24"/>
                <w:lang w:eastAsia="en-GB"/>
              </w:rPr>
              <w:t>calli</w:t>
            </w:r>
            <w:proofErr w:type="spellEnd"/>
          </w:p>
        </w:tc>
      </w:tr>
      <w:tr w:rsidR="00C1273A" w:rsidRPr="00BE6AEB" w14:paraId="5CCAD525" w14:textId="77777777" w:rsidTr="00BE6AEB">
        <w:tc>
          <w:tcPr>
            <w:tcW w:w="0" w:type="auto"/>
            <w:hideMark/>
          </w:tcPr>
          <w:p w14:paraId="0B68B87F"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Fixation of hybrid vigour</w:t>
            </w:r>
          </w:p>
        </w:tc>
        <w:tc>
          <w:tcPr>
            <w:tcW w:w="0" w:type="auto"/>
            <w:hideMark/>
          </w:tcPr>
          <w:p w14:paraId="4B7A9868"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Synthetic apomixis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 parthenogenetic trigger)</w:t>
            </w:r>
          </w:p>
        </w:tc>
        <w:tc>
          <w:tcPr>
            <w:tcW w:w="0" w:type="auto"/>
            <w:hideMark/>
          </w:tcPr>
          <w:p w14:paraId="3935B76E" w14:textId="77777777" w:rsidR="00C1273A" w:rsidRPr="00BE6AEB" w:rsidRDefault="00C1273A" w:rsidP="000425C1">
            <w:pPr>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Clonal hybrid rice seed with preserved heterotic agronomic phenotype across generations</w:t>
            </w:r>
          </w:p>
        </w:tc>
      </w:tr>
    </w:tbl>
    <w:p w14:paraId="6C5FD2A4"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F62F3">
        <w:rPr>
          <w:rFonts w:ascii="Times New Roman" w:eastAsia="Times New Roman" w:hAnsi="Times New Roman" w:cs="Times New Roman"/>
          <w:i/>
          <w:iCs/>
          <w:sz w:val="24"/>
          <w:szCs w:val="24"/>
          <w:lang w:val="nl-BE" w:eastAsia="en-GB"/>
        </w:rPr>
        <w:t xml:space="preserve">Sources: Bhuyan et al. (2025); Dash et al. (2022); Kostylev et al. (2023); Lantos et al. (2022); Song et al. (2024, 2025); Wang et al. (2019); Wei et al. </w:t>
      </w:r>
      <w:r w:rsidRPr="00BE6AEB">
        <w:rPr>
          <w:rFonts w:ascii="Times New Roman" w:eastAsia="Times New Roman" w:hAnsi="Times New Roman" w:cs="Times New Roman"/>
          <w:i/>
          <w:iCs/>
          <w:sz w:val="24"/>
          <w:szCs w:val="24"/>
          <w:lang w:eastAsia="en-GB"/>
        </w:rPr>
        <w:t>(2023).</w:t>
      </w:r>
    </w:p>
    <w:p w14:paraId="3320D47E"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Taken together, the applications in Table 4 show that androgenesis-derived doubled haploid technology and embryogenesis-engineering approaches now occupy complementary rather than competing positions in the rice breeding toolkit. Doubled haploid populations remain the dominant resource for genetic mapping and for rapidly fixing homozygosity within conventional and hybrid restorer line development, while synthetic apomixis represents an emergent, still pre-commercial strategy aimed at a different problem entirely—perpetuating, rather than merely fixing, a heterozygous hybrid genotype across generations. The two families of technology share a common molecular vocabulary, most notably the BBM-family embryogenic triggers and the phospholipase-family fertilisation genes, but they address breeding problems that differ in a fundamental respect: doubled haploid technology seeks to eliminate heterozygosity, whereas synthetic apomixis seeks to preserve it.</w:t>
      </w:r>
    </w:p>
    <w:p w14:paraId="0D84A371"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347EEC56"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9. Critical Appraisal: Constraints, Trade-offs, and Future Directions</w:t>
      </w:r>
    </w:p>
    <w:p w14:paraId="043D6142"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Several recurring limitations emerge from this synthesis that deserve explicit, critical comment. The first and most persistent is the genotype dependency of in vitro androgenesis, and specifically the comparative recalcitrance of indica backgrounds relative to japonica—a disparity that decades of media and pre-treatment optimisation have softened but not removed (Chen et al., 2025; Guo et al., 2024). Because indica cultivars dominate rice production across South and Southeast Asia, this disparity has disproportionately limited the practical reach of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culture-based doubled haploid breeding precisely in the regions where accelerated breeding cycles would arguably deliver the greatest food-security benefit. Genetic mapping of anther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itself (Sun et al., 2023) offers a route towards marker-assisted pre-selection of favourable parental combinations, but this approach is still in its early stages and has not yet been validated at the scale routine breeding deployment would require.</w:t>
      </w:r>
    </w:p>
    <w:p w14:paraId="41C8D56D"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second, closely related constraint is the trade-off, observed with notable consistency across both in vitro and in vivo systems, between induction efficiency and downstream plant fitness. In vitro androgenesis trades culture-derived stress for albinism and for the genomic and </w:t>
      </w:r>
      <w:r w:rsidRPr="00BE6AEB">
        <w:rPr>
          <w:rFonts w:ascii="Times New Roman" w:eastAsia="Times New Roman" w:hAnsi="Times New Roman" w:cs="Times New Roman"/>
          <w:sz w:val="24"/>
          <w:szCs w:val="24"/>
          <w:lang w:eastAsia="en-GB"/>
        </w:rPr>
        <w:lastRenderedPageBreak/>
        <w:t xml:space="preserve">epigenetic abnormalities associated with </w:t>
      </w:r>
      <w:proofErr w:type="spellStart"/>
      <w:r w:rsidRPr="00BE6AEB">
        <w:rPr>
          <w:rFonts w:ascii="Times New Roman" w:eastAsia="Times New Roman" w:hAnsi="Times New Roman" w:cs="Times New Roman"/>
          <w:sz w:val="24"/>
          <w:szCs w:val="24"/>
          <w:lang w:eastAsia="en-GB"/>
        </w:rPr>
        <w:t>somaclonal</w:t>
      </w:r>
      <w:proofErr w:type="spellEnd"/>
      <w:r w:rsidRPr="00BE6AEB">
        <w:rPr>
          <w:rFonts w:ascii="Times New Roman" w:eastAsia="Times New Roman" w:hAnsi="Times New Roman" w:cs="Times New Roman"/>
          <w:sz w:val="24"/>
          <w:szCs w:val="24"/>
          <w:lang w:eastAsia="en-GB"/>
        </w:rPr>
        <w:t xml:space="preserve"> variation; in vivo phospholipase- and DMP-based haploid induction systems trade higher haploid induction rates for reduced seed-setting rate in the haploid-inducer line itself (Liang et al., 2025; Liu et al., 2024); and synthetic apomixis systems have, across nearly every iteration reported to date, required a deliberate engineering compromise between maximising clonal seed frequency and preserving normal seed-setting rate, a tension only partly resolved by the most recent promoter and gene-combination refinements (Dan et al., 2024; Wei et al., 2023). The discovery that even the most successful current apomixis constructs show environmentally sensitive instability in clonal seed frequency across generations and locations (Wang et al., 2026) suggests that this trade-off has not yet been durably resolved, and that genomic and epigenetic stability—rather than peak induction frequency alone—ought to be treated as a primary criterion against which future haploid-inducer and apomixis systems are judged.</w:t>
      </w:r>
    </w:p>
    <w:p w14:paraId="50B09621"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A third point concerns how readily mechanistic insight transfers between pathways. The repeated finding that BBM-family transcription factors, and the auxin biosynthesis genes they regulate, participate in zygotic embryogenesis, somatic embryogenic callus formation, and engineered parthenogenesis alike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2019, 2023; Ren et al., 2024; Song et al., 2025) suggests that future improvements in any one of these domains may plausibly carry over to the others; epigenetic regulators identified through somatic callus genetics, such as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represent untested but mechanistically plausible candidate targets for improving androgenic callus induction efficiency, or for modulating embryogenic competence in apomictic egg cells. Conversely, the recent demonstration that isolated rice egg cells can be triggered into fertilisation-independent, autonomous embryogenic development by cold treatment alone, but that the process is currently accompanied by uncontrolled genome duplication (</w:t>
      </w:r>
      <w:proofErr w:type="spellStart"/>
      <w:r w:rsidRPr="00BE6AEB">
        <w:rPr>
          <w:rFonts w:ascii="Times New Roman" w:eastAsia="Times New Roman" w:hAnsi="Times New Roman" w:cs="Times New Roman"/>
          <w:sz w:val="24"/>
          <w:szCs w:val="24"/>
          <w:lang w:eastAsia="en-GB"/>
        </w:rPr>
        <w:t>Rattanawong</w:t>
      </w:r>
      <w:proofErr w:type="spellEnd"/>
      <w:r w:rsidRPr="00BE6AEB">
        <w:rPr>
          <w:rFonts w:ascii="Times New Roman" w:eastAsia="Times New Roman" w:hAnsi="Times New Roman" w:cs="Times New Roman"/>
          <w:sz w:val="24"/>
          <w:szCs w:val="24"/>
          <w:lang w:eastAsia="en-GB"/>
        </w:rPr>
        <w:t xml:space="preserve"> et al., 2026), is a reminder that gynogenic and zygotic embryogenesis, while mechanistically related to androgenesis and to BBM-driven parthenogenesis, retain features—here, ploidy control—that are not yet well understood and that will likely need dedicated mechanistic investigation rather than simple extrapolation from the androgenesis or BBM literature.</w:t>
      </w:r>
    </w:p>
    <w:p w14:paraId="217C6088"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Finally, the rapid movement of haploid-inducer genetics and synthetic apomixis from laboratory demonstration towards potential field deployment raises regulatory and biosafety questions that sit partly outside cellular and molecular mechanism but will nonetheless determine whether these technologies are ever realised at scale. Because almost all current in vivo haploid-induction and synthetic apomixis systems rely on CRISPR/Cas9 or related genome editing, and because the most efficient apomixis constructs reported so far have generally retained transgenic elements such as egg-cell-specific promoter–transgene fusions, the regulatory pathway for any future commercial apomictic hybrid rice variety will need to address both the genome-edited haploid-inducer parent lines used in its development and, in many jurisdictions, the transgenic status of the apomictic hybrid itself—a consideration explicitly flagged by researchers working towards transgene-free or fully edited apomictic rice lines as a priority for future development (Song et al., 2024).</w:t>
      </w:r>
    </w:p>
    <w:p w14:paraId="3B901481"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216F5D33"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10. Conclusions</w:t>
      </w:r>
    </w:p>
    <w:p w14:paraId="48573A2E"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hAnsi="Times New Roman" w:cs="Times New Roman"/>
        </w:rPr>
        <w:t xml:space="preserve">Androgenesis and embryogenesis in rice are two facets of a single underlying question: how a cell with restricted or absent developmental potential—a microspore, an unfertilised egg cell, a differentiated somatic cell, or a hybrid zygote destined for sexual recombination—can be redirected </w:t>
      </w:r>
      <w:r w:rsidRPr="00BE6AEB">
        <w:rPr>
          <w:rFonts w:ascii="Times New Roman" w:hAnsi="Times New Roman" w:cs="Times New Roman"/>
        </w:rPr>
        <w:lastRenderedPageBreak/>
        <w:t>towards organised, totipotent embryo formation. Five decades of methodological refinement have made in vitro anther culture a workable, if imperfect, tool for doubled haploid production in rice, capable of supporting quantitative trait locus mapping, parental and restorer line improvement, and the development of commercially released japonica varieties, while remaining constrained by genotype dependency, indica recalcitrance, and albinism. The parallel elucidation of the molecular machinery governing zygotic embryo initiation, centred on the BABY BOOM–auxin module and its paternal-genome-expressed partners, together with the discovery of phospholipase genes and gamete-fusion-associated DMP genes that contribute to in vivo haploid induction, has opened a second, genetically defined route to haploid production and has, more ambitiously, enabled the engineering of synthetic apomixis aimed at fixing hybrid vigour in rice indefinitely. These two technological families—tissue-culture-based androgenesis and genetics-based embryogenic engineering—are increasingly convergent at the molecular level, sharing key regulatory genes and facing structurally similar trade-offs between induction efficiency, plant fertility, and genomic stability. How quickly both mature is likely to shape how fast rice breeding can respond to the compounding pressures of population growth, climate variability, and the need for genetically resilient, high-yielding varieties across the diverse agroecological zones in which rice is grown.</w:t>
      </w:r>
    </w:p>
    <w:p w14:paraId="555FC995"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56C52EEC"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11. Limitations</w:t>
      </w:r>
    </w:p>
    <w:p w14:paraId="65A5ECBF" w14:textId="77777777" w:rsidR="00C1273A" w:rsidRPr="00BE6AEB" w:rsidRDefault="00C1273A" w:rsidP="000425C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E6AEB">
        <w:rPr>
          <w:rFonts w:ascii="Times New Roman" w:hAnsi="Times New Roman" w:cs="Times New Roman"/>
        </w:rPr>
        <w:t xml:space="preserve">This review is subject to several limitations inherent to its narrative format and scope. First, as a narrative rather than systematic review, the selection and weighting of evidence </w:t>
      </w:r>
      <w:proofErr w:type="gramStart"/>
      <w:r w:rsidRPr="00BE6AEB">
        <w:rPr>
          <w:rFonts w:ascii="Times New Roman" w:hAnsi="Times New Roman" w:cs="Times New Roman"/>
        </w:rPr>
        <w:t>reflects</w:t>
      </w:r>
      <w:proofErr w:type="gramEnd"/>
      <w:r w:rsidRPr="00BE6AEB">
        <w:rPr>
          <w:rFonts w:ascii="Times New Roman" w:hAnsi="Times New Roman" w:cs="Times New Roman"/>
        </w:rPr>
        <w:t xml:space="preserve"> the authors' judgement about the relative significance and methodological quality of individual studies, rather than a pre-registered, reproducible screening protocol, and the review therefore carries an inherent risk of selection bias, notwithstanding the structured search and screening procedures described in Section 2. Second, the literature on rice androgenesis and embryogenesis spans a heterogeneous set of experimental systems, genotypes, growth conditions, and outcome measures—</w:t>
      </w:r>
      <w:proofErr w:type="spellStart"/>
      <w:r w:rsidRPr="00BE6AEB">
        <w:rPr>
          <w:rFonts w:ascii="Times New Roman" w:hAnsi="Times New Roman" w:cs="Times New Roman"/>
        </w:rPr>
        <w:t>calli</w:t>
      </w:r>
      <w:proofErr w:type="spellEnd"/>
      <w:r w:rsidRPr="00BE6AEB">
        <w:rPr>
          <w:rFonts w:ascii="Times New Roman" w:hAnsi="Times New Roman" w:cs="Times New Roman"/>
        </w:rPr>
        <w:t xml:space="preserve"> per hundred anthers, green plantlets per hundred anthers, haploid induction rate, seed-setting rate, and so on—that are not strictly comparable across studies and that precluded any quantitative meta-analytic synthesis; comparisons drawn here between studies and between technological platforms should be read as indicative of broad trends rather than as statistically validated effect sizes. Third, publication in this field, particularly on genome editing-based haploid induction and synthetic apomixis, is moving quickly, and several of the most recent studies cited here appeared only months before this review was prepared; conclusions about the relative maturity and stability of competing in vivo systems should accordingly be treated as provisional, subject to revision as further multi-generation and multi-environment data accumulate. Fourth, this review has focused predominantly on </w:t>
      </w:r>
      <w:r w:rsidRPr="00BE6AEB">
        <w:rPr>
          <w:rFonts w:ascii="Times New Roman" w:hAnsi="Times New Roman" w:cs="Times New Roman"/>
          <w:i/>
        </w:rPr>
        <w:t>Oryza sativa</w:t>
      </w:r>
      <w:r w:rsidRPr="00BE6AEB">
        <w:rPr>
          <w:rFonts w:ascii="Times New Roman" w:hAnsi="Times New Roman" w:cs="Times New Roman"/>
        </w:rPr>
        <w:t>, and comparative insights from related cereal species, particularly maize, where several of the foundational haploid-inducer genes were first characterised, have been drawn on only insofar as they directly illuminate rice-specific mechanism or application; a fuller cross-species comparative treatment was beyond the present scope. Finally, the regulatory and socioeconomic dimensions of deploying genome-edited haploid inducers and synthetic apomixis at field scale, while flagged in Section 9, were not subjected to the same depth of literature search applied to the cellular and molecular content of this review and would merit independent, dedicated treatment.</w:t>
      </w:r>
    </w:p>
    <w:p w14:paraId="07562BE1" w14:textId="77777777" w:rsidR="008134FB" w:rsidRPr="000839CE" w:rsidRDefault="008134FB" w:rsidP="000425C1">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0FDE0AF7" w14:textId="77777777" w:rsidR="008134FB" w:rsidRPr="000839CE" w:rsidRDefault="008134FB" w:rsidP="000425C1">
      <w:pPr>
        <w:spacing w:after="0" w:line="240" w:lineRule="auto"/>
        <w:jc w:val="both"/>
        <w:rPr>
          <w:rFonts w:ascii="Times New Roman" w:hAnsi="Times New Roman" w:cs="Times New Roman"/>
        </w:rPr>
      </w:pPr>
    </w:p>
    <w:p w14:paraId="5457705C" w14:textId="77777777" w:rsidR="008134FB" w:rsidRPr="000839CE" w:rsidRDefault="008134FB" w:rsidP="000425C1">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w:t>
      </w:r>
      <w:r w:rsidRPr="00C56790">
        <w:rPr>
          <w:rFonts w:ascii="Times New Roman" w:hAnsi="Times New Roman" w:cs="Times New Roman"/>
        </w:rPr>
        <w:lastRenderedPageBreak/>
        <w:t>revised, verified, and approved by the author(s). The author(s) accept full responsibility for the accuracy, integrity, and final content of the manuscript.</w:t>
      </w:r>
    </w:p>
    <w:p w14:paraId="29785380" w14:textId="77777777" w:rsidR="00C1273A" w:rsidRPr="00BE6AEB" w:rsidRDefault="00C1273A" w:rsidP="000425C1">
      <w:pPr>
        <w:spacing w:after="0" w:line="240" w:lineRule="auto"/>
        <w:jc w:val="both"/>
        <w:rPr>
          <w:rFonts w:ascii="Times New Roman" w:eastAsia="Times New Roman" w:hAnsi="Times New Roman" w:cs="Times New Roman"/>
          <w:sz w:val="24"/>
          <w:szCs w:val="24"/>
          <w:lang w:eastAsia="en-GB"/>
        </w:rPr>
      </w:pPr>
    </w:p>
    <w:p w14:paraId="08280F80" w14:textId="77777777" w:rsidR="00C1273A" w:rsidRPr="00BE6AEB" w:rsidRDefault="00C1273A" w:rsidP="000425C1">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References</w:t>
      </w:r>
    </w:p>
    <w:p w14:paraId="1B06D04A" w14:textId="6E4FB2DB"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proofErr w:type="spellStart"/>
      <w:r w:rsidRPr="001F62F3">
        <w:rPr>
          <w:rFonts w:ascii="Times New Roman" w:eastAsia="Times New Roman" w:hAnsi="Times New Roman" w:cs="Times New Roman"/>
          <w:sz w:val="24"/>
          <w:szCs w:val="24"/>
          <w:lang w:val="en-US"/>
        </w:rPr>
        <w:t>Baethge</w:t>
      </w:r>
      <w:proofErr w:type="spellEnd"/>
      <w:r w:rsidRPr="001F62F3">
        <w:rPr>
          <w:rFonts w:ascii="Times New Roman" w:eastAsia="Times New Roman" w:hAnsi="Times New Roman" w:cs="Times New Roman"/>
          <w:sz w:val="24"/>
          <w:szCs w:val="24"/>
          <w:lang w:val="en-US"/>
        </w:rPr>
        <w:t xml:space="preserve">, C., Goldbeck-Wood, S., &amp; Mertens, S. (2019). SANRA—a scale for the quality assessment of narrative review articles. </w:t>
      </w:r>
      <w:r w:rsidRPr="001F62F3">
        <w:rPr>
          <w:rFonts w:ascii="Times New Roman" w:eastAsia="Times New Roman" w:hAnsi="Times New Roman" w:cs="Times New Roman"/>
          <w:i/>
          <w:iCs/>
          <w:sz w:val="24"/>
          <w:szCs w:val="24"/>
          <w:lang w:val="en-US"/>
        </w:rPr>
        <w:t>Research Integrity and Peer Review, 4</w:t>
      </w:r>
      <w:r w:rsidRPr="001F62F3">
        <w:rPr>
          <w:rFonts w:ascii="Times New Roman" w:eastAsia="Times New Roman" w:hAnsi="Times New Roman" w:cs="Times New Roman"/>
          <w:sz w:val="24"/>
          <w:szCs w:val="24"/>
          <w:lang w:val="en-US"/>
        </w:rPr>
        <w:t xml:space="preserve">, Article 5. </w:t>
      </w:r>
      <w:hyperlink r:id="rId8" w:tgtFrame="_new" w:history="1">
        <w:r w:rsidRPr="001F62F3">
          <w:rPr>
            <w:rFonts w:ascii="Times New Roman" w:eastAsia="Times New Roman" w:hAnsi="Times New Roman" w:cs="Times New Roman"/>
            <w:color w:val="0000FF"/>
            <w:sz w:val="24"/>
            <w:szCs w:val="24"/>
            <w:u w:val="single"/>
            <w:lang w:val="en-US"/>
          </w:rPr>
          <w:t>https://doi.org/10.1186/s41073-019-0064-8</w:t>
        </w:r>
      </w:hyperlink>
      <w:r w:rsidRPr="001F62F3">
        <w:rPr>
          <w:rFonts w:ascii="Times New Roman" w:eastAsia="Times New Roman" w:hAnsi="Times New Roman" w:cs="Times New Roman"/>
          <w:sz w:val="24"/>
          <w:szCs w:val="24"/>
          <w:lang w:val="en-US"/>
        </w:rPr>
        <w:t xml:space="preserve"> </w:t>
      </w:r>
    </w:p>
    <w:p w14:paraId="6F7178ED" w14:textId="4AC7FC56"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Bhuyan, S. S., Barik, D. P., Dash, B., Rout, P., </w:t>
      </w:r>
      <w:proofErr w:type="spellStart"/>
      <w:r w:rsidRPr="001F62F3">
        <w:rPr>
          <w:rFonts w:ascii="Times New Roman" w:eastAsia="Times New Roman" w:hAnsi="Times New Roman" w:cs="Times New Roman"/>
          <w:sz w:val="24"/>
          <w:szCs w:val="24"/>
          <w:lang w:val="en-US"/>
        </w:rPr>
        <w:t>Chandravani</w:t>
      </w:r>
      <w:proofErr w:type="spellEnd"/>
      <w:r w:rsidRPr="001F62F3">
        <w:rPr>
          <w:rFonts w:ascii="Times New Roman" w:eastAsia="Times New Roman" w:hAnsi="Times New Roman" w:cs="Times New Roman"/>
          <w:sz w:val="24"/>
          <w:szCs w:val="24"/>
          <w:lang w:val="en-US"/>
        </w:rPr>
        <w:t xml:space="preserve">, M., Baral, S., Mishra, A., Verma, R. L., Katara, J. L., Chidambaranathan, P., &amp; Devanna, B. N. (2025). Utilization of doubled haploid breeding approach in introgression of QTL/gene(s) for parental line improvement of hybrid rice. </w:t>
      </w:r>
      <w:r w:rsidRPr="001F62F3">
        <w:rPr>
          <w:rFonts w:ascii="Times New Roman" w:eastAsia="Times New Roman" w:hAnsi="Times New Roman" w:cs="Times New Roman"/>
          <w:i/>
          <w:iCs/>
          <w:sz w:val="24"/>
          <w:szCs w:val="24"/>
          <w:lang w:val="en-US"/>
        </w:rPr>
        <w:t>Journal of Applied Genetics, 66</w:t>
      </w:r>
      <w:r w:rsidRPr="001F62F3">
        <w:rPr>
          <w:rFonts w:ascii="Times New Roman" w:eastAsia="Times New Roman" w:hAnsi="Times New Roman" w:cs="Times New Roman"/>
          <w:sz w:val="24"/>
          <w:szCs w:val="24"/>
          <w:lang w:val="en-US"/>
        </w:rPr>
        <w:t xml:space="preserve">, 797–815. </w:t>
      </w:r>
      <w:hyperlink r:id="rId9" w:tgtFrame="_new" w:history="1">
        <w:r w:rsidRPr="001F62F3">
          <w:rPr>
            <w:rFonts w:ascii="Times New Roman" w:eastAsia="Times New Roman" w:hAnsi="Times New Roman" w:cs="Times New Roman"/>
            <w:color w:val="0000FF"/>
            <w:sz w:val="24"/>
            <w:szCs w:val="24"/>
            <w:u w:val="single"/>
            <w:lang w:val="en-US"/>
          </w:rPr>
          <w:t>https://doi.org/10.1007/s13353-025-00948-6</w:t>
        </w:r>
      </w:hyperlink>
      <w:r w:rsidRPr="001F62F3">
        <w:rPr>
          <w:rFonts w:ascii="Times New Roman" w:eastAsia="Times New Roman" w:hAnsi="Times New Roman" w:cs="Times New Roman"/>
          <w:sz w:val="24"/>
          <w:szCs w:val="24"/>
          <w:lang w:val="en-US"/>
        </w:rPr>
        <w:t xml:space="preserve"> </w:t>
      </w:r>
    </w:p>
    <w:p w14:paraId="6F391854" w14:textId="246928E6"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Chen, X., Li, S., Zha, W., Li, C., Zhou, L., You, A., &amp; Wu, Y. (2025). Advances in </w:t>
      </w:r>
      <w:proofErr w:type="spellStart"/>
      <w:r w:rsidRPr="001F62F3">
        <w:rPr>
          <w:rFonts w:ascii="Times New Roman" w:eastAsia="Times New Roman" w:hAnsi="Times New Roman" w:cs="Times New Roman"/>
          <w:sz w:val="24"/>
          <w:szCs w:val="24"/>
          <w:lang w:val="en-US"/>
        </w:rPr>
        <w:t>anther</w:t>
      </w:r>
      <w:proofErr w:type="spellEnd"/>
      <w:r w:rsidRPr="001F62F3">
        <w:rPr>
          <w:rFonts w:ascii="Times New Roman" w:eastAsia="Times New Roman" w:hAnsi="Times New Roman" w:cs="Times New Roman"/>
          <w:sz w:val="24"/>
          <w:szCs w:val="24"/>
          <w:lang w:val="en-US"/>
        </w:rPr>
        <w:t xml:space="preserve"> culture-based rice breeding in China. </w:t>
      </w:r>
      <w:r w:rsidRPr="001F62F3">
        <w:rPr>
          <w:rFonts w:ascii="Times New Roman" w:eastAsia="Times New Roman" w:hAnsi="Times New Roman" w:cs="Times New Roman"/>
          <w:i/>
          <w:iCs/>
          <w:sz w:val="24"/>
          <w:szCs w:val="24"/>
          <w:lang w:val="en-US"/>
        </w:rPr>
        <w:t>Plants, 14</w:t>
      </w:r>
      <w:r w:rsidRPr="001F62F3">
        <w:rPr>
          <w:rFonts w:ascii="Times New Roman" w:eastAsia="Times New Roman" w:hAnsi="Times New Roman" w:cs="Times New Roman"/>
          <w:sz w:val="24"/>
          <w:szCs w:val="24"/>
          <w:lang w:val="en-US"/>
        </w:rPr>
        <w:t xml:space="preserve">(11), Article 1586. </w:t>
      </w:r>
      <w:hyperlink r:id="rId10" w:tgtFrame="_new" w:history="1">
        <w:r w:rsidRPr="001F62F3">
          <w:rPr>
            <w:rFonts w:ascii="Times New Roman" w:eastAsia="Times New Roman" w:hAnsi="Times New Roman" w:cs="Times New Roman"/>
            <w:color w:val="0000FF"/>
            <w:sz w:val="24"/>
            <w:szCs w:val="24"/>
            <w:u w:val="single"/>
            <w:lang w:val="en-US"/>
          </w:rPr>
          <w:t>https://doi.org/10.3390/plants14111586</w:t>
        </w:r>
      </w:hyperlink>
      <w:r w:rsidRPr="001F62F3">
        <w:rPr>
          <w:rFonts w:ascii="Times New Roman" w:eastAsia="Times New Roman" w:hAnsi="Times New Roman" w:cs="Times New Roman"/>
          <w:sz w:val="24"/>
          <w:szCs w:val="24"/>
          <w:lang w:val="en-US"/>
        </w:rPr>
        <w:t xml:space="preserve"> </w:t>
      </w:r>
    </w:p>
    <w:p w14:paraId="7C672EA5" w14:textId="76E463D4"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Dan, J., Xia, Y., Wang, Y., Zhan, Y., Tian, J., Tang, N., Deng, H., &amp; Cao, M. (2024). One-line hybrid rice with high-efficiency synthetic apomixis and near-normal fertility. </w:t>
      </w:r>
      <w:r w:rsidRPr="001F62F3">
        <w:rPr>
          <w:rFonts w:ascii="Times New Roman" w:eastAsia="Times New Roman" w:hAnsi="Times New Roman" w:cs="Times New Roman"/>
          <w:i/>
          <w:iCs/>
          <w:sz w:val="24"/>
          <w:szCs w:val="24"/>
          <w:lang w:val="en-US"/>
        </w:rPr>
        <w:t>Plant Cell Reports, 43</w:t>
      </w:r>
      <w:r w:rsidRPr="001F62F3">
        <w:rPr>
          <w:rFonts w:ascii="Times New Roman" w:eastAsia="Times New Roman" w:hAnsi="Times New Roman" w:cs="Times New Roman"/>
          <w:sz w:val="24"/>
          <w:szCs w:val="24"/>
          <w:lang w:val="en-US"/>
        </w:rPr>
        <w:t xml:space="preserve">, Article 79. </w:t>
      </w:r>
      <w:hyperlink r:id="rId11" w:tgtFrame="_new" w:history="1">
        <w:r w:rsidRPr="001F62F3">
          <w:rPr>
            <w:rFonts w:ascii="Times New Roman" w:eastAsia="Times New Roman" w:hAnsi="Times New Roman" w:cs="Times New Roman"/>
            <w:color w:val="0000FF"/>
            <w:sz w:val="24"/>
            <w:szCs w:val="24"/>
            <w:u w:val="single"/>
            <w:lang w:val="en-US"/>
          </w:rPr>
          <w:t>https://doi.org/10.1007/s00299-024-03154-6</w:t>
        </w:r>
      </w:hyperlink>
      <w:r w:rsidRPr="001F62F3">
        <w:rPr>
          <w:rFonts w:ascii="Times New Roman" w:eastAsia="Times New Roman" w:hAnsi="Times New Roman" w:cs="Times New Roman"/>
          <w:sz w:val="24"/>
          <w:szCs w:val="24"/>
          <w:lang w:val="en-US"/>
        </w:rPr>
        <w:t xml:space="preserve"> </w:t>
      </w:r>
    </w:p>
    <w:p w14:paraId="1D7571F2" w14:textId="14F8F0F6"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Dash, B., Bhuyan, S. S., Singh, S. K., </w:t>
      </w:r>
      <w:proofErr w:type="spellStart"/>
      <w:r w:rsidRPr="001F62F3">
        <w:rPr>
          <w:rFonts w:ascii="Times New Roman" w:eastAsia="Times New Roman" w:hAnsi="Times New Roman" w:cs="Times New Roman"/>
          <w:sz w:val="24"/>
          <w:szCs w:val="24"/>
          <w:lang w:val="en-US"/>
        </w:rPr>
        <w:t>Chandravani</w:t>
      </w:r>
      <w:proofErr w:type="spellEnd"/>
      <w:r w:rsidRPr="001F62F3">
        <w:rPr>
          <w:rFonts w:ascii="Times New Roman" w:eastAsia="Times New Roman" w:hAnsi="Times New Roman" w:cs="Times New Roman"/>
          <w:sz w:val="24"/>
          <w:szCs w:val="24"/>
          <w:lang w:val="en-US"/>
        </w:rPr>
        <w:t xml:space="preserve">, M., Swain, N., Rout, P., Katara, J. L., Parameswaran, C., Devanna, B. N., &amp; </w:t>
      </w:r>
      <w:proofErr w:type="spellStart"/>
      <w:r w:rsidRPr="001F62F3">
        <w:rPr>
          <w:rFonts w:ascii="Times New Roman" w:eastAsia="Times New Roman" w:hAnsi="Times New Roman" w:cs="Times New Roman"/>
          <w:sz w:val="24"/>
          <w:szCs w:val="24"/>
          <w:lang w:val="en-US"/>
        </w:rPr>
        <w:t>Samantaray</w:t>
      </w:r>
      <w:proofErr w:type="spellEnd"/>
      <w:r w:rsidRPr="001F62F3">
        <w:rPr>
          <w:rFonts w:ascii="Times New Roman" w:eastAsia="Times New Roman" w:hAnsi="Times New Roman" w:cs="Times New Roman"/>
          <w:sz w:val="24"/>
          <w:szCs w:val="24"/>
          <w:lang w:val="en-US"/>
        </w:rPr>
        <w:t xml:space="preserve">, S. (2022). Androgenesis in indica rice: A comparative competency in development of doubled haploids. </w:t>
      </w:r>
      <w:r w:rsidRPr="001F62F3">
        <w:rPr>
          <w:rFonts w:ascii="Times New Roman" w:eastAsia="Times New Roman" w:hAnsi="Times New Roman" w:cs="Times New Roman"/>
          <w:i/>
          <w:iCs/>
          <w:sz w:val="24"/>
          <w:szCs w:val="24"/>
          <w:lang w:val="en-US"/>
        </w:rPr>
        <w:t>PLOS ONE, 17</w:t>
      </w:r>
      <w:r w:rsidRPr="001F62F3">
        <w:rPr>
          <w:rFonts w:ascii="Times New Roman" w:eastAsia="Times New Roman" w:hAnsi="Times New Roman" w:cs="Times New Roman"/>
          <w:sz w:val="24"/>
          <w:szCs w:val="24"/>
          <w:lang w:val="en-US"/>
        </w:rPr>
        <w:t xml:space="preserve">(5), Article e0267442. </w:t>
      </w:r>
      <w:hyperlink r:id="rId12" w:tgtFrame="_new" w:history="1">
        <w:r w:rsidRPr="001F62F3">
          <w:rPr>
            <w:rFonts w:ascii="Times New Roman" w:eastAsia="Times New Roman" w:hAnsi="Times New Roman" w:cs="Times New Roman"/>
            <w:color w:val="0000FF"/>
            <w:sz w:val="24"/>
            <w:szCs w:val="24"/>
            <w:u w:val="single"/>
            <w:lang w:val="en-US"/>
          </w:rPr>
          <w:t>https://doi.org/10.1371/journal.pone.0267442</w:t>
        </w:r>
      </w:hyperlink>
      <w:r w:rsidRPr="001F62F3">
        <w:rPr>
          <w:rFonts w:ascii="Times New Roman" w:eastAsia="Times New Roman" w:hAnsi="Times New Roman" w:cs="Times New Roman"/>
          <w:sz w:val="24"/>
          <w:szCs w:val="24"/>
          <w:lang w:val="en-US"/>
        </w:rPr>
        <w:t xml:space="preserve"> </w:t>
      </w:r>
    </w:p>
    <w:p w14:paraId="3DA10A16" w14:textId="0379D1AE"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Feng, Z., Chu, H., Cao, L., Wang, R., &amp; Zhang, A. (2026). A review of research progress in rice anther culture. </w:t>
      </w:r>
      <w:r w:rsidRPr="001F62F3">
        <w:rPr>
          <w:rFonts w:ascii="Times New Roman" w:eastAsia="Times New Roman" w:hAnsi="Times New Roman" w:cs="Times New Roman"/>
          <w:i/>
          <w:iCs/>
          <w:sz w:val="24"/>
          <w:szCs w:val="24"/>
          <w:lang w:val="en-US"/>
        </w:rPr>
        <w:t>Current Issues in Molecular Biology, 48</w:t>
      </w:r>
      <w:r w:rsidRPr="001F62F3">
        <w:rPr>
          <w:rFonts w:ascii="Times New Roman" w:eastAsia="Times New Roman" w:hAnsi="Times New Roman" w:cs="Times New Roman"/>
          <w:sz w:val="24"/>
          <w:szCs w:val="24"/>
          <w:lang w:val="en-US"/>
        </w:rPr>
        <w:t xml:space="preserve">(1), Article 18. </w:t>
      </w:r>
      <w:hyperlink r:id="rId13" w:tgtFrame="_new" w:history="1">
        <w:r w:rsidRPr="001F62F3">
          <w:rPr>
            <w:rFonts w:ascii="Times New Roman" w:eastAsia="Times New Roman" w:hAnsi="Times New Roman" w:cs="Times New Roman"/>
            <w:color w:val="0000FF"/>
            <w:sz w:val="24"/>
            <w:szCs w:val="24"/>
            <w:u w:val="single"/>
            <w:lang w:val="en-US"/>
          </w:rPr>
          <w:t>https://doi.org/10.3390/cimb48010018</w:t>
        </w:r>
      </w:hyperlink>
      <w:r w:rsidRPr="001F62F3">
        <w:rPr>
          <w:rFonts w:ascii="Times New Roman" w:eastAsia="Times New Roman" w:hAnsi="Times New Roman" w:cs="Times New Roman"/>
          <w:sz w:val="24"/>
          <w:szCs w:val="24"/>
          <w:lang w:val="en-US"/>
        </w:rPr>
        <w:t xml:space="preserve"> </w:t>
      </w:r>
    </w:p>
    <w:p w14:paraId="660CB82B" w14:textId="5CA1FC44"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nl-BE"/>
        </w:rPr>
        <w:t xml:space="preserve">Gao, R., Zong, Y., Zhang, S., Guo, G., Zhang, W., Chen, Z., Lu, R., Liu, C., Wang, Y., &amp; Li, Y. (2024). </w:t>
      </w:r>
      <w:r w:rsidRPr="001F62F3">
        <w:rPr>
          <w:rFonts w:ascii="Times New Roman" w:eastAsia="Times New Roman" w:hAnsi="Times New Roman" w:cs="Times New Roman"/>
          <w:sz w:val="24"/>
          <w:szCs w:val="24"/>
          <w:lang w:val="en-US"/>
        </w:rPr>
        <w:t>Efficient isolated microspore culture protocol for callus induction and plantlet regeneration in japonica rice (</w:t>
      </w:r>
      <w:r w:rsidRPr="001F62F3">
        <w:rPr>
          <w:rFonts w:ascii="Times New Roman" w:eastAsia="Times New Roman" w:hAnsi="Times New Roman" w:cs="Times New Roman"/>
          <w:i/>
          <w:iCs/>
          <w:sz w:val="24"/>
          <w:szCs w:val="24"/>
          <w:lang w:val="en-US"/>
        </w:rPr>
        <w:t>Oryza sativa</w:t>
      </w:r>
      <w:r w:rsidRPr="001F62F3">
        <w:rPr>
          <w:rFonts w:ascii="Times New Roman" w:eastAsia="Times New Roman" w:hAnsi="Times New Roman" w:cs="Times New Roman"/>
          <w:sz w:val="24"/>
          <w:szCs w:val="24"/>
          <w:lang w:val="en-US"/>
        </w:rPr>
        <w:t xml:space="preserve"> L.). </w:t>
      </w:r>
      <w:r w:rsidRPr="001F62F3">
        <w:rPr>
          <w:rFonts w:ascii="Times New Roman" w:eastAsia="Times New Roman" w:hAnsi="Times New Roman" w:cs="Times New Roman"/>
          <w:i/>
          <w:iCs/>
          <w:sz w:val="24"/>
          <w:szCs w:val="24"/>
          <w:lang w:val="en-US"/>
        </w:rPr>
        <w:t>Plant Methods, 20</w:t>
      </w:r>
      <w:r w:rsidRPr="001F62F3">
        <w:rPr>
          <w:rFonts w:ascii="Times New Roman" w:eastAsia="Times New Roman" w:hAnsi="Times New Roman" w:cs="Times New Roman"/>
          <w:sz w:val="24"/>
          <w:szCs w:val="24"/>
          <w:lang w:val="en-US"/>
        </w:rPr>
        <w:t xml:space="preserve">, Article 76. </w:t>
      </w:r>
      <w:hyperlink r:id="rId14" w:tgtFrame="_new" w:history="1">
        <w:r w:rsidRPr="001F62F3">
          <w:rPr>
            <w:rFonts w:ascii="Times New Roman" w:eastAsia="Times New Roman" w:hAnsi="Times New Roman" w:cs="Times New Roman"/>
            <w:color w:val="0000FF"/>
            <w:sz w:val="24"/>
            <w:szCs w:val="24"/>
            <w:u w:val="single"/>
            <w:lang w:val="en-US"/>
          </w:rPr>
          <w:t>https://doi.org/10.1186/s13007-024-01189-0</w:t>
        </w:r>
      </w:hyperlink>
      <w:r w:rsidRPr="001F62F3">
        <w:rPr>
          <w:rFonts w:ascii="Times New Roman" w:eastAsia="Times New Roman" w:hAnsi="Times New Roman" w:cs="Times New Roman"/>
          <w:sz w:val="24"/>
          <w:szCs w:val="24"/>
          <w:lang w:val="en-US"/>
        </w:rPr>
        <w:t xml:space="preserve"> </w:t>
      </w:r>
    </w:p>
    <w:p w14:paraId="11024315" w14:textId="36B73B9D"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Goyal, L., Kaur, M., Mandal, M., Panda, D., Karmakar, S., Molla, K. A., &amp; Bhatia, D. (2024). Potential gene editing targets for developing haploid inducer stocks in rice and wheat with high haploid induction frequency. </w:t>
      </w:r>
      <w:r w:rsidRPr="001F62F3">
        <w:rPr>
          <w:rFonts w:ascii="Times New Roman" w:eastAsia="Times New Roman" w:hAnsi="Times New Roman" w:cs="Times New Roman"/>
          <w:i/>
          <w:iCs/>
          <w:sz w:val="24"/>
          <w:szCs w:val="24"/>
          <w:lang w:val="en-US"/>
        </w:rPr>
        <w:t>3 Biotech, 14</w:t>
      </w:r>
      <w:r w:rsidRPr="001F62F3">
        <w:rPr>
          <w:rFonts w:ascii="Times New Roman" w:eastAsia="Times New Roman" w:hAnsi="Times New Roman" w:cs="Times New Roman"/>
          <w:sz w:val="24"/>
          <w:szCs w:val="24"/>
          <w:lang w:val="en-US"/>
        </w:rPr>
        <w:t xml:space="preserve">, Article 14. </w:t>
      </w:r>
      <w:hyperlink r:id="rId15" w:tgtFrame="_new" w:history="1">
        <w:r w:rsidRPr="001F62F3">
          <w:rPr>
            <w:rFonts w:ascii="Times New Roman" w:eastAsia="Times New Roman" w:hAnsi="Times New Roman" w:cs="Times New Roman"/>
            <w:color w:val="0000FF"/>
            <w:sz w:val="24"/>
            <w:szCs w:val="24"/>
            <w:u w:val="single"/>
            <w:lang w:val="en-US"/>
          </w:rPr>
          <w:t>https://doi.org/10.1007/s13205-023-03857-9</w:t>
        </w:r>
      </w:hyperlink>
      <w:r w:rsidRPr="001F62F3">
        <w:rPr>
          <w:rFonts w:ascii="Times New Roman" w:eastAsia="Times New Roman" w:hAnsi="Times New Roman" w:cs="Times New Roman"/>
          <w:sz w:val="24"/>
          <w:szCs w:val="24"/>
          <w:lang w:val="en-US"/>
        </w:rPr>
        <w:t xml:space="preserve"> </w:t>
      </w:r>
    </w:p>
    <w:p w14:paraId="1ED440F7" w14:textId="31775DD7"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Guo, G., Liu, S., Zhang, S., Yang, L., Zong, Y., Halford, N. G., He, T., Gao, R., Guo, Z., Zhou, L., Liu, C., Wu, S., &amp; Chen, Z. (2024). Generic workflow of a highly effective and easy anther culture method for both japonica and indica rice. </w:t>
      </w:r>
      <w:r w:rsidRPr="001F62F3">
        <w:rPr>
          <w:rFonts w:ascii="Times New Roman" w:eastAsia="Times New Roman" w:hAnsi="Times New Roman" w:cs="Times New Roman"/>
          <w:i/>
          <w:iCs/>
          <w:sz w:val="24"/>
          <w:szCs w:val="24"/>
          <w:lang w:val="en-US"/>
        </w:rPr>
        <w:t>Plants, 13</w:t>
      </w:r>
      <w:r w:rsidRPr="001F62F3">
        <w:rPr>
          <w:rFonts w:ascii="Times New Roman" w:eastAsia="Times New Roman" w:hAnsi="Times New Roman" w:cs="Times New Roman"/>
          <w:sz w:val="24"/>
          <w:szCs w:val="24"/>
          <w:lang w:val="en-US"/>
        </w:rPr>
        <w:t xml:space="preserve">(17), Article 2531. </w:t>
      </w:r>
      <w:hyperlink r:id="rId16" w:tgtFrame="_new" w:history="1">
        <w:r w:rsidRPr="001F62F3">
          <w:rPr>
            <w:rFonts w:ascii="Times New Roman" w:eastAsia="Times New Roman" w:hAnsi="Times New Roman" w:cs="Times New Roman"/>
            <w:color w:val="0000FF"/>
            <w:sz w:val="24"/>
            <w:szCs w:val="24"/>
            <w:u w:val="single"/>
            <w:lang w:val="en-US"/>
          </w:rPr>
          <w:t>https://doi.org/10.3390/plants13172531</w:t>
        </w:r>
      </w:hyperlink>
      <w:r w:rsidRPr="001F62F3">
        <w:rPr>
          <w:rFonts w:ascii="Times New Roman" w:eastAsia="Times New Roman" w:hAnsi="Times New Roman" w:cs="Times New Roman"/>
          <w:sz w:val="24"/>
          <w:szCs w:val="24"/>
          <w:lang w:val="en-US"/>
        </w:rPr>
        <w:t xml:space="preserve"> </w:t>
      </w:r>
    </w:p>
    <w:p w14:paraId="4FCD1062" w14:textId="6592ADBA"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nl-BE"/>
        </w:rPr>
        <w:t xml:space="preserve">Hu, F., Liu, C., Sun, T., Lin, Y., &amp; Wang, K. (2026). </w:t>
      </w:r>
      <w:r w:rsidRPr="001F62F3">
        <w:rPr>
          <w:rFonts w:ascii="Times New Roman" w:eastAsia="Times New Roman" w:hAnsi="Times New Roman" w:cs="Times New Roman"/>
          <w:sz w:val="24"/>
          <w:szCs w:val="24"/>
          <w:lang w:val="en-US"/>
        </w:rPr>
        <w:t xml:space="preserve">Mutation of the rice </w:t>
      </w:r>
      <w:proofErr w:type="spellStart"/>
      <w:r w:rsidRPr="001F62F3">
        <w:rPr>
          <w:rFonts w:ascii="Times New Roman" w:eastAsia="Times New Roman" w:hAnsi="Times New Roman" w:cs="Times New Roman"/>
          <w:sz w:val="24"/>
          <w:szCs w:val="24"/>
          <w:lang w:val="en-US"/>
        </w:rPr>
        <w:t>OsMTL</w:t>
      </w:r>
      <w:proofErr w:type="spellEnd"/>
      <w:r w:rsidRPr="001F62F3">
        <w:rPr>
          <w:rFonts w:ascii="Times New Roman" w:eastAsia="Times New Roman" w:hAnsi="Times New Roman" w:cs="Times New Roman"/>
          <w:sz w:val="24"/>
          <w:szCs w:val="24"/>
          <w:lang w:val="en-US"/>
        </w:rPr>
        <w:t xml:space="preserve"> gene simultaneously generates haploid, diploid, and triploid embryos. </w:t>
      </w:r>
      <w:r w:rsidRPr="001F62F3">
        <w:rPr>
          <w:rFonts w:ascii="Times New Roman" w:eastAsia="Times New Roman" w:hAnsi="Times New Roman" w:cs="Times New Roman"/>
          <w:i/>
          <w:iCs/>
          <w:sz w:val="24"/>
          <w:szCs w:val="24"/>
          <w:lang w:val="en-US"/>
        </w:rPr>
        <w:t>New Phytologist, 251</w:t>
      </w:r>
      <w:r w:rsidRPr="001F62F3">
        <w:rPr>
          <w:rFonts w:ascii="Times New Roman" w:eastAsia="Times New Roman" w:hAnsi="Times New Roman" w:cs="Times New Roman"/>
          <w:sz w:val="24"/>
          <w:szCs w:val="24"/>
          <w:lang w:val="en-US"/>
        </w:rPr>
        <w:t xml:space="preserve">(1), 18–23. </w:t>
      </w:r>
      <w:hyperlink r:id="rId17" w:tgtFrame="_new" w:history="1">
        <w:r w:rsidRPr="001F62F3">
          <w:rPr>
            <w:rFonts w:ascii="Times New Roman" w:eastAsia="Times New Roman" w:hAnsi="Times New Roman" w:cs="Times New Roman"/>
            <w:color w:val="0000FF"/>
            <w:sz w:val="24"/>
            <w:szCs w:val="24"/>
            <w:u w:val="single"/>
            <w:lang w:val="en-US"/>
          </w:rPr>
          <w:t>https://doi.org/10.1111/nph.71138</w:t>
        </w:r>
      </w:hyperlink>
      <w:r w:rsidRPr="001F62F3">
        <w:rPr>
          <w:rFonts w:ascii="Times New Roman" w:eastAsia="Times New Roman" w:hAnsi="Times New Roman" w:cs="Times New Roman"/>
          <w:sz w:val="24"/>
          <w:szCs w:val="24"/>
          <w:lang w:val="en-US"/>
        </w:rPr>
        <w:t xml:space="preserve"> </w:t>
      </w:r>
    </w:p>
    <w:p w14:paraId="08FA527A" w14:textId="4577F649"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proofErr w:type="spellStart"/>
      <w:r w:rsidRPr="001F62F3">
        <w:rPr>
          <w:rFonts w:ascii="Times New Roman" w:eastAsia="Times New Roman" w:hAnsi="Times New Roman" w:cs="Times New Roman"/>
          <w:sz w:val="24"/>
          <w:szCs w:val="24"/>
          <w:lang w:val="en-US"/>
        </w:rPr>
        <w:t>Khanday</w:t>
      </w:r>
      <w:proofErr w:type="spellEnd"/>
      <w:r w:rsidRPr="001F62F3">
        <w:rPr>
          <w:rFonts w:ascii="Times New Roman" w:eastAsia="Times New Roman" w:hAnsi="Times New Roman" w:cs="Times New Roman"/>
          <w:sz w:val="24"/>
          <w:szCs w:val="24"/>
          <w:lang w:val="en-US"/>
        </w:rPr>
        <w:t xml:space="preserve">, I., Skinner, D., Yang, B., Mercier, R., &amp; Sundaresan, V. (2019). A male-expressed rice embryogenic trigger redirected for asexual propagation through seeds. </w:t>
      </w:r>
      <w:r w:rsidRPr="001F62F3">
        <w:rPr>
          <w:rFonts w:ascii="Times New Roman" w:eastAsia="Times New Roman" w:hAnsi="Times New Roman" w:cs="Times New Roman"/>
          <w:i/>
          <w:iCs/>
          <w:sz w:val="24"/>
          <w:szCs w:val="24"/>
          <w:lang w:val="en-US"/>
        </w:rPr>
        <w:t>Nature, 565</w:t>
      </w:r>
      <w:r w:rsidRPr="001F62F3">
        <w:rPr>
          <w:rFonts w:ascii="Times New Roman" w:eastAsia="Times New Roman" w:hAnsi="Times New Roman" w:cs="Times New Roman"/>
          <w:sz w:val="24"/>
          <w:szCs w:val="24"/>
          <w:lang w:val="en-US"/>
        </w:rPr>
        <w:t xml:space="preserve">(7737), 91–95. </w:t>
      </w:r>
      <w:hyperlink r:id="rId18" w:tgtFrame="_new" w:history="1">
        <w:r w:rsidRPr="001F62F3">
          <w:rPr>
            <w:rFonts w:ascii="Times New Roman" w:eastAsia="Times New Roman" w:hAnsi="Times New Roman" w:cs="Times New Roman"/>
            <w:color w:val="0000FF"/>
            <w:sz w:val="24"/>
            <w:szCs w:val="24"/>
            <w:u w:val="single"/>
            <w:lang w:val="en-US"/>
          </w:rPr>
          <w:t>https://doi.org/10.1038/s41586-018-0785-8</w:t>
        </w:r>
      </w:hyperlink>
      <w:r w:rsidRPr="001F62F3">
        <w:rPr>
          <w:rFonts w:ascii="Times New Roman" w:eastAsia="Times New Roman" w:hAnsi="Times New Roman" w:cs="Times New Roman"/>
          <w:sz w:val="24"/>
          <w:szCs w:val="24"/>
          <w:lang w:val="en-US"/>
        </w:rPr>
        <w:t xml:space="preserve"> </w:t>
      </w:r>
    </w:p>
    <w:p w14:paraId="063AC1C1" w14:textId="516D9726"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proofErr w:type="spellStart"/>
      <w:r w:rsidRPr="001F62F3">
        <w:rPr>
          <w:rFonts w:ascii="Times New Roman" w:eastAsia="Times New Roman" w:hAnsi="Times New Roman" w:cs="Times New Roman"/>
          <w:sz w:val="24"/>
          <w:szCs w:val="24"/>
          <w:lang w:val="en-US"/>
        </w:rPr>
        <w:t>Khanday</w:t>
      </w:r>
      <w:proofErr w:type="spellEnd"/>
      <w:r w:rsidRPr="001F62F3">
        <w:rPr>
          <w:rFonts w:ascii="Times New Roman" w:eastAsia="Times New Roman" w:hAnsi="Times New Roman" w:cs="Times New Roman"/>
          <w:sz w:val="24"/>
          <w:szCs w:val="24"/>
          <w:lang w:val="en-US"/>
        </w:rPr>
        <w:t xml:space="preserve">, I., &amp; Sundaresan, V. (2021). Plant zygote development: Recent insights and applications to clonal seeds. </w:t>
      </w:r>
      <w:r w:rsidRPr="001F62F3">
        <w:rPr>
          <w:rFonts w:ascii="Times New Roman" w:eastAsia="Times New Roman" w:hAnsi="Times New Roman" w:cs="Times New Roman"/>
          <w:i/>
          <w:iCs/>
          <w:sz w:val="24"/>
          <w:szCs w:val="24"/>
          <w:lang w:val="en-US"/>
        </w:rPr>
        <w:t>Current Opinion in Plant Biology, 59</w:t>
      </w:r>
      <w:r w:rsidRPr="001F62F3">
        <w:rPr>
          <w:rFonts w:ascii="Times New Roman" w:eastAsia="Times New Roman" w:hAnsi="Times New Roman" w:cs="Times New Roman"/>
          <w:sz w:val="24"/>
          <w:szCs w:val="24"/>
          <w:lang w:val="en-US"/>
        </w:rPr>
        <w:t xml:space="preserve">, Article 101993. </w:t>
      </w:r>
      <w:hyperlink r:id="rId19" w:tgtFrame="_new" w:history="1">
        <w:r w:rsidRPr="001F62F3">
          <w:rPr>
            <w:rFonts w:ascii="Times New Roman" w:eastAsia="Times New Roman" w:hAnsi="Times New Roman" w:cs="Times New Roman"/>
            <w:color w:val="0000FF"/>
            <w:sz w:val="24"/>
            <w:szCs w:val="24"/>
            <w:u w:val="single"/>
            <w:lang w:val="en-US"/>
          </w:rPr>
          <w:t>https://doi.org/10.1016/j.pbi.2020.101993</w:t>
        </w:r>
      </w:hyperlink>
      <w:r w:rsidRPr="001F62F3">
        <w:rPr>
          <w:rFonts w:ascii="Times New Roman" w:eastAsia="Times New Roman" w:hAnsi="Times New Roman" w:cs="Times New Roman"/>
          <w:sz w:val="24"/>
          <w:szCs w:val="24"/>
          <w:lang w:val="en-US"/>
        </w:rPr>
        <w:t xml:space="preserve"> </w:t>
      </w:r>
    </w:p>
    <w:p w14:paraId="1727BBC5" w14:textId="698CD180"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proofErr w:type="spellStart"/>
      <w:r w:rsidRPr="001F62F3">
        <w:rPr>
          <w:rFonts w:ascii="Times New Roman" w:eastAsia="Times New Roman" w:hAnsi="Times New Roman" w:cs="Times New Roman"/>
          <w:sz w:val="24"/>
          <w:szCs w:val="24"/>
          <w:lang w:val="en-US"/>
        </w:rPr>
        <w:lastRenderedPageBreak/>
        <w:t>Khanday</w:t>
      </w:r>
      <w:proofErr w:type="spellEnd"/>
      <w:r w:rsidRPr="001F62F3">
        <w:rPr>
          <w:rFonts w:ascii="Times New Roman" w:eastAsia="Times New Roman" w:hAnsi="Times New Roman" w:cs="Times New Roman"/>
          <w:sz w:val="24"/>
          <w:szCs w:val="24"/>
          <w:lang w:val="en-US"/>
        </w:rPr>
        <w:t xml:space="preserve">, I., Santos-Medellín, C., &amp; Sundaresan, V. (2023). Somatic embryo initiation by rice BABY BOOM1 involves activation of zygote-expressed auxin biosynthesis genes. </w:t>
      </w:r>
      <w:r w:rsidRPr="001F62F3">
        <w:rPr>
          <w:rFonts w:ascii="Times New Roman" w:eastAsia="Times New Roman" w:hAnsi="Times New Roman" w:cs="Times New Roman"/>
          <w:i/>
          <w:iCs/>
          <w:sz w:val="24"/>
          <w:szCs w:val="24"/>
          <w:lang w:val="en-US"/>
        </w:rPr>
        <w:t>New Phytologist, 238</w:t>
      </w:r>
      <w:r w:rsidRPr="001F62F3">
        <w:rPr>
          <w:rFonts w:ascii="Times New Roman" w:eastAsia="Times New Roman" w:hAnsi="Times New Roman" w:cs="Times New Roman"/>
          <w:sz w:val="24"/>
          <w:szCs w:val="24"/>
          <w:lang w:val="en-US"/>
        </w:rPr>
        <w:t xml:space="preserve">(2), 673–687. </w:t>
      </w:r>
      <w:hyperlink r:id="rId20" w:tgtFrame="_new" w:history="1">
        <w:r w:rsidRPr="001F62F3">
          <w:rPr>
            <w:rFonts w:ascii="Times New Roman" w:eastAsia="Times New Roman" w:hAnsi="Times New Roman" w:cs="Times New Roman"/>
            <w:color w:val="0000FF"/>
            <w:sz w:val="24"/>
            <w:szCs w:val="24"/>
            <w:u w:val="single"/>
            <w:lang w:val="en-US"/>
          </w:rPr>
          <w:t>https://doi.org/10.1111/nph.18774</w:t>
        </w:r>
      </w:hyperlink>
      <w:r w:rsidRPr="001F62F3">
        <w:rPr>
          <w:rFonts w:ascii="Times New Roman" w:eastAsia="Times New Roman" w:hAnsi="Times New Roman" w:cs="Times New Roman"/>
          <w:sz w:val="24"/>
          <w:szCs w:val="24"/>
          <w:lang w:val="en-US"/>
        </w:rPr>
        <w:t xml:space="preserve"> </w:t>
      </w:r>
    </w:p>
    <w:p w14:paraId="6A5B1FF3" w14:textId="3D0E7736"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proofErr w:type="spellStart"/>
      <w:r w:rsidRPr="001F62F3">
        <w:rPr>
          <w:rFonts w:ascii="Times New Roman" w:eastAsia="Times New Roman" w:hAnsi="Times New Roman" w:cs="Times New Roman"/>
          <w:sz w:val="24"/>
          <w:szCs w:val="24"/>
          <w:lang w:val="en-US"/>
        </w:rPr>
        <w:t>Kostylev</w:t>
      </w:r>
      <w:proofErr w:type="spellEnd"/>
      <w:r w:rsidRPr="001F62F3">
        <w:rPr>
          <w:rFonts w:ascii="Times New Roman" w:eastAsia="Times New Roman" w:hAnsi="Times New Roman" w:cs="Times New Roman"/>
          <w:sz w:val="24"/>
          <w:szCs w:val="24"/>
          <w:lang w:val="en-US"/>
        </w:rPr>
        <w:t xml:space="preserve">, P., </w:t>
      </w:r>
      <w:proofErr w:type="spellStart"/>
      <w:r w:rsidRPr="001F62F3">
        <w:rPr>
          <w:rFonts w:ascii="Times New Roman" w:eastAsia="Times New Roman" w:hAnsi="Times New Roman" w:cs="Times New Roman"/>
          <w:sz w:val="24"/>
          <w:szCs w:val="24"/>
          <w:lang w:val="en-US"/>
        </w:rPr>
        <w:t>Kainina</w:t>
      </w:r>
      <w:proofErr w:type="spellEnd"/>
      <w:r w:rsidRPr="001F62F3">
        <w:rPr>
          <w:rFonts w:ascii="Times New Roman" w:eastAsia="Times New Roman" w:hAnsi="Times New Roman" w:cs="Times New Roman"/>
          <w:sz w:val="24"/>
          <w:szCs w:val="24"/>
          <w:lang w:val="en-US"/>
        </w:rPr>
        <w:t xml:space="preserve">, N., </w:t>
      </w:r>
      <w:proofErr w:type="spellStart"/>
      <w:r w:rsidRPr="001F62F3">
        <w:rPr>
          <w:rFonts w:ascii="Times New Roman" w:eastAsia="Times New Roman" w:hAnsi="Times New Roman" w:cs="Times New Roman"/>
          <w:sz w:val="24"/>
          <w:szCs w:val="24"/>
          <w:lang w:val="en-US"/>
        </w:rPr>
        <w:t>Vozhzhova</w:t>
      </w:r>
      <w:proofErr w:type="spellEnd"/>
      <w:r w:rsidRPr="001F62F3">
        <w:rPr>
          <w:rFonts w:ascii="Times New Roman" w:eastAsia="Times New Roman" w:hAnsi="Times New Roman" w:cs="Times New Roman"/>
          <w:sz w:val="24"/>
          <w:szCs w:val="24"/>
          <w:lang w:val="en-US"/>
        </w:rPr>
        <w:t xml:space="preserve">, N., </w:t>
      </w:r>
      <w:proofErr w:type="spellStart"/>
      <w:r w:rsidRPr="001F62F3">
        <w:rPr>
          <w:rFonts w:ascii="Times New Roman" w:eastAsia="Times New Roman" w:hAnsi="Times New Roman" w:cs="Times New Roman"/>
          <w:sz w:val="24"/>
          <w:szCs w:val="24"/>
          <w:lang w:val="en-US"/>
        </w:rPr>
        <w:t>Golubova</w:t>
      </w:r>
      <w:proofErr w:type="spellEnd"/>
      <w:r w:rsidRPr="001F62F3">
        <w:rPr>
          <w:rFonts w:ascii="Times New Roman" w:eastAsia="Times New Roman" w:hAnsi="Times New Roman" w:cs="Times New Roman"/>
          <w:sz w:val="24"/>
          <w:szCs w:val="24"/>
          <w:lang w:val="en-US"/>
        </w:rPr>
        <w:t xml:space="preserve">, V., &amp; </w:t>
      </w:r>
      <w:proofErr w:type="spellStart"/>
      <w:r w:rsidRPr="001F62F3">
        <w:rPr>
          <w:rFonts w:ascii="Times New Roman" w:eastAsia="Times New Roman" w:hAnsi="Times New Roman" w:cs="Times New Roman"/>
          <w:sz w:val="24"/>
          <w:szCs w:val="24"/>
          <w:lang w:val="en-US"/>
        </w:rPr>
        <w:t>Chertkova</w:t>
      </w:r>
      <w:proofErr w:type="spellEnd"/>
      <w:r w:rsidRPr="001F62F3">
        <w:rPr>
          <w:rFonts w:ascii="Times New Roman" w:eastAsia="Times New Roman" w:hAnsi="Times New Roman" w:cs="Times New Roman"/>
          <w:sz w:val="24"/>
          <w:szCs w:val="24"/>
          <w:lang w:val="en-US"/>
        </w:rPr>
        <w:t xml:space="preserve">, N. (2023). Creation of rice doubled haploids resistant to prolonged flooding using anther culture. </w:t>
      </w:r>
      <w:r w:rsidRPr="001F62F3">
        <w:rPr>
          <w:rFonts w:ascii="Times New Roman" w:eastAsia="Times New Roman" w:hAnsi="Times New Roman" w:cs="Times New Roman"/>
          <w:i/>
          <w:iCs/>
          <w:sz w:val="24"/>
          <w:szCs w:val="24"/>
          <w:lang w:val="en-US"/>
        </w:rPr>
        <w:t>Plants, 12</w:t>
      </w:r>
      <w:r w:rsidRPr="001F62F3">
        <w:rPr>
          <w:rFonts w:ascii="Times New Roman" w:eastAsia="Times New Roman" w:hAnsi="Times New Roman" w:cs="Times New Roman"/>
          <w:sz w:val="24"/>
          <w:szCs w:val="24"/>
          <w:lang w:val="en-US"/>
        </w:rPr>
        <w:t xml:space="preserve">(21), Article 3681. </w:t>
      </w:r>
      <w:hyperlink r:id="rId21" w:tgtFrame="_new" w:history="1">
        <w:r w:rsidRPr="001F62F3">
          <w:rPr>
            <w:rFonts w:ascii="Times New Roman" w:eastAsia="Times New Roman" w:hAnsi="Times New Roman" w:cs="Times New Roman"/>
            <w:color w:val="0000FF"/>
            <w:sz w:val="24"/>
            <w:szCs w:val="24"/>
            <w:u w:val="single"/>
            <w:lang w:val="en-US"/>
          </w:rPr>
          <w:t>https://doi.org/10.3390/plants12213681</w:t>
        </w:r>
      </w:hyperlink>
      <w:r w:rsidRPr="001F62F3">
        <w:rPr>
          <w:rFonts w:ascii="Times New Roman" w:eastAsia="Times New Roman" w:hAnsi="Times New Roman" w:cs="Times New Roman"/>
          <w:sz w:val="24"/>
          <w:szCs w:val="24"/>
          <w:lang w:val="en-US"/>
        </w:rPr>
        <w:t xml:space="preserve"> </w:t>
      </w:r>
    </w:p>
    <w:p w14:paraId="44E58DA3" w14:textId="4EE56C00"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Kyum, M., Kaur, H., Kamboj, A., Goyal, L., &amp; Bhatia, D. (2022). Strategies and prospects of haploid induction in rice (</w:t>
      </w:r>
      <w:r w:rsidRPr="001F62F3">
        <w:rPr>
          <w:rFonts w:ascii="Times New Roman" w:eastAsia="Times New Roman" w:hAnsi="Times New Roman" w:cs="Times New Roman"/>
          <w:i/>
          <w:iCs/>
          <w:sz w:val="24"/>
          <w:szCs w:val="24"/>
          <w:lang w:val="en-US"/>
        </w:rPr>
        <w:t>Oryza sativa</w:t>
      </w:r>
      <w:r w:rsidRPr="001F62F3">
        <w:rPr>
          <w:rFonts w:ascii="Times New Roman" w:eastAsia="Times New Roman" w:hAnsi="Times New Roman" w:cs="Times New Roman"/>
          <w:sz w:val="24"/>
          <w:szCs w:val="24"/>
          <w:lang w:val="en-US"/>
        </w:rPr>
        <w:t xml:space="preserve">). </w:t>
      </w:r>
      <w:r w:rsidRPr="001F62F3">
        <w:rPr>
          <w:rFonts w:ascii="Times New Roman" w:eastAsia="Times New Roman" w:hAnsi="Times New Roman" w:cs="Times New Roman"/>
          <w:i/>
          <w:iCs/>
          <w:sz w:val="24"/>
          <w:szCs w:val="24"/>
          <w:lang w:val="en-US"/>
        </w:rPr>
        <w:t>Plant Breeding, 141</w:t>
      </w:r>
      <w:r w:rsidRPr="001F62F3">
        <w:rPr>
          <w:rFonts w:ascii="Times New Roman" w:eastAsia="Times New Roman" w:hAnsi="Times New Roman" w:cs="Times New Roman"/>
          <w:sz w:val="24"/>
          <w:szCs w:val="24"/>
          <w:lang w:val="en-US"/>
        </w:rPr>
        <w:t xml:space="preserve">(1), 1–11. </w:t>
      </w:r>
      <w:hyperlink r:id="rId22" w:tgtFrame="_new" w:history="1">
        <w:r w:rsidRPr="001F62F3">
          <w:rPr>
            <w:rFonts w:ascii="Times New Roman" w:eastAsia="Times New Roman" w:hAnsi="Times New Roman" w:cs="Times New Roman"/>
            <w:color w:val="0000FF"/>
            <w:sz w:val="24"/>
            <w:szCs w:val="24"/>
            <w:u w:val="single"/>
            <w:lang w:val="en-US"/>
          </w:rPr>
          <w:t>https://doi.org/10.1111/pbr.12971</w:t>
        </w:r>
      </w:hyperlink>
      <w:r w:rsidRPr="001F62F3">
        <w:rPr>
          <w:rFonts w:ascii="Times New Roman" w:eastAsia="Times New Roman" w:hAnsi="Times New Roman" w:cs="Times New Roman"/>
          <w:sz w:val="24"/>
          <w:szCs w:val="24"/>
          <w:lang w:val="en-US"/>
        </w:rPr>
        <w:t xml:space="preserve"> </w:t>
      </w:r>
    </w:p>
    <w:p w14:paraId="35777052" w14:textId="07C1DB25"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Lantos, C., Jancsó, M., Székely, Á., Nagy, É., Szalóki, T., &amp; Pauk, J. (2022). Improvement of </w:t>
      </w:r>
      <w:proofErr w:type="spellStart"/>
      <w:r w:rsidRPr="001F62F3">
        <w:rPr>
          <w:rFonts w:ascii="Times New Roman" w:eastAsia="Times New Roman" w:hAnsi="Times New Roman" w:cs="Times New Roman"/>
          <w:sz w:val="24"/>
          <w:szCs w:val="24"/>
          <w:lang w:val="en-US"/>
        </w:rPr>
        <w:t>anther</w:t>
      </w:r>
      <w:proofErr w:type="spellEnd"/>
      <w:r w:rsidRPr="001F62F3">
        <w:rPr>
          <w:rFonts w:ascii="Times New Roman" w:eastAsia="Times New Roman" w:hAnsi="Times New Roman" w:cs="Times New Roman"/>
          <w:sz w:val="24"/>
          <w:szCs w:val="24"/>
          <w:lang w:val="en-US"/>
        </w:rPr>
        <w:t xml:space="preserve"> culture to integrate doubled haploid technology in temperate rice (</w:t>
      </w:r>
      <w:r w:rsidRPr="001F62F3">
        <w:rPr>
          <w:rFonts w:ascii="Times New Roman" w:eastAsia="Times New Roman" w:hAnsi="Times New Roman" w:cs="Times New Roman"/>
          <w:i/>
          <w:iCs/>
          <w:sz w:val="24"/>
          <w:szCs w:val="24"/>
          <w:lang w:val="en-US"/>
        </w:rPr>
        <w:t>Oryza sativa</w:t>
      </w:r>
      <w:r w:rsidRPr="001F62F3">
        <w:rPr>
          <w:rFonts w:ascii="Times New Roman" w:eastAsia="Times New Roman" w:hAnsi="Times New Roman" w:cs="Times New Roman"/>
          <w:sz w:val="24"/>
          <w:szCs w:val="24"/>
          <w:lang w:val="en-US"/>
        </w:rPr>
        <w:t xml:space="preserve"> L.) breeding. </w:t>
      </w:r>
      <w:r w:rsidRPr="001F62F3">
        <w:rPr>
          <w:rFonts w:ascii="Times New Roman" w:eastAsia="Times New Roman" w:hAnsi="Times New Roman" w:cs="Times New Roman"/>
          <w:i/>
          <w:iCs/>
          <w:sz w:val="24"/>
          <w:szCs w:val="24"/>
          <w:lang w:val="en-US"/>
        </w:rPr>
        <w:t>Plants, 11</w:t>
      </w:r>
      <w:r w:rsidRPr="001F62F3">
        <w:rPr>
          <w:rFonts w:ascii="Times New Roman" w:eastAsia="Times New Roman" w:hAnsi="Times New Roman" w:cs="Times New Roman"/>
          <w:sz w:val="24"/>
          <w:szCs w:val="24"/>
          <w:lang w:val="en-US"/>
        </w:rPr>
        <w:t xml:space="preserve">(24), Article 3446. </w:t>
      </w:r>
      <w:hyperlink r:id="rId23" w:tgtFrame="_new" w:history="1">
        <w:r w:rsidRPr="001F62F3">
          <w:rPr>
            <w:rFonts w:ascii="Times New Roman" w:eastAsia="Times New Roman" w:hAnsi="Times New Roman" w:cs="Times New Roman"/>
            <w:color w:val="0000FF"/>
            <w:sz w:val="24"/>
            <w:szCs w:val="24"/>
            <w:u w:val="single"/>
            <w:lang w:val="en-US"/>
          </w:rPr>
          <w:t>https://doi.org/10.3390/plants11243446</w:t>
        </w:r>
      </w:hyperlink>
      <w:r w:rsidRPr="001F62F3">
        <w:rPr>
          <w:rFonts w:ascii="Times New Roman" w:eastAsia="Times New Roman" w:hAnsi="Times New Roman" w:cs="Times New Roman"/>
          <w:sz w:val="24"/>
          <w:szCs w:val="24"/>
          <w:lang w:val="en-US"/>
        </w:rPr>
        <w:t xml:space="preserve"> </w:t>
      </w:r>
    </w:p>
    <w:p w14:paraId="421CC5EB" w14:textId="2B51C0FD"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Lantos, C., Jancsó, M., Székely, Á., Szalóki, T., </w:t>
      </w:r>
      <w:proofErr w:type="spellStart"/>
      <w:r w:rsidRPr="001F62F3">
        <w:rPr>
          <w:rFonts w:ascii="Times New Roman" w:eastAsia="Times New Roman" w:hAnsi="Times New Roman" w:cs="Times New Roman"/>
          <w:sz w:val="24"/>
          <w:szCs w:val="24"/>
          <w:lang w:val="en-US"/>
        </w:rPr>
        <w:t>Venkatanagappa</w:t>
      </w:r>
      <w:proofErr w:type="spellEnd"/>
      <w:r w:rsidRPr="001F62F3">
        <w:rPr>
          <w:rFonts w:ascii="Times New Roman" w:eastAsia="Times New Roman" w:hAnsi="Times New Roman" w:cs="Times New Roman"/>
          <w:sz w:val="24"/>
          <w:szCs w:val="24"/>
          <w:lang w:val="en-US"/>
        </w:rPr>
        <w:t>, S., &amp; Pauk, J. (2023). Development of in vitro anther culture for doubled haploid plant production in indica rice (</w:t>
      </w:r>
      <w:r w:rsidRPr="001F62F3">
        <w:rPr>
          <w:rFonts w:ascii="Times New Roman" w:eastAsia="Times New Roman" w:hAnsi="Times New Roman" w:cs="Times New Roman"/>
          <w:i/>
          <w:iCs/>
          <w:sz w:val="24"/>
          <w:szCs w:val="24"/>
          <w:lang w:val="en-US"/>
        </w:rPr>
        <w:t>Oryza sativa</w:t>
      </w:r>
      <w:r w:rsidRPr="001F62F3">
        <w:rPr>
          <w:rFonts w:ascii="Times New Roman" w:eastAsia="Times New Roman" w:hAnsi="Times New Roman" w:cs="Times New Roman"/>
          <w:sz w:val="24"/>
          <w:szCs w:val="24"/>
          <w:lang w:val="en-US"/>
        </w:rPr>
        <w:t xml:space="preserve"> L.) genotypes. </w:t>
      </w:r>
      <w:r w:rsidRPr="001F62F3">
        <w:rPr>
          <w:rFonts w:ascii="Times New Roman" w:eastAsia="Times New Roman" w:hAnsi="Times New Roman" w:cs="Times New Roman"/>
          <w:i/>
          <w:iCs/>
          <w:sz w:val="24"/>
          <w:szCs w:val="24"/>
          <w:lang w:val="en-US"/>
        </w:rPr>
        <w:t>Plants, 12</w:t>
      </w:r>
      <w:r w:rsidRPr="001F62F3">
        <w:rPr>
          <w:rFonts w:ascii="Times New Roman" w:eastAsia="Times New Roman" w:hAnsi="Times New Roman" w:cs="Times New Roman"/>
          <w:sz w:val="24"/>
          <w:szCs w:val="24"/>
          <w:lang w:val="en-US"/>
        </w:rPr>
        <w:t xml:space="preserve">(9), Article 1774. </w:t>
      </w:r>
      <w:hyperlink r:id="rId24" w:tgtFrame="_new" w:history="1">
        <w:r w:rsidRPr="001F62F3">
          <w:rPr>
            <w:rFonts w:ascii="Times New Roman" w:eastAsia="Times New Roman" w:hAnsi="Times New Roman" w:cs="Times New Roman"/>
            <w:color w:val="0000FF"/>
            <w:sz w:val="24"/>
            <w:szCs w:val="24"/>
            <w:u w:val="single"/>
            <w:lang w:val="en-US"/>
          </w:rPr>
          <w:t>https://doi.org/10.3390/plants12091774</w:t>
        </w:r>
      </w:hyperlink>
      <w:r w:rsidRPr="001F62F3">
        <w:rPr>
          <w:rFonts w:ascii="Times New Roman" w:eastAsia="Times New Roman" w:hAnsi="Times New Roman" w:cs="Times New Roman"/>
          <w:sz w:val="24"/>
          <w:szCs w:val="24"/>
          <w:lang w:val="en-US"/>
        </w:rPr>
        <w:t xml:space="preserve"> </w:t>
      </w:r>
    </w:p>
    <w:p w14:paraId="64E190D3" w14:textId="749BA1AD"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nl-BE"/>
        </w:rPr>
        <w:t xml:space="preserve">Liang, S., Wen, Q., Lu, W., Yang, G., Yao, Y., Cai, H., Wang, J., Huang, M., Wang, H., &amp; Guo, T. (2025). </w:t>
      </w:r>
      <w:r w:rsidRPr="001F62F3">
        <w:rPr>
          <w:rFonts w:ascii="Times New Roman" w:eastAsia="Times New Roman" w:hAnsi="Times New Roman" w:cs="Times New Roman"/>
          <w:sz w:val="24"/>
          <w:szCs w:val="24"/>
          <w:lang w:val="en-US"/>
        </w:rPr>
        <w:t xml:space="preserve">The haploid induction ability analysis of various mutation of </w:t>
      </w:r>
      <w:proofErr w:type="spellStart"/>
      <w:r w:rsidRPr="001F62F3">
        <w:rPr>
          <w:rFonts w:ascii="Times New Roman" w:eastAsia="Times New Roman" w:hAnsi="Times New Roman" w:cs="Times New Roman"/>
          <w:sz w:val="24"/>
          <w:szCs w:val="24"/>
          <w:lang w:val="en-US"/>
        </w:rPr>
        <w:t>OsMATL</w:t>
      </w:r>
      <w:proofErr w:type="spellEnd"/>
      <w:r w:rsidRPr="001F62F3">
        <w:rPr>
          <w:rFonts w:ascii="Times New Roman" w:eastAsia="Times New Roman" w:hAnsi="Times New Roman" w:cs="Times New Roman"/>
          <w:sz w:val="24"/>
          <w:szCs w:val="24"/>
          <w:lang w:val="en-US"/>
        </w:rPr>
        <w:t xml:space="preserve"> and </w:t>
      </w:r>
      <w:proofErr w:type="spellStart"/>
      <w:r w:rsidRPr="001F62F3">
        <w:rPr>
          <w:rFonts w:ascii="Times New Roman" w:eastAsia="Times New Roman" w:hAnsi="Times New Roman" w:cs="Times New Roman"/>
          <w:sz w:val="24"/>
          <w:szCs w:val="24"/>
          <w:lang w:val="en-US"/>
        </w:rPr>
        <w:t>OsDMPs</w:t>
      </w:r>
      <w:proofErr w:type="spellEnd"/>
      <w:r w:rsidRPr="001F62F3">
        <w:rPr>
          <w:rFonts w:ascii="Times New Roman" w:eastAsia="Times New Roman" w:hAnsi="Times New Roman" w:cs="Times New Roman"/>
          <w:sz w:val="24"/>
          <w:szCs w:val="24"/>
          <w:lang w:val="en-US"/>
        </w:rPr>
        <w:t xml:space="preserve"> in rice. </w:t>
      </w:r>
      <w:r w:rsidRPr="001F62F3">
        <w:rPr>
          <w:rFonts w:ascii="Times New Roman" w:eastAsia="Times New Roman" w:hAnsi="Times New Roman" w:cs="Times New Roman"/>
          <w:i/>
          <w:iCs/>
          <w:sz w:val="24"/>
          <w:szCs w:val="24"/>
          <w:lang w:val="en-US"/>
        </w:rPr>
        <w:t>BMC Biology, 23</w:t>
      </w:r>
      <w:r w:rsidRPr="001F62F3">
        <w:rPr>
          <w:rFonts w:ascii="Times New Roman" w:eastAsia="Times New Roman" w:hAnsi="Times New Roman" w:cs="Times New Roman"/>
          <w:sz w:val="24"/>
          <w:szCs w:val="24"/>
          <w:lang w:val="en-US"/>
        </w:rPr>
        <w:t xml:space="preserve">, Article 30. </w:t>
      </w:r>
      <w:hyperlink r:id="rId25" w:tgtFrame="_new" w:history="1">
        <w:r w:rsidRPr="001F62F3">
          <w:rPr>
            <w:rFonts w:ascii="Times New Roman" w:eastAsia="Times New Roman" w:hAnsi="Times New Roman" w:cs="Times New Roman"/>
            <w:color w:val="0000FF"/>
            <w:sz w:val="24"/>
            <w:szCs w:val="24"/>
            <w:u w:val="single"/>
            <w:lang w:val="en-US"/>
          </w:rPr>
          <w:t>https://doi.org/10.1186/s12915-025-02140-y</w:t>
        </w:r>
      </w:hyperlink>
      <w:r w:rsidRPr="001F62F3">
        <w:rPr>
          <w:rFonts w:ascii="Times New Roman" w:eastAsia="Times New Roman" w:hAnsi="Times New Roman" w:cs="Times New Roman"/>
          <w:sz w:val="24"/>
          <w:szCs w:val="24"/>
          <w:lang w:val="en-US"/>
        </w:rPr>
        <w:t xml:space="preserve"> </w:t>
      </w:r>
    </w:p>
    <w:p w14:paraId="3C7DE14B" w14:textId="0CE50F25"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nl-BE"/>
        </w:rPr>
        <w:t xml:space="preserve">Lin, Y., Mao, F., Huang, Y., Huang, D., Wang, K., Yan, S., &amp; Liu, C. (2026). </w:t>
      </w:r>
      <w:r w:rsidRPr="001F62F3">
        <w:rPr>
          <w:rFonts w:ascii="Times New Roman" w:eastAsia="Times New Roman" w:hAnsi="Times New Roman" w:cs="Times New Roman"/>
          <w:sz w:val="24"/>
          <w:szCs w:val="24"/>
          <w:lang w:val="en-US"/>
        </w:rPr>
        <w:t xml:space="preserve">Advances in doubled haploid technology for rice breeding: Mechanisms, applications, and future perspectives. </w:t>
      </w:r>
      <w:r w:rsidRPr="001F62F3">
        <w:rPr>
          <w:rFonts w:ascii="Times New Roman" w:eastAsia="Times New Roman" w:hAnsi="Times New Roman" w:cs="Times New Roman"/>
          <w:i/>
          <w:iCs/>
          <w:sz w:val="24"/>
          <w:szCs w:val="24"/>
          <w:lang w:val="en-US"/>
        </w:rPr>
        <w:t>Frontiers in Plant Science, 16</w:t>
      </w:r>
      <w:r w:rsidRPr="001F62F3">
        <w:rPr>
          <w:rFonts w:ascii="Times New Roman" w:eastAsia="Times New Roman" w:hAnsi="Times New Roman" w:cs="Times New Roman"/>
          <w:sz w:val="24"/>
          <w:szCs w:val="24"/>
          <w:lang w:val="en-US"/>
        </w:rPr>
        <w:t xml:space="preserve">, Article 1709033. </w:t>
      </w:r>
      <w:hyperlink r:id="rId26" w:tgtFrame="_new" w:history="1">
        <w:r w:rsidRPr="001F62F3">
          <w:rPr>
            <w:rFonts w:ascii="Times New Roman" w:eastAsia="Times New Roman" w:hAnsi="Times New Roman" w:cs="Times New Roman"/>
            <w:color w:val="0000FF"/>
            <w:sz w:val="24"/>
            <w:szCs w:val="24"/>
            <w:u w:val="single"/>
            <w:lang w:val="en-US"/>
          </w:rPr>
          <w:t>https://doi.org/10.3389/fpls.2025.1709033</w:t>
        </w:r>
      </w:hyperlink>
      <w:r w:rsidRPr="001F62F3">
        <w:rPr>
          <w:rFonts w:ascii="Times New Roman" w:eastAsia="Times New Roman" w:hAnsi="Times New Roman" w:cs="Times New Roman"/>
          <w:sz w:val="24"/>
          <w:szCs w:val="24"/>
          <w:lang w:val="en-US"/>
        </w:rPr>
        <w:t xml:space="preserve"> </w:t>
      </w:r>
    </w:p>
    <w:p w14:paraId="4438D0A3" w14:textId="7BC2599C"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Liu, C., Yan, S., Mao, F., Sun, T., Liang, H., Liu, Q., Qian, Q., &amp; Wang, K. (2024). Large-scale production of rice haploids by combining superior haploid inducer with PTGMS lines. </w:t>
      </w:r>
      <w:r w:rsidRPr="001F62F3">
        <w:rPr>
          <w:rFonts w:ascii="Times New Roman" w:eastAsia="Times New Roman" w:hAnsi="Times New Roman" w:cs="Times New Roman"/>
          <w:i/>
          <w:iCs/>
          <w:sz w:val="24"/>
          <w:szCs w:val="24"/>
          <w:lang w:val="en-US"/>
        </w:rPr>
        <w:t>Plant Communications, 5</w:t>
      </w:r>
      <w:r w:rsidRPr="001F62F3">
        <w:rPr>
          <w:rFonts w:ascii="Times New Roman" w:eastAsia="Times New Roman" w:hAnsi="Times New Roman" w:cs="Times New Roman"/>
          <w:sz w:val="24"/>
          <w:szCs w:val="24"/>
          <w:lang w:val="en-US"/>
        </w:rPr>
        <w:t xml:space="preserve">(12), Article 101067. </w:t>
      </w:r>
      <w:hyperlink r:id="rId27" w:tgtFrame="_new" w:history="1">
        <w:r w:rsidRPr="001F62F3">
          <w:rPr>
            <w:rFonts w:ascii="Times New Roman" w:eastAsia="Times New Roman" w:hAnsi="Times New Roman" w:cs="Times New Roman"/>
            <w:color w:val="0000FF"/>
            <w:sz w:val="24"/>
            <w:szCs w:val="24"/>
            <w:u w:val="single"/>
            <w:lang w:val="en-US"/>
          </w:rPr>
          <w:t>https://doi.org/10.1016/j.xplc.2024.101067</w:t>
        </w:r>
      </w:hyperlink>
      <w:r w:rsidRPr="001F62F3">
        <w:rPr>
          <w:rFonts w:ascii="Times New Roman" w:eastAsia="Times New Roman" w:hAnsi="Times New Roman" w:cs="Times New Roman"/>
          <w:sz w:val="24"/>
          <w:szCs w:val="24"/>
          <w:lang w:val="en-US"/>
        </w:rPr>
        <w:t xml:space="preserve"> </w:t>
      </w:r>
    </w:p>
    <w:p w14:paraId="52A8E79D" w14:textId="743684E7"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Liu, Z., Zhong, Y., Qi, X., An, T., Guo, S., Wang, D., Wang, Y., Feng, B., Zhu, Z., Chen, S., &amp; Liu, C. (2024). Haploids can be induced in knockout mutants of OsPLA1, but not OsDMP3 or OsDMP6, in rice. </w:t>
      </w:r>
      <w:r w:rsidRPr="001F62F3">
        <w:rPr>
          <w:rFonts w:ascii="Times New Roman" w:eastAsia="Times New Roman" w:hAnsi="Times New Roman" w:cs="Times New Roman"/>
          <w:i/>
          <w:iCs/>
          <w:sz w:val="24"/>
          <w:szCs w:val="24"/>
          <w:lang w:val="en-US"/>
        </w:rPr>
        <w:t>The Crop Journal, 12</w:t>
      </w:r>
      <w:r w:rsidRPr="001F62F3">
        <w:rPr>
          <w:rFonts w:ascii="Times New Roman" w:eastAsia="Times New Roman" w:hAnsi="Times New Roman" w:cs="Times New Roman"/>
          <w:sz w:val="24"/>
          <w:szCs w:val="24"/>
          <w:lang w:val="en-US"/>
        </w:rPr>
        <w:t xml:space="preserve">(1), 213–221. </w:t>
      </w:r>
      <w:hyperlink r:id="rId28" w:tgtFrame="_new" w:history="1">
        <w:r w:rsidRPr="001F62F3">
          <w:rPr>
            <w:rFonts w:ascii="Times New Roman" w:eastAsia="Times New Roman" w:hAnsi="Times New Roman" w:cs="Times New Roman"/>
            <w:color w:val="0000FF"/>
            <w:sz w:val="24"/>
            <w:szCs w:val="24"/>
            <w:u w:val="single"/>
            <w:lang w:val="en-US"/>
          </w:rPr>
          <w:t>https://doi.org/10.1016/j.cj.2023.11.005</w:t>
        </w:r>
      </w:hyperlink>
      <w:r w:rsidRPr="001F62F3">
        <w:rPr>
          <w:rFonts w:ascii="Times New Roman" w:eastAsia="Times New Roman" w:hAnsi="Times New Roman" w:cs="Times New Roman"/>
          <w:sz w:val="24"/>
          <w:szCs w:val="24"/>
          <w:lang w:val="en-US"/>
        </w:rPr>
        <w:t xml:space="preserve"> </w:t>
      </w:r>
    </w:p>
    <w:p w14:paraId="34CA492E" w14:textId="230EA6DE"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proofErr w:type="spellStart"/>
      <w:r w:rsidRPr="001F62F3">
        <w:rPr>
          <w:rFonts w:ascii="Times New Roman" w:eastAsia="Times New Roman" w:hAnsi="Times New Roman" w:cs="Times New Roman"/>
          <w:sz w:val="24"/>
          <w:szCs w:val="24"/>
          <w:lang w:val="en-US"/>
        </w:rPr>
        <w:t>Mayakaduwa</w:t>
      </w:r>
      <w:proofErr w:type="spellEnd"/>
      <w:r w:rsidRPr="001F62F3">
        <w:rPr>
          <w:rFonts w:ascii="Times New Roman" w:eastAsia="Times New Roman" w:hAnsi="Times New Roman" w:cs="Times New Roman"/>
          <w:sz w:val="24"/>
          <w:szCs w:val="24"/>
          <w:lang w:val="en-US"/>
        </w:rPr>
        <w:t xml:space="preserve">, R., &amp; Silva, T. (2023). Haploid induction in indica rice: Exploring new opportunities. </w:t>
      </w:r>
      <w:r w:rsidRPr="001F62F3">
        <w:rPr>
          <w:rFonts w:ascii="Times New Roman" w:eastAsia="Times New Roman" w:hAnsi="Times New Roman" w:cs="Times New Roman"/>
          <w:i/>
          <w:iCs/>
          <w:sz w:val="24"/>
          <w:szCs w:val="24"/>
          <w:lang w:val="en-US"/>
        </w:rPr>
        <w:t>Plants, 12</w:t>
      </w:r>
      <w:r w:rsidRPr="001F62F3">
        <w:rPr>
          <w:rFonts w:ascii="Times New Roman" w:eastAsia="Times New Roman" w:hAnsi="Times New Roman" w:cs="Times New Roman"/>
          <w:sz w:val="24"/>
          <w:szCs w:val="24"/>
          <w:lang w:val="en-US"/>
        </w:rPr>
        <w:t xml:space="preserve">(17), Article 3118. </w:t>
      </w:r>
      <w:hyperlink r:id="rId29" w:tgtFrame="_new" w:history="1">
        <w:r w:rsidRPr="001F62F3">
          <w:rPr>
            <w:rFonts w:ascii="Times New Roman" w:eastAsia="Times New Roman" w:hAnsi="Times New Roman" w:cs="Times New Roman"/>
            <w:color w:val="0000FF"/>
            <w:sz w:val="24"/>
            <w:szCs w:val="24"/>
            <w:u w:val="single"/>
            <w:lang w:val="en-US"/>
          </w:rPr>
          <w:t>https://doi.org/10.3390/plants12173118</w:t>
        </w:r>
      </w:hyperlink>
      <w:r w:rsidRPr="001F62F3">
        <w:rPr>
          <w:rFonts w:ascii="Times New Roman" w:eastAsia="Times New Roman" w:hAnsi="Times New Roman" w:cs="Times New Roman"/>
          <w:sz w:val="24"/>
          <w:szCs w:val="24"/>
          <w:lang w:val="en-US"/>
        </w:rPr>
        <w:t xml:space="preserve"> </w:t>
      </w:r>
    </w:p>
    <w:p w14:paraId="4F6626B4" w14:textId="189FE973"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Mishra, R., &amp; Rao, G. J. N. (2016). In-vitro androgenesis in rice: Advantages, constraints, and future prospects. </w:t>
      </w:r>
      <w:r w:rsidRPr="001F62F3">
        <w:rPr>
          <w:rFonts w:ascii="Times New Roman" w:eastAsia="Times New Roman" w:hAnsi="Times New Roman" w:cs="Times New Roman"/>
          <w:i/>
          <w:iCs/>
          <w:sz w:val="24"/>
          <w:szCs w:val="24"/>
          <w:lang w:val="en-US"/>
        </w:rPr>
        <w:t>Rice Science, 23</w:t>
      </w:r>
      <w:r w:rsidRPr="001F62F3">
        <w:rPr>
          <w:rFonts w:ascii="Times New Roman" w:eastAsia="Times New Roman" w:hAnsi="Times New Roman" w:cs="Times New Roman"/>
          <w:sz w:val="24"/>
          <w:szCs w:val="24"/>
          <w:lang w:val="en-US"/>
        </w:rPr>
        <w:t xml:space="preserve">(2), 57–68. </w:t>
      </w:r>
      <w:hyperlink r:id="rId30" w:tgtFrame="_new" w:history="1">
        <w:r w:rsidRPr="001F62F3">
          <w:rPr>
            <w:rFonts w:ascii="Times New Roman" w:eastAsia="Times New Roman" w:hAnsi="Times New Roman" w:cs="Times New Roman"/>
            <w:color w:val="0000FF"/>
            <w:sz w:val="24"/>
            <w:szCs w:val="24"/>
            <w:u w:val="single"/>
            <w:lang w:val="en-US"/>
          </w:rPr>
          <w:t>https://doi.org/10.1016/j.rsci.2016.02.001</w:t>
        </w:r>
      </w:hyperlink>
      <w:r w:rsidRPr="001F62F3">
        <w:rPr>
          <w:rFonts w:ascii="Times New Roman" w:eastAsia="Times New Roman" w:hAnsi="Times New Roman" w:cs="Times New Roman"/>
          <w:sz w:val="24"/>
          <w:szCs w:val="24"/>
          <w:lang w:val="en-US"/>
        </w:rPr>
        <w:t xml:space="preserve"> </w:t>
      </w:r>
    </w:p>
    <w:p w14:paraId="1CE79BB0" w14:textId="6567550A"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proofErr w:type="spellStart"/>
      <w:r w:rsidRPr="001F62F3">
        <w:rPr>
          <w:rFonts w:ascii="Times New Roman" w:eastAsia="Times New Roman" w:hAnsi="Times New Roman" w:cs="Times New Roman"/>
          <w:sz w:val="24"/>
          <w:szCs w:val="24"/>
          <w:lang w:val="en-US"/>
        </w:rPr>
        <w:t>Rattanawong</w:t>
      </w:r>
      <w:proofErr w:type="spellEnd"/>
      <w:r w:rsidRPr="001F62F3">
        <w:rPr>
          <w:rFonts w:ascii="Times New Roman" w:eastAsia="Times New Roman" w:hAnsi="Times New Roman" w:cs="Times New Roman"/>
          <w:sz w:val="24"/>
          <w:szCs w:val="24"/>
          <w:lang w:val="en-US"/>
        </w:rPr>
        <w:t xml:space="preserve">, K., Totsuka, K., Satoh, A., Ono, S., Lefèvre, A., </w:t>
      </w:r>
      <w:proofErr w:type="spellStart"/>
      <w:r w:rsidRPr="001F62F3">
        <w:rPr>
          <w:rFonts w:ascii="Times New Roman" w:eastAsia="Times New Roman" w:hAnsi="Times New Roman" w:cs="Times New Roman"/>
          <w:sz w:val="24"/>
          <w:szCs w:val="24"/>
          <w:lang w:val="en-US"/>
        </w:rPr>
        <w:t>Koshimizu</w:t>
      </w:r>
      <w:proofErr w:type="spellEnd"/>
      <w:r w:rsidRPr="001F62F3">
        <w:rPr>
          <w:rFonts w:ascii="Times New Roman" w:eastAsia="Times New Roman" w:hAnsi="Times New Roman" w:cs="Times New Roman"/>
          <w:sz w:val="24"/>
          <w:szCs w:val="24"/>
          <w:lang w:val="en-US"/>
        </w:rPr>
        <w:t xml:space="preserve">, S., Yano, K., &amp; Okamoto, T. (2026). Autonomous development and regeneration of isolated rice egg cells in vitro in a fertilization-independent manner. </w:t>
      </w:r>
      <w:r w:rsidRPr="001F62F3">
        <w:rPr>
          <w:rFonts w:ascii="Times New Roman" w:eastAsia="Times New Roman" w:hAnsi="Times New Roman" w:cs="Times New Roman"/>
          <w:i/>
          <w:iCs/>
          <w:sz w:val="24"/>
          <w:szCs w:val="24"/>
          <w:lang w:val="en-US"/>
        </w:rPr>
        <w:t>Journal of Experimental Botany, 77</w:t>
      </w:r>
      <w:r w:rsidRPr="001F62F3">
        <w:rPr>
          <w:rFonts w:ascii="Times New Roman" w:eastAsia="Times New Roman" w:hAnsi="Times New Roman" w:cs="Times New Roman"/>
          <w:sz w:val="24"/>
          <w:szCs w:val="24"/>
          <w:lang w:val="en-US"/>
        </w:rPr>
        <w:t xml:space="preserve">(2), 463–481. </w:t>
      </w:r>
      <w:hyperlink r:id="rId31" w:tgtFrame="_new" w:history="1">
        <w:r w:rsidRPr="001F62F3">
          <w:rPr>
            <w:rFonts w:ascii="Times New Roman" w:eastAsia="Times New Roman" w:hAnsi="Times New Roman" w:cs="Times New Roman"/>
            <w:color w:val="0000FF"/>
            <w:sz w:val="24"/>
            <w:szCs w:val="24"/>
            <w:u w:val="single"/>
            <w:lang w:val="en-US"/>
          </w:rPr>
          <w:t>https://doi.org/10.1093/jxb/eraf406</w:t>
        </w:r>
      </w:hyperlink>
      <w:r w:rsidRPr="001F62F3">
        <w:rPr>
          <w:rFonts w:ascii="Times New Roman" w:eastAsia="Times New Roman" w:hAnsi="Times New Roman" w:cs="Times New Roman"/>
          <w:sz w:val="24"/>
          <w:szCs w:val="24"/>
          <w:lang w:val="en-US"/>
        </w:rPr>
        <w:t xml:space="preserve"> </w:t>
      </w:r>
    </w:p>
    <w:p w14:paraId="7C4C6FAC" w14:textId="3BF061D7"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Ren, H., Shankle, K., Cho, M.-J., Tjahjadi, M., </w:t>
      </w:r>
      <w:proofErr w:type="spellStart"/>
      <w:r w:rsidRPr="001F62F3">
        <w:rPr>
          <w:rFonts w:ascii="Times New Roman" w:eastAsia="Times New Roman" w:hAnsi="Times New Roman" w:cs="Times New Roman"/>
          <w:sz w:val="24"/>
          <w:szCs w:val="24"/>
          <w:lang w:val="en-US"/>
        </w:rPr>
        <w:t>Khanday</w:t>
      </w:r>
      <w:proofErr w:type="spellEnd"/>
      <w:r w:rsidRPr="001F62F3">
        <w:rPr>
          <w:rFonts w:ascii="Times New Roman" w:eastAsia="Times New Roman" w:hAnsi="Times New Roman" w:cs="Times New Roman"/>
          <w:sz w:val="24"/>
          <w:szCs w:val="24"/>
          <w:lang w:val="en-US"/>
        </w:rPr>
        <w:t xml:space="preserve">, I., &amp; Sundaresan, V. (2024). Synergistic induction of fertilization-independent embryogenesis in rice egg cells by paternal-genome-expressed transcription factors. </w:t>
      </w:r>
      <w:r w:rsidRPr="001F62F3">
        <w:rPr>
          <w:rFonts w:ascii="Times New Roman" w:eastAsia="Times New Roman" w:hAnsi="Times New Roman" w:cs="Times New Roman"/>
          <w:i/>
          <w:iCs/>
          <w:sz w:val="24"/>
          <w:szCs w:val="24"/>
          <w:lang w:val="en-US"/>
        </w:rPr>
        <w:t>Nature Plants, 10</w:t>
      </w:r>
      <w:r w:rsidRPr="001F62F3">
        <w:rPr>
          <w:rFonts w:ascii="Times New Roman" w:eastAsia="Times New Roman" w:hAnsi="Times New Roman" w:cs="Times New Roman"/>
          <w:sz w:val="24"/>
          <w:szCs w:val="24"/>
          <w:lang w:val="en-US"/>
        </w:rPr>
        <w:t xml:space="preserve">(12), 1892–1899. </w:t>
      </w:r>
      <w:hyperlink r:id="rId32" w:tgtFrame="_new" w:history="1">
        <w:r w:rsidRPr="001F62F3">
          <w:rPr>
            <w:rFonts w:ascii="Times New Roman" w:eastAsia="Times New Roman" w:hAnsi="Times New Roman" w:cs="Times New Roman"/>
            <w:color w:val="0000FF"/>
            <w:sz w:val="24"/>
            <w:szCs w:val="24"/>
            <w:u w:val="single"/>
            <w:lang w:val="en-US"/>
          </w:rPr>
          <w:t>https://doi.org/10.1038/s41477-024-01848-z</w:t>
        </w:r>
      </w:hyperlink>
      <w:r w:rsidRPr="001F62F3">
        <w:rPr>
          <w:rFonts w:ascii="Times New Roman" w:eastAsia="Times New Roman" w:hAnsi="Times New Roman" w:cs="Times New Roman"/>
          <w:sz w:val="24"/>
          <w:szCs w:val="24"/>
          <w:lang w:val="en-US"/>
        </w:rPr>
        <w:t xml:space="preserve"> </w:t>
      </w:r>
    </w:p>
    <w:p w14:paraId="1B65174B" w14:textId="695A8BA1"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Sakina, A., Mir, S., Najeeb, S., Zargar, S. M., </w:t>
      </w:r>
      <w:proofErr w:type="spellStart"/>
      <w:r w:rsidRPr="001F62F3">
        <w:rPr>
          <w:rFonts w:ascii="Times New Roman" w:eastAsia="Times New Roman" w:hAnsi="Times New Roman" w:cs="Times New Roman"/>
          <w:sz w:val="24"/>
          <w:szCs w:val="24"/>
          <w:lang w:val="en-US"/>
        </w:rPr>
        <w:t>Nehvi</w:t>
      </w:r>
      <w:proofErr w:type="spellEnd"/>
      <w:r w:rsidRPr="001F62F3">
        <w:rPr>
          <w:rFonts w:ascii="Times New Roman" w:eastAsia="Times New Roman" w:hAnsi="Times New Roman" w:cs="Times New Roman"/>
          <w:sz w:val="24"/>
          <w:szCs w:val="24"/>
          <w:lang w:val="en-US"/>
        </w:rPr>
        <w:t xml:space="preserve">, F. A., Rather, Z. A., </w:t>
      </w:r>
      <w:proofErr w:type="spellStart"/>
      <w:r w:rsidRPr="001F62F3">
        <w:rPr>
          <w:rFonts w:ascii="Times New Roman" w:eastAsia="Times New Roman" w:hAnsi="Times New Roman" w:cs="Times New Roman"/>
          <w:sz w:val="24"/>
          <w:szCs w:val="24"/>
          <w:lang w:val="en-US"/>
        </w:rPr>
        <w:t>Salgotra</w:t>
      </w:r>
      <w:proofErr w:type="spellEnd"/>
      <w:r w:rsidRPr="001F62F3">
        <w:rPr>
          <w:rFonts w:ascii="Times New Roman" w:eastAsia="Times New Roman" w:hAnsi="Times New Roman" w:cs="Times New Roman"/>
          <w:sz w:val="24"/>
          <w:szCs w:val="24"/>
          <w:lang w:val="en-US"/>
        </w:rPr>
        <w:t xml:space="preserve">, R. K., &amp; Shikari, A. B. (2020). Improved protocol for efficacious in vitro androgenesis and development of doubled haploids in temperate japonica rice. </w:t>
      </w:r>
      <w:r w:rsidRPr="001F62F3">
        <w:rPr>
          <w:rFonts w:ascii="Times New Roman" w:eastAsia="Times New Roman" w:hAnsi="Times New Roman" w:cs="Times New Roman"/>
          <w:i/>
          <w:iCs/>
          <w:sz w:val="24"/>
          <w:szCs w:val="24"/>
          <w:lang w:val="en-US"/>
        </w:rPr>
        <w:t>PLOS ONE, 15</w:t>
      </w:r>
      <w:r w:rsidRPr="001F62F3">
        <w:rPr>
          <w:rFonts w:ascii="Times New Roman" w:eastAsia="Times New Roman" w:hAnsi="Times New Roman" w:cs="Times New Roman"/>
          <w:sz w:val="24"/>
          <w:szCs w:val="24"/>
          <w:lang w:val="en-US"/>
        </w:rPr>
        <w:t xml:space="preserve">(11), Article e0241292. </w:t>
      </w:r>
      <w:hyperlink r:id="rId33" w:tgtFrame="_new" w:history="1">
        <w:r w:rsidRPr="001F62F3">
          <w:rPr>
            <w:rFonts w:ascii="Times New Roman" w:eastAsia="Times New Roman" w:hAnsi="Times New Roman" w:cs="Times New Roman"/>
            <w:color w:val="0000FF"/>
            <w:sz w:val="24"/>
            <w:szCs w:val="24"/>
            <w:u w:val="single"/>
            <w:lang w:val="en-US"/>
          </w:rPr>
          <w:t>https://doi.org/10.1371/journal.pone.0241292</w:t>
        </w:r>
      </w:hyperlink>
      <w:r w:rsidRPr="001F62F3">
        <w:rPr>
          <w:rFonts w:ascii="Times New Roman" w:eastAsia="Times New Roman" w:hAnsi="Times New Roman" w:cs="Times New Roman"/>
          <w:sz w:val="24"/>
          <w:szCs w:val="24"/>
          <w:lang w:val="en-US"/>
        </w:rPr>
        <w:t xml:space="preserve"> </w:t>
      </w:r>
    </w:p>
    <w:p w14:paraId="103B4AD3" w14:textId="55149C89"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lastRenderedPageBreak/>
        <w:t xml:space="preserve">Singh, S. K., Katara, J. L., Parameswaran, C., Jagadev, P. N., Bastia, D. N., </w:t>
      </w:r>
      <w:proofErr w:type="spellStart"/>
      <w:r w:rsidRPr="001F62F3">
        <w:rPr>
          <w:rFonts w:ascii="Times New Roman" w:eastAsia="Times New Roman" w:hAnsi="Times New Roman" w:cs="Times New Roman"/>
          <w:sz w:val="24"/>
          <w:szCs w:val="24"/>
          <w:lang w:val="en-US"/>
        </w:rPr>
        <w:t>Jeughale</w:t>
      </w:r>
      <w:proofErr w:type="spellEnd"/>
      <w:r w:rsidRPr="001F62F3">
        <w:rPr>
          <w:rFonts w:ascii="Times New Roman" w:eastAsia="Times New Roman" w:hAnsi="Times New Roman" w:cs="Times New Roman"/>
          <w:sz w:val="24"/>
          <w:szCs w:val="24"/>
          <w:lang w:val="en-US"/>
        </w:rPr>
        <w:t xml:space="preserve">, K., &amp; </w:t>
      </w:r>
      <w:proofErr w:type="spellStart"/>
      <w:r w:rsidRPr="001F62F3">
        <w:rPr>
          <w:rFonts w:ascii="Times New Roman" w:eastAsia="Times New Roman" w:hAnsi="Times New Roman" w:cs="Times New Roman"/>
          <w:sz w:val="24"/>
          <w:szCs w:val="24"/>
          <w:lang w:val="en-US"/>
        </w:rPr>
        <w:t>Samantaray</w:t>
      </w:r>
      <w:proofErr w:type="spellEnd"/>
      <w:r w:rsidRPr="001F62F3">
        <w:rPr>
          <w:rFonts w:ascii="Times New Roman" w:eastAsia="Times New Roman" w:hAnsi="Times New Roman" w:cs="Times New Roman"/>
          <w:sz w:val="24"/>
          <w:szCs w:val="24"/>
          <w:lang w:val="en-US"/>
        </w:rPr>
        <w:t xml:space="preserve">, S. (2025). Assessment of Drought Tolerance Degree (DTD) method as a reliable tool for early-stage screening for drought tolerance in indica rice. </w:t>
      </w:r>
      <w:r w:rsidRPr="001F62F3">
        <w:rPr>
          <w:rFonts w:ascii="Times New Roman" w:eastAsia="Times New Roman" w:hAnsi="Times New Roman" w:cs="Times New Roman"/>
          <w:i/>
          <w:iCs/>
          <w:sz w:val="24"/>
          <w:szCs w:val="24"/>
          <w:lang w:val="en-US"/>
        </w:rPr>
        <w:t>BMC Plant Biology, 25</w:t>
      </w:r>
      <w:r w:rsidRPr="001F62F3">
        <w:rPr>
          <w:rFonts w:ascii="Times New Roman" w:eastAsia="Times New Roman" w:hAnsi="Times New Roman" w:cs="Times New Roman"/>
          <w:sz w:val="24"/>
          <w:szCs w:val="24"/>
          <w:lang w:val="en-US"/>
        </w:rPr>
        <w:t xml:space="preserve">, Article 1630. </w:t>
      </w:r>
      <w:hyperlink r:id="rId34" w:tgtFrame="_new" w:history="1">
        <w:r w:rsidRPr="001F62F3">
          <w:rPr>
            <w:rFonts w:ascii="Times New Roman" w:eastAsia="Times New Roman" w:hAnsi="Times New Roman" w:cs="Times New Roman"/>
            <w:color w:val="0000FF"/>
            <w:sz w:val="24"/>
            <w:szCs w:val="24"/>
            <w:u w:val="single"/>
            <w:lang w:val="en-US"/>
          </w:rPr>
          <w:t>https://doi.org/10.1186/s12870-025-07591-7</w:t>
        </w:r>
      </w:hyperlink>
      <w:r w:rsidRPr="001F62F3">
        <w:rPr>
          <w:rFonts w:ascii="Times New Roman" w:eastAsia="Times New Roman" w:hAnsi="Times New Roman" w:cs="Times New Roman"/>
          <w:sz w:val="24"/>
          <w:szCs w:val="24"/>
          <w:lang w:val="en-US"/>
        </w:rPr>
        <w:t xml:space="preserve"> </w:t>
      </w:r>
    </w:p>
    <w:p w14:paraId="4DB24B6E" w14:textId="4E8BAA3D"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Song, M., Li, F., Chen, Z., Hou, H., Wang, Y., Liu, H., Liu, D., Li, J., Peng, T., Zhao, Y., Du, Y., Sun, H., Du, C., Zhang, J., Zhao, Q., &amp; Miao, C. (2024). Engineering high-frequency apomixis with normal seed production in hybrid rice. </w:t>
      </w:r>
      <w:proofErr w:type="spellStart"/>
      <w:r w:rsidRPr="001F62F3">
        <w:rPr>
          <w:rFonts w:ascii="Times New Roman" w:eastAsia="Times New Roman" w:hAnsi="Times New Roman" w:cs="Times New Roman"/>
          <w:i/>
          <w:iCs/>
          <w:sz w:val="24"/>
          <w:szCs w:val="24"/>
          <w:lang w:val="en-US"/>
        </w:rPr>
        <w:t>iScience</w:t>
      </w:r>
      <w:proofErr w:type="spellEnd"/>
      <w:r w:rsidRPr="001F62F3">
        <w:rPr>
          <w:rFonts w:ascii="Times New Roman" w:eastAsia="Times New Roman" w:hAnsi="Times New Roman" w:cs="Times New Roman"/>
          <w:i/>
          <w:iCs/>
          <w:sz w:val="24"/>
          <w:szCs w:val="24"/>
          <w:lang w:val="en-US"/>
        </w:rPr>
        <w:t>, 27</w:t>
      </w:r>
      <w:r w:rsidRPr="001F62F3">
        <w:rPr>
          <w:rFonts w:ascii="Times New Roman" w:eastAsia="Times New Roman" w:hAnsi="Times New Roman" w:cs="Times New Roman"/>
          <w:sz w:val="24"/>
          <w:szCs w:val="24"/>
          <w:lang w:val="en-US"/>
        </w:rPr>
        <w:t xml:space="preserve">(12), Article 111479. </w:t>
      </w:r>
      <w:hyperlink r:id="rId35" w:tgtFrame="_new" w:history="1">
        <w:r w:rsidRPr="001F62F3">
          <w:rPr>
            <w:rFonts w:ascii="Times New Roman" w:eastAsia="Times New Roman" w:hAnsi="Times New Roman" w:cs="Times New Roman"/>
            <w:color w:val="0000FF"/>
            <w:sz w:val="24"/>
            <w:szCs w:val="24"/>
            <w:u w:val="single"/>
            <w:lang w:val="en-US"/>
          </w:rPr>
          <w:t>https://doi.org/10.1016/j.isci.2024.111479</w:t>
        </w:r>
      </w:hyperlink>
      <w:r w:rsidRPr="001F62F3">
        <w:rPr>
          <w:rFonts w:ascii="Times New Roman" w:eastAsia="Times New Roman" w:hAnsi="Times New Roman" w:cs="Times New Roman"/>
          <w:sz w:val="24"/>
          <w:szCs w:val="24"/>
          <w:lang w:val="en-US"/>
        </w:rPr>
        <w:t xml:space="preserve"> </w:t>
      </w:r>
    </w:p>
    <w:p w14:paraId="4C049F70" w14:textId="5F18605C"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Song, W., Cai, H., Guo, Y., Chen, S., Yao, Y., Wang, J., Guo, T., Zhang, J., &amp; Chen, C. (2025). OsSDG715, a histone H3K9 methyltransferase, integrates auxin and cytokinin signaling to regulate callus formation in rice. </w:t>
      </w:r>
      <w:r w:rsidRPr="001F62F3">
        <w:rPr>
          <w:rFonts w:ascii="Times New Roman" w:eastAsia="Times New Roman" w:hAnsi="Times New Roman" w:cs="Times New Roman"/>
          <w:i/>
          <w:iCs/>
          <w:sz w:val="24"/>
          <w:szCs w:val="24"/>
          <w:lang w:val="en-US"/>
        </w:rPr>
        <w:t>Rice, 18</w:t>
      </w:r>
      <w:r w:rsidRPr="001F62F3">
        <w:rPr>
          <w:rFonts w:ascii="Times New Roman" w:eastAsia="Times New Roman" w:hAnsi="Times New Roman" w:cs="Times New Roman"/>
          <w:sz w:val="24"/>
          <w:szCs w:val="24"/>
          <w:lang w:val="en-US"/>
        </w:rPr>
        <w:t xml:space="preserve">, Article 42. </w:t>
      </w:r>
      <w:hyperlink r:id="rId36" w:tgtFrame="_new" w:history="1">
        <w:r w:rsidRPr="001F62F3">
          <w:rPr>
            <w:rFonts w:ascii="Times New Roman" w:eastAsia="Times New Roman" w:hAnsi="Times New Roman" w:cs="Times New Roman"/>
            <w:color w:val="0000FF"/>
            <w:sz w:val="24"/>
            <w:szCs w:val="24"/>
            <w:u w:val="single"/>
            <w:lang w:val="en-US"/>
          </w:rPr>
          <w:t>https://doi.org/10.1186/s12284-025-00801-8</w:t>
        </w:r>
      </w:hyperlink>
      <w:r w:rsidRPr="001F62F3">
        <w:rPr>
          <w:rFonts w:ascii="Times New Roman" w:eastAsia="Times New Roman" w:hAnsi="Times New Roman" w:cs="Times New Roman"/>
          <w:sz w:val="24"/>
          <w:szCs w:val="24"/>
          <w:lang w:val="en-US"/>
        </w:rPr>
        <w:t xml:space="preserve"> </w:t>
      </w:r>
    </w:p>
    <w:p w14:paraId="68657BC7" w14:textId="1AD73FFC"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Sun, B., Ding, X., Ye, J., Dai, Y., Cheng, C., Zhou, J., Niu, F., Tu, R., Hu, Q., Xie, K., Qiu, Y., Li, H., Feng, Z., Shao, C., Cao, L., Zhang, A., &amp; Chu, H. (2023). Unveiling the genetic basis underlying rice anther </w:t>
      </w:r>
      <w:proofErr w:type="spellStart"/>
      <w:r w:rsidRPr="001F62F3">
        <w:rPr>
          <w:rFonts w:ascii="Times New Roman" w:eastAsia="Times New Roman" w:hAnsi="Times New Roman" w:cs="Times New Roman"/>
          <w:sz w:val="24"/>
          <w:szCs w:val="24"/>
          <w:lang w:val="en-US"/>
        </w:rPr>
        <w:t>culturability</w:t>
      </w:r>
      <w:proofErr w:type="spellEnd"/>
      <w:r w:rsidRPr="001F62F3">
        <w:rPr>
          <w:rFonts w:ascii="Times New Roman" w:eastAsia="Times New Roman" w:hAnsi="Times New Roman" w:cs="Times New Roman"/>
          <w:sz w:val="24"/>
          <w:szCs w:val="24"/>
          <w:lang w:val="en-US"/>
        </w:rPr>
        <w:t xml:space="preserve"> via segregation distortion analysis in doubled haploid population. </w:t>
      </w:r>
      <w:r w:rsidRPr="001F62F3">
        <w:rPr>
          <w:rFonts w:ascii="Times New Roman" w:eastAsia="Times New Roman" w:hAnsi="Times New Roman" w:cs="Times New Roman"/>
          <w:i/>
          <w:iCs/>
          <w:sz w:val="24"/>
          <w:szCs w:val="24"/>
          <w:lang w:val="en-US"/>
        </w:rPr>
        <w:t>Genes, 14</w:t>
      </w:r>
      <w:r w:rsidRPr="001F62F3">
        <w:rPr>
          <w:rFonts w:ascii="Times New Roman" w:eastAsia="Times New Roman" w:hAnsi="Times New Roman" w:cs="Times New Roman"/>
          <w:sz w:val="24"/>
          <w:szCs w:val="24"/>
          <w:lang w:val="en-US"/>
        </w:rPr>
        <w:t xml:space="preserve">(11), Article 2086. </w:t>
      </w:r>
      <w:hyperlink r:id="rId37" w:tgtFrame="_new" w:history="1">
        <w:r w:rsidRPr="001F62F3">
          <w:rPr>
            <w:rFonts w:ascii="Times New Roman" w:eastAsia="Times New Roman" w:hAnsi="Times New Roman" w:cs="Times New Roman"/>
            <w:color w:val="0000FF"/>
            <w:sz w:val="24"/>
            <w:szCs w:val="24"/>
            <w:u w:val="single"/>
            <w:lang w:val="en-US"/>
          </w:rPr>
          <w:t>https://doi.org/10.3390/genes14112086</w:t>
        </w:r>
      </w:hyperlink>
      <w:r w:rsidRPr="001F62F3">
        <w:rPr>
          <w:rFonts w:ascii="Times New Roman" w:eastAsia="Times New Roman" w:hAnsi="Times New Roman" w:cs="Times New Roman"/>
          <w:sz w:val="24"/>
          <w:szCs w:val="24"/>
          <w:lang w:val="en-US"/>
        </w:rPr>
        <w:t xml:space="preserve"> </w:t>
      </w:r>
    </w:p>
    <w:p w14:paraId="184A774F" w14:textId="35EC2B21"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proofErr w:type="spellStart"/>
      <w:r w:rsidRPr="001F62F3">
        <w:rPr>
          <w:rFonts w:ascii="Times New Roman" w:eastAsia="Times New Roman" w:hAnsi="Times New Roman" w:cs="Times New Roman"/>
          <w:sz w:val="24"/>
          <w:szCs w:val="24"/>
          <w:lang w:val="en-US"/>
        </w:rPr>
        <w:t>Tajedini</w:t>
      </w:r>
      <w:proofErr w:type="spellEnd"/>
      <w:r w:rsidRPr="001F62F3">
        <w:rPr>
          <w:rFonts w:ascii="Times New Roman" w:eastAsia="Times New Roman" w:hAnsi="Times New Roman" w:cs="Times New Roman"/>
          <w:sz w:val="24"/>
          <w:szCs w:val="24"/>
          <w:lang w:val="en-US"/>
        </w:rPr>
        <w:t xml:space="preserve">, S., </w:t>
      </w:r>
      <w:proofErr w:type="spellStart"/>
      <w:r w:rsidRPr="001F62F3">
        <w:rPr>
          <w:rFonts w:ascii="Times New Roman" w:eastAsia="Times New Roman" w:hAnsi="Times New Roman" w:cs="Times New Roman"/>
          <w:sz w:val="24"/>
          <w:szCs w:val="24"/>
          <w:lang w:val="en-US"/>
        </w:rPr>
        <w:t>Fakheri</w:t>
      </w:r>
      <w:proofErr w:type="spellEnd"/>
      <w:r w:rsidRPr="001F62F3">
        <w:rPr>
          <w:rFonts w:ascii="Times New Roman" w:eastAsia="Times New Roman" w:hAnsi="Times New Roman" w:cs="Times New Roman"/>
          <w:sz w:val="24"/>
          <w:szCs w:val="24"/>
          <w:lang w:val="en-US"/>
        </w:rPr>
        <w:t xml:space="preserve">, B., Niazian, M., </w:t>
      </w:r>
      <w:proofErr w:type="spellStart"/>
      <w:r w:rsidRPr="001F62F3">
        <w:rPr>
          <w:rFonts w:ascii="Times New Roman" w:eastAsia="Times New Roman" w:hAnsi="Times New Roman" w:cs="Times New Roman"/>
          <w:sz w:val="24"/>
          <w:szCs w:val="24"/>
          <w:lang w:val="en-US"/>
        </w:rPr>
        <w:t>Mahdinezhad</w:t>
      </w:r>
      <w:proofErr w:type="spellEnd"/>
      <w:r w:rsidRPr="001F62F3">
        <w:rPr>
          <w:rFonts w:ascii="Times New Roman" w:eastAsia="Times New Roman" w:hAnsi="Times New Roman" w:cs="Times New Roman"/>
          <w:sz w:val="24"/>
          <w:szCs w:val="24"/>
          <w:lang w:val="en-US"/>
        </w:rPr>
        <w:t xml:space="preserve">, N., Ghanim, A. M. A., Kazemi Pour, A., </w:t>
      </w:r>
      <w:proofErr w:type="spellStart"/>
      <w:r w:rsidRPr="001F62F3">
        <w:rPr>
          <w:rFonts w:ascii="Times New Roman" w:eastAsia="Times New Roman" w:hAnsi="Times New Roman" w:cs="Times New Roman"/>
          <w:sz w:val="24"/>
          <w:szCs w:val="24"/>
          <w:lang w:val="en-US"/>
        </w:rPr>
        <w:t>Ingelbrecht</w:t>
      </w:r>
      <w:proofErr w:type="spellEnd"/>
      <w:r w:rsidRPr="001F62F3">
        <w:rPr>
          <w:rFonts w:ascii="Times New Roman" w:eastAsia="Times New Roman" w:hAnsi="Times New Roman" w:cs="Times New Roman"/>
          <w:sz w:val="24"/>
          <w:szCs w:val="24"/>
          <w:lang w:val="en-US"/>
        </w:rPr>
        <w:t xml:space="preserve">, I., &amp; </w:t>
      </w:r>
      <w:proofErr w:type="spellStart"/>
      <w:r w:rsidRPr="001F62F3">
        <w:rPr>
          <w:rFonts w:ascii="Times New Roman" w:eastAsia="Times New Roman" w:hAnsi="Times New Roman" w:cs="Times New Roman"/>
          <w:sz w:val="24"/>
          <w:szCs w:val="24"/>
          <w:lang w:val="en-US"/>
        </w:rPr>
        <w:t>Shariatpanahi</w:t>
      </w:r>
      <w:proofErr w:type="spellEnd"/>
      <w:r w:rsidRPr="001F62F3">
        <w:rPr>
          <w:rFonts w:ascii="Times New Roman" w:eastAsia="Times New Roman" w:hAnsi="Times New Roman" w:cs="Times New Roman"/>
          <w:sz w:val="24"/>
          <w:szCs w:val="24"/>
          <w:lang w:val="en-US"/>
        </w:rPr>
        <w:t>, M. E. (2022). Efficient microspore embryogenesis and haploid induction in mutant indica rice (</w:t>
      </w:r>
      <w:r w:rsidRPr="001F62F3">
        <w:rPr>
          <w:rFonts w:ascii="Times New Roman" w:eastAsia="Times New Roman" w:hAnsi="Times New Roman" w:cs="Times New Roman"/>
          <w:i/>
          <w:iCs/>
          <w:sz w:val="24"/>
          <w:szCs w:val="24"/>
          <w:lang w:val="en-US"/>
        </w:rPr>
        <w:t>Oryza sativa</w:t>
      </w:r>
      <w:r w:rsidRPr="001F62F3">
        <w:rPr>
          <w:rFonts w:ascii="Times New Roman" w:eastAsia="Times New Roman" w:hAnsi="Times New Roman" w:cs="Times New Roman"/>
          <w:sz w:val="24"/>
          <w:szCs w:val="24"/>
          <w:lang w:val="en-US"/>
        </w:rPr>
        <w:t xml:space="preserve"> L.) cultivars. </w:t>
      </w:r>
      <w:r w:rsidRPr="001F62F3">
        <w:rPr>
          <w:rFonts w:ascii="Times New Roman" w:eastAsia="Times New Roman" w:hAnsi="Times New Roman" w:cs="Times New Roman"/>
          <w:i/>
          <w:iCs/>
          <w:sz w:val="24"/>
          <w:szCs w:val="24"/>
          <w:lang w:val="en-US"/>
        </w:rPr>
        <w:t>Journal of Plant Growth Regulation, 42</w:t>
      </w:r>
      <w:r w:rsidRPr="001F62F3">
        <w:rPr>
          <w:rFonts w:ascii="Times New Roman" w:eastAsia="Times New Roman" w:hAnsi="Times New Roman" w:cs="Times New Roman"/>
          <w:sz w:val="24"/>
          <w:szCs w:val="24"/>
          <w:lang w:val="en-US"/>
        </w:rPr>
        <w:t xml:space="preserve">(4), 2345–2359. </w:t>
      </w:r>
      <w:hyperlink r:id="rId38" w:tgtFrame="_new" w:history="1">
        <w:r w:rsidRPr="001F62F3">
          <w:rPr>
            <w:rFonts w:ascii="Times New Roman" w:eastAsia="Times New Roman" w:hAnsi="Times New Roman" w:cs="Times New Roman"/>
            <w:color w:val="0000FF"/>
            <w:sz w:val="24"/>
            <w:szCs w:val="24"/>
            <w:u w:val="single"/>
            <w:lang w:val="en-US"/>
          </w:rPr>
          <w:t>https://doi.org/10.1007/s00344-022-10709-y</w:t>
        </w:r>
      </w:hyperlink>
      <w:r w:rsidRPr="001F62F3">
        <w:rPr>
          <w:rFonts w:ascii="Times New Roman" w:eastAsia="Times New Roman" w:hAnsi="Times New Roman" w:cs="Times New Roman"/>
          <w:sz w:val="24"/>
          <w:szCs w:val="24"/>
          <w:lang w:val="en-US"/>
        </w:rPr>
        <w:t xml:space="preserve"> </w:t>
      </w:r>
    </w:p>
    <w:p w14:paraId="7BCFC865" w14:textId="6D6FCB2B"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Tripathy, S. K., &amp; Maharana, M. (2024). Doubled haploid breeding: A potential strategy for development of high yielding drought tolerant genotypes in upland rice. </w:t>
      </w:r>
      <w:r w:rsidRPr="001F62F3">
        <w:rPr>
          <w:rFonts w:ascii="Times New Roman" w:eastAsia="Times New Roman" w:hAnsi="Times New Roman" w:cs="Times New Roman"/>
          <w:i/>
          <w:iCs/>
          <w:sz w:val="24"/>
          <w:szCs w:val="24"/>
          <w:lang w:val="en-US"/>
        </w:rPr>
        <w:t>Journal of Crop Science and Biotechnology, 27</w:t>
      </w:r>
      <w:r w:rsidRPr="001F62F3">
        <w:rPr>
          <w:rFonts w:ascii="Times New Roman" w:eastAsia="Times New Roman" w:hAnsi="Times New Roman" w:cs="Times New Roman"/>
          <w:sz w:val="24"/>
          <w:szCs w:val="24"/>
          <w:lang w:val="en-US"/>
        </w:rPr>
        <w:t xml:space="preserve">, 525–533. </w:t>
      </w:r>
      <w:hyperlink r:id="rId39" w:tgtFrame="_new" w:history="1">
        <w:r w:rsidRPr="001F62F3">
          <w:rPr>
            <w:rFonts w:ascii="Times New Roman" w:eastAsia="Times New Roman" w:hAnsi="Times New Roman" w:cs="Times New Roman"/>
            <w:color w:val="0000FF"/>
            <w:sz w:val="24"/>
            <w:szCs w:val="24"/>
            <w:u w:val="single"/>
            <w:lang w:val="en-US"/>
          </w:rPr>
          <w:t>https://doi.org/10.1007/s12892-024-00248-1</w:t>
        </w:r>
      </w:hyperlink>
      <w:r w:rsidRPr="001F62F3">
        <w:rPr>
          <w:rFonts w:ascii="Times New Roman" w:eastAsia="Times New Roman" w:hAnsi="Times New Roman" w:cs="Times New Roman"/>
          <w:sz w:val="24"/>
          <w:szCs w:val="24"/>
          <w:lang w:val="en-US"/>
        </w:rPr>
        <w:t xml:space="preserve"> </w:t>
      </w:r>
    </w:p>
    <w:p w14:paraId="6D47BB75" w14:textId="5E14BE92"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Underwood, C. J., &amp; Mercier, R. (2022). Engineering apomixis: Clonal seeds approaching the fields. </w:t>
      </w:r>
      <w:r w:rsidRPr="001F62F3">
        <w:rPr>
          <w:rFonts w:ascii="Times New Roman" w:eastAsia="Times New Roman" w:hAnsi="Times New Roman" w:cs="Times New Roman"/>
          <w:i/>
          <w:iCs/>
          <w:sz w:val="24"/>
          <w:szCs w:val="24"/>
          <w:lang w:val="en-US"/>
        </w:rPr>
        <w:t>Annual Review of Plant Biology, 73</w:t>
      </w:r>
      <w:r w:rsidRPr="001F62F3">
        <w:rPr>
          <w:rFonts w:ascii="Times New Roman" w:eastAsia="Times New Roman" w:hAnsi="Times New Roman" w:cs="Times New Roman"/>
          <w:sz w:val="24"/>
          <w:szCs w:val="24"/>
          <w:lang w:val="en-US"/>
        </w:rPr>
        <w:t xml:space="preserve">, 201–225. </w:t>
      </w:r>
      <w:hyperlink r:id="rId40" w:tgtFrame="_new" w:history="1">
        <w:r w:rsidRPr="001F62F3">
          <w:rPr>
            <w:rFonts w:ascii="Times New Roman" w:eastAsia="Times New Roman" w:hAnsi="Times New Roman" w:cs="Times New Roman"/>
            <w:color w:val="0000FF"/>
            <w:sz w:val="24"/>
            <w:szCs w:val="24"/>
            <w:u w:val="single"/>
            <w:lang w:val="en-US"/>
          </w:rPr>
          <w:t>https://doi.org/10.1146/annurev-arplant-102720-013958</w:t>
        </w:r>
      </w:hyperlink>
      <w:r w:rsidRPr="001F62F3">
        <w:rPr>
          <w:rFonts w:ascii="Times New Roman" w:eastAsia="Times New Roman" w:hAnsi="Times New Roman" w:cs="Times New Roman"/>
          <w:sz w:val="24"/>
          <w:szCs w:val="24"/>
          <w:lang w:val="en-US"/>
        </w:rPr>
        <w:t xml:space="preserve"> </w:t>
      </w:r>
    </w:p>
    <w:p w14:paraId="73EF5F94" w14:textId="37AD2078"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nl-BE"/>
        </w:rPr>
      </w:pPr>
      <w:r w:rsidRPr="001F62F3">
        <w:rPr>
          <w:rFonts w:ascii="Times New Roman" w:eastAsia="Times New Roman" w:hAnsi="Times New Roman" w:cs="Times New Roman"/>
          <w:sz w:val="24"/>
          <w:szCs w:val="24"/>
          <w:lang w:val="en-US"/>
        </w:rPr>
        <w:t xml:space="preserve">Vernet, A., Meynard, D., Lian, Q., </w:t>
      </w:r>
      <w:proofErr w:type="spellStart"/>
      <w:r w:rsidRPr="001F62F3">
        <w:rPr>
          <w:rFonts w:ascii="Times New Roman" w:eastAsia="Times New Roman" w:hAnsi="Times New Roman" w:cs="Times New Roman"/>
          <w:sz w:val="24"/>
          <w:szCs w:val="24"/>
          <w:lang w:val="en-US"/>
        </w:rPr>
        <w:t>Mieulet</w:t>
      </w:r>
      <w:proofErr w:type="spellEnd"/>
      <w:r w:rsidRPr="001F62F3">
        <w:rPr>
          <w:rFonts w:ascii="Times New Roman" w:eastAsia="Times New Roman" w:hAnsi="Times New Roman" w:cs="Times New Roman"/>
          <w:sz w:val="24"/>
          <w:szCs w:val="24"/>
          <w:lang w:val="en-US"/>
        </w:rPr>
        <w:t xml:space="preserve">, D., Gibert, O., </w:t>
      </w:r>
      <w:proofErr w:type="spellStart"/>
      <w:r w:rsidRPr="001F62F3">
        <w:rPr>
          <w:rFonts w:ascii="Times New Roman" w:eastAsia="Times New Roman" w:hAnsi="Times New Roman" w:cs="Times New Roman"/>
          <w:sz w:val="24"/>
          <w:szCs w:val="24"/>
          <w:lang w:val="en-US"/>
        </w:rPr>
        <w:t>Bissah</w:t>
      </w:r>
      <w:proofErr w:type="spellEnd"/>
      <w:r w:rsidRPr="001F62F3">
        <w:rPr>
          <w:rFonts w:ascii="Times New Roman" w:eastAsia="Times New Roman" w:hAnsi="Times New Roman" w:cs="Times New Roman"/>
          <w:sz w:val="24"/>
          <w:szCs w:val="24"/>
          <w:lang w:val="en-US"/>
        </w:rPr>
        <w:t xml:space="preserve">, M., </w:t>
      </w:r>
      <w:proofErr w:type="spellStart"/>
      <w:r w:rsidRPr="001F62F3">
        <w:rPr>
          <w:rFonts w:ascii="Times New Roman" w:eastAsia="Times New Roman" w:hAnsi="Times New Roman" w:cs="Times New Roman"/>
          <w:sz w:val="24"/>
          <w:szCs w:val="24"/>
          <w:lang w:val="en-US"/>
        </w:rPr>
        <w:t>Rivallan</w:t>
      </w:r>
      <w:proofErr w:type="spellEnd"/>
      <w:r w:rsidRPr="001F62F3">
        <w:rPr>
          <w:rFonts w:ascii="Times New Roman" w:eastAsia="Times New Roman" w:hAnsi="Times New Roman" w:cs="Times New Roman"/>
          <w:sz w:val="24"/>
          <w:szCs w:val="24"/>
          <w:lang w:val="en-US"/>
        </w:rPr>
        <w:t xml:space="preserve">, R., </w:t>
      </w:r>
      <w:proofErr w:type="spellStart"/>
      <w:r w:rsidRPr="001F62F3">
        <w:rPr>
          <w:rFonts w:ascii="Times New Roman" w:eastAsia="Times New Roman" w:hAnsi="Times New Roman" w:cs="Times New Roman"/>
          <w:sz w:val="24"/>
          <w:szCs w:val="24"/>
          <w:lang w:val="en-US"/>
        </w:rPr>
        <w:t>Autran</w:t>
      </w:r>
      <w:proofErr w:type="spellEnd"/>
      <w:r w:rsidRPr="001F62F3">
        <w:rPr>
          <w:rFonts w:ascii="Times New Roman" w:eastAsia="Times New Roman" w:hAnsi="Times New Roman" w:cs="Times New Roman"/>
          <w:sz w:val="24"/>
          <w:szCs w:val="24"/>
          <w:lang w:val="en-US"/>
        </w:rPr>
        <w:t xml:space="preserve">, D., Leblanc, O., Meunier, A. C., </w:t>
      </w:r>
      <w:proofErr w:type="spellStart"/>
      <w:r w:rsidRPr="001F62F3">
        <w:rPr>
          <w:rFonts w:ascii="Times New Roman" w:eastAsia="Times New Roman" w:hAnsi="Times New Roman" w:cs="Times New Roman"/>
          <w:sz w:val="24"/>
          <w:szCs w:val="24"/>
          <w:lang w:val="en-US"/>
        </w:rPr>
        <w:t>Frouin</w:t>
      </w:r>
      <w:proofErr w:type="spellEnd"/>
      <w:r w:rsidRPr="001F62F3">
        <w:rPr>
          <w:rFonts w:ascii="Times New Roman" w:eastAsia="Times New Roman" w:hAnsi="Times New Roman" w:cs="Times New Roman"/>
          <w:sz w:val="24"/>
          <w:szCs w:val="24"/>
          <w:lang w:val="en-US"/>
        </w:rPr>
        <w:t xml:space="preserve">, J., </w:t>
      </w:r>
      <w:proofErr w:type="spellStart"/>
      <w:r w:rsidRPr="001F62F3">
        <w:rPr>
          <w:rFonts w:ascii="Times New Roman" w:eastAsia="Times New Roman" w:hAnsi="Times New Roman" w:cs="Times New Roman"/>
          <w:sz w:val="24"/>
          <w:szCs w:val="24"/>
          <w:lang w:val="en-US"/>
        </w:rPr>
        <w:t>Taillebois</w:t>
      </w:r>
      <w:proofErr w:type="spellEnd"/>
      <w:r w:rsidRPr="001F62F3">
        <w:rPr>
          <w:rFonts w:ascii="Times New Roman" w:eastAsia="Times New Roman" w:hAnsi="Times New Roman" w:cs="Times New Roman"/>
          <w:sz w:val="24"/>
          <w:szCs w:val="24"/>
          <w:lang w:val="en-US"/>
        </w:rPr>
        <w:t xml:space="preserve">, J., Shankle, K., </w:t>
      </w:r>
      <w:proofErr w:type="spellStart"/>
      <w:r w:rsidRPr="001F62F3">
        <w:rPr>
          <w:rFonts w:ascii="Times New Roman" w:eastAsia="Times New Roman" w:hAnsi="Times New Roman" w:cs="Times New Roman"/>
          <w:sz w:val="24"/>
          <w:szCs w:val="24"/>
          <w:lang w:val="en-US"/>
        </w:rPr>
        <w:t>Khanday</w:t>
      </w:r>
      <w:proofErr w:type="spellEnd"/>
      <w:r w:rsidRPr="001F62F3">
        <w:rPr>
          <w:rFonts w:ascii="Times New Roman" w:eastAsia="Times New Roman" w:hAnsi="Times New Roman" w:cs="Times New Roman"/>
          <w:sz w:val="24"/>
          <w:szCs w:val="24"/>
          <w:lang w:val="en-US"/>
        </w:rPr>
        <w:t xml:space="preserve">, I., Mercier, R., Sundaresan, V., &amp; </w:t>
      </w:r>
      <w:proofErr w:type="spellStart"/>
      <w:r w:rsidRPr="001F62F3">
        <w:rPr>
          <w:rFonts w:ascii="Times New Roman" w:eastAsia="Times New Roman" w:hAnsi="Times New Roman" w:cs="Times New Roman"/>
          <w:sz w:val="24"/>
          <w:szCs w:val="24"/>
          <w:lang w:val="en-US"/>
        </w:rPr>
        <w:t>Guiderdoni</w:t>
      </w:r>
      <w:proofErr w:type="spellEnd"/>
      <w:r w:rsidRPr="001F62F3">
        <w:rPr>
          <w:rFonts w:ascii="Times New Roman" w:eastAsia="Times New Roman" w:hAnsi="Times New Roman" w:cs="Times New Roman"/>
          <w:sz w:val="24"/>
          <w:szCs w:val="24"/>
          <w:lang w:val="en-US"/>
        </w:rPr>
        <w:t xml:space="preserve">, E. (2022). High-frequency synthetic apomixis in hybrid rice. </w:t>
      </w:r>
      <w:r w:rsidRPr="001F62F3">
        <w:rPr>
          <w:rFonts w:ascii="Times New Roman" w:eastAsia="Times New Roman" w:hAnsi="Times New Roman" w:cs="Times New Roman"/>
          <w:i/>
          <w:iCs/>
          <w:sz w:val="24"/>
          <w:szCs w:val="24"/>
          <w:lang w:val="en-US"/>
        </w:rPr>
        <w:t>Nature Communications, 13</w:t>
      </w:r>
      <w:r w:rsidRPr="001F62F3">
        <w:rPr>
          <w:rFonts w:ascii="Times New Roman" w:eastAsia="Times New Roman" w:hAnsi="Times New Roman" w:cs="Times New Roman"/>
          <w:sz w:val="24"/>
          <w:szCs w:val="24"/>
          <w:lang w:val="en-US"/>
        </w:rPr>
        <w:t xml:space="preserve">, Article 7963. </w:t>
      </w:r>
      <w:hyperlink r:id="rId41" w:tgtFrame="_new" w:history="1">
        <w:r w:rsidRPr="001F62F3">
          <w:rPr>
            <w:rFonts w:ascii="Times New Roman" w:eastAsia="Times New Roman" w:hAnsi="Times New Roman" w:cs="Times New Roman"/>
            <w:color w:val="0000FF"/>
            <w:sz w:val="24"/>
            <w:szCs w:val="24"/>
            <w:u w:val="single"/>
            <w:lang w:val="nl-BE"/>
          </w:rPr>
          <w:t>https://doi.org/10.1038/s41467-022-35679-3</w:t>
        </w:r>
      </w:hyperlink>
      <w:r w:rsidRPr="001F62F3">
        <w:rPr>
          <w:rFonts w:ascii="Times New Roman" w:eastAsia="Times New Roman" w:hAnsi="Times New Roman" w:cs="Times New Roman"/>
          <w:sz w:val="24"/>
          <w:szCs w:val="24"/>
          <w:lang w:val="nl-BE"/>
        </w:rPr>
        <w:t xml:space="preserve"> </w:t>
      </w:r>
    </w:p>
    <w:p w14:paraId="41329625" w14:textId="4293CE5F"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nl-BE"/>
        </w:rPr>
        <w:t xml:space="preserve">Wang, C., Liu, Q., Shen, Y., Hua, Y., Wang, J., Lin, J., Wu, M., Sun, T., Cheng, Z., Mercier, R., &amp; Wang, K. (2019). </w:t>
      </w:r>
      <w:r w:rsidRPr="001F62F3">
        <w:rPr>
          <w:rFonts w:ascii="Times New Roman" w:eastAsia="Times New Roman" w:hAnsi="Times New Roman" w:cs="Times New Roman"/>
          <w:sz w:val="24"/>
          <w:szCs w:val="24"/>
          <w:lang w:val="en-US"/>
        </w:rPr>
        <w:t xml:space="preserve">Clonal seeds from hybrid rice by simultaneous genome engineering of meiosis and fertilization genes. </w:t>
      </w:r>
      <w:r w:rsidRPr="001F62F3">
        <w:rPr>
          <w:rFonts w:ascii="Times New Roman" w:eastAsia="Times New Roman" w:hAnsi="Times New Roman" w:cs="Times New Roman"/>
          <w:i/>
          <w:iCs/>
          <w:sz w:val="24"/>
          <w:szCs w:val="24"/>
          <w:lang w:val="en-US"/>
        </w:rPr>
        <w:t>Nature Biotechnology, 37</w:t>
      </w:r>
      <w:r w:rsidRPr="001F62F3">
        <w:rPr>
          <w:rFonts w:ascii="Times New Roman" w:eastAsia="Times New Roman" w:hAnsi="Times New Roman" w:cs="Times New Roman"/>
          <w:sz w:val="24"/>
          <w:szCs w:val="24"/>
          <w:lang w:val="en-US"/>
        </w:rPr>
        <w:t xml:space="preserve">(3), 283–286. </w:t>
      </w:r>
      <w:hyperlink r:id="rId42" w:tgtFrame="_new" w:history="1">
        <w:r w:rsidRPr="001F62F3">
          <w:rPr>
            <w:rFonts w:ascii="Times New Roman" w:eastAsia="Times New Roman" w:hAnsi="Times New Roman" w:cs="Times New Roman"/>
            <w:color w:val="0000FF"/>
            <w:sz w:val="24"/>
            <w:szCs w:val="24"/>
            <w:u w:val="single"/>
            <w:lang w:val="en-US"/>
          </w:rPr>
          <w:t>https://doi.org/10.1038/s41587-018-0003-0</w:t>
        </w:r>
      </w:hyperlink>
      <w:r w:rsidRPr="001F62F3">
        <w:rPr>
          <w:rFonts w:ascii="Times New Roman" w:eastAsia="Times New Roman" w:hAnsi="Times New Roman" w:cs="Times New Roman"/>
          <w:sz w:val="24"/>
          <w:szCs w:val="24"/>
          <w:lang w:val="en-US"/>
        </w:rPr>
        <w:t xml:space="preserve"> </w:t>
      </w:r>
    </w:p>
    <w:p w14:paraId="4CB6DA24" w14:textId="2BBAF12B"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Wang, J., Yan, H., Jiao, X., Ren, J., Hu, F., Liang, H., Liang, W., &amp; Liu, C. (2023). Development of specific molecular and phenotypic marker-based haploid inducers in rice. </w:t>
      </w:r>
      <w:r w:rsidRPr="001F62F3">
        <w:rPr>
          <w:rFonts w:ascii="Times New Roman" w:eastAsia="Times New Roman" w:hAnsi="Times New Roman" w:cs="Times New Roman"/>
          <w:i/>
          <w:iCs/>
          <w:sz w:val="24"/>
          <w:szCs w:val="24"/>
          <w:lang w:val="en-US"/>
        </w:rPr>
        <w:t>Agronomy, 13</w:t>
      </w:r>
      <w:r w:rsidRPr="001F62F3">
        <w:rPr>
          <w:rFonts w:ascii="Times New Roman" w:eastAsia="Times New Roman" w:hAnsi="Times New Roman" w:cs="Times New Roman"/>
          <w:sz w:val="24"/>
          <w:szCs w:val="24"/>
          <w:lang w:val="en-US"/>
        </w:rPr>
        <w:t xml:space="preserve">(6), Article 1520. </w:t>
      </w:r>
      <w:hyperlink r:id="rId43" w:tgtFrame="_new" w:history="1">
        <w:r w:rsidRPr="001F62F3">
          <w:rPr>
            <w:rFonts w:ascii="Times New Roman" w:eastAsia="Times New Roman" w:hAnsi="Times New Roman" w:cs="Times New Roman"/>
            <w:color w:val="0000FF"/>
            <w:sz w:val="24"/>
            <w:szCs w:val="24"/>
            <w:u w:val="single"/>
            <w:lang w:val="en-US"/>
          </w:rPr>
          <w:t>https://doi.org/10.3390/agronomy13061520</w:t>
        </w:r>
      </w:hyperlink>
      <w:r w:rsidRPr="001F62F3">
        <w:rPr>
          <w:rFonts w:ascii="Times New Roman" w:eastAsia="Times New Roman" w:hAnsi="Times New Roman" w:cs="Times New Roman"/>
          <w:sz w:val="24"/>
          <w:szCs w:val="24"/>
          <w:lang w:val="en-US"/>
        </w:rPr>
        <w:t xml:space="preserve"> </w:t>
      </w:r>
    </w:p>
    <w:p w14:paraId="1DDB629C" w14:textId="19DB4192"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Wang, Y., Liu, S., Wan, Y., Liu, J., </w:t>
      </w:r>
      <w:proofErr w:type="spellStart"/>
      <w:r w:rsidRPr="001F62F3">
        <w:rPr>
          <w:rFonts w:ascii="Times New Roman" w:eastAsia="Times New Roman" w:hAnsi="Times New Roman" w:cs="Times New Roman"/>
          <w:sz w:val="24"/>
          <w:szCs w:val="24"/>
          <w:lang w:val="en-US"/>
        </w:rPr>
        <w:t>Lv</w:t>
      </w:r>
      <w:proofErr w:type="spellEnd"/>
      <w:r w:rsidRPr="001F62F3">
        <w:rPr>
          <w:rFonts w:ascii="Times New Roman" w:eastAsia="Times New Roman" w:hAnsi="Times New Roman" w:cs="Times New Roman"/>
          <w:sz w:val="24"/>
          <w:szCs w:val="24"/>
          <w:lang w:val="en-US"/>
        </w:rPr>
        <w:t xml:space="preserve">, Q., Cao, M., &amp; Xia, Y. (2026). High-frequency synthetic apomixis by OsBBM1 shows environmentally sensitive inheritance instability in hybrid rice. </w:t>
      </w:r>
      <w:r w:rsidRPr="001F62F3">
        <w:rPr>
          <w:rFonts w:ascii="Times New Roman" w:eastAsia="Times New Roman" w:hAnsi="Times New Roman" w:cs="Times New Roman"/>
          <w:i/>
          <w:iCs/>
          <w:sz w:val="24"/>
          <w:szCs w:val="24"/>
          <w:lang w:val="en-US"/>
        </w:rPr>
        <w:t>Frontiers in Plant Science, 17</w:t>
      </w:r>
      <w:r w:rsidRPr="001F62F3">
        <w:rPr>
          <w:rFonts w:ascii="Times New Roman" w:eastAsia="Times New Roman" w:hAnsi="Times New Roman" w:cs="Times New Roman"/>
          <w:sz w:val="24"/>
          <w:szCs w:val="24"/>
          <w:lang w:val="en-US"/>
        </w:rPr>
        <w:t xml:space="preserve">, Article 1747393. </w:t>
      </w:r>
      <w:hyperlink r:id="rId44" w:tgtFrame="_new" w:history="1">
        <w:r w:rsidRPr="001F62F3">
          <w:rPr>
            <w:rFonts w:ascii="Times New Roman" w:eastAsia="Times New Roman" w:hAnsi="Times New Roman" w:cs="Times New Roman"/>
            <w:color w:val="0000FF"/>
            <w:sz w:val="24"/>
            <w:szCs w:val="24"/>
            <w:u w:val="single"/>
            <w:lang w:val="en-US"/>
          </w:rPr>
          <w:t>https://doi.org/10.3389/fpls.2026.1747393</w:t>
        </w:r>
      </w:hyperlink>
      <w:r w:rsidRPr="001F62F3">
        <w:rPr>
          <w:rFonts w:ascii="Times New Roman" w:eastAsia="Times New Roman" w:hAnsi="Times New Roman" w:cs="Times New Roman"/>
          <w:sz w:val="24"/>
          <w:szCs w:val="24"/>
          <w:lang w:val="en-US"/>
        </w:rPr>
        <w:t xml:space="preserve"> </w:t>
      </w:r>
    </w:p>
    <w:p w14:paraId="0462B1C0" w14:textId="7AE47910"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en-US"/>
        </w:rPr>
      </w:pPr>
      <w:r w:rsidRPr="001F62F3">
        <w:rPr>
          <w:rFonts w:ascii="Times New Roman" w:eastAsia="Times New Roman" w:hAnsi="Times New Roman" w:cs="Times New Roman"/>
          <w:sz w:val="24"/>
          <w:szCs w:val="24"/>
          <w:lang w:val="en-US"/>
        </w:rPr>
        <w:t xml:space="preserve">Wei, X., Liu, C., Chen, X., Lu, H., Wang, J., Yang, S., &amp; Wang, K. (2023). Synthetic apomixis with normal hybrid rice seed production. </w:t>
      </w:r>
      <w:r w:rsidRPr="001F62F3">
        <w:rPr>
          <w:rFonts w:ascii="Times New Roman" w:eastAsia="Times New Roman" w:hAnsi="Times New Roman" w:cs="Times New Roman"/>
          <w:i/>
          <w:iCs/>
          <w:sz w:val="24"/>
          <w:szCs w:val="24"/>
          <w:lang w:val="en-US"/>
        </w:rPr>
        <w:t>Molecular Plant, 16</w:t>
      </w:r>
      <w:r w:rsidRPr="001F62F3">
        <w:rPr>
          <w:rFonts w:ascii="Times New Roman" w:eastAsia="Times New Roman" w:hAnsi="Times New Roman" w:cs="Times New Roman"/>
          <w:sz w:val="24"/>
          <w:szCs w:val="24"/>
          <w:lang w:val="en-US"/>
        </w:rPr>
        <w:t xml:space="preserve">(3), 489–492. </w:t>
      </w:r>
      <w:hyperlink r:id="rId45" w:tgtFrame="_new" w:history="1">
        <w:r w:rsidRPr="001F62F3">
          <w:rPr>
            <w:rFonts w:ascii="Times New Roman" w:eastAsia="Times New Roman" w:hAnsi="Times New Roman" w:cs="Times New Roman"/>
            <w:color w:val="0000FF"/>
            <w:sz w:val="24"/>
            <w:szCs w:val="24"/>
            <w:u w:val="single"/>
            <w:lang w:val="en-US"/>
          </w:rPr>
          <w:t>https://doi.org/10.1016/j.molp.2023.01.005</w:t>
        </w:r>
      </w:hyperlink>
      <w:r w:rsidRPr="001F62F3">
        <w:rPr>
          <w:rFonts w:ascii="Times New Roman" w:eastAsia="Times New Roman" w:hAnsi="Times New Roman" w:cs="Times New Roman"/>
          <w:sz w:val="24"/>
          <w:szCs w:val="24"/>
          <w:lang w:val="en-US"/>
        </w:rPr>
        <w:t xml:space="preserve"> </w:t>
      </w:r>
    </w:p>
    <w:p w14:paraId="5949B345" w14:textId="19DD7C49" w:rsidR="001F62F3" w:rsidRPr="001F62F3" w:rsidRDefault="001F62F3" w:rsidP="001F62F3">
      <w:pPr>
        <w:spacing w:after="0" w:line="240" w:lineRule="auto"/>
        <w:ind w:left="540" w:hanging="540"/>
        <w:jc w:val="both"/>
        <w:rPr>
          <w:rFonts w:ascii="Times New Roman" w:eastAsia="Times New Roman" w:hAnsi="Times New Roman" w:cs="Times New Roman"/>
          <w:sz w:val="24"/>
          <w:szCs w:val="24"/>
          <w:lang w:val="nl-BE"/>
        </w:rPr>
      </w:pPr>
      <w:r w:rsidRPr="001F62F3">
        <w:rPr>
          <w:rFonts w:ascii="Times New Roman" w:eastAsia="Times New Roman" w:hAnsi="Times New Roman" w:cs="Times New Roman"/>
          <w:sz w:val="24"/>
          <w:szCs w:val="24"/>
          <w:lang w:val="en-US"/>
        </w:rPr>
        <w:t xml:space="preserve">Yao, L., Zhang, Y., Liu, C., Liu, Y., Wang, Y., Liang, D., Liu, J., Sahoo, G., &amp; Kelliher, T. (2018). </w:t>
      </w:r>
      <w:proofErr w:type="spellStart"/>
      <w:r w:rsidRPr="001F62F3">
        <w:rPr>
          <w:rFonts w:ascii="Times New Roman" w:eastAsia="Times New Roman" w:hAnsi="Times New Roman" w:cs="Times New Roman"/>
          <w:sz w:val="24"/>
          <w:szCs w:val="24"/>
          <w:lang w:val="en-US"/>
        </w:rPr>
        <w:t>OsMATL</w:t>
      </w:r>
      <w:proofErr w:type="spellEnd"/>
      <w:r w:rsidRPr="001F62F3">
        <w:rPr>
          <w:rFonts w:ascii="Times New Roman" w:eastAsia="Times New Roman" w:hAnsi="Times New Roman" w:cs="Times New Roman"/>
          <w:sz w:val="24"/>
          <w:szCs w:val="24"/>
          <w:lang w:val="en-US"/>
        </w:rPr>
        <w:t xml:space="preserve"> mutation induces haploid seed formation in indica rice. </w:t>
      </w:r>
      <w:r w:rsidRPr="001F62F3">
        <w:rPr>
          <w:rFonts w:ascii="Times New Roman" w:eastAsia="Times New Roman" w:hAnsi="Times New Roman" w:cs="Times New Roman"/>
          <w:i/>
          <w:iCs/>
          <w:sz w:val="24"/>
          <w:szCs w:val="24"/>
          <w:lang w:val="en-US"/>
        </w:rPr>
        <w:t>Nature Plants, 4</w:t>
      </w:r>
      <w:r w:rsidRPr="001F62F3">
        <w:rPr>
          <w:rFonts w:ascii="Times New Roman" w:eastAsia="Times New Roman" w:hAnsi="Times New Roman" w:cs="Times New Roman"/>
          <w:sz w:val="24"/>
          <w:szCs w:val="24"/>
          <w:lang w:val="en-US"/>
        </w:rPr>
        <w:t xml:space="preserve">(8), 530–533. </w:t>
      </w:r>
      <w:hyperlink r:id="rId46" w:tgtFrame="_new" w:history="1">
        <w:r w:rsidRPr="001F62F3">
          <w:rPr>
            <w:rFonts w:ascii="Times New Roman" w:eastAsia="Times New Roman" w:hAnsi="Times New Roman" w:cs="Times New Roman"/>
            <w:color w:val="0000FF"/>
            <w:sz w:val="24"/>
            <w:szCs w:val="24"/>
            <w:u w:val="single"/>
            <w:lang w:val="nl-BE"/>
          </w:rPr>
          <w:t>https://doi.org/10.1038/s41477-018-0193-y</w:t>
        </w:r>
      </w:hyperlink>
      <w:r w:rsidRPr="001F62F3">
        <w:rPr>
          <w:rFonts w:ascii="Times New Roman" w:eastAsia="Times New Roman" w:hAnsi="Times New Roman" w:cs="Times New Roman"/>
          <w:sz w:val="24"/>
          <w:szCs w:val="24"/>
          <w:lang w:val="nl-BE"/>
        </w:rPr>
        <w:t xml:space="preserve"> </w:t>
      </w:r>
    </w:p>
    <w:p w14:paraId="74B850A4" w14:textId="0AF881A8" w:rsidR="004841B3" w:rsidRPr="001F62F3" w:rsidRDefault="001F62F3" w:rsidP="001F62F3">
      <w:pPr>
        <w:ind w:left="540" w:hanging="540"/>
        <w:jc w:val="both"/>
        <w:rPr>
          <w:rFonts w:ascii="Times New Roman" w:hAnsi="Times New Roman" w:cs="Times New Roman"/>
        </w:rPr>
      </w:pPr>
      <w:r w:rsidRPr="001F62F3">
        <w:rPr>
          <w:rFonts w:ascii="Times New Roman" w:eastAsia="Times New Roman" w:hAnsi="Times New Roman" w:cs="Times New Roman"/>
          <w:sz w:val="24"/>
          <w:szCs w:val="24"/>
          <w:lang w:val="nl-BE"/>
        </w:rPr>
        <w:lastRenderedPageBreak/>
        <w:t xml:space="preserve">Zhang, W., Gao, R., Zong, Y., Tao, Y., Wang, Y., Chen, Z., Li, Y., &amp; Liu, C. (2025). </w:t>
      </w:r>
      <w:r w:rsidRPr="001F62F3">
        <w:rPr>
          <w:rFonts w:ascii="Times New Roman" w:eastAsia="Times New Roman" w:hAnsi="Times New Roman" w:cs="Times New Roman"/>
          <w:sz w:val="24"/>
          <w:szCs w:val="24"/>
          <w:lang w:val="en-US"/>
        </w:rPr>
        <w:t xml:space="preserve">Comparative transcriptome analysis reveals molecular indicators of embryogenic initiation divergence between rice varieties CXJ and 9311 during microspore culture. </w:t>
      </w:r>
      <w:r w:rsidRPr="001F62F3">
        <w:rPr>
          <w:rFonts w:ascii="Times New Roman" w:eastAsia="Times New Roman" w:hAnsi="Times New Roman" w:cs="Times New Roman"/>
          <w:i/>
          <w:iCs/>
          <w:sz w:val="24"/>
          <w:szCs w:val="24"/>
          <w:lang w:val="en-US"/>
        </w:rPr>
        <w:t>Agronomy, 15</w:t>
      </w:r>
      <w:r w:rsidRPr="001F62F3">
        <w:rPr>
          <w:rFonts w:ascii="Times New Roman" w:eastAsia="Times New Roman" w:hAnsi="Times New Roman" w:cs="Times New Roman"/>
          <w:sz w:val="24"/>
          <w:szCs w:val="24"/>
          <w:lang w:val="en-US"/>
        </w:rPr>
        <w:t xml:space="preserve">(9), Article 2206. </w:t>
      </w:r>
      <w:hyperlink r:id="rId47" w:tgtFrame="_new" w:history="1">
        <w:r w:rsidRPr="001F62F3">
          <w:rPr>
            <w:rFonts w:ascii="Times New Roman" w:eastAsia="Times New Roman" w:hAnsi="Times New Roman" w:cs="Times New Roman"/>
            <w:color w:val="0000FF"/>
            <w:sz w:val="24"/>
            <w:szCs w:val="24"/>
            <w:u w:val="single"/>
            <w:lang w:val="en-US"/>
          </w:rPr>
          <w:t>https://doi.org/10.3390/agronomy15092206</w:t>
        </w:r>
      </w:hyperlink>
    </w:p>
    <w:sectPr w:rsidR="004841B3" w:rsidRPr="001F62F3" w:rsidSect="004841B3">
      <w:headerReference w:type="even" r:id="rId48"/>
      <w:headerReference w:type="default" r:id="rId49"/>
      <w:footerReference w:type="even" r:id="rId50"/>
      <w:footerReference w:type="default" r:id="rId51"/>
      <w:headerReference w:type="first" r:id="rId52"/>
      <w:footerReference w:type="firs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8CA1C" w14:textId="77777777" w:rsidR="004171E4" w:rsidRDefault="004171E4" w:rsidP="009C2E37">
      <w:pPr>
        <w:spacing w:after="0" w:line="240" w:lineRule="auto"/>
      </w:pPr>
      <w:r>
        <w:separator/>
      </w:r>
    </w:p>
  </w:endnote>
  <w:endnote w:type="continuationSeparator" w:id="0">
    <w:p w14:paraId="3ED0F65D" w14:textId="77777777" w:rsidR="004171E4" w:rsidRDefault="004171E4" w:rsidP="009C2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5BFF" w14:textId="77777777" w:rsidR="009C2E37" w:rsidRDefault="009C2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AAA5" w14:textId="77777777" w:rsidR="009C2E37" w:rsidRDefault="009C2E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BF42" w14:textId="77777777" w:rsidR="009C2E37" w:rsidRDefault="009C2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1C354" w14:textId="77777777" w:rsidR="004171E4" w:rsidRDefault="004171E4" w:rsidP="009C2E37">
      <w:pPr>
        <w:spacing w:after="0" w:line="240" w:lineRule="auto"/>
      </w:pPr>
      <w:r>
        <w:separator/>
      </w:r>
    </w:p>
  </w:footnote>
  <w:footnote w:type="continuationSeparator" w:id="0">
    <w:p w14:paraId="371BB1A7" w14:textId="77777777" w:rsidR="004171E4" w:rsidRDefault="004171E4" w:rsidP="009C2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6005" w14:textId="0AC5E5E4" w:rsidR="009C2E37" w:rsidRDefault="00000000">
    <w:pPr>
      <w:pStyle w:val="Header"/>
    </w:pPr>
    <w:r>
      <w:rPr>
        <w:noProof/>
      </w:rPr>
      <w:pict w14:anchorId="4BA4C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6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01F44" w14:textId="0E5FAF17" w:rsidR="009C2E37" w:rsidRDefault="00000000">
    <w:pPr>
      <w:pStyle w:val="Header"/>
    </w:pPr>
    <w:r>
      <w:rPr>
        <w:noProof/>
      </w:rPr>
      <w:pict w14:anchorId="012548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6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7146" w14:textId="513232D9" w:rsidR="009C2E37" w:rsidRDefault="00000000">
    <w:pPr>
      <w:pStyle w:val="Header"/>
    </w:pPr>
    <w:r>
      <w:rPr>
        <w:noProof/>
      </w:rPr>
      <w:pict w14:anchorId="040BB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6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428A4"/>
    <w:multiLevelType w:val="hybridMultilevel"/>
    <w:tmpl w:val="55AC18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1549AE"/>
    <w:multiLevelType w:val="hybridMultilevel"/>
    <w:tmpl w:val="9F38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9283354">
    <w:abstractNumId w:val="1"/>
  </w:num>
  <w:num w:numId="2" w16cid:durableId="56247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cyNDI3NzK1MDA1NjZR0lEKTi0uzszPAykwrAUA0aXVzCwAAAA="/>
  </w:docVars>
  <w:rsids>
    <w:rsidRoot w:val="00C1273A"/>
    <w:rsid w:val="000229B4"/>
    <w:rsid w:val="000425C1"/>
    <w:rsid w:val="000C3D91"/>
    <w:rsid w:val="001F62F3"/>
    <w:rsid w:val="002A3D77"/>
    <w:rsid w:val="004171E4"/>
    <w:rsid w:val="004841B3"/>
    <w:rsid w:val="004C686F"/>
    <w:rsid w:val="008134FB"/>
    <w:rsid w:val="00830F24"/>
    <w:rsid w:val="009C2E37"/>
    <w:rsid w:val="009E25AB"/>
    <w:rsid w:val="00AE2CF5"/>
    <w:rsid w:val="00BA0901"/>
    <w:rsid w:val="00BE6AEB"/>
    <w:rsid w:val="00C1273A"/>
    <w:rsid w:val="00C8093D"/>
    <w:rsid w:val="00E37719"/>
    <w:rsid w:val="00E7753F"/>
    <w:rsid w:val="00F029AE"/>
    <w:rsid w:val="00F34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A7CF9"/>
  <w15:docId w15:val="{0AEF7BC4-743E-4E26-AF03-046700E2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C1273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1273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1273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273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1273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1273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C127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273A"/>
    <w:rPr>
      <w:b/>
      <w:bCs/>
    </w:rPr>
  </w:style>
  <w:style w:type="character" w:styleId="Emphasis">
    <w:name w:val="Emphasis"/>
    <w:basedOn w:val="DefaultParagraphFont"/>
    <w:uiPriority w:val="20"/>
    <w:qFormat/>
    <w:rsid w:val="00C1273A"/>
    <w:rPr>
      <w:i/>
      <w:iCs/>
    </w:rPr>
  </w:style>
  <w:style w:type="character" w:styleId="Hyperlink">
    <w:name w:val="Hyperlink"/>
    <w:basedOn w:val="DefaultParagraphFont"/>
    <w:uiPriority w:val="99"/>
    <w:semiHidden/>
    <w:unhideWhenUsed/>
    <w:rsid w:val="00C1273A"/>
    <w:rPr>
      <w:color w:val="0000FF"/>
      <w:u w:val="single"/>
    </w:rPr>
  </w:style>
  <w:style w:type="table" w:styleId="TableGrid">
    <w:name w:val="Table Grid"/>
    <w:basedOn w:val="TableNormal"/>
    <w:uiPriority w:val="59"/>
    <w:rsid w:val="00BE6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2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E37"/>
  </w:style>
  <w:style w:type="paragraph" w:styleId="Footer">
    <w:name w:val="footer"/>
    <w:basedOn w:val="Normal"/>
    <w:link w:val="FooterChar"/>
    <w:uiPriority w:val="99"/>
    <w:unhideWhenUsed/>
    <w:rsid w:val="009C2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E37"/>
  </w:style>
  <w:style w:type="paragraph" w:styleId="ListParagraph">
    <w:name w:val="List Paragraph"/>
    <w:basedOn w:val="Normal"/>
    <w:uiPriority w:val="34"/>
    <w:qFormat/>
    <w:rsid w:val="001F62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623646">
      <w:bodyDiv w:val="1"/>
      <w:marLeft w:val="0"/>
      <w:marRight w:val="0"/>
      <w:marTop w:val="0"/>
      <w:marBottom w:val="0"/>
      <w:divBdr>
        <w:top w:val="none" w:sz="0" w:space="0" w:color="auto"/>
        <w:left w:val="none" w:sz="0" w:space="0" w:color="auto"/>
        <w:bottom w:val="none" w:sz="0" w:space="0" w:color="auto"/>
        <w:right w:val="none" w:sz="0" w:space="0" w:color="auto"/>
      </w:divBdr>
      <w:divsChild>
        <w:div w:id="392235913">
          <w:marLeft w:val="0"/>
          <w:marRight w:val="0"/>
          <w:marTop w:val="0"/>
          <w:marBottom w:val="0"/>
          <w:divBdr>
            <w:top w:val="none" w:sz="0" w:space="0" w:color="auto"/>
            <w:left w:val="none" w:sz="0" w:space="0" w:color="auto"/>
            <w:bottom w:val="none" w:sz="0" w:space="0" w:color="auto"/>
            <w:right w:val="none" w:sz="0" w:space="0" w:color="auto"/>
          </w:divBdr>
        </w:div>
        <w:div w:id="612900524">
          <w:marLeft w:val="0"/>
          <w:marRight w:val="0"/>
          <w:marTop w:val="0"/>
          <w:marBottom w:val="0"/>
          <w:divBdr>
            <w:top w:val="none" w:sz="0" w:space="0" w:color="auto"/>
            <w:left w:val="none" w:sz="0" w:space="0" w:color="auto"/>
            <w:bottom w:val="none" w:sz="0" w:space="0" w:color="auto"/>
            <w:right w:val="none" w:sz="0" w:space="0" w:color="auto"/>
          </w:divBdr>
        </w:div>
        <w:div w:id="1285426973">
          <w:marLeft w:val="0"/>
          <w:marRight w:val="0"/>
          <w:marTop w:val="0"/>
          <w:marBottom w:val="0"/>
          <w:divBdr>
            <w:top w:val="none" w:sz="0" w:space="0" w:color="auto"/>
            <w:left w:val="none" w:sz="0" w:space="0" w:color="auto"/>
            <w:bottom w:val="none" w:sz="0" w:space="0" w:color="auto"/>
            <w:right w:val="none" w:sz="0" w:space="0" w:color="auto"/>
          </w:divBdr>
        </w:div>
        <w:div w:id="1671827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cimb48010018" TargetMode="External"/><Relationship Id="rId18" Type="http://schemas.openxmlformats.org/officeDocument/2006/relationships/hyperlink" Target="https://doi.org/10.1038/s41586-018-0785-8?utm_source=chatgpt.com" TargetMode="External"/><Relationship Id="rId26" Type="http://schemas.openxmlformats.org/officeDocument/2006/relationships/hyperlink" Target="https://doi.org/10.3389/fpls.2025.1709033" TargetMode="External"/><Relationship Id="rId39" Type="http://schemas.openxmlformats.org/officeDocument/2006/relationships/hyperlink" Target="https://doi.org/10.1007/s12892-024-00248-1" TargetMode="External"/><Relationship Id="rId21" Type="http://schemas.openxmlformats.org/officeDocument/2006/relationships/hyperlink" Target="https://doi.org/10.3390/plants12213681" TargetMode="External"/><Relationship Id="rId34" Type="http://schemas.openxmlformats.org/officeDocument/2006/relationships/hyperlink" Target="https://doi.org/10.1186/s12870-025-07591-7" TargetMode="External"/><Relationship Id="rId42" Type="http://schemas.openxmlformats.org/officeDocument/2006/relationships/hyperlink" Target="https://doi.org/10.1038/s41587-018-0003-0" TargetMode="External"/><Relationship Id="rId47" Type="http://schemas.openxmlformats.org/officeDocument/2006/relationships/hyperlink" Target="https://doi.org/10.3390/agronomy15092206"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plants13172531" TargetMode="External"/><Relationship Id="rId29" Type="http://schemas.openxmlformats.org/officeDocument/2006/relationships/hyperlink" Target="https://doi.org/10.3390/plants12173118" TargetMode="External"/><Relationship Id="rId11" Type="http://schemas.openxmlformats.org/officeDocument/2006/relationships/hyperlink" Target="https://doi.org/10.1007/s00299-024-03154-6?utm_source=chatgpt.com" TargetMode="External"/><Relationship Id="rId24" Type="http://schemas.openxmlformats.org/officeDocument/2006/relationships/hyperlink" Target="https://doi.org/10.3390/plants12091774" TargetMode="External"/><Relationship Id="rId32" Type="http://schemas.openxmlformats.org/officeDocument/2006/relationships/hyperlink" Target="https://doi.org/10.1038/s41477-024-01848-z" TargetMode="External"/><Relationship Id="rId37" Type="http://schemas.openxmlformats.org/officeDocument/2006/relationships/hyperlink" Target="https://doi.org/10.3390/genes14112086" TargetMode="External"/><Relationship Id="rId40" Type="http://schemas.openxmlformats.org/officeDocument/2006/relationships/hyperlink" Target="https://doi.org/10.1146/annurev-arplant-102720-013958" TargetMode="External"/><Relationship Id="rId45" Type="http://schemas.openxmlformats.org/officeDocument/2006/relationships/hyperlink" Target="https://doi.org/10.1016/j.molp.2023.01.005"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doi.org/10.3390/plants14111586" TargetMode="External"/><Relationship Id="rId19" Type="http://schemas.openxmlformats.org/officeDocument/2006/relationships/hyperlink" Target="https://doi.org/10.1016/j.pbi.2020.101993" TargetMode="External"/><Relationship Id="rId31" Type="http://schemas.openxmlformats.org/officeDocument/2006/relationships/hyperlink" Target="https://doi.org/10.1093/jxb/eraf406" TargetMode="External"/><Relationship Id="rId44" Type="http://schemas.openxmlformats.org/officeDocument/2006/relationships/hyperlink" Target="https://doi.org/10.3389/fpls.2026.1747393?utm_source=chatgpt.com"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1007/s13353-025-00948-6" TargetMode="External"/><Relationship Id="rId14" Type="http://schemas.openxmlformats.org/officeDocument/2006/relationships/hyperlink" Target="https://doi.org/10.1186/s13007-024-01189-0?utm_source=chatgpt.com" TargetMode="External"/><Relationship Id="rId22" Type="http://schemas.openxmlformats.org/officeDocument/2006/relationships/hyperlink" Target="https://doi.org/10.1111/pbr.12971" TargetMode="External"/><Relationship Id="rId27" Type="http://schemas.openxmlformats.org/officeDocument/2006/relationships/hyperlink" Target="https://doi.org/10.1016/j.xplc.2024.101067" TargetMode="External"/><Relationship Id="rId30" Type="http://schemas.openxmlformats.org/officeDocument/2006/relationships/hyperlink" Target="https://doi.org/10.1016/j.rsci.2016.02.001" TargetMode="External"/><Relationship Id="rId35" Type="http://schemas.openxmlformats.org/officeDocument/2006/relationships/hyperlink" Target="https://doi.org/10.1016/j.isci.2024.111479" TargetMode="External"/><Relationship Id="rId43" Type="http://schemas.openxmlformats.org/officeDocument/2006/relationships/hyperlink" Target="https://doi.org/10.3390/agronomy13061520" TargetMode="External"/><Relationship Id="rId48" Type="http://schemas.openxmlformats.org/officeDocument/2006/relationships/header" Target="header1.xml"/><Relationship Id="rId8" Type="http://schemas.openxmlformats.org/officeDocument/2006/relationships/hyperlink" Target="https://doi.org/10.1186/s41073-019-0064-8?utm_source=chatgpt.com"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doi.org/10.1371/journal.pone.0267442?utm_source=chatgpt.com" TargetMode="External"/><Relationship Id="rId17" Type="http://schemas.openxmlformats.org/officeDocument/2006/relationships/hyperlink" Target="https://doi.org/10.1111/nph.71138" TargetMode="External"/><Relationship Id="rId25" Type="http://schemas.openxmlformats.org/officeDocument/2006/relationships/hyperlink" Target="https://doi.org/10.1186/s12915-025-02140-y" TargetMode="External"/><Relationship Id="rId33" Type="http://schemas.openxmlformats.org/officeDocument/2006/relationships/hyperlink" Target="https://doi.org/10.1371/journal.pone.0241292" TargetMode="External"/><Relationship Id="rId38" Type="http://schemas.openxmlformats.org/officeDocument/2006/relationships/hyperlink" Target="https://doi.org/10.1007/s00344-022-10709-y" TargetMode="External"/><Relationship Id="rId46" Type="http://schemas.openxmlformats.org/officeDocument/2006/relationships/hyperlink" Target="https://doi.org/10.1038/s41477-018-0193-y" TargetMode="External"/><Relationship Id="rId20" Type="http://schemas.openxmlformats.org/officeDocument/2006/relationships/hyperlink" Target="https://doi.org/10.1111/nph.18774" TargetMode="External"/><Relationship Id="rId41" Type="http://schemas.openxmlformats.org/officeDocument/2006/relationships/hyperlink" Target="https://doi.org/10.1038/s41467-022-35679-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13205-023-03857-9" TargetMode="External"/><Relationship Id="rId23" Type="http://schemas.openxmlformats.org/officeDocument/2006/relationships/hyperlink" Target="https://doi.org/10.3390/plants11243446" TargetMode="External"/><Relationship Id="rId28" Type="http://schemas.openxmlformats.org/officeDocument/2006/relationships/hyperlink" Target="https://doi.org/10.1016/j.cj.2023.11.005" TargetMode="External"/><Relationship Id="rId36" Type="http://schemas.openxmlformats.org/officeDocument/2006/relationships/hyperlink" Target="https://doi.org/10.1186/s12284-025-00801-8"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94DCD-E996-4B0C-9595-F830FB7C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Pages>
  <Words>11796</Words>
  <Characters>67238</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Editor-90</cp:lastModifiedBy>
  <cp:revision>13</cp:revision>
  <dcterms:created xsi:type="dcterms:W3CDTF">2026-06-21T10:48:00Z</dcterms:created>
  <dcterms:modified xsi:type="dcterms:W3CDTF">2026-06-30T09:51:00Z</dcterms:modified>
</cp:coreProperties>
</file>