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F663E8" w14:textId="77777777" w:rsidR="00911852" w:rsidRPr="00E46DAC" w:rsidRDefault="00911852" w:rsidP="00B85B5B">
      <w:pPr>
        <w:spacing w:before="120" w:after="60" w:line="300" w:lineRule="auto"/>
        <w:jc w:val="both"/>
        <w:rPr>
          <w:rFonts w:ascii="Times New Roman" w:hAnsi="Times New Roman" w:cs="Times New Roman"/>
          <w:b/>
          <w:bCs/>
          <w:i/>
          <w:iCs/>
          <w:color w:val="auto"/>
          <w:sz w:val="36"/>
          <w:szCs w:val="36"/>
          <w:u w:val="single"/>
        </w:rPr>
      </w:pPr>
      <w:r w:rsidRPr="00E46DAC">
        <w:rPr>
          <w:rFonts w:ascii="Times New Roman" w:hAnsi="Times New Roman" w:cs="Times New Roman"/>
          <w:b/>
          <w:bCs/>
          <w:i/>
          <w:iCs/>
          <w:color w:val="auto"/>
          <w:sz w:val="36"/>
          <w:szCs w:val="36"/>
          <w:u w:val="single"/>
        </w:rPr>
        <w:t>Review Article</w:t>
      </w:r>
    </w:p>
    <w:p w14:paraId="53637E57" w14:textId="77777777" w:rsidR="00AC363E" w:rsidRPr="00E46DAC" w:rsidRDefault="007578DC" w:rsidP="00B85B5B">
      <w:pPr>
        <w:spacing w:before="120" w:after="60" w:line="300" w:lineRule="auto"/>
        <w:jc w:val="both"/>
        <w:rPr>
          <w:rFonts w:ascii="Times New Roman" w:hAnsi="Times New Roman" w:cs="Times New Roman"/>
          <w:b/>
          <w:bCs/>
          <w:color w:val="auto"/>
          <w:sz w:val="36"/>
          <w:szCs w:val="36"/>
        </w:rPr>
      </w:pPr>
      <w:r w:rsidRPr="00E46DAC">
        <w:rPr>
          <w:rFonts w:ascii="Times New Roman" w:hAnsi="Times New Roman" w:cs="Times New Roman"/>
          <w:b/>
          <w:bCs/>
          <w:color w:val="auto"/>
          <w:sz w:val="36"/>
          <w:szCs w:val="36"/>
        </w:rPr>
        <w:t>Medical Nomenclature and Patient Understanding: Lessons from the Polycystic Ovary Syndrome to Polyendocrine Metabolic Ovarian Syndrome Transition</w:t>
      </w:r>
    </w:p>
    <w:p w14:paraId="2AF2BF40" w14:textId="77777777" w:rsidR="001351E5" w:rsidRPr="00E46DAC" w:rsidRDefault="001351E5" w:rsidP="00B85B5B">
      <w:pPr>
        <w:spacing w:after="240" w:line="240" w:lineRule="auto"/>
        <w:jc w:val="both"/>
        <w:rPr>
          <w:rFonts w:ascii="Times New Roman" w:eastAsia="Times New Roman" w:hAnsi="Times New Roman" w:cs="Times New Roman"/>
          <w:sz w:val="24"/>
          <w:szCs w:val="24"/>
        </w:rPr>
      </w:pPr>
    </w:p>
    <w:p w14:paraId="3D9FC674" w14:textId="77777777" w:rsidR="00AC363E" w:rsidRPr="00E46DAC" w:rsidRDefault="007578DC" w:rsidP="00B85B5B">
      <w:pPr>
        <w:pStyle w:val="Heading1"/>
        <w:jc w:val="both"/>
        <w:rPr>
          <w:rFonts w:ascii="Times New Roman" w:hAnsi="Times New Roman" w:cs="Times New Roman"/>
          <w:color w:val="auto"/>
        </w:rPr>
      </w:pPr>
      <w:r w:rsidRPr="00E46DAC">
        <w:rPr>
          <w:rFonts w:ascii="Times New Roman" w:hAnsi="Times New Roman" w:cs="Times New Roman"/>
          <w:color w:val="auto"/>
        </w:rPr>
        <w:t>Abstract</w:t>
      </w:r>
    </w:p>
    <w:p w14:paraId="358D1F91" w14:textId="77777777" w:rsidR="00AC363E" w:rsidRPr="00E46DAC" w:rsidRDefault="007578DC" w:rsidP="00B85B5B">
      <w:pPr>
        <w:jc w:val="both"/>
        <w:rPr>
          <w:rFonts w:ascii="Times New Roman" w:hAnsi="Times New Roman" w:cs="Times New Roman"/>
          <w:color w:val="auto"/>
        </w:rPr>
      </w:pPr>
      <w:r w:rsidRPr="00E46DAC">
        <w:rPr>
          <w:b/>
        </w:rPr>
        <w:t xml:space="preserve">Background. </w:t>
      </w:r>
      <w:r w:rsidRPr="00E46DAC">
        <w:t>Medical nomenclature can influence patients, clinicians, diagnostic accuracy, and health outcomes. On 12 May 2026, after a multi-year global consensus process, polycystic ovary syndrome (PCOS) was formally renamed polyendocrine metabolic ovarian syndrome (PMOS). The change reflected the recognition that the older term was scientifically imprecise and could contribute to delayed diagnosis, fragmented care, stigma, and limited patient understanding.</w:t>
      </w:r>
    </w:p>
    <w:p w14:paraId="0200C5D6" w14:textId="77777777" w:rsidR="00AC363E" w:rsidRPr="00E46DAC" w:rsidRDefault="007578DC" w:rsidP="00B85B5B">
      <w:pPr>
        <w:jc w:val="both"/>
        <w:rPr>
          <w:rFonts w:ascii="Times New Roman" w:hAnsi="Times New Roman" w:cs="Times New Roman"/>
          <w:color w:val="auto"/>
        </w:rPr>
      </w:pPr>
      <w:r w:rsidRPr="00E46DAC">
        <w:rPr>
          <w:b/>
        </w:rPr>
        <w:t xml:space="preserve">Objectives. </w:t>
      </w:r>
      <w:r w:rsidRPr="00E46DAC">
        <w:t>Using the PCOS-to-PMOS transition as a case study, this narrative review examines how an imprecise name may contribute to diagnostic delay, stigma, clinician confusion, and poorer outcomes. It synthesises evidence across five linked questions: how disease names shape patient understanding and health literacy; how they contribute to diagnostic delay and misdiagnosis; how they relate to stigma and psychosocial burden; how they influence clinician decision-making and care coordination; and what these effects imply for healthcare quality and patient safety.</w:t>
      </w:r>
    </w:p>
    <w:p w14:paraId="72B25325" w14:textId="77777777" w:rsidR="00AC363E" w:rsidRPr="00E46DAC" w:rsidRDefault="007578DC" w:rsidP="00B85B5B">
      <w:pPr>
        <w:jc w:val="both"/>
        <w:rPr>
          <w:rFonts w:ascii="Times New Roman" w:hAnsi="Times New Roman" w:cs="Times New Roman"/>
          <w:color w:val="auto"/>
        </w:rPr>
      </w:pPr>
      <w:r w:rsidRPr="00E46DAC">
        <w:rPr>
          <w:b/>
        </w:rPr>
        <w:t xml:space="preserve">Methods. </w:t>
      </w:r>
      <w:r w:rsidRPr="00E46DAC">
        <w:t>A narrative review of peer-reviewed literature, professional society publications, and grey literature was conducted using PubMed, Scopus, Web of Science, Google Scholar, and professional society websites. Search terms related to the phenomenon of interest, including “disease nomenclature,” “disease naming,” and “medical terminology,” were combined with terms describing its proposed effects, including “patient understanding,” “health literacy,” “diagnostic delay,” “stigma,” and “medical cognition,” and with condition-specific terms, including “PCOS,” “polycystic ovary syndrome,” and “PMOS.” Priority was given to studies addressing the effects of disease names on diagnosis, clinical outcomes, and health literacy.</w:t>
      </w:r>
    </w:p>
    <w:p w14:paraId="3E2C9952" w14:textId="77777777" w:rsidR="00AC363E" w:rsidRPr="00E46DAC" w:rsidRDefault="007578DC" w:rsidP="00B85B5B">
      <w:pPr>
        <w:jc w:val="both"/>
        <w:rPr>
          <w:rFonts w:ascii="Times New Roman" w:hAnsi="Times New Roman" w:cs="Times New Roman"/>
          <w:color w:val="auto"/>
        </w:rPr>
      </w:pPr>
      <w:r w:rsidRPr="00E46DAC">
        <w:rPr>
          <w:b/>
        </w:rPr>
        <w:lastRenderedPageBreak/>
        <w:t xml:space="preserve">Findings. </w:t>
      </w:r>
      <w:r w:rsidRPr="00E46DAC">
        <w:t>The evidence indicates that an imprecise name can weaken diagnostic accuracy through identifiable cognitive pathways. Cognitive load theory, conceptual anchoring, and semantic priming together explain how a name shapes patients’ and clinicians’ understanding. Historical reforms, from “hysteria” to specific diagnoses and from “Mongolism” to Down syndrome, show that more accurate naming has accompanied improved recognition and care. PCOS affects approximately one in eight women, or more than 170 million worldwide, yet up to 70% may remain undiagnosed or face diagnostic delays of several years. The PMOS revision illustrates how evidence-based terminology can be aligned with current scientific understanding.</w:t>
      </w:r>
    </w:p>
    <w:p w14:paraId="5002B854" w14:textId="77777777" w:rsidR="00AC363E" w:rsidRPr="00E46DAC" w:rsidRDefault="007578DC" w:rsidP="00B85B5B">
      <w:pPr>
        <w:jc w:val="both"/>
        <w:rPr>
          <w:rFonts w:ascii="Times New Roman" w:hAnsi="Times New Roman" w:cs="Times New Roman"/>
          <w:color w:val="auto"/>
        </w:rPr>
      </w:pPr>
      <w:r w:rsidRPr="00E46DAC">
        <w:rPr>
          <w:b/>
        </w:rPr>
        <w:t xml:space="preserve">Conclusions. </w:t>
      </w:r>
      <w:r w:rsidRPr="00E46DAC">
        <w:t>Medical terminology is not merely semantic; it shapes clinical reasoning, patient comprehension, and diagnostic and therapeutic pathways, with potential consequences for outcomes. The PCOS-to-PMOS transition shows that systematic, evidence-based nomenclature change is feasible and that disease names should reflect scientific understanding while supporting optimal care. Healthcare systems should treat nomenclature accuracy as a component of quality improvement and patient safety.</w:t>
      </w:r>
    </w:p>
    <w:p w14:paraId="13664AAE" w14:textId="77777777" w:rsidR="00AC363E" w:rsidRPr="00E46DAC" w:rsidRDefault="007578DC" w:rsidP="00B85B5B">
      <w:pPr>
        <w:spacing w:before="60" w:after="200"/>
        <w:jc w:val="both"/>
        <w:rPr>
          <w:rFonts w:ascii="Times New Roman" w:hAnsi="Times New Roman" w:cs="Times New Roman"/>
          <w:color w:val="auto"/>
        </w:rPr>
      </w:pPr>
      <w:r w:rsidRPr="00E46DAC">
        <w:rPr>
          <w:rFonts w:ascii="Times New Roman" w:hAnsi="Times New Roman" w:cs="Times New Roman"/>
          <w:b/>
          <w:bCs/>
          <w:color w:val="auto"/>
        </w:rPr>
        <w:t xml:space="preserve">Keywords: </w:t>
      </w:r>
      <w:r w:rsidRPr="00E46DAC">
        <w:rPr>
          <w:rFonts w:ascii="Times New Roman" w:hAnsi="Times New Roman" w:cs="Times New Roman"/>
          <w:i/>
          <w:iCs/>
          <w:color w:val="auto"/>
        </w:rPr>
        <w:t>Medical nomenclature, disease naming, patient understanding, health literacy, diagnostic delay, stigma, cognitive load, conceptual anchoring, PMOS, nomenclature change, terminology accuracy</w:t>
      </w:r>
    </w:p>
    <w:p w14:paraId="564BB8B8" w14:textId="77777777" w:rsidR="00AC363E" w:rsidRPr="00E46DAC" w:rsidRDefault="007578DC" w:rsidP="00B85B5B">
      <w:pPr>
        <w:pStyle w:val="Heading1"/>
        <w:jc w:val="both"/>
        <w:rPr>
          <w:rFonts w:ascii="Times New Roman" w:hAnsi="Times New Roman" w:cs="Times New Roman"/>
          <w:color w:val="auto"/>
        </w:rPr>
      </w:pPr>
      <w:r w:rsidRPr="00E46DAC">
        <w:rPr>
          <w:rFonts w:ascii="Times New Roman" w:hAnsi="Times New Roman" w:cs="Times New Roman"/>
          <w:color w:val="auto"/>
        </w:rPr>
        <w:t>1. Introduction</w:t>
      </w:r>
    </w:p>
    <w:p w14:paraId="31FA5DEF" w14:textId="77777777" w:rsidR="00AC363E" w:rsidRPr="00E46DAC" w:rsidRDefault="007578DC" w:rsidP="00B85B5B">
      <w:pPr>
        <w:pStyle w:val="Heading2"/>
        <w:jc w:val="both"/>
        <w:rPr>
          <w:rFonts w:ascii="Times New Roman" w:hAnsi="Times New Roman" w:cs="Times New Roman"/>
          <w:color w:val="auto"/>
        </w:rPr>
      </w:pPr>
      <w:r w:rsidRPr="00E46DAC">
        <w:rPr>
          <w:rFonts w:ascii="Times New Roman" w:hAnsi="Times New Roman" w:cs="Times New Roman"/>
          <w:color w:val="auto"/>
        </w:rPr>
        <w:t>1.1 The Power of Medical Nomenclature</w:t>
      </w:r>
    </w:p>
    <w:p w14:paraId="6CF273A9" w14:textId="77777777" w:rsidR="00AC363E" w:rsidRPr="00E46DAC" w:rsidRDefault="007578DC" w:rsidP="00B85B5B">
      <w:pPr>
        <w:jc w:val="both"/>
        <w:rPr>
          <w:rFonts w:ascii="Times New Roman" w:hAnsi="Times New Roman" w:cs="Times New Roman"/>
          <w:color w:val="auto"/>
        </w:rPr>
      </w:pPr>
      <w:r w:rsidRPr="00E46DAC">
        <w:rPr>
          <w:rFonts w:ascii="Times New Roman" w:hAnsi="Times New Roman" w:cs="Times New Roman"/>
          <w:color w:val="auto"/>
        </w:rPr>
        <w:t>When patients are diagnosed, they first encounter the name of their condition before they understand its biology. The name shapes their interpretation of the illness and their perceptions of its anatomical location and severity (Missel et al., 2025). At the same time, the name provides clinicians with a parallel frame that guides diagnostic focus, clinical suspicion, and specialist involvement. Names also shape clinicians’ conceptualisation of conditions and influence diagnostic reasoning (Yazdani et al., 2017). They direct attention towards particular organ systems, pathological mechanisms, and clinical possibilities. For patients, they frame the meaning of everything that follows, including symptoms, treatment, prognosis, and the seriousness of the condition (Funkhouser, 2018).</w:t>
      </w:r>
      <w:r w:rsidRPr="00E46DAC">
        <w:rPr>
          <w:rFonts w:ascii="Times New Roman" w:eastAsia="Times New Roman" w:hAnsi="Times New Roman" w:cs="Times New Roman"/>
          <w:sz w:val="24"/>
        </w:rPr>
        <w:t xml:space="preserve"> Experimental evidence from another diagnostic context further indicates that label wording can </w:t>
      </w:r>
      <w:r w:rsidRPr="00E46DAC">
        <w:rPr>
          <w:rFonts w:ascii="Times New Roman" w:eastAsia="Times New Roman" w:hAnsi="Times New Roman" w:cs="Times New Roman"/>
          <w:sz w:val="24"/>
        </w:rPr>
        <w:lastRenderedPageBreak/>
        <w:t>alter whether lay audiences perceive a condition as medically legitimate, even when the symptom description is unchanged (Kulwicka et al., 2025).</w:t>
      </w:r>
    </w:p>
    <w:p w14:paraId="7D6BDF7F" w14:textId="27EB00A6" w:rsidR="00AC363E" w:rsidRPr="00E46DAC" w:rsidRDefault="007578DC" w:rsidP="00B85B5B">
      <w:pPr>
        <w:jc w:val="both"/>
        <w:rPr>
          <w:rFonts w:ascii="Times New Roman" w:hAnsi="Times New Roman" w:cs="Times New Roman"/>
          <w:color w:val="auto"/>
        </w:rPr>
      </w:pPr>
      <w:r w:rsidRPr="00E46DAC">
        <w:rPr>
          <w:rFonts w:ascii="Times New Roman" w:hAnsi="Times New Roman" w:cs="Times New Roman"/>
          <w:color w:val="auto"/>
        </w:rPr>
        <w:t xml:space="preserve">When a name is accurate, it supports diagnostic precision, clinical assessment, and integrated care. When it is misleading, the same process works in reverse, encouraging miscommunication, missed diagnoses, and fragmented management (Alharbi et al., 2025). Studies of medical cognition show that diagnostic labels can shape clinicians’ reasoning. Research on patient education likewise shows that these same labels influence whether patients view their illness as a problem of a single organ system or as a broader multisystem condition (Sims et al., 2025). Misconceptions introduced by a misleading name can be difficult to disregard, often persisting even after direct correction. They also create an additional cognitive burden for patients, who must reconcile the name’s suggestion with their lived experience. </w:t>
      </w:r>
      <w:r w:rsidRPr="00E46DAC">
        <w:rPr>
          <w:bCs/>
        </w:rPr>
        <w:t>Recent health-communication evidence from a non-PCOS context similarly indicates that limited and superficial disease information can leave audiences with low condition-specific knowledge, which supports the need for diagnostic terminology that reinforces, rather than competes with, patient education (Suemo et al., 2023).</w:t>
      </w:r>
      <w:r w:rsidRPr="00E46DAC">
        <w:rPr>
          <w:rFonts w:ascii="Times New Roman" w:eastAsia="Times New Roman" w:hAnsi="Times New Roman" w:cs="Times New Roman"/>
          <w:b/>
          <w:sz w:val="24"/>
        </w:rPr>
        <w:t xml:space="preserve"> </w:t>
      </w:r>
      <w:r w:rsidRPr="00E46DAC">
        <w:rPr>
          <w:rFonts w:ascii="Times New Roman" w:eastAsia="Times New Roman" w:hAnsi="Times New Roman" w:cs="Times New Roman"/>
          <w:bCs/>
          <w:sz w:val="24"/>
        </w:rPr>
        <w:t>Broader health-literacy evidence also indicates that accessible health information and communication strategies can support informed decision-making and effective self-management in chronic disease contexts (Kaur et al., 2025).</w:t>
      </w:r>
      <w:r w:rsidRPr="00E46DAC">
        <w:rPr>
          <w:rFonts w:ascii="Times New Roman" w:hAnsi="Times New Roman" w:cs="Times New Roman"/>
          <w:bCs/>
          <w:color w:val="auto"/>
        </w:rPr>
        <w:t xml:space="preserve"> </w:t>
      </w:r>
      <w:r w:rsidRPr="00E46DAC">
        <w:rPr>
          <w:rFonts w:ascii="Times New Roman" w:hAnsi="Times New Roman" w:cs="Times New Roman"/>
          <w:color w:val="auto"/>
        </w:rPr>
        <w:t>This gap between implication and reality makes medical nomenclature a matter of clinical consequence rather than mere semantics.</w:t>
      </w:r>
    </w:p>
    <w:p w14:paraId="2E6A0DAA" w14:textId="77777777" w:rsidR="00AC363E" w:rsidRPr="00E46DAC" w:rsidRDefault="007578DC" w:rsidP="00B85B5B">
      <w:pPr>
        <w:pStyle w:val="Heading2"/>
        <w:jc w:val="both"/>
        <w:rPr>
          <w:rFonts w:ascii="Times New Roman" w:hAnsi="Times New Roman" w:cs="Times New Roman"/>
          <w:color w:val="auto"/>
        </w:rPr>
      </w:pPr>
      <w:r w:rsidRPr="00E46DAC">
        <w:rPr>
          <w:rFonts w:ascii="Times New Roman" w:hAnsi="Times New Roman" w:cs="Times New Roman"/>
          <w:color w:val="auto"/>
        </w:rPr>
        <w:t>1.2 Case Study: Polycystic Ovary Syndrome</w:t>
      </w:r>
    </w:p>
    <w:p w14:paraId="359AF66B" w14:textId="77777777" w:rsidR="003D04B8" w:rsidRPr="00E46DAC" w:rsidRDefault="007578DC" w:rsidP="00B85B5B">
      <w:pPr>
        <w:jc w:val="both"/>
        <w:rPr>
          <w:rFonts w:ascii="Times New Roman" w:hAnsi="Times New Roman" w:cs="Times New Roman"/>
          <w:bCs/>
          <w:color w:val="auto"/>
        </w:rPr>
      </w:pPr>
      <w:r w:rsidRPr="00E46DAC">
        <w:rPr>
          <w:rFonts w:ascii="Times New Roman" w:hAnsi="Times New Roman" w:cs="Times New Roman"/>
          <w:color w:val="auto"/>
        </w:rPr>
        <w:t xml:space="preserve">Few conditions illustrate this gap as clearly as polycystic ovary syndrome (PCOS). It is the most common endocrine disorder among women of reproductive age, affecting roughly one in eight women and more than 170 million people worldwide (Louwers &amp; Laven, 2020). However, for decades, it carried a name that did not accurately reflect the condition. The resulting effects followed the pattern described above and included long delays in diagnosis, fragmented care across poorly connected specialties, and a significant burden of psychosocial stigma. </w:t>
      </w:r>
      <w:r w:rsidRPr="00E46DAC">
        <w:rPr>
          <w:bCs/>
        </w:rPr>
        <w:t>Recent PCOS-focused studies continue to show that patient knowledge gaps remain clinically relevant: a 2026 undergraduate survey reported limited awareness of PCOS symptoms, risk factors, and complications, while contemporary reviews describe PCOS as a heterogeneous disorder with reproductive, metabolic, psychological, and quality-of-life consequences across the life course (Uka-Kalu et al., 2026; Stener-Victorin et al., 2024; Sung et al., 2026).</w:t>
      </w:r>
      <w:r w:rsidRPr="00E46DAC">
        <w:rPr>
          <w:rFonts w:ascii="Times New Roman" w:eastAsia="Times New Roman" w:hAnsi="Times New Roman" w:cs="Times New Roman"/>
          <w:bCs/>
          <w:sz w:val="24"/>
        </w:rPr>
        <w:t xml:space="preserve"> Recent qualitative evidence also indicates that symptom dismissal, misaligned care priorities, and reliance on self-</w:t>
      </w:r>
      <w:r w:rsidRPr="00E46DAC">
        <w:rPr>
          <w:rFonts w:ascii="Times New Roman" w:eastAsia="Times New Roman" w:hAnsi="Times New Roman" w:cs="Times New Roman"/>
          <w:bCs/>
          <w:sz w:val="24"/>
        </w:rPr>
        <w:lastRenderedPageBreak/>
        <w:t>advocacy can complicate timely and comprehensive care for people with PCOS (Zhang et al., 2025).</w:t>
      </w:r>
    </w:p>
    <w:p w14:paraId="469AF65E" w14:textId="69C754F6" w:rsidR="00B85B5B" w:rsidRPr="00E46DAC" w:rsidRDefault="007578DC" w:rsidP="00B85B5B">
      <w:pPr>
        <w:jc w:val="both"/>
        <w:rPr>
          <w:rFonts w:ascii="Times New Roman" w:hAnsi="Times New Roman" w:cs="Times New Roman"/>
          <w:bCs/>
          <w:color w:val="auto"/>
        </w:rPr>
      </w:pPr>
      <w:r w:rsidRPr="00E46DAC">
        <w:rPr>
          <w:rFonts w:ascii="Times New Roman" w:hAnsi="Times New Roman" w:cs="Times New Roman"/>
          <w:color w:val="auto"/>
        </w:rPr>
        <w:t xml:space="preserve">The international medical community eventually concluded that the term “polycystic ovary syndrome” was not only inaccurate but also contributed to these harms. Following a multi-year consensus process involving 56 leading academic, clinical, and patient organisations, as well as more than 14,300 stakeholders, the condition was formally renamed polyendocrine metabolic ovarian syndrome (PMOS). This was a deliberate change, not a cosmetic one. Each part of the new name was chosen to reflect the current evidence on the condition’s pathophysiology and to address the specific clinical harms associated with the old name (Shukla et al., 2025). </w:t>
      </w:r>
      <w:r w:rsidRPr="00E46DAC">
        <w:rPr>
          <w:bCs/>
        </w:rPr>
        <w:t>The 2023 international evidence-based guideline also emphasised consistent, evidence-based assessment and management across multiple clinical questions, reinforcing that terminology should support, rather than obscure, multidisciplinary recognition and follow-up (Teede et al., 2023).</w:t>
      </w:r>
      <w:r w:rsidRPr="00E46DAC">
        <w:rPr>
          <w:rFonts w:ascii="Times New Roman" w:eastAsia="Times New Roman" w:hAnsi="Times New Roman" w:cs="Times New Roman"/>
          <w:bCs/>
          <w:sz w:val="24"/>
        </w:rPr>
        <w:t xml:space="preserve"> A recent endocrine–metabolic synthesis likewise characterises PCOS as a systems-level disorder in which metabolic and reproductive pathways interact; this framing is consistent with terminology that does not confine the condition to ovarian morphology (Ashraf et al., 2026). International stakeholder research conducted before the formal transition similarly found broad support among patients and health professionals for renaming PCOS and for including endocrine and metabolic concepts in the revised terminology (Teede et al., 2025).</w:t>
      </w:r>
      <w:r w:rsidRPr="00E46DAC">
        <w:rPr>
          <w:rFonts w:ascii="Times New Roman" w:hAnsi="Times New Roman" w:cs="Times New Roman"/>
          <w:bCs/>
          <w:color w:val="auto"/>
        </w:rPr>
        <w:t xml:space="preserve"> </w:t>
      </w:r>
      <w:r w:rsidRPr="00E46DAC">
        <w:rPr>
          <w:rFonts w:ascii="Times New Roman" w:hAnsi="Times New Roman" w:cs="Times New Roman"/>
          <w:color w:val="auto"/>
        </w:rPr>
        <w:t xml:space="preserve">The rest of this review uses the transition from PCOS to PMOS to examine how medical naming shapes understanding, diagnosis, stigma, and care. It also considers the milestones this change may realistically achieve, as well as the limits of what renaming alone can do. </w:t>
      </w:r>
    </w:p>
    <w:p w14:paraId="41EA4692" w14:textId="77777777" w:rsidR="00B85B5B" w:rsidRPr="00E46DAC" w:rsidRDefault="00000000" w:rsidP="00B85B5B">
      <w:pPr>
        <w:jc w:val="both"/>
        <w:rPr>
          <w:b/>
        </w:rPr>
      </w:pPr>
      <w:r w:rsidRPr="00E46DAC">
        <w:rPr>
          <w:b/>
        </w:rPr>
        <w:t>Research gap</w:t>
      </w:r>
    </w:p>
    <w:p w14:paraId="53A22162" w14:textId="77777777" w:rsidR="003D04B8" w:rsidRPr="00E46DAC" w:rsidRDefault="00000000" w:rsidP="00B85B5B">
      <w:pPr>
        <w:jc w:val="both"/>
        <w:rPr>
          <w:rFonts w:ascii="Times New Roman" w:hAnsi="Times New Roman" w:cs="Times New Roman"/>
          <w:color w:val="auto"/>
        </w:rPr>
      </w:pPr>
      <w:r w:rsidRPr="00E46DAC">
        <w:rPr>
          <w:bCs/>
        </w:rPr>
        <w:t>Direct evidence on how the recent transition from PCOS to PMOS affects patient and clinician understanding remains limited. A focused narrative review is therefore needed to clarify the cognitive and clinical pathways through which nomenclature may influence understanding, diagnostic delay, stigma, clinician reasoning, care coordination, and healthcare quality, while distinguishing plausible mechanisms from outcomes that require future empirical evaluation.</w:t>
      </w:r>
    </w:p>
    <w:p w14:paraId="0DE79E59" w14:textId="77777777" w:rsidR="00B85B5B" w:rsidRPr="00E46DAC" w:rsidRDefault="00000000" w:rsidP="00B85B5B">
      <w:pPr>
        <w:jc w:val="both"/>
        <w:rPr>
          <w:b/>
        </w:rPr>
      </w:pPr>
      <w:r w:rsidRPr="00E46DAC">
        <w:rPr>
          <w:b/>
        </w:rPr>
        <w:t>Objectives</w:t>
      </w:r>
    </w:p>
    <w:p w14:paraId="09B26579" w14:textId="77777777" w:rsidR="003D04B8" w:rsidRPr="00E46DAC" w:rsidRDefault="00000000" w:rsidP="00B85B5B">
      <w:pPr>
        <w:jc w:val="both"/>
        <w:rPr>
          <w:bCs/>
        </w:rPr>
      </w:pPr>
      <w:r w:rsidRPr="00E46DAC">
        <w:rPr>
          <w:bCs/>
        </w:rPr>
        <w:lastRenderedPageBreak/>
        <w:t>This review uses the PCOS-to-PMOS transition as a case study to examine how medical nomenclature may shape patient understanding, diagnostic delay, stigma, clinician reasoning, care coordination, and healthcare quality.</w:t>
      </w:r>
    </w:p>
    <w:p w14:paraId="1BEB7BB8" w14:textId="77777777" w:rsidR="00AC363E" w:rsidRPr="00E46DAC" w:rsidRDefault="007578DC" w:rsidP="00B85B5B">
      <w:pPr>
        <w:pStyle w:val="Heading1"/>
        <w:jc w:val="both"/>
        <w:rPr>
          <w:rFonts w:ascii="Times New Roman" w:hAnsi="Times New Roman" w:cs="Times New Roman"/>
          <w:color w:val="auto"/>
        </w:rPr>
      </w:pPr>
      <w:r w:rsidRPr="00E46DAC">
        <w:rPr>
          <w:rFonts w:ascii="Times New Roman" w:hAnsi="Times New Roman" w:cs="Times New Roman"/>
          <w:color w:val="auto"/>
        </w:rPr>
        <w:t>2. Methods</w:t>
      </w:r>
    </w:p>
    <w:p w14:paraId="33F6147E" w14:textId="77777777" w:rsidR="00AC363E" w:rsidRPr="00E46DAC" w:rsidRDefault="007578DC" w:rsidP="00B85B5B">
      <w:pPr>
        <w:jc w:val="both"/>
        <w:rPr>
          <w:rFonts w:ascii="Times New Roman" w:hAnsi="Times New Roman" w:cs="Times New Roman"/>
          <w:color w:val="auto"/>
        </w:rPr>
      </w:pPr>
      <w:r w:rsidRPr="00E46DAC">
        <w:rPr>
          <w:rFonts w:ascii="Times New Roman" w:hAnsi="Times New Roman" w:cs="Times New Roman"/>
          <w:color w:val="auto"/>
        </w:rPr>
        <w:t>To examine how nomenclature shapes patient understanding, diagnostic accuracy, and health outcomes, we conducted a narrative review of peer-reviewed literature, professional society publications, and grey literature. Searches were conducted across PubMed, Scopus, Web of Science, Google Scholar, and professional society websites. Search terms combined concepts related to naming, including “disease nomenclature,” “disease naming,” “medical terminology,” and “nomenclature,” with terms linked to its proposed effects, such as “patient understanding,” “health literacy,” “diagnostic delay,” “stigma,” and “medical cognition.” Condition-specific terms were also included, namely “PCOS,” “polycystic ovary syndrome,” and “PMOS.” Additional searches focused on diagnostic delay, stigma in chronic illness, and the influence of terminology on diagnosis.</w:t>
      </w:r>
    </w:p>
    <w:p w14:paraId="027CE6AA" w14:textId="77777777" w:rsidR="00AC363E" w:rsidRPr="00E46DAC" w:rsidRDefault="007578DC" w:rsidP="00B85B5B">
      <w:pPr>
        <w:jc w:val="both"/>
        <w:rPr>
          <w:rFonts w:ascii="Times New Roman" w:hAnsi="Times New Roman" w:cs="Times New Roman"/>
          <w:color w:val="auto"/>
        </w:rPr>
      </w:pPr>
      <w:r w:rsidRPr="00E46DAC">
        <w:rPr>
          <w:rFonts w:ascii="Times New Roman" w:hAnsi="Times New Roman" w:cs="Times New Roman"/>
          <w:color w:val="auto"/>
        </w:rPr>
        <w:t>The selection process prioritised peer-reviewed studies, professional-society consensus statements, and foundational literature on medical cognition and health literacy. The review drew together three main strands of evidence: the accuracy of disease naming and its relationship to clinical course; the relationship between naming, patient understanding, and health literacy; and the effect of names on diagnostic accuracy and delay. These evidence strands were supplemented by literature on naming, stigma, psychosocial burden, and patient experience, as well as research specific to PCOS and PMOS.</w:t>
      </w:r>
    </w:p>
    <w:p w14:paraId="0CA9C6C7" w14:textId="77777777" w:rsidR="00AC363E" w:rsidRPr="00E46DAC" w:rsidRDefault="007578DC" w:rsidP="00B85B5B">
      <w:pPr>
        <w:jc w:val="both"/>
        <w:rPr>
          <w:rFonts w:ascii="Times New Roman" w:hAnsi="Times New Roman" w:cs="Times New Roman"/>
          <w:color w:val="auto"/>
        </w:rPr>
      </w:pPr>
      <w:r w:rsidRPr="00E46DAC">
        <w:rPr>
          <w:rFonts w:ascii="Times New Roman" w:hAnsi="Times New Roman" w:cs="Times New Roman"/>
          <w:color w:val="auto"/>
        </w:rPr>
        <w:t>Because the mechanisms involved are both cognitive and clinical, the review also incorporated theoretical work on cognitive load, conceptual anchoring, and semantic priming. To place the renaming of PCOS within a broader historical context, examples of nomenclature reform were included regardless of publication date, since the dynamics of naming and renaming extend across periods and medical fields.</w:t>
      </w:r>
    </w:p>
    <w:p w14:paraId="683B6A8E" w14:textId="77777777" w:rsidR="00AC363E" w:rsidRPr="00E46DAC" w:rsidRDefault="007578DC" w:rsidP="00B85B5B">
      <w:pPr>
        <w:pStyle w:val="Heading1"/>
        <w:jc w:val="both"/>
        <w:rPr>
          <w:rFonts w:ascii="Times New Roman" w:hAnsi="Times New Roman" w:cs="Times New Roman"/>
          <w:color w:val="auto"/>
        </w:rPr>
      </w:pPr>
      <w:r w:rsidRPr="00E46DAC">
        <w:rPr>
          <w:rFonts w:ascii="Times New Roman" w:hAnsi="Times New Roman" w:cs="Times New Roman"/>
          <w:color w:val="auto"/>
        </w:rPr>
        <w:lastRenderedPageBreak/>
        <w:t>3. Theoretical and Conceptual Foundations</w:t>
      </w:r>
    </w:p>
    <w:p w14:paraId="4A73A523" w14:textId="77777777" w:rsidR="00AC363E" w:rsidRPr="00E46DAC" w:rsidRDefault="007578DC" w:rsidP="00B85B5B">
      <w:pPr>
        <w:pStyle w:val="Heading2"/>
        <w:jc w:val="both"/>
        <w:rPr>
          <w:rFonts w:ascii="Times New Roman" w:hAnsi="Times New Roman" w:cs="Times New Roman"/>
          <w:color w:val="auto"/>
        </w:rPr>
      </w:pPr>
      <w:r w:rsidRPr="00E46DAC">
        <w:rPr>
          <w:rFonts w:ascii="Times New Roman" w:hAnsi="Times New Roman" w:cs="Times New Roman"/>
          <w:color w:val="auto"/>
        </w:rPr>
        <w:t>3.1 Disease Names and Health Cognition</w:t>
      </w:r>
    </w:p>
    <w:p w14:paraId="51931F48" w14:textId="77777777" w:rsidR="00AC363E" w:rsidRPr="00E46DAC" w:rsidRDefault="007578DC" w:rsidP="00B85B5B">
      <w:pPr>
        <w:jc w:val="both"/>
        <w:rPr>
          <w:rFonts w:ascii="Times New Roman" w:hAnsi="Times New Roman" w:cs="Times New Roman"/>
          <w:color w:val="auto"/>
        </w:rPr>
      </w:pPr>
      <w:r w:rsidRPr="00E46DAC">
        <w:t>Medical names can carry clinical weight because human cognition must process new and complex information under conditions of uncertainty. Three overlapping mechanisms help explain this effect: cognitive load, conceptual anchoring, and semantic priming.</w:t>
      </w:r>
    </w:p>
    <w:p w14:paraId="1423F8C2" w14:textId="77777777" w:rsidR="00AC363E" w:rsidRPr="00E46DAC" w:rsidRDefault="007578DC" w:rsidP="00B85B5B">
      <w:pPr>
        <w:jc w:val="both"/>
        <w:rPr>
          <w:rFonts w:ascii="Times New Roman" w:hAnsi="Times New Roman" w:cs="Times New Roman"/>
          <w:color w:val="auto"/>
        </w:rPr>
      </w:pPr>
      <w:r w:rsidRPr="00E46DAC">
        <w:rPr>
          <w:rFonts w:ascii="Times New Roman" w:hAnsi="Times New Roman" w:cs="Times New Roman"/>
          <w:color w:val="auto"/>
        </w:rPr>
        <w:t>The first is cognitive load. When patients learn that they have a condition, they must connect the name they have been given with the symptoms they experience. The more complex or misleading the name is, the greater the mental effort required to make this connection. A name that clearly signals the nature of a condition can reduce this burden and leave patients with greater capacity to absorb new health information. A name that points in the wrong direction has the opposite effect (Baxter et al., 2025). Patients must first work against the implication of the name before they can develop an accurate understanding of their illness. In such cases, health education may struggle to take hold because it is being layered over a misleading label.</w:t>
      </w:r>
    </w:p>
    <w:p w14:paraId="430AD7A9" w14:textId="77777777" w:rsidR="00AC363E" w:rsidRPr="00E46DAC" w:rsidRDefault="007578DC" w:rsidP="00B85B5B">
      <w:pPr>
        <w:jc w:val="both"/>
        <w:rPr>
          <w:rFonts w:ascii="Times New Roman" w:hAnsi="Times New Roman" w:cs="Times New Roman"/>
          <w:color w:val="auto"/>
        </w:rPr>
      </w:pPr>
      <w:r w:rsidRPr="00E46DAC">
        <w:rPr>
          <w:rFonts w:ascii="Times New Roman" w:hAnsi="Times New Roman" w:cs="Times New Roman"/>
          <w:color w:val="auto"/>
        </w:rPr>
        <w:t>The second mechanism is conceptual anchoring. This explains why misconceptions created by a name can be so persistent. The first meaning patients attach to a diagnosis often serves as a reference point that shapes how they interpret subsequent information (Biring et al., 2025). When patients are told they have “polycystic ovary syndrome,” they may immediately imagine cysts and ovaries. That initial image can then filter how they receive information about metabolic dysfunction, cardiovascular risk, and systemic endocrine disturbance. Because the anchor is established early, it may remain in place even when clinicians directly correct it. This is why education is necessary but often insufficient on its own.</w:t>
      </w:r>
    </w:p>
    <w:p w14:paraId="1200362E" w14:textId="77777777" w:rsidR="00AC363E" w:rsidRPr="00E46DAC" w:rsidRDefault="007578DC" w:rsidP="00B85B5B">
      <w:pPr>
        <w:jc w:val="both"/>
        <w:rPr>
          <w:rFonts w:ascii="Times New Roman" w:hAnsi="Times New Roman" w:cs="Times New Roman"/>
          <w:color w:val="auto"/>
          <w:sz w:val="24"/>
          <w:szCs w:val="24"/>
        </w:rPr>
      </w:pPr>
      <w:r w:rsidRPr="00E46DAC">
        <w:rPr>
          <w:rFonts w:ascii="Times New Roman" w:hAnsi="Times New Roman" w:cs="Times New Roman"/>
          <w:color w:val="auto"/>
          <w:sz w:val="24"/>
          <w:szCs w:val="24"/>
        </w:rPr>
        <w:t xml:space="preserve">The third mechanism is semantic priming. This explains how the words within a name carry emotional and conceptual associations. Individual words activate meanings almost automatically. “Cysts” may suggest disease, abnormality, and risk, even when no pathological cyst is present. “Ovary” situates the condition within a </w:t>
      </w:r>
      <w:proofErr w:type="spellStart"/>
      <w:r w:rsidRPr="00E46DAC">
        <w:rPr>
          <w:rFonts w:ascii="Times New Roman" w:hAnsi="Times New Roman" w:cs="Times New Roman"/>
          <w:color w:val="auto"/>
          <w:sz w:val="24"/>
          <w:szCs w:val="24"/>
        </w:rPr>
        <w:t>gynaecological</w:t>
      </w:r>
      <w:proofErr w:type="spellEnd"/>
      <w:r w:rsidRPr="00E46DAC">
        <w:rPr>
          <w:rFonts w:ascii="Times New Roman" w:hAnsi="Times New Roman" w:cs="Times New Roman"/>
          <w:color w:val="auto"/>
          <w:sz w:val="24"/>
          <w:szCs w:val="24"/>
        </w:rPr>
        <w:t xml:space="preserve"> and reproductive framework, which can obscure its systemic and metabolic dimensions. By contrast, a name built around “endocrine” and “metabolic,” as in polyendocrine metabolic ovarian syndrome, activates a different set of associations. It points to systemic hormonal and metabolic dysregulation and may support a fuller, more accurate understanding of the condition (McNamara, 2005). Collectively, these mechanisms show that medical names are not neutral labels. They shape how patients understand </w:t>
      </w:r>
      <w:r w:rsidRPr="00E46DAC">
        <w:rPr>
          <w:rFonts w:ascii="Times New Roman" w:hAnsi="Times New Roman" w:cs="Times New Roman"/>
          <w:color w:val="auto"/>
          <w:sz w:val="24"/>
          <w:szCs w:val="24"/>
        </w:rPr>
        <w:lastRenderedPageBreak/>
        <w:t>illness, how clinicians frame diagnosis, and how both groups make sense of the care that follows.</w:t>
      </w:r>
      <w:r w:rsidR="00D36FDA" w:rsidRPr="00E46DAC">
        <w:rPr>
          <w:rFonts w:ascii="Times New Roman" w:hAnsi="Times New Roman" w:cs="Times New Roman"/>
          <w:color w:val="auto"/>
          <w:sz w:val="24"/>
          <w:szCs w:val="24"/>
        </w:rPr>
        <w:t xml:space="preserve"> </w:t>
      </w:r>
      <w:r w:rsidR="00D36FDA" w:rsidRPr="00E46DAC">
        <w:rPr>
          <w:rFonts w:ascii="Times New Roman" w:hAnsi="Times New Roman" w:cs="Times New Roman"/>
          <w:sz w:val="24"/>
          <w:szCs w:val="24"/>
        </w:rPr>
        <w:t>As shown in Figure 1, a disease name first influences cognition through cognitive load, conceptual anchoring, and semantic priming.</w:t>
      </w:r>
    </w:p>
    <w:p w14:paraId="2D2B36A3" w14:textId="77777777" w:rsidR="00D36FDA" w:rsidRPr="00E46DAC" w:rsidRDefault="00D36FDA" w:rsidP="00B85B5B">
      <w:pPr>
        <w:pStyle w:val="NormalWeb"/>
        <w:jc w:val="both"/>
        <w:rPr>
          <w:b/>
          <w:bCs/>
        </w:rPr>
      </w:pPr>
      <w:r w:rsidRPr="00E46DAC">
        <w:rPr>
          <w:b/>
          <w:bCs/>
        </w:rPr>
        <w:t>Figure 1. Conceptual Pathway Linking Disease Names to Patient and Clinical Outcomes</w:t>
      </w:r>
    </w:p>
    <w:p w14:paraId="6DDBE055" w14:textId="77777777" w:rsidR="00D36FDA" w:rsidRPr="00E46DAC" w:rsidRDefault="00D36FDA" w:rsidP="00B85B5B">
      <w:pPr>
        <w:jc w:val="both"/>
        <w:rPr>
          <w:rFonts w:ascii="Times New Roman" w:hAnsi="Times New Roman" w:cs="Times New Roman"/>
          <w:color w:val="auto"/>
        </w:rPr>
      </w:pPr>
    </w:p>
    <w:p w14:paraId="273A03E8" w14:textId="77777777" w:rsidR="0004469F" w:rsidRPr="00E46DAC" w:rsidRDefault="0004469F" w:rsidP="00B85B5B">
      <w:pPr>
        <w:jc w:val="both"/>
        <w:rPr>
          <w:rFonts w:ascii="Times New Roman" w:hAnsi="Times New Roman" w:cs="Times New Roman"/>
          <w:color w:val="auto"/>
        </w:rPr>
      </w:pPr>
      <w:r w:rsidRPr="00E46DAC">
        <w:rPr>
          <w:rFonts w:ascii="Times New Roman" w:hAnsi="Times New Roman" w:cs="Times New Roman"/>
          <w:noProof/>
          <w:color w:val="auto"/>
          <w:lang w:val="en-GB" w:eastAsia="en-GB"/>
        </w:rPr>
        <w:drawing>
          <wp:inline distT="0" distB="0" distL="0" distR="0" wp14:anchorId="7AB4635A" wp14:editId="75546B34">
            <wp:extent cx="4991100" cy="2487903"/>
            <wp:effectExtent l="0" t="0" r="0" b="825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065841" cy="2525159"/>
                    </a:xfrm>
                    <a:prstGeom prst="rect">
                      <a:avLst/>
                    </a:prstGeom>
                    <a:noFill/>
                  </pic:spPr>
                </pic:pic>
              </a:graphicData>
            </a:graphic>
          </wp:inline>
        </w:drawing>
      </w:r>
    </w:p>
    <w:p w14:paraId="77B4ABD3" w14:textId="77777777" w:rsidR="0004469F" w:rsidRPr="00E46DAC" w:rsidRDefault="0004469F" w:rsidP="00B85B5B">
      <w:pPr>
        <w:jc w:val="both"/>
        <w:rPr>
          <w:rFonts w:ascii="Times New Roman" w:hAnsi="Times New Roman" w:cs="Times New Roman"/>
          <w:color w:val="auto"/>
        </w:rPr>
      </w:pPr>
    </w:p>
    <w:p w14:paraId="0F745AED" w14:textId="77777777" w:rsidR="0004469F" w:rsidRPr="00E46DAC" w:rsidRDefault="0004469F" w:rsidP="00B85B5B">
      <w:pPr>
        <w:jc w:val="both"/>
        <w:rPr>
          <w:rFonts w:ascii="Times New Roman" w:hAnsi="Times New Roman" w:cs="Times New Roman"/>
          <w:color w:val="auto"/>
        </w:rPr>
      </w:pPr>
    </w:p>
    <w:p w14:paraId="7DD0E3CD" w14:textId="77777777" w:rsidR="00AC363E" w:rsidRPr="00E46DAC" w:rsidRDefault="007578DC" w:rsidP="00B85B5B">
      <w:pPr>
        <w:pStyle w:val="Heading2"/>
        <w:jc w:val="both"/>
        <w:rPr>
          <w:rFonts w:ascii="Times New Roman" w:hAnsi="Times New Roman" w:cs="Times New Roman"/>
          <w:color w:val="auto"/>
        </w:rPr>
      </w:pPr>
      <w:r w:rsidRPr="00E46DAC">
        <w:rPr>
          <w:rFonts w:ascii="Times New Roman" w:hAnsi="Times New Roman" w:cs="Times New Roman"/>
          <w:color w:val="auto"/>
        </w:rPr>
        <w:t>3.2 Patient Health Literacy and Disease Concepts</w:t>
      </w:r>
    </w:p>
    <w:p w14:paraId="51C02808" w14:textId="77777777" w:rsidR="00AC363E" w:rsidRPr="00E46DAC" w:rsidRDefault="007578DC" w:rsidP="00B85B5B">
      <w:pPr>
        <w:jc w:val="both"/>
        <w:rPr>
          <w:rFonts w:ascii="Times New Roman" w:hAnsi="Times New Roman" w:cs="Times New Roman"/>
          <w:color w:val="auto"/>
        </w:rPr>
      </w:pPr>
      <w:r w:rsidRPr="00E46DAC">
        <w:rPr>
          <w:rFonts w:ascii="Times New Roman" w:hAnsi="Times New Roman" w:cs="Times New Roman"/>
          <w:color w:val="auto"/>
        </w:rPr>
        <w:t>These mechanisms do not remain confined to theory. They appear directly in what patients come to believe about their own bodies. A clear and accurate name can help patients understand the nature and seriousness of their condition. An inaccurate or partial name, by contrast, can introduce basic misconceptions that persist even after diagnosis and education.</w:t>
      </w:r>
    </w:p>
    <w:p w14:paraId="53CC9EC9" w14:textId="77777777" w:rsidR="00AC363E" w:rsidRPr="00E46DAC" w:rsidRDefault="007578DC" w:rsidP="00B85B5B">
      <w:pPr>
        <w:jc w:val="both"/>
        <w:rPr>
          <w:rFonts w:ascii="Times New Roman" w:hAnsi="Times New Roman" w:cs="Times New Roman"/>
          <w:color w:val="auto"/>
        </w:rPr>
      </w:pPr>
      <w:r w:rsidRPr="00E46DAC">
        <w:rPr>
          <w:rFonts w:ascii="Times New Roman" w:hAnsi="Times New Roman" w:cs="Times New Roman"/>
          <w:color w:val="auto"/>
        </w:rPr>
        <w:t xml:space="preserve">For PCOS, this problem was especially clear. The term “polycystic ovary syndrome” seemed to tell patients, in plain language, that the condition was mainly about cysts on the ovaries. As a result, many patients did not understand it as a systemic disorder with metabolic, endocrine, cardiovascular, and psychological dimensions. Instead, they often interpreted it as a </w:t>
      </w:r>
      <w:proofErr w:type="spellStart"/>
      <w:r w:rsidRPr="00E46DAC">
        <w:rPr>
          <w:rFonts w:ascii="Times New Roman" w:hAnsi="Times New Roman" w:cs="Times New Roman"/>
          <w:color w:val="auto"/>
        </w:rPr>
        <w:t>localised</w:t>
      </w:r>
      <w:proofErr w:type="spellEnd"/>
      <w:r w:rsidRPr="00E46DAC">
        <w:rPr>
          <w:rFonts w:ascii="Times New Roman" w:hAnsi="Times New Roman" w:cs="Times New Roman"/>
          <w:color w:val="auto"/>
        </w:rPr>
        <w:t xml:space="preserve"> </w:t>
      </w:r>
      <w:proofErr w:type="spellStart"/>
      <w:r w:rsidRPr="00E46DAC">
        <w:rPr>
          <w:rFonts w:ascii="Times New Roman" w:hAnsi="Times New Roman" w:cs="Times New Roman"/>
          <w:color w:val="auto"/>
        </w:rPr>
        <w:t>gynaecological</w:t>
      </w:r>
      <w:proofErr w:type="spellEnd"/>
      <w:r w:rsidRPr="00E46DAC">
        <w:rPr>
          <w:rFonts w:ascii="Times New Roman" w:hAnsi="Times New Roman" w:cs="Times New Roman"/>
          <w:color w:val="auto"/>
        </w:rPr>
        <w:t xml:space="preserve"> problem (Dong &amp; Rees, 2023). When educational materials tried to broaden that understanding, they often had to work against the name itself. The difficulty was not simply that patients lacked information, but that their initial understanding had been anchored in a label that continually drew </w:t>
      </w:r>
      <w:r w:rsidRPr="00E46DAC">
        <w:rPr>
          <w:rFonts w:ascii="Times New Roman" w:hAnsi="Times New Roman" w:cs="Times New Roman"/>
          <w:color w:val="auto"/>
        </w:rPr>
        <w:lastRenderedPageBreak/>
        <w:t>attention to the ovary. In such cases, information alone could not easily undo the frame the name had created.</w:t>
      </w:r>
    </w:p>
    <w:p w14:paraId="6BF463BA" w14:textId="77777777" w:rsidR="00AC363E" w:rsidRPr="00E46DAC" w:rsidRDefault="007578DC" w:rsidP="00B85B5B">
      <w:pPr>
        <w:jc w:val="both"/>
        <w:rPr>
          <w:rFonts w:ascii="Times New Roman" w:hAnsi="Times New Roman" w:cs="Times New Roman"/>
          <w:color w:val="auto"/>
        </w:rPr>
      </w:pPr>
      <w:r w:rsidRPr="00E46DAC">
        <w:rPr>
          <w:rFonts w:ascii="Times New Roman" w:hAnsi="Times New Roman" w:cs="Times New Roman"/>
          <w:color w:val="auto"/>
        </w:rPr>
        <w:t xml:space="preserve">That frame had practical consequences. A woman who understands her condition as an “ovarian disorder” may have little reason to expect referral to an endocrinologist. She may also struggle to see why glucose tolerance testing, lipid panels, or cardiovascular risk assessment belong in her care. The </w:t>
      </w:r>
      <w:proofErr w:type="spellStart"/>
      <w:r w:rsidRPr="00E46DAC">
        <w:rPr>
          <w:rFonts w:ascii="Times New Roman" w:hAnsi="Times New Roman" w:cs="Times New Roman"/>
          <w:color w:val="auto"/>
        </w:rPr>
        <w:t>gynaecological</w:t>
      </w:r>
      <w:proofErr w:type="spellEnd"/>
      <w:r w:rsidRPr="00E46DAC">
        <w:rPr>
          <w:rFonts w:ascii="Times New Roman" w:hAnsi="Times New Roman" w:cs="Times New Roman"/>
          <w:color w:val="auto"/>
        </w:rPr>
        <w:t xml:space="preserve"> framing implied a problem confined to the reproductive system, and this implication became a barrier whenever clinicians tried to explain the condition’s broader multisystem nature (Dennett &amp; Simon, 2015). In this sense, the gap between the name and the disease was not abstract. It repeatedly interfered with the very care patients needed.</w:t>
      </w:r>
    </w:p>
    <w:p w14:paraId="19A2C731" w14:textId="77777777" w:rsidR="00AC363E" w:rsidRPr="00E46DAC" w:rsidRDefault="007578DC" w:rsidP="00B85B5B">
      <w:pPr>
        <w:pStyle w:val="Heading2"/>
        <w:jc w:val="both"/>
        <w:rPr>
          <w:rFonts w:ascii="Times New Roman" w:hAnsi="Times New Roman" w:cs="Times New Roman"/>
          <w:color w:val="auto"/>
        </w:rPr>
      </w:pPr>
      <w:r w:rsidRPr="00E46DAC">
        <w:rPr>
          <w:rFonts w:ascii="Times New Roman" w:hAnsi="Times New Roman" w:cs="Times New Roman"/>
          <w:color w:val="auto"/>
        </w:rPr>
        <w:t>3.3 Comparative Analysis: Other Conditions with Imprecise Nomenclature</w:t>
      </w:r>
    </w:p>
    <w:p w14:paraId="14C05694" w14:textId="77777777" w:rsidR="00AC363E" w:rsidRPr="00E46DAC" w:rsidRDefault="007578DC" w:rsidP="00B85B5B">
      <w:pPr>
        <w:jc w:val="both"/>
        <w:rPr>
          <w:rFonts w:ascii="Times New Roman" w:hAnsi="Times New Roman" w:cs="Times New Roman"/>
          <w:color w:val="auto"/>
        </w:rPr>
      </w:pPr>
      <w:r w:rsidRPr="00E46DAC">
        <w:rPr>
          <w:rFonts w:ascii="Times New Roman" w:hAnsi="Times New Roman" w:cs="Times New Roman"/>
          <w:color w:val="auto"/>
        </w:rPr>
        <w:t>PCOS is not the only condition affected by this problem. Many medical conditions carry names that describe a visible or surface feature while obscuring the underlying pathology. When this happens, confusion, misunderstanding, and diagnostic difficulty often follow.</w:t>
      </w:r>
    </w:p>
    <w:p w14:paraId="31C632F3" w14:textId="77777777" w:rsidR="00AC363E" w:rsidRPr="00E46DAC" w:rsidRDefault="007578DC" w:rsidP="00B85B5B">
      <w:pPr>
        <w:jc w:val="both"/>
        <w:rPr>
          <w:rFonts w:ascii="Times New Roman" w:hAnsi="Times New Roman" w:cs="Times New Roman"/>
          <w:color w:val="auto"/>
        </w:rPr>
      </w:pPr>
      <w:r w:rsidRPr="00E46DAC">
        <w:rPr>
          <w:rFonts w:ascii="Times New Roman" w:hAnsi="Times New Roman" w:cs="Times New Roman"/>
          <w:color w:val="auto"/>
        </w:rPr>
        <w:t>Irritable bowel syndrome (IBS) offers one example. Patients may confuse it with inflammatory bowel disease, such as Crohn’s disease or ulcerative colitis, partly because the word “irritable” can be interpreted as suggesting inflammation, even though IBS is not an inflammatory condition (</w:t>
      </w:r>
      <w:proofErr w:type="spellStart"/>
      <w:r w:rsidRPr="00E46DAC">
        <w:rPr>
          <w:rFonts w:ascii="Times New Roman" w:hAnsi="Times New Roman" w:cs="Times New Roman"/>
          <w:color w:val="auto"/>
        </w:rPr>
        <w:t>Witchel</w:t>
      </w:r>
      <w:proofErr w:type="spellEnd"/>
      <w:r w:rsidRPr="00E46DAC">
        <w:rPr>
          <w:rFonts w:ascii="Times New Roman" w:hAnsi="Times New Roman" w:cs="Times New Roman"/>
          <w:color w:val="auto"/>
        </w:rPr>
        <w:t xml:space="preserve"> et al., 2019). The name also does little to convey the disorder’s functional brain-gut nature. As a result, patients may struggle to understand why tests show no inflammatory markers or why anti-inflammatory treatments do not relieve their symptoms. As with PCOS, education must then work against a misconception that the name continues to sustain.</w:t>
      </w:r>
    </w:p>
    <w:p w14:paraId="1B9D5D2F" w14:textId="77777777" w:rsidR="00AC363E" w:rsidRPr="00E46DAC" w:rsidRDefault="007578DC" w:rsidP="00B85B5B">
      <w:pPr>
        <w:jc w:val="both"/>
        <w:rPr>
          <w:rFonts w:ascii="Times New Roman" w:hAnsi="Times New Roman" w:cs="Times New Roman"/>
          <w:color w:val="auto"/>
        </w:rPr>
      </w:pPr>
      <w:r w:rsidRPr="00E46DAC">
        <w:rPr>
          <w:rFonts w:ascii="Times New Roman" w:hAnsi="Times New Roman" w:cs="Times New Roman"/>
          <w:color w:val="auto"/>
        </w:rPr>
        <w:t>Myalgic encephalomyelitis/chronic fatigue syndrome (ME/CFS) shows the same pattern, but with even greater consequences. The term “chronic fatigue syndrome” suggests little more than persistent tiredness, although the condition involves immune dysfunction, autonomic abnormalities, and post-exertional malaise. This mismatch can foster perceptions that patients are lazy and that the condition is trivial among the wider public. It also explains why advocates have long called for a name such as systemic exertion intolerance disease (SEID), which better reflects the condition’s neurological and systemic nature (Arron et al., 2024). As with PCOS, an imprecise label has been associated with delayed diagnosis, limited clinical recognition, and inadequate research attention.</w:t>
      </w:r>
    </w:p>
    <w:p w14:paraId="7F0CA3CB" w14:textId="77777777" w:rsidR="00AC363E" w:rsidRPr="00E46DAC" w:rsidRDefault="007578DC" w:rsidP="00B85B5B">
      <w:pPr>
        <w:jc w:val="both"/>
        <w:rPr>
          <w:rFonts w:ascii="Times New Roman" w:hAnsi="Times New Roman" w:cs="Times New Roman"/>
          <w:color w:val="auto"/>
        </w:rPr>
      </w:pPr>
      <w:r w:rsidRPr="00E46DAC">
        <w:rPr>
          <w:rFonts w:ascii="Times New Roman" w:hAnsi="Times New Roman" w:cs="Times New Roman"/>
          <w:color w:val="auto"/>
        </w:rPr>
        <w:t xml:space="preserve">Attention-deficit/hyperactivity disorder (ADHD) illustrates a subtler version of the same issue. Its name foregrounds observable behaviours, particularly inattention and hyperactivity, while saying </w:t>
      </w:r>
      <w:r w:rsidRPr="00E46DAC">
        <w:rPr>
          <w:rFonts w:ascii="Times New Roman" w:hAnsi="Times New Roman" w:cs="Times New Roman"/>
          <w:color w:val="auto"/>
        </w:rPr>
        <w:lastRenderedPageBreak/>
        <w:t>little about the broader dysregulation of executive function, impulse control, and emotional regulation that often characterises the disorder (Ford-Jones, 2015). A behaviourally framed label can therefore narrow the scope of understanding for patients, families, educators, and clinicians.</w:t>
      </w:r>
    </w:p>
    <w:p w14:paraId="22F4AD24" w14:textId="77777777" w:rsidR="00AC363E" w:rsidRPr="00E46DAC" w:rsidRDefault="007578DC" w:rsidP="00B85B5B">
      <w:pPr>
        <w:jc w:val="both"/>
        <w:rPr>
          <w:rFonts w:ascii="Times New Roman" w:hAnsi="Times New Roman" w:cs="Times New Roman"/>
          <w:color w:val="auto"/>
        </w:rPr>
      </w:pPr>
      <w:r w:rsidRPr="00E46DAC">
        <w:rPr>
          <w:rFonts w:ascii="Times New Roman" w:hAnsi="Times New Roman" w:cs="Times New Roman"/>
          <w:color w:val="auto"/>
        </w:rPr>
        <w:t>Across these examples, the underlying pattern is the same. A name that describes appearances can limit a patient’s understanding of what their condition actually is.</w:t>
      </w:r>
    </w:p>
    <w:p w14:paraId="1FA30470" w14:textId="77777777" w:rsidR="00AC363E" w:rsidRPr="00E46DAC" w:rsidRDefault="007578DC" w:rsidP="00B85B5B">
      <w:pPr>
        <w:pStyle w:val="Heading2"/>
        <w:jc w:val="both"/>
        <w:rPr>
          <w:rFonts w:ascii="Times New Roman" w:hAnsi="Times New Roman" w:cs="Times New Roman"/>
          <w:color w:val="auto"/>
        </w:rPr>
      </w:pPr>
      <w:r w:rsidRPr="00E46DAC">
        <w:rPr>
          <w:rFonts w:ascii="Times New Roman" w:hAnsi="Times New Roman" w:cs="Times New Roman"/>
          <w:color w:val="auto"/>
        </w:rPr>
        <w:t>3.4 PMOS as a Health Communication Tool</w:t>
      </w:r>
    </w:p>
    <w:p w14:paraId="4BEE05AB" w14:textId="77777777" w:rsidR="00AC363E" w:rsidRPr="00E46DAC" w:rsidRDefault="007578DC" w:rsidP="00B85B5B">
      <w:pPr>
        <w:jc w:val="both"/>
        <w:rPr>
          <w:rFonts w:ascii="Times New Roman" w:hAnsi="Times New Roman" w:cs="Times New Roman"/>
          <w:color w:val="auto"/>
        </w:rPr>
      </w:pPr>
      <w:r w:rsidRPr="00E46DAC">
        <w:rPr>
          <w:rFonts w:ascii="Times New Roman" w:hAnsi="Times New Roman" w:cs="Times New Roman"/>
          <w:color w:val="auto"/>
        </w:rPr>
        <w:t>This is the context in which the case for renaming PCOS becomes clearer. The old term placed the condition firmly within the ovary. By contrast, “polyendocrine metabolic ovarian syndrome” is intended to signal from the outset that the disorder involves multiple endocrine systems and has a primary metabolic basis, with the ovary as one site of involvement rather than the whole condition. The new name is meant to show that this is not simply a matter of “ovarian cysts,” but a complex condition that extends across reproductive health, metabolic regulation, and other body systems (</w:t>
      </w:r>
      <w:proofErr w:type="spellStart"/>
      <w:r w:rsidRPr="00E46DAC">
        <w:rPr>
          <w:rFonts w:ascii="Times New Roman" w:hAnsi="Times New Roman" w:cs="Times New Roman"/>
          <w:color w:val="auto"/>
        </w:rPr>
        <w:t>Teede</w:t>
      </w:r>
      <w:proofErr w:type="spellEnd"/>
      <w:r w:rsidRPr="00E46DAC">
        <w:rPr>
          <w:rFonts w:ascii="Times New Roman" w:hAnsi="Times New Roman" w:cs="Times New Roman"/>
          <w:color w:val="auto"/>
        </w:rPr>
        <w:t xml:space="preserve"> et al., 2026). Whether this intention will lead to a clearer understanding among patients and clinicians remains an empirical question, and one that only further study can answer.</w:t>
      </w:r>
    </w:p>
    <w:p w14:paraId="055C47D1" w14:textId="77777777" w:rsidR="00AC363E" w:rsidRPr="00E46DAC" w:rsidRDefault="007578DC" w:rsidP="00B85B5B">
      <w:pPr>
        <w:jc w:val="both"/>
        <w:rPr>
          <w:rFonts w:ascii="Times New Roman" w:hAnsi="Times New Roman" w:cs="Times New Roman"/>
          <w:color w:val="auto"/>
        </w:rPr>
      </w:pPr>
      <w:r w:rsidRPr="00E46DAC">
        <w:rPr>
          <w:rFonts w:ascii="Times New Roman" w:hAnsi="Times New Roman" w:cs="Times New Roman"/>
          <w:color w:val="auto"/>
        </w:rPr>
        <w:t xml:space="preserve">The reasoning behind the change was explicitly communicative. Patient advocates and other stakeholders involved in the consensus process argued that the terminology should help patients understand the condition and engage with genuinely multidisciplinary care (Endocrine Society, 2026). The hope is that patients who </w:t>
      </w:r>
      <w:proofErr w:type="spellStart"/>
      <w:r w:rsidRPr="00E46DAC">
        <w:rPr>
          <w:rFonts w:ascii="Times New Roman" w:hAnsi="Times New Roman" w:cs="Times New Roman"/>
          <w:color w:val="auto"/>
        </w:rPr>
        <w:t>recognise</w:t>
      </w:r>
      <w:proofErr w:type="spellEnd"/>
      <w:r w:rsidRPr="00E46DAC">
        <w:rPr>
          <w:rFonts w:ascii="Times New Roman" w:hAnsi="Times New Roman" w:cs="Times New Roman"/>
          <w:color w:val="auto"/>
        </w:rPr>
        <w:t xml:space="preserve"> PMOS as a metabolic and endocrine disorder may be more willing to pursue lifestyle changes to improve insulin sensitivity, accept referrals to endocrinology and metabolic specialists, and commit to long-term metabolic monitoring (</w:t>
      </w:r>
      <w:proofErr w:type="spellStart"/>
      <w:r w:rsidRPr="00E46DAC">
        <w:rPr>
          <w:rFonts w:ascii="Times New Roman" w:hAnsi="Times New Roman" w:cs="Times New Roman"/>
          <w:color w:val="auto"/>
        </w:rPr>
        <w:t>Teede</w:t>
      </w:r>
      <w:proofErr w:type="spellEnd"/>
      <w:r w:rsidRPr="00E46DAC">
        <w:rPr>
          <w:rFonts w:ascii="Times New Roman" w:hAnsi="Times New Roman" w:cs="Times New Roman"/>
          <w:color w:val="auto"/>
        </w:rPr>
        <w:t xml:space="preserve"> et al., 2026). In this sense, the new name serves as a health communication tool and a scientific correction. It attempts to close the gap between the label and reality that this review has traced.</w:t>
      </w:r>
    </w:p>
    <w:p w14:paraId="403BD679" w14:textId="77777777" w:rsidR="00AC363E" w:rsidRPr="00E46DAC" w:rsidRDefault="007578DC" w:rsidP="00B85B5B">
      <w:pPr>
        <w:pStyle w:val="Heading1"/>
        <w:jc w:val="both"/>
        <w:rPr>
          <w:rFonts w:ascii="Times New Roman" w:hAnsi="Times New Roman" w:cs="Times New Roman"/>
          <w:color w:val="auto"/>
        </w:rPr>
      </w:pPr>
      <w:r w:rsidRPr="00E46DAC">
        <w:rPr>
          <w:rFonts w:ascii="Times New Roman" w:hAnsi="Times New Roman" w:cs="Times New Roman"/>
          <w:color w:val="auto"/>
        </w:rPr>
        <w:t>4. Disease Nomenclature and Diagnostic Delays</w:t>
      </w:r>
    </w:p>
    <w:p w14:paraId="529FA69D" w14:textId="77777777" w:rsidR="00AC363E" w:rsidRPr="00E46DAC" w:rsidRDefault="007578DC" w:rsidP="00B85B5B">
      <w:pPr>
        <w:pStyle w:val="Heading2"/>
        <w:jc w:val="both"/>
        <w:rPr>
          <w:rFonts w:ascii="Times New Roman" w:hAnsi="Times New Roman" w:cs="Times New Roman"/>
          <w:color w:val="auto"/>
        </w:rPr>
      </w:pPr>
      <w:r w:rsidRPr="00E46DAC">
        <w:rPr>
          <w:rFonts w:ascii="Times New Roman" w:hAnsi="Times New Roman" w:cs="Times New Roman"/>
          <w:color w:val="auto"/>
        </w:rPr>
        <w:t>4.1 Diagnostic Delays in PCOS/PMOS</w:t>
      </w:r>
    </w:p>
    <w:p w14:paraId="51C7B9E3" w14:textId="77777777" w:rsidR="00AC363E" w:rsidRPr="00E46DAC" w:rsidRDefault="007578DC" w:rsidP="00B85B5B">
      <w:pPr>
        <w:jc w:val="both"/>
        <w:rPr>
          <w:rFonts w:ascii="Times New Roman" w:hAnsi="Times New Roman" w:cs="Times New Roman"/>
          <w:color w:val="auto"/>
        </w:rPr>
      </w:pPr>
      <w:r w:rsidRPr="00E46DAC">
        <w:rPr>
          <w:rFonts w:ascii="Times New Roman" w:hAnsi="Times New Roman" w:cs="Times New Roman"/>
          <w:color w:val="auto"/>
        </w:rPr>
        <w:t xml:space="preserve">When a misleading name distorts understanding, one of its most measurable consequences is diagnostic delay. This has been one of the most consistently documented harms associated with PCOS (Gibson-Helm et al., 2017). Studies suggest that as many as 70% of affected women may remain undiagnosed, or their condition may remain unsuspected (Teede et al., 2026). Among those who do receive a diagnosis, many wait years for a diagnosis, often receiving one only after a fertility </w:t>
      </w:r>
      <w:r w:rsidRPr="00E46DAC">
        <w:rPr>
          <w:rFonts w:ascii="Times New Roman" w:hAnsi="Times New Roman" w:cs="Times New Roman"/>
          <w:color w:val="auto"/>
        </w:rPr>
        <w:lastRenderedPageBreak/>
        <w:t>work-up, the development of more serious metabolic problems, or repeated consultations with different clinicians offering different explanations (Li et al., 2025).</w:t>
      </w:r>
    </w:p>
    <w:p w14:paraId="76332608" w14:textId="77777777" w:rsidR="00AC363E" w:rsidRPr="00E46DAC" w:rsidRDefault="007578DC" w:rsidP="00B85B5B">
      <w:pPr>
        <w:jc w:val="both"/>
        <w:rPr>
          <w:rFonts w:ascii="Times New Roman" w:hAnsi="Times New Roman" w:cs="Times New Roman"/>
          <w:color w:val="auto"/>
        </w:rPr>
      </w:pPr>
      <w:r w:rsidRPr="00E46DAC">
        <w:rPr>
          <w:rFonts w:ascii="Times New Roman" w:hAnsi="Times New Roman" w:cs="Times New Roman"/>
          <w:color w:val="auto"/>
        </w:rPr>
        <w:t>The name is not the only reason for this delay, and it would overstate the case to suggest otherwise. Diagnostic delay in PCOS is genuinely multifactorial. It reflects the condition’s varied presentation, competing diagnostic criteria, the lack of a single definitive biomarker, uneven awareness in primary care, and unequal access to specialist assessment. Still, the name remains one important factor (Teede et al., 2026). By presenting the condition as primarily gynaecological, “polycystic ovary syndrome” may have narrowed diagnostic thinking outside reproductive or gynaecological settings. A woman presenting with insulin resistance, dyslipidaemia, hypertension, acne, or hirsutism might not be assessed for an endocrine or metabolic disorder if the condition is mentally filed under reproductive medicine.</w:t>
      </w:r>
    </w:p>
    <w:p w14:paraId="234708AE" w14:textId="77777777" w:rsidR="00AC363E" w:rsidRPr="00E46DAC" w:rsidRDefault="007578DC" w:rsidP="00B85B5B">
      <w:pPr>
        <w:jc w:val="both"/>
        <w:rPr>
          <w:rFonts w:ascii="Times New Roman" w:hAnsi="Times New Roman" w:cs="Times New Roman"/>
          <w:color w:val="auto"/>
        </w:rPr>
      </w:pPr>
      <w:r w:rsidRPr="00E46DAC">
        <w:rPr>
          <w:rFonts w:ascii="Times New Roman" w:hAnsi="Times New Roman" w:cs="Times New Roman"/>
          <w:color w:val="auto"/>
        </w:rPr>
        <w:t xml:space="preserve">This matters because the consequences of delay are not evenly distributed across the condition’s features. The metabolic complications of PCOS, including insulin resistance, type 2 diabetes, and cardiovascular disease, are among the areas most responsive to early intervention (Ahmad et al., 2025). Years lost to a </w:t>
      </w:r>
      <w:proofErr w:type="spellStart"/>
      <w:r w:rsidRPr="00E46DAC">
        <w:rPr>
          <w:rFonts w:ascii="Times New Roman" w:hAnsi="Times New Roman" w:cs="Times New Roman"/>
          <w:color w:val="auto"/>
        </w:rPr>
        <w:t>gynaecological</w:t>
      </w:r>
      <w:proofErr w:type="spellEnd"/>
      <w:r w:rsidRPr="00E46DAC">
        <w:rPr>
          <w:rFonts w:ascii="Times New Roman" w:hAnsi="Times New Roman" w:cs="Times New Roman"/>
          <w:color w:val="auto"/>
        </w:rPr>
        <w:t xml:space="preserve"> framing may therefore also mean years of postponed lifestyle change, monitoring, and prevention that could have reduced long-term metabolic morbidity (</w:t>
      </w:r>
      <w:proofErr w:type="spellStart"/>
      <w:r w:rsidRPr="00E46DAC">
        <w:rPr>
          <w:rFonts w:ascii="Times New Roman" w:hAnsi="Times New Roman" w:cs="Times New Roman"/>
          <w:color w:val="auto"/>
        </w:rPr>
        <w:t>Teede</w:t>
      </w:r>
      <w:proofErr w:type="spellEnd"/>
      <w:r w:rsidRPr="00E46DAC">
        <w:rPr>
          <w:rFonts w:ascii="Times New Roman" w:hAnsi="Times New Roman" w:cs="Times New Roman"/>
          <w:color w:val="auto"/>
        </w:rPr>
        <w:t xml:space="preserve"> et al., 2026). A name that foregrounds the metabolic dimension could, in principle, support earlier recognition, especially among women who present with metabolic rather than reproductive concerns and may be more easily missed under the old frame (Ali, 2026).</w:t>
      </w:r>
    </w:p>
    <w:p w14:paraId="7724B3C7" w14:textId="77777777" w:rsidR="00AC363E" w:rsidRPr="00E46DAC" w:rsidRDefault="007578DC" w:rsidP="00B85B5B">
      <w:pPr>
        <w:pStyle w:val="Heading1"/>
        <w:jc w:val="both"/>
        <w:rPr>
          <w:rFonts w:ascii="Times New Roman" w:hAnsi="Times New Roman" w:cs="Times New Roman"/>
          <w:color w:val="auto"/>
        </w:rPr>
      </w:pPr>
      <w:r w:rsidRPr="00E46DAC">
        <w:rPr>
          <w:rFonts w:ascii="Times New Roman" w:hAnsi="Times New Roman" w:cs="Times New Roman"/>
          <w:color w:val="auto"/>
        </w:rPr>
        <w:t>5. Disease Nomenclature and Stigma</w:t>
      </w:r>
    </w:p>
    <w:p w14:paraId="5611DED0" w14:textId="77777777" w:rsidR="00AC363E" w:rsidRPr="00E46DAC" w:rsidRDefault="007578DC" w:rsidP="00B85B5B">
      <w:pPr>
        <w:pStyle w:val="Heading2"/>
        <w:jc w:val="both"/>
        <w:rPr>
          <w:rFonts w:ascii="Times New Roman" w:hAnsi="Times New Roman" w:cs="Times New Roman"/>
          <w:color w:val="auto"/>
        </w:rPr>
      </w:pPr>
      <w:r w:rsidRPr="00E46DAC">
        <w:rPr>
          <w:rFonts w:ascii="Times New Roman" w:hAnsi="Times New Roman" w:cs="Times New Roman"/>
          <w:color w:val="auto"/>
        </w:rPr>
        <w:t>5.1 Stigma Associated with “Polycystic Ovary Syndrome”</w:t>
      </w:r>
    </w:p>
    <w:p w14:paraId="069DC5C8" w14:textId="77777777" w:rsidR="00AC363E" w:rsidRPr="00E46DAC" w:rsidRDefault="007578DC" w:rsidP="00B85B5B">
      <w:pPr>
        <w:jc w:val="both"/>
        <w:rPr>
          <w:rFonts w:ascii="Times New Roman" w:hAnsi="Times New Roman" w:cs="Times New Roman"/>
          <w:color w:val="auto"/>
        </w:rPr>
      </w:pPr>
      <w:r w:rsidRPr="00E46DAC">
        <w:rPr>
          <w:rFonts w:ascii="Times New Roman" w:hAnsi="Times New Roman" w:cs="Times New Roman"/>
          <w:color w:val="auto"/>
        </w:rPr>
        <w:t>Beyond the clinic, a name also carries social weight, and the old terminology created its own harms. The words “polycystic ovary” and “cysts” carried associations of pathology and abnormality that many patients found distressing. This was especially true because “cysts” can easily, though incorrectly, be associated with cancer or other serious diseases. As a result, the name became a source of fear and embarrassment rather than simply a source of information (Teede et al., 2026).</w:t>
      </w:r>
    </w:p>
    <w:p w14:paraId="6DB93291" w14:textId="77777777" w:rsidR="00AC363E" w:rsidRPr="00E46DAC" w:rsidRDefault="007578DC" w:rsidP="00B85B5B">
      <w:pPr>
        <w:jc w:val="both"/>
        <w:rPr>
          <w:rFonts w:ascii="Times New Roman" w:hAnsi="Times New Roman" w:cs="Times New Roman"/>
          <w:color w:val="auto"/>
        </w:rPr>
      </w:pPr>
      <w:r w:rsidRPr="00E46DAC">
        <w:rPr>
          <w:rFonts w:ascii="Times New Roman" w:hAnsi="Times New Roman" w:cs="Times New Roman"/>
          <w:color w:val="auto"/>
        </w:rPr>
        <w:t xml:space="preserve">That embarrassment was not only private. Some women described feeling ashamed of the term or struggling to explain to family and friends what “cysts” did and did not mean. The stigma attached to the name, together with the common misunderstanding of the condition as mainly a fertility problem, has been linked to social withdrawal and reluctance to seek help. The reproductive framing was </w:t>
      </w:r>
      <w:r w:rsidRPr="00E46DAC">
        <w:rPr>
          <w:rFonts w:ascii="Times New Roman" w:hAnsi="Times New Roman" w:cs="Times New Roman"/>
          <w:color w:val="auto"/>
        </w:rPr>
        <w:lastRenderedPageBreak/>
        <w:t xml:space="preserve">especially harmful in settings where menstrual or fertility difficulties are strongly </w:t>
      </w:r>
      <w:proofErr w:type="spellStart"/>
      <w:r w:rsidRPr="00E46DAC">
        <w:rPr>
          <w:rFonts w:ascii="Times New Roman" w:hAnsi="Times New Roman" w:cs="Times New Roman"/>
          <w:color w:val="auto"/>
        </w:rPr>
        <w:t>stigmatised</w:t>
      </w:r>
      <w:proofErr w:type="spellEnd"/>
      <w:r w:rsidRPr="00E46DAC">
        <w:rPr>
          <w:rFonts w:ascii="Times New Roman" w:hAnsi="Times New Roman" w:cs="Times New Roman"/>
          <w:color w:val="auto"/>
        </w:rPr>
        <w:t xml:space="preserve"> or closely tied to a woman’s social standing (Endocrine Society, 2026). In such contexts, naming the condition in reproductive terms can deepen an existing social penalty rather than reduce it.</w:t>
      </w:r>
    </w:p>
    <w:p w14:paraId="74D5C541" w14:textId="77777777" w:rsidR="00AC363E" w:rsidRPr="00E46DAC" w:rsidRDefault="007578DC" w:rsidP="00B85B5B">
      <w:pPr>
        <w:jc w:val="both"/>
        <w:rPr>
          <w:rFonts w:ascii="Times New Roman" w:hAnsi="Times New Roman" w:cs="Times New Roman"/>
          <w:color w:val="auto"/>
        </w:rPr>
      </w:pPr>
      <w:r w:rsidRPr="00E46DAC">
        <w:rPr>
          <w:rFonts w:ascii="Times New Roman" w:hAnsi="Times New Roman" w:cs="Times New Roman"/>
          <w:color w:val="auto"/>
        </w:rPr>
        <w:t>If the name shaped how patients and society understood the condition, it also shaped how the medical system organised care around it. This was where its effects became visible in the form of fragmented care.</w:t>
      </w:r>
    </w:p>
    <w:p w14:paraId="47FD540F" w14:textId="77777777" w:rsidR="00AC363E" w:rsidRPr="00E46DAC" w:rsidRDefault="007578DC" w:rsidP="00B85B5B">
      <w:pPr>
        <w:pStyle w:val="Heading1"/>
        <w:jc w:val="both"/>
        <w:rPr>
          <w:rFonts w:ascii="Times New Roman" w:hAnsi="Times New Roman" w:cs="Times New Roman"/>
          <w:color w:val="auto"/>
        </w:rPr>
      </w:pPr>
      <w:r w:rsidRPr="00E46DAC">
        <w:rPr>
          <w:rFonts w:ascii="Times New Roman" w:hAnsi="Times New Roman" w:cs="Times New Roman"/>
          <w:color w:val="auto"/>
        </w:rPr>
        <w:t>6. Disease Nomenclature and Care Fragmentation</w:t>
      </w:r>
    </w:p>
    <w:p w14:paraId="5C8EB09E" w14:textId="77777777" w:rsidR="00AC363E" w:rsidRPr="00E46DAC" w:rsidRDefault="007578DC" w:rsidP="00B85B5B">
      <w:pPr>
        <w:jc w:val="both"/>
        <w:rPr>
          <w:rFonts w:ascii="Times New Roman" w:hAnsi="Times New Roman" w:cs="Times New Roman"/>
          <w:color w:val="auto"/>
        </w:rPr>
      </w:pPr>
      <w:r w:rsidRPr="00E46DAC">
        <w:rPr>
          <w:rFonts w:ascii="Times New Roman" w:hAnsi="Times New Roman" w:cs="Times New Roman"/>
          <w:color w:val="auto"/>
        </w:rPr>
        <w:t xml:space="preserve">The same </w:t>
      </w:r>
      <w:proofErr w:type="spellStart"/>
      <w:r w:rsidRPr="00E46DAC">
        <w:rPr>
          <w:rFonts w:ascii="Times New Roman" w:hAnsi="Times New Roman" w:cs="Times New Roman"/>
          <w:color w:val="auto"/>
        </w:rPr>
        <w:t>gynaecological</w:t>
      </w:r>
      <w:proofErr w:type="spellEnd"/>
      <w:r w:rsidRPr="00E46DAC">
        <w:rPr>
          <w:rFonts w:ascii="Times New Roman" w:hAnsi="Times New Roman" w:cs="Times New Roman"/>
          <w:color w:val="auto"/>
        </w:rPr>
        <w:t xml:space="preserve"> framing that narrowed diagnosis and deepened stigma also fragmented care. By presenting the condition as an “ovarian syndrome,” the old name encouraged a siloed model in which different specialists treated separate aspects of the disorder without a shared framework or regular coordination (Society of General Internal Medicine, 2014). A </w:t>
      </w:r>
      <w:proofErr w:type="spellStart"/>
      <w:r w:rsidRPr="00E46DAC">
        <w:rPr>
          <w:rFonts w:ascii="Times New Roman" w:hAnsi="Times New Roman" w:cs="Times New Roman"/>
          <w:color w:val="auto"/>
        </w:rPr>
        <w:t>gynaecologist</w:t>
      </w:r>
      <w:proofErr w:type="spellEnd"/>
      <w:r w:rsidRPr="00E46DAC">
        <w:rPr>
          <w:rFonts w:ascii="Times New Roman" w:hAnsi="Times New Roman" w:cs="Times New Roman"/>
          <w:color w:val="auto"/>
        </w:rPr>
        <w:t xml:space="preserve"> might manage ovulatory dysfunction, an endocrinologist the metabolic disturbance, and a cardiologist the cardiovascular risk, without any of them necessarily </w:t>
      </w:r>
      <w:proofErr w:type="spellStart"/>
      <w:r w:rsidRPr="00E46DAC">
        <w:rPr>
          <w:rFonts w:ascii="Times New Roman" w:hAnsi="Times New Roman" w:cs="Times New Roman"/>
          <w:color w:val="auto"/>
        </w:rPr>
        <w:t>recognising</w:t>
      </w:r>
      <w:proofErr w:type="spellEnd"/>
      <w:r w:rsidRPr="00E46DAC">
        <w:rPr>
          <w:rFonts w:ascii="Times New Roman" w:hAnsi="Times New Roman" w:cs="Times New Roman"/>
          <w:color w:val="auto"/>
        </w:rPr>
        <w:t xml:space="preserve"> these problems as connected features of one underlying condition (</w:t>
      </w:r>
      <w:r w:rsidR="00D370FC" w:rsidRPr="00E46DAC">
        <w:rPr>
          <w:rFonts w:ascii="Times New Roman" w:hAnsi="Times New Roman" w:cs="Times New Roman"/>
          <w:color w:val="auto"/>
        </w:rPr>
        <w:t xml:space="preserve">Pavičić </w:t>
      </w:r>
      <w:proofErr w:type="spellStart"/>
      <w:r w:rsidR="00D370FC" w:rsidRPr="00E46DAC">
        <w:rPr>
          <w:rFonts w:ascii="Times New Roman" w:hAnsi="Times New Roman" w:cs="Times New Roman"/>
          <w:color w:val="auto"/>
        </w:rPr>
        <w:t>Baldani</w:t>
      </w:r>
      <w:proofErr w:type="spellEnd"/>
      <w:r w:rsidRPr="00E46DAC">
        <w:rPr>
          <w:rFonts w:ascii="Times New Roman" w:hAnsi="Times New Roman" w:cs="Times New Roman"/>
          <w:color w:val="auto"/>
        </w:rPr>
        <w:t xml:space="preserve"> et al., 2015).</w:t>
      </w:r>
    </w:p>
    <w:p w14:paraId="691A9030" w14:textId="77777777" w:rsidR="00AC363E" w:rsidRPr="00E46DAC" w:rsidRDefault="007578DC" w:rsidP="00B85B5B">
      <w:pPr>
        <w:jc w:val="both"/>
        <w:rPr>
          <w:rFonts w:ascii="Times New Roman" w:hAnsi="Times New Roman" w:cs="Times New Roman"/>
          <w:color w:val="auto"/>
        </w:rPr>
      </w:pPr>
      <w:r w:rsidRPr="00E46DAC">
        <w:rPr>
          <w:rFonts w:ascii="Times New Roman" w:hAnsi="Times New Roman" w:cs="Times New Roman"/>
          <w:color w:val="auto"/>
        </w:rPr>
        <w:t xml:space="preserve">The name reinforced this division of </w:t>
      </w:r>
      <w:proofErr w:type="spellStart"/>
      <w:r w:rsidRPr="00E46DAC">
        <w:rPr>
          <w:rFonts w:ascii="Times New Roman" w:hAnsi="Times New Roman" w:cs="Times New Roman"/>
          <w:color w:val="auto"/>
        </w:rPr>
        <w:t>labour</w:t>
      </w:r>
      <w:proofErr w:type="spellEnd"/>
      <w:r w:rsidRPr="00E46DAC">
        <w:rPr>
          <w:rFonts w:ascii="Times New Roman" w:hAnsi="Times New Roman" w:cs="Times New Roman"/>
          <w:color w:val="auto"/>
        </w:rPr>
        <w:t xml:space="preserve">. Because it framed the condition as </w:t>
      </w:r>
      <w:proofErr w:type="spellStart"/>
      <w:r w:rsidRPr="00E46DAC">
        <w:rPr>
          <w:rFonts w:ascii="Times New Roman" w:hAnsi="Times New Roman" w:cs="Times New Roman"/>
          <w:color w:val="auto"/>
        </w:rPr>
        <w:t>gynaecological</w:t>
      </w:r>
      <w:proofErr w:type="spellEnd"/>
      <w:r w:rsidRPr="00E46DAC">
        <w:rPr>
          <w:rFonts w:ascii="Times New Roman" w:hAnsi="Times New Roman" w:cs="Times New Roman"/>
          <w:color w:val="auto"/>
        </w:rPr>
        <w:t>, endocrinologists and internists could easily regard it as belonging primarily to another specialty. In practice, this meant that no single specialty consistently took responsibility for the whole patient. “Polyendocrine metabolic ovarian syndrome” is intended to disrupt that logic by naming the involvement of several systems and specialties at once. It signals that a complete evaluation requires more than one disciplinary perspective.</w:t>
      </w:r>
    </w:p>
    <w:p w14:paraId="3B1A65C4" w14:textId="77777777" w:rsidR="00AC363E" w:rsidRPr="00E46DAC" w:rsidRDefault="007578DC" w:rsidP="00B85B5B">
      <w:pPr>
        <w:jc w:val="both"/>
        <w:rPr>
          <w:rFonts w:ascii="Times New Roman" w:hAnsi="Times New Roman" w:cs="Times New Roman"/>
          <w:color w:val="auto"/>
        </w:rPr>
      </w:pPr>
      <w:r w:rsidRPr="00E46DAC">
        <w:rPr>
          <w:rFonts w:ascii="Times New Roman" w:hAnsi="Times New Roman" w:cs="Times New Roman"/>
          <w:color w:val="auto"/>
        </w:rPr>
        <w:t>Whether this leads to better coordination remains to be seen. Still, the mechanism is plausible. A name that makes the multisystem nature of a condition explicit provides clinicians with a clearer reason to work across specialties when planning care (Teede et al., 2026). In this respect, the new term is meant to function less as a diagnosis filed under one department and more as a prompt for collaborative, whole-patient management.</w:t>
      </w:r>
    </w:p>
    <w:p w14:paraId="7EBEF25B" w14:textId="77777777" w:rsidR="00AC363E" w:rsidRPr="00E46DAC" w:rsidRDefault="007578DC" w:rsidP="00B85B5B">
      <w:pPr>
        <w:jc w:val="both"/>
        <w:rPr>
          <w:rFonts w:ascii="Times New Roman" w:hAnsi="Times New Roman" w:cs="Times New Roman"/>
          <w:color w:val="auto"/>
        </w:rPr>
      </w:pPr>
      <w:r w:rsidRPr="00E46DAC">
        <w:rPr>
          <w:rFonts w:ascii="Times New Roman" w:hAnsi="Times New Roman" w:cs="Times New Roman"/>
          <w:color w:val="auto"/>
        </w:rPr>
        <w:t>This problem is not unique to PCOS. Medicine has faced similar cases before, in which names distorted diagnosis, deepened stigma, or fragmented care. In several of these cases, renaming became part of the repair process.</w:t>
      </w:r>
    </w:p>
    <w:p w14:paraId="7E648B4F" w14:textId="77777777" w:rsidR="00AC363E" w:rsidRPr="00E46DAC" w:rsidRDefault="007578DC" w:rsidP="00B85B5B">
      <w:pPr>
        <w:pStyle w:val="Heading1"/>
        <w:jc w:val="both"/>
        <w:rPr>
          <w:rFonts w:ascii="Times New Roman" w:hAnsi="Times New Roman" w:cs="Times New Roman"/>
          <w:color w:val="auto"/>
        </w:rPr>
      </w:pPr>
      <w:r w:rsidRPr="00E46DAC">
        <w:rPr>
          <w:rFonts w:ascii="Times New Roman" w:hAnsi="Times New Roman" w:cs="Times New Roman"/>
          <w:color w:val="auto"/>
        </w:rPr>
        <w:lastRenderedPageBreak/>
        <w:t>7. Historical Precedents: Nomenclature Change in Medicine</w:t>
      </w:r>
    </w:p>
    <w:p w14:paraId="72415872" w14:textId="77777777" w:rsidR="00AC363E" w:rsidRPr="00E46DAC" w:rsidRDefault="007578DC" w:rsidP="00B85B5B">
      <w:pPr>
        <w:jc w:val="both"/>
        <w:rPr>
          <w:rFonts w:ascii="Times New Roman" w:hAnsi="Times New Roman" w:cs="Times New Roman"/>
          <w:color w:val="auto"/>
        </w:rPr>
      </w:pPr>
      <w:r w:rsidRPr="00E46DAC">
        <w:rPr>
          <w:rFonts w:ascii="Times New Roman" w:hAnsi="Times New Roman" w:cs="Times New Roman"/>
          <w:color w:val="auto"/>
        </w:rPr>
        <w:t>This history is instructive because the transition from PCOS to PMOS fits into a broader pattern. Medical names have often been revised when evidence showed they were inaccurate, insufficiently descriptive, or actively harmful. Several well-documented examples show how terminology has been changed to improve accuracy, reduce stigma, and support better care. Each offers a useful lens through which to understand the present change.</w:t>
      </w:r>
    </w:p>
    <w:p w14:paraId="4FEB0C44" w14:textId="77777777" w:rsidR="00AC363E" w:rsidRPr="00E46DAC" w:rsidRDefault="007578DC" w:rsidP="00B85B5B">
      <w:pPr>
        <w:pStyle w:val="Heading2"/>
        <w:jc w:val="both"/>
        <w:rPr>
          <w:rFonts w:ascii="Times New Roman" w:hAnsi="Times New Roman" w:cs="Times New Roman"/>
          <w:color w:val="auto"/>
        </w:rPr>
      </w:pPr>
      <w:r w:rsidRPr="00E46DAC">
        <w:rPr>
          <w:rFonts w:ascii="Times New Roman" w:hAnsi="Times New Roman" w:cs="Times New Roman"/>
          <w:color w:val="auto"/>
        </w:rPr>
        <w:t xml:space="preserve">7.1 Hysteria: From </w:t>
      </w:r>
      <w:proofErr w:type="spellStart"/>
      <w:r w:rsidRPr="00E46DAC">
        <w:rPr>
          <w:rFonts w:ascii="Times New Roman" w:hAnsi="Times New Roman" w:cs="Times New Roman"/>
          <w:color w:val="auto"/>
        </w:rPr>
        <w:t>Stigmatising</w:t>
      </w:r>
      <w:proofErr w:type="spellEnd"/>
      <w:r w:rsidRPr="00E46DAC">
        <w:rPr>
          <w:rFonts w:ascii="Times New Roman" w:hAnsi="Times New Roman" w:cs="Times New Roman"/>
          <w:color w:val="auto"/>
        </w:rPr>
        <w:t xml:space="preserve"> Misnomer to Specific Diagnoses</w:t>
      </w:r>
    </w:p>
    <w:p w14:paraId="07427A7A" w14:textId="77777777" w:rsidR="00AC363E" w:rsidRPr="00E46DAC" w:rsidRDefault="007578DC" w:rsidP="00B85B5B">
      <w:pPr>
        <w:jc w:val="both"/>
        <w:rPr>
          <w:rFonts w:ascii="Times New Roman" w:hAnsi="Times New Roman" w:cs="Times New Roman"/>
          <w:color w:val="auto"/>
        </w:rPr>
      </w:pPr>
      <w:r w:rsidRPr="00E46DAC">
        <w:rPr>
          <w:rFonts w:ascii="Times New Roman" w:hAnsi="Times New Roman" w:cs="Times New Roman"/>
          <w:color w:val="auto"/>
        </w:rPr>
        <w:t>One of the clearest parallels for stigma is “hysteria.” For centuries, the term was used to describe a poorly defined condition thought to affect women, marked by emotional disturbance and physical symptoms (Trimble &amp; Reynolds, 2016). Its etymology encoded its central error. Derived from the Greek word for uterus, hystera, the term rested on the belief that such illnesses arose from disease of the female reproductive organs. The name was therefore both inaccurate and stigmatising. It framed patients as unstable or unreliable, or as fabricating their symptoms.</w:t>
      </w:r>
    </w:p>
    <w:p w14:paraId="1C6151C5" w14:textId="77777777" w:rsidR="00AC363E" w:rsidRPr="00E46DAC" w:rsidRDefault="007578DC" w:rsidP="00B85B5B">
      <w:pPr>
        <w:jc w:val="both"/>
        <w:rPr>
          <w:rFonts w:ascii="Times New Roman" w:hAnsi="Times New Roman" w:cs="Times New Roman"/>
          <w:color w:val="auto"/>
        </w:rPr>
      </w:pPr>
      <w:r w:rsidRPr="00E46DAC">
        <w:rPr>
          <w:rFonts w:ascii="Times New Roman" w:hAnsi="Times New Roman" w:cs="Times New Roman"/>
          <w:color w:val="auto"/>
        </w:rPr>
        <w:t>The twentieth century gradually dismantled this label. As psychiatric and neurological understanding advanced, “hysteria” was broken down into more specific and mechanistically grounded diagnoses, including conversion disorder, anxiety and panic disorders, dissociative disorders, and somatoform disorders. None of these depended on assumptions about female reproduction. This shift mattered clinically and socially. Patients were less likely to be dismissed as “hysterical,” treatment could be better matched to the actual disorder, and a deeply gendered set of assumptions began to lose its hold on clinical practice. The lesson is that a name’s longevity does not prove its adequacy. When a name becomes scientifically inaccurate or clinically harmful, evidence-based reform can open the way for clearer diagnosis, better treatment, and more respectful care. The transition from PCOS to PMOS follows the same logic, although on a much shorter timescale (</w:t>
      </w:r>
      <w:proofErr w:type="spellStart"/>
      <w:r w:rsidRPr="00E46DAC">
        <w:rPr>
          <w:rFonts w:ascii="Times New Roman" w:hAnsi="Times New Roman" w:cs="Times New Roman"/>
          <w:color w:val="auto"/>
        </w:rPr>
        <w:t>Teede</w:t>
      </w:r>
      <w:proofErr w:type="spellEnd"/>
      <w:r w:rsidRPr="00E46DAC">
        <w:rPr>
          <w:rFonts w:ascii="Times New Roman" w:hAnsi="Times New Roman" w:cs="Times New Roman"/>
          <w:color w:val="auto"/>
        </w:rPr>
        <w:t xml:space="preserve"> et al., 2026).</w:t>
      </w:r>
    </w:p>
    <w:p w14:paraId="5C8AB5ED" w14:textId="77777777" w:rsidR="00AC363E" w:rsidRPr="00E46DAC" w:rsidRDefault="007578DC" w:rsidP="00B85B5B">
      <w:pPr>
        <w:pStyle w:val="Heading2"/>
        <w:jc w:val="both"/>
        <w:rPr>
          <w:rFonts w:ascii="Times New Roman" w:hAnsi="Times New Roman" w:cs="Times New Roman"/>
          <w:color w:val="auto"/>
        </w:rPr>
      </w:pPr>
      <w:r w:rsidRPr="00E46DAC">
        <w:rPr>
          <w:rFonts w:ascii="Times New Roman" w:hAnsi="Times New Roman" w:cs="Times New Roman"/>
          <w:color w:val="auto"/>
        </w:rPr>
        <w:t>7.2 Mongolism to Down Syndrome: Renaming to Reduce Stigma and Improve Understanding</w:t>
      </w:r>
    </w:p>
    <w:p w14:paraId="50722A40" w14:textId="77777777" w:rsidR="00AC363E" w:rsidRPr="00E46DAC" w:rsidRDefault="007578DC" w:rsidP="00B85B5B">
      <w:pPr>
        <w:jc w:val="both"/>
        <w:rPr>
          <w:rFonts w:ascii="Times New Roman" w:hAnsi="Times New Roman" w:cs="Times New Roman"/>
          <w:color w:val="auto"/>
        </w:rPr>
      </w:pPr>
      <w:r w:rsidRPr="00E46DAC">
        <w:rPr>
          <w:rFonts w:ascii="Times New Roman" w:hAnsi="Times New Roman" w:cs="Times New Roman"/>
          <w:color w:val="auto"/>
        </w:rPr>
        <w:t xml:space="preserve">If hysteria shows how a name can </w:t>
      </w:r>
      <w:proofErr w:type="spellStart"/>
      <w:r w:rsidRPr="00E46DAC">
        <w:rPr>
          <w:rFonts w:ascii="Times New Roman" w:hAnsi="Times New Roman" w:cs="Times New Roman"/>
          <w:color w:val="auto"/>
        </w:rPr>
        <w:t>stigmatise</w:t>
      </w:r>
      <w:proofErr w:type="spellEnd"/>
      <w:r w:rsidRPr="00E46DAC">
        <w:rPr>
          <w:rFonts w:ascii="Times New Roman" w:hAnsi="Times New Roman" w:cs="Times New Roman"/>
          <w:color w:val="auto"/>
        </w:rPr>
        <w:t xml:space="preserve"> through false theory, the renaming of “Mongolism” shows how a name can </w:t>
      </w:r>
      <w:proofErr w:type="spellStart"/>
      <w:r w:rsidRPr="00E46DAC">
        <w:rPr>
          <w:rFonts w:ascii="Times New Roman" w:hAnsi="Times New Roman" w:cs="Times New Roman"/>
          <w:color w:val="auto"/>
        </w:rPr>
        <w:t>stigmatise</w:t>
      </w:r>
      <w:proofErr w:type="spellEnd"/>
      <w:r w:rsidRPr="00E46DAC">
        <w:rPr>
          <w:rFonts w:ascii="Times New Roman" w:hAnsi="Times New Roman" w:cs="Times New Roman"/>
          <w:color w:val="auto"/>
        </w:rPr>
        <w:t xml:space="preserve"> through prejudice. The condition now known as Down syndrome was first described by John Langdon Down in 1866. Because he believed that the facial features of affected people resembled those of Mongolian populations, he used the term “Mongolism.” The label </w:t>
      </w:r>
      <w:r w:rsidRPr="00E46DAC">
        <w:rPr>
          <w:rFonts w:ascii="Times New Roman" w:hAnsi="Times New Roman" w:cs="Times New Roman"/>
          <w:color w:val="auto"/>
        </w:rPr>
        <w:lastRenderedPageBreak/>
        <w:t xml:space="preserve">was scientifically baseless and racially demeaning, and it contributed directly to the </w:t>
      </w:r>
      <w:proofErr w:type="spellStart"/>
      <w:r w:rsidRPr="00E46DAC">
        <w:rPr>
          <w:rFonts w:ascii="Times New Roman" w:hAnsi="Times New Roman" w:cs="Times New Roman"/>
          <w:color w:val="auto"/>
        </w:rPr>
        <w:t>marginalisation</w:t>
      </w:r>
      <w:proofErr w:type="spellEnd"/>
      <w:r w:rsidRPr="00E46DAC">
        <w:rPr>
          <w:rFonts w:ascii="Times New Roman" w:hAnsi="Times New Roman" w:cs="Times New Roman"/>
          <w:color w:val="auto"/>
        </w:rPr>
        <w:t xml:space="preserve"> of the people it described (</w:t>
      </w:r>
      <w:proofErr w:type="spellStart"/>
      <w:r w:rsidRPr="00E46DAC">
        <w:rPr>
          <w:rFonts w:ascii="Times New Roman" w:hAnsi="Times New Roman" w:cs="Times New Roman"/>
          <w:color w:val="auto"/>
        </w:rPr>
        <w:t>Stollznow</w:t>
      </w:r>
      <w:proofErr w:type="spellEnd"/>
      <w:r w:rsidRPr="00E46DAC">
        <w:rPr>
          <w:rFonts w:ascii="Times New Roman" w:hAnsi="Times New Roman" w:cs="Times New Roman"/>
          <w:color w:val="auto"/>
        </w:rPr>
        <w:t>, 2020).</w:t>
      </w:r>
    </w:p>
    <w:p w14:paraId="46CBBB55" w14:textId="77777777" w:rsidR="00AC363E" w:rsidRPr="00E46DAC" w:rsidRDefault="007578DC" w:rsidP="00B85B5B">
      <w:pPr>
        <w:jc w:val="both"/>
        <w:rPr>
          <w:rFonts w:ascii="Times New Roman" w:hAnsi="Times New Roman" w:cs="Times New Roman"/>
          <w:color w:val="auto"/>
        </w:rPr>
      </w:pPr>
      <w:r w:rsidRPr="00E46DAC">
        <w:rPr>
          <w:rFonts w:ascii="Times New Roman" w:hAnsi="Times New Roman" w:cs="Times New Roman"/>
          <w:color w:val="auto"/>
        </w:rPr>
        <w:t>The correction came slowly but decisively. Down himself did not coin “Down syndrome.” The eponym honouring him was adopted later, as the field increasingly recognised that “Mongolism” was inaccurate and offensive. The World Health Organization withdrew the older term in 1965, and “Down syndrome” became established by the early 1970s. The change did more than replace one label with another. It ended the routine description of affected people in racially demeaning terms, moved the name away from a false racial framework, and helped shift public understanding towards a recognised genetic condition with specific clinical supports. The replacement of such an entrenched term speaks directly to the feasibility of the PCOS-to-PMOS change once the evidence against the older name becomes clear.</w:t>
      </w:r>
    </w:p>
    <w:p w14:paraId="10DE7CCE" w14:textId="77777777" w:rsidR="00AC363E" w:rsidRPr="00E46DAC" w:rsidRDefault="007578DC" w:rsidP="00B85B5B">
      <w:pPr>
        <w:pStyle w:val="Heading2"/>
        <w:jc w:val="both"/>
        <w:rPr>
          <w:rFonts w:ascii="Times New Roman" w:hAnsi="Times New Roman" w:cs="Times New Roman"/>
          <w:color w:val="auto"/>
        </w:rPr>
      </w:pPr>
      <w:r w:rsidRPr="00E46DAC">
        <w:rPr>
          <w:rFonts w:ascii="Times New Roman" w:hAnsi="Times New Roman" w:cs="Times New Roman"/>
          <w:color w:val="auto"/>
        </w:rPr>
        <w:t>7.3 Dropsy to Specific Diagnoses: Identifying Underlying Pathophysiology</w:t>
      </w:r>
    </w:p>
    <w:p w14:paraId="4266A4E8" w14:textId="77777777" w:rsidR="00AC363E" w:rsidRPr="00E46DAC" w:rsidRDefault="007578DC" w:rsidP="00B85B5B">
      <w:pPr>
        <w:jc w:val="both"/>
        <w:rPr>
          <w:rFonts w:ascii="Times New Roman" w:hAnsi="Times New Roman" w:cs="Times New Roman"/>
          <w:color w:val="auto"/>
        </w:rPr>
      </w:pPr>
      <w:r w:rsidRPr="00E46DAC">
        <w:rPr>
          <w:rFonts w:ascii="Times New Roman" w:hAnsi="Times New Roman" w:cs="Times New Roman"/>
          <w:color w:val="auto"/>
        </w:rPr>
        <w:t>The closest structural parallel to PCOS may be “dropsy.” The term once described the visible accumulation of fluid in the body’s tissues, bringing together many different conditions under a single symptom-based label. Heart failure, renal failure, liver cirrhosis, malnutrition, and lymphatic obstruction could all be described as dropsy, even though their causes and treatments differed substantially (</w:t>
      </w:r>
      <w:proofErr w:type="spellStart"/>
      <w:r w:rsidRPr="00E46DAC">
        <w:rPr>
          <w:rFonts w:ascii="Times New Roman" w:hAnsi="Times New Roman" w:cs="Times New Roman"/>
          <w:color w:val="auto"/>
        </w:rPr>
        <w:t>Witchel</w:t>
      </w:r>
      <w:proofErr w:type="spellEnd"/>
      <w:r w:rsidRPr="00E46DAC">
        <w:rPr>
          <w:rFonts w:ascii="Times New Roman" w:hAnsi="Times New Roman" w:cs="Times New Roman"/>
          <w:color w:val="auto"/>
        </w:rPr>
        <w:t xml:space="preserve"> et al., 2019).</w:t>
      </w:r>
    </w:p>
    <w:p w14:paraId="76D1295A" w14:textId="77777777" w:rsidR="00AC363E" w:rsidRPr="00E46DAC" w:rsidRDefault="007578DC" w:rsidP="00B85B5B">
      <w:pPr>
        <w:jc w:val="both"/>
        <w:rPr>
          <w:rFonts w:ascii="Times New Roman" w:hAnsi="Times New Roman" w:cs="Times New Roman"/>
          <w:color w:val="auto"/>
        </w:rPr>
      </w:pPr>
      <w:r w:rsidRPr="00E46DAC">
        <w:rPr>
          <w:rFonts w:ascii="Times New Roman" w:hAnsi="Times New Roman" w:cs="Times New Roman"/>
          <w:color w:val="auto"/>
        </w:rPr>
        <w:t>As physiology advanced and diagnostic tools improved, “dropsy” gave way to more specific diagnoses. Treatment could then be matched to mechanism rather than appearance: cardiac therapy for heart failure, renal-protective treatment for nephrotic syndrome, and liver-directed care for cirrhosis. The move from a symptom-based label to mechanism-based diagnoses both reflected and enabled better clinical care. The parallel with PCOS is clear. Like “dropsy,” “polycystic ovary syndrome” names a visible feature, in this case ovarian morphology, rather than the endocrine-metabolic mechanism that drives the disorder. Both examples show that names are clinically stronger when they track the underlying mechanism rather than the surface appearance.</w:t>
      </w:r>
    </w:p>
    <w:p w14:paraId="512C5010" w14:textId="77777777" w:rsidR="00AC363E" w:rsidRPr="00E46DAC" w:rsidRDefault="007578DC" w:rsidP="00B85B5B">
      <w:pPr>
        <w:pStyle w:val="Heading2"/>
        <w:jc w:val="both"/>
        <w:rPr>
          <w:rFonts w:ascii="Times New Roman" w:hAnsi="Times New Roman" w:cs="Times New Roman"/>
          <w:color w:val="auto"/>
        </w:rPr>
      </w:pPr>
      <w:r w:rsidRPr="00E46DAC">
        <w:rPr>
          <w:rFonts w:ascii="Times New Roman" w:hAnsi="Times New Roman" w:cs="Times New Roman"/>
          <w:color w:val="auto"/>
        </w:rPr>
        <w:t>7.4 Contemporary Conditions: Ongoing Calls for Nomenclature Change</w:t>
      </w:r>
    </w:p>
    <w:p w14:paraId="2C086515" w14:textId="77777777" w:rsidR="00AC363E" w:rsidRPr="00E46DAC" w:rsidRDefault="007578DC" w:rsidP="00B85B5B">
      <w:pPr>
        <w:jc w:val="both"/>
        <w:rPr>
          <w:rFonts w:ascii="Times New Roman" w:hAnsi="Times New Roman" w:cs="Times New Roman"/>
          <w:color w:val="auto"/>
        </w:rPr>
      </w:pPr>
      <w:r w:rsidRPr="00E46DAC">
        <w:rPr>
          <w:rFonts w:ascii="Times New Roman" w:hAnsi="Times New Roman" w:cs="Times New Roman"/>
          <w:color w:val="auto"/>
        </w:rPr>
        <w:t xml:space="preserve">The impulse behind these historical reforms remains active. Patient advocates have long argued that “chronic fatigue syndrome” understates the seriousness of myalgic encephalomyelitis/chronic fatigue syndrome (ME/CFS) for both clinicians and the public. The proposed term, systemic exertion intolerance disease (SEID), was intended to reflect more accurately the condition’s neurological and </w:t>
      </w:r>
      <w:r w:rsidRPr="00E46DAC">
        <w:rPr>
          <w:rFonts w:ascii="Times New Roman" w:hAnsi="Times New Roman" w:cs="Times New Roman"/>
          <w:color w:val="auto"/>
        </w:rPr>
        <w:lastRenderedPageBreak/>
        <w:t>systemic manifestations. However, despite sustained advocacy, the change has been slow. This illustrates the institutional inertia that often surrounds nomenclature reform and provides a useful contrast to the unusual speed and coordination of the PCOS-to-PMOS transition (Teede et al., 2026).</w:t>
      </w:r>
    </w:p>
    <w:p w14:paraId="591AA65A" w14:textId="77777777" w:rsidR="00AC363E" w:rsidRPr="00E46DAC" w:rsidRDefault="007578DC" w:rsidP="00B85B5B">
      <w:pPr>
        <w:jc w:val="both"/>
        <w:rPr>
          <w:rFonts w:ascii="Times New Roman" w:hAnsi="Times New Roman" w:cs="Times New Roman"/>
          <w:color w:val="auto"/>
        </w:rPr>
      </w:pPr>
      <w:r w:rsidRPr="00E46DAC">
        <w:rPr>
          <w:rFonts w:ascii="Times New Roman" w:hAnsi="Times New Roman" w:cs="Times New Roman"/>
          <w:color w:val="auto"/>
        </w:rPr>
        <w:t>Endometriosis presents a related problem. A name that refers mainly to the presence of endometrial-like tissue does not capture the pain, systemic inflammation, reduced quality of life, or chronic pain consequences that often define the condition. This anatomical framing can lead patients, families, and clinicians to underestimate its severity. As with PCOS, calls for a more accurate and recognisable name continue. Collectively, these contemporary examples suggest a growing recognition across medicine that accurate and comprehensive naming matters for diagnosis, management, research framing, and patient outcomes, even where reform remains incomplete.</w:t>
      </w:r>
    </w:p>
    <w:p w14:paraId="6E6CAEB9" w14:textId="77777777" w:rsidR="00AC363E" w:rsidRPr="00E46DAC" w:rsidRDefault="007578DC" w:rsidP="00B85B5B">
      <w:pPr>
        <w:pStyle w:val="Heading2"/>
        <w:jc w:val="both"/>
        <w:rPr>
          <w:rFonts w:ascii="Times New Roman" w:hAnsi="Times New Roman" w:cs="Times New Roman"/>
          <w:color w:val="auto"/>
        </w:rPr>
      </w:pPr>
      <w:r w:rsidRPr="00E46DAC">
        <w:rPr>
          <w:rFonts w:ascii="Times New Roman" w:hAnsi="Times New Roman" w:cs="Times New Roman"/>
          <w:color w:val="auto"/>
        </w:rPr>
        <w:t>7.5 Lessons from Historical Nomenclature Change</w:t>
      </w:r>
    </w:p>
    <w:p w14:paraId="5A77DBDA" w14:textId="77777777" w:rsidR="000378C7" w:rsidRPr="00E46DAC" w:rsidRDefault="000378C7" w:rsidP="00B85B5B">
      <w:pPr>
        <w:jc w:val="both"/>
        <w:rPr>
          <w:rFonts w:ascii="Times New Roman" w:hAnsi="Times New Roman" w:cs="Times New Roman"/>
          <w:color w:val="auto"/>
        </w:rPr>
      </w:pPr>
      <w:r w:rsidRPr="00E46DAC">
        <w:t xml:space="preserve">Several lessons emerge from this history, each of which is relevant to the future of PMOS. First, when a name is shown to be inaccurate or harmful, reform may be accelerated through evidence collection and consensus-building, as occurred in the PCOS-to-PMOS transition. Second, coordination among researchers, clinicians, professional bodies, and patient advocates is needed to support durable change. The involvement of 56 organisations and more than 14,300 stakeholders </w:t>
      </w:r>
      <w:proofErr w:type="gramStart"/>
      <w:r w:rsidRPr="00E46DAC">
        <w:t>makes</w:t>
      </w:r>
      <w:proofErr w:type="gramEnd"/>
      <w:r w:rsidRPr="00E46DAC">
        <w:t xml:space="preserve"> the PMOS process unusually well organised by historical standards. Third, even justified changes can face opposition. Reframing “hysteria” took decades, replacing “Mongolism” was gradual, and ME/CFS remains unresolved despite long-standing advocacy. PMOS may face similar challenges as clinicians, health systems, and the existing literature continue to use the older term. The final lesson is encouraging: when names are aligned more closely with physiology, diagnosis, treatment, research, and patient understanding may improve together. The move to PMOS represents the newest chapter in that longer history.</w:t>
      </w:r>
    </w:p>
    <w:p w14:paraId="433A22B8" w14:textId="77777777" w:rsidR="000378C7" w:rsidRPr="00E46DAC" w:rsidRDefault="000378C7" w:rsidP="00B85B5B">
      <w:pPr>
        <w:jc w:val="both"/>
        <w:rPr>
          <w:rFonts w:ascii="Times New Roman" w:hAnsi="Times New Roman" w:cs="Times New Roman"/>
          <w:color w:val="auto"/>
        </w:rPr>
      </w:pPr>
      <w:r w:rsidRPr="00E46DAC">
        <w:t>As this review has suggested, medical terminology is not simply “labelling”. A disease name helps shape the concept of the condition and the reasoning applied to it. It directs patients’ attention towards some mechanisms while leaving others less visible, and it signals how the disease should be understood and how seriously it should be taken. When a name is consistent with contemporary science, it can support clinical understanding, decision-making, integrated care, and patient comprehension. When it is not, it can have the opposite effect.</w:t>
      </w:r>
    </w:p>
    <w:p w14:paraId="2852D598" w14:textId="77777777" w:rsidR="000378C7" w:rsidRPr="00E46DAC" w:rsidRDefault="000378C7" w:rsidP="00B85B5B">
      <w:pPr>
        <w:jc w:val="both"/>
        <w:rPr>
          <w:rFonts w:ascii="Times New Roman" w:hAnsi="Times New Roman" w:cs="Times New Roman"/>
          <w:color w:val="auto"/>
        </w:rPr>
      </w:pPr>
      <w:r w:rsidRPr="00E46DAC">
        <w:lastRenderedPageBreak/>
        <w:t>This pattern is evident in the history of polycystic ovary syndrome. The older name did not reflect the condition’s scientific basis or its multisystem impact. It has been associated with underdiagnosis and diagnostic delay, with up to 70% of affected women potentially remaining undiagnosed, poor coordination of care across specialties, and a focus on reproductive dysfunction at the expense of metabolic evaluation. Patients could be confused about the nature of their condition when the terminology used to describe it appeared inconsistent with their experience, and the wording may have reinforced stigma that limited disclosure and help-seeking. Medical history shows that such harms are not inevitable. The histories of hysteria, Mongolism, and dropsy illustrate how inaccurate names can perpetuate stigma and divert attention from more precise, clinically useful, and dignified ways of understanding disease. The formal change from polycystic ovary syndrome to polyendocrine metabolic ovarian syndrome, adopted internationally on 12 May 2026, is the latest example of such reform. Its benefits cannot yet be observed directly because the change is too recent for effects on diagnosis, stigma, coordination, or outcomes to have been measured. The case for the change therefore rests on two firmer foundations: its alignment with current scientific understanding and well-established cognitive mechanisms that predict that clearer naming should support clearer understanding. These mechanisms include cognitive load, conceptual anchoring, and semantic priming. Testing whether these predicted benefits materialise is now an important task for future research. What the transition already demonstrates, however, is that a disease name should be judged not only by semantic accuracy but also by its downstream effects on understanding, diagnosis, clinician reasoning, coordination, and outcomes.</w:t>
      </w:r>
    </w:p>
    <w:p w14:paraId="0CD8FF83" w14:textId="77777777" w:rsidR="000378C7" w:rsidRPr="00E46DAC" w:rsidRDefault="000378C7" w:rsidP="00B85B5B">
      <w:pPr>
        <w:jc w:val="both"/>
        <w:rPr>
          <w:rFonts w:ascii="Times New Roman" w:hAnsi="Times New Roman" w:cs="Times New Roman"/>
          <w:color w:val="auto"/>
        </w:rPr>
      </w:pPr>
      <w:r w:rsidRPr="00E46DAC">
        <w:t>The broader implication is that nomenclature should be considered a component of healthcare quality and patient safety. When names are coined or revised, their likely effects on understanding, diagnostic recognition, stigma, and outcomes should be considered deliberately rather than left to chance. At its best, a disease name reflects current science while supporting accurate diagnosis, integrated care, clear communication, and reduced stigma. As the PCOS-to-PMOS transition suggests, improving nomenclature may improve the experience and care of many patients.</w:t>
      </w:r>
    </w:p>
    <w:p w14:paraId="7BCF0F84" w14:textId="77777777" w:rsidR="00AC363E" w:rsidRPr="00E46DAC" w:rsidRDefault="00AC363E" w:rsidP="00B85B5B">
      <w:pPr>
        <w:jc w:val="both"/>
        <w:rPr>
          <w:rFonts w:ascii="Times New Roman" w:hAnsi="Times New Roman" w:cs="Times New Roman"/>
          <w:color w:val="auto"/>
        </w:rPr>
      </w:pPr>
    </w:p>
    <w:p w14:paraId="51932D5E" w14:textId="77777777" w:rsidR="005901B9" w:rsidRPr="00E46DAC" w:rsidRDefault="007578DC" w:rsidP="00B85B5B">
      <w:pPr>
        <w:pStyle w:val="Heading1"/>
        <w:spacing w:before="100" w:beforeAutospacing="1" w:after="100" w:afterAutospacing="1" w:line="240" w:lineRule="auto"/>
        <w:jc w:val="both"/>
        <w:rPr>
          <w:rFonts w:ascii="Times New Roman" w:eastAsia="Times New Roman" w:hAnsi="Times New Roman" w:cs="Times New Roman"/>
          <w:color w:val="auto"/>
          <w:sz w:val="36"/>
          <w:szCs w:val="36"/>
        </w:rPr>
      </w:pPr>
      <w:r w:rsidRPr="00E46DAC">
        <w:rPr>
          <w:rFonts w:ascii="Times New Roman" w:hAnsi="Times New Roman" w:cs="Times New Roman"/>
          <w:color w:val="auto"/>
        </w:rPr>
        <w:lastRenderedPageBreak/>
        <w:t xml:space="preserve">8. </w:t>
      </w:r>
      <w:r w:rsidR="005901B9" w:rsidRPr="00E46DAC">
        <w:rPr>
          <w:rFonts w:ascii="Times New Roman" w:eastAsia="Times New Roman" w:hAnsi="Times New Roman" w:cs="Times New Roman"/>
          <w:color w:val="auto"/>
          <w:sz w:val="36"/>
          <w:szCs w:val="36"/>
        </w:rPr>
        <w:t>Conclusions</w:t>
      </w:r>
    </w:p>
    <w:p w14:paraId="3C8F3C0D" w14:textId="77777777" w:rsidR="00E46DAC" w:rsidRDefault="00E46DAC" w:rsidP="00B85B5B">
      <w:pPr>
        <w:pStyle w:val="Heading1"/>
        <w:spacing w:before="100" w:beforeAutospacing="1" w:after="100" w:afterAutospacing="1" w:line="240" w:lineRule="auto"/>
        <w:jc w:val="both"/>
        <w:rPr>
          <w:b w:val="0"/>
          <w:bCs w:val="0"/>
          <w:color w:val="auto"/>
          <w:sz w:val="24"/>
          <w:szCs w:val="24"/>
        </w:rPr>
      </w:pPr>
      <w:r w:rsidRPr="00E46DAC">
        <w:rPr>
          <w:b w:val="0"/>
          <w:bCs w:val="0"/>
          <w:color w:val="auto"/>
          <w:sz w:val="24"/>
          <w:szCs w:val="24"/>
        </w:rPr>
        <w:t xml:space="preserve">Medical nomenclature can influence how patients understand illness, how clinicians </w:t>
      </w:r>
      <w:proofErr w:type="spellStart"/>
      <w:r w:rsidRPr="00E46DAC">
        <w:rPr>
          <w:b w:val="0"/>
          <w:bCs w:val="0"/>
          <w:color w:val="auto"/>
          <w:sz w:val="24"/>
          <w:szCs w:val="24"/>
        </w:rPr>
        <w:t>organise</w:t>
      </w:r>
      <w:proofErr w:type="spellEnd"/>
      <w:r w:rsidRPr="00E46DAC">
        <w:rPr>
          <w:b w:val="0"/>
          <w:bCs w:val="0"/>
          <w:color w:val="auto"/>
          <w:sz w:val="24"/>
          <w:szCs w:val="24"/>
        </w:rPr>
        <w:t xml:space="preserve"> diagnostic reasoning, and how healthcare systems distribute responsibility for care. The transition from polycystic ovary syndrome to polyendocrine metabolic ovarian syndrome illustrates the potential value of revising terminology that no longer represents contemporary scientific understanding. The former name directed attention towards ovarian morphology and reproductive manifestations, whereas the revised name more clearly signals endocrine, metabolic, and ovarian involvement. This change may support clearer communication and broader multidisciplinary recognition, but its practical effects have not yet been established. Improvements in diagnostic timeliness, stigma, care coordination, patient understanding, and health outcomes should therefore be regarded as hypotheses requiring prospective evaluation rather than assumed consequences of renaming. Historical examples indicate that nomenclature reform is most useful when it is scientifically grounded, supported by professional and patient consensus, and accompanied by education and implementation strategies. Disease names should consequently be considered part of healthcare quality and patient safety, while </w:t>
      </w:r>
      <w:proofErr w:type="spellStart"/>
      <w:r w:rsidRPr="00E46DAC">
        <w:rPr>
          <w:b w:val="0"/>
          <w:bCs w:val="0"/>
          <w:color w:val="auto"/>
          <w:sz w:val="24"/>
          <w:szCs w:val="24"/>
        </w:rPr>
        <w:t>recognising</w:t>
      </w:r>
      <w:proofErr w:type="spellEnd"/>
      <w:r w:rsidRPr="00E46DAC">
        <w:rPr>
          <w:b w:val="0"/>
          <w:bCs w:val="0"/>
          <w:color w:val="auto"/>
          <w:sz w:val="24"/>
          <w:szCs w:val="24"/>
        </w:rPr>
        <w:t xml:space="preserve"> that terminology change alone cannot resolve wider diagnostic, </w:t>
      </w:r>
      <w:proofErr w:type="spellStart"/>
      <w:r w:rsidRPr="00E46DAC">
        <w:rPr>
          <w:b w:val="0"/>
          <w:bCs w:val="0"/>
          <w:color w:val="auto"/>
          <w:sz w:val="24"/>
          <w:szCs w:val="24"/>
        </w:rPr>
        <w:t>organisational</w:t>
      </w:r>
      <w:proofErr w:type="spellEnd"/>
      <w:r w:rsidRPr="00E46DAC">
        <w:rPr>
          <w:b w:val="0"/>
          <w:bCs w:val="0"/>
          <w:color w:val="auto"/>
          <w:sz w:val="24"/>
          <w:szCs w:val="24"/>
        </w:rPr>
        <w:t>, and access-related barriers.</w:t>
      </w:r>
    </w:p>
    <w:p w14:paraId="3D594B45" w14:textId="677632FF" w:rsidR="005901B9" w:rsidRPr="00E46DAC" w:rsidRDefault="005901B9" w:rsidP="00B85B5B">
      <w:pPr>
        <w:pStyle w:val="Heading1"/>
        <w:spacing w:before="100" w:beforeAutospacing="1" w:after="100" w:afterAutospacing="1" w:line="240" w:lineRule="auto"/>
        <w:jc w:val="both"/>
        <w:rPr>
          <w:rFonts w:ascii="Times New Roman" w:eastAsia="Times New Roman" w:hAnsi="Times New Roman" w:cs="Times New Roman"/>
          <w:color w:val="auto"/>
          <w:sz w:val="36"/>
          <w:szCs w:val="36"/>
        </w:rPr>
      </w:pPr>
      <w:r w:rsidRPr="00E46DAC">
        <w:rPr>
          <w:rFonts w:ascii="Times New Roman" w:eastAsia="Times New Roman" w:hAnsi="Times New Roman" w:cs="Times New Roman"/>
          <w:color w:val="auto"/>
          <w:sz w:val="36"/>
          <w:szCs w:val="36"/>
        </w:rPr>
        <w:t>Limitations</w:t>
      </w:r>
    </w:p>
    <w:p w14:paraId="25A967F7" w14:textId="77777777" w:rsidR="005901B9" w:rsidRPr="00E46DAC" w:rsidRDefault="005901B9" w:rsidP="00B85B5B">
      <w:pPr>
        <w:spacing w:before="100" w:beforeAutospacing="1" w:after="100" w:afterAutospacing="1" w:line="240" w:lineRule="auto"/>
        <w:jc w:val="both"/>
        <w:rPr>
          <w:rFonts w:ascii="Times New Roman" w:eastAsia="Times New Roman" w:hAnsi="Times New Roman" w:cs="Times New Roman"/>
          <w:color w:val="auto"/>
          <w:sz w:val="24"/>
          <w:szCs w:val="24"/>
        </w:rPr>
      </w:pPr>
      <w:r w:rsidRPr="00E46DAC">
        <w:rPr>
          <w:rFonts w:ascii="Times New Roman" w:eastAsia="Times New Roman" w:hAnsi="Times New Roman" w:cs="Times New Roman"/>
          <w:color w:val="auto"/>
          <w:sz w:val="24"/>
          <w:szCs w:val="24"/>
        </w:rPr>
        <w:t>This review is limited by its narrative design and does not use a systematic search, formal screening process, or a quality assessment of the included literature. The PCOS-to-PMOS transition is recent, so direct evidence on its effects on patient understanding, diagnosis, stigma, care coordination, and outcomes is not yet available. Some conclusions are therefore based on cognitive theory, historical analogy, and indirect evidence from related conditions. The review also includes some professional society and grey literature sources, which may vary in evidentiary strength. Future empirical studies should assess patient and clinician responses to the new terminology across diverse healthcare systems, cultures, and languages.</w:t>
      </w:r>
    </w:p>
    <w:p w14:paraId="6F0636A9" w14:textId="77777777" w:rsidR="005901B9" w:rsidRPr="00E46DAC" w:rsidRDefault="005901B9" w:rsidP="00B85B5B">
      <w:pPr>
        <w:spacing w:after="200" w:line="276" w:lineRule="auto"/>
        <w:jc w:val="both"/>
        <w:rPr>
          <w:rFonts w:ascii="Calibri" w:eastAsia="Calibri" w:hAnsi="Calibri" w:cs="Times New Roman"/>
          <w:color w:val="auto"/>
          <w:sz w:val="22"/>
          <w:szCs w:val="22"/>
          <w:lang w:val="en-GB"/>
        </w:rPr>
      </w:pPr>
    </w:p>
    <w:p w14:paraId="5C6BD99E" w14:textId="77777777" w:rsidR="009A16ED" w:rsidRPr="00E46DAC" w:rsidRDefault="009A16ED" w:rsidP="00B85B5B">
      <w:pPr>
        <w:spacing w:after="0" w:line="240" w:lineRule="auto"/>
        <w:jc w:val="both"/>
        <w:rPr>
          <w:rFonts w:ascii="Times New Roman" w:eastAsiaTheme="minorHAnsi" w:hAnsi="Times New Roman" w:cs="Times New Roman"/>
          <w:b/>
          <w:color w:val="auto"/>
          <w:sz w:val="22"/>
          <w:szCs w:val="22"/>
        </w:rPr>
      </w:pPr>
      <w:r w:rsidRPr="00E46DAC">
        <w:rPr>
          <w:rFonts w:ascii="Times New Roman" w:eastAsiaTheme="minorHAnsi" w:hAnsi="Times New Roman" w:cs="Times New Roman"/>
          <w:b/>
          <w:color w:val="auto"/>
          <w:sz w:val="22"/>
          <w:szCs w:val="22"/>
        </w:rPr>
        <w:t>Declaration of AI Use</w:t>
      </w:r>
    </w:p>
    <w:p w14:paraId="308875B7" w14:textId="77777777" w:rsidR="009A16ED" w:rsidRPr="00E46DAC" w:rsidRDefault="009A16ED" w:rsidP="00B85B5B">
      <w:pPr>
        <w:spacing w:after="0" w:line="240" w:lineRule="auto"/>
        <w:jc w:val="both"/>
        <w:rPr>
          <w:rFonts w:ascii="Times New Roman" w:eastAsiaTheme="minorHAnsi" w:hAnsi="Times New Roman" w:cs="Times New Roman"/>
          <w:color w:val="auto"/>
          <w:sz w:val="22"/>
          <w:szCs w:val="22"/>
        </w:rPr>
      </w:pPr>
    </w:p>
    <w:p w14:paraId="7E18B5DC" w14:textId="77777777" w:rsidR="009A16ED" w:rsidRPr="00E46DAC" w:rsidRDefault="009A16ED" w:rsidP="00B85B5B">
      <w:pPr>
        <w:spacing w:after="0" w:line="240" w:lineRule="auto"/>
        <w:jc w:val="both"/>
        <w:rPr>
          <w:rFonts w:ascii="Times New Roman" w:eastAsiaTheme="minorHAnsi" w:hAnsi="Times New Roman" w:cs="Times New Roman"/>
          <w:color w:val="auto"/>
          <w:sz w:val="22"/>
          <w:szCs w:val="22"/>
        </w:rPr>
      </w:pPr>
      <w:r w:rsidRPr="00E46DAC">
        <w:rPr>
          <w:rFonts w:ascii="Times New Roman" w:eastAsiaTheme="minorHAnsi" w:hAnsi="Times New Roman" w:cs="Times New Roman"/>
          <w:color w:val="auto"/>
          <w:sz w:val="22"/>
          <w:szCs w:val="22"/>
        </w:rPr>
        <w:t>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and reference formatting. These AI-assisted tools were not used as authors and did not replace the intellectual contributions or scholarly judgment of the author(s). All AI-assisted outputs, including content, references, and interpretations, were carefully reviewed, revised, verified, and approved by the author(s). The author(s) accept full responsibility for the accuracy, integrity, and final content of the manuscript.</w:t>
      </w:r>
    </w:p>
    <w:p w14:paraId="1505A499" w14:textId="77777777" w:rsidR="00AC363E" w:rsidRPr="00E46DAC" w:rsidRDefault="007578DC" w:rsidP="00B85B5B">
      <w:pPr>
        <w:pStyle w:val="Heading1"/>
        <w:jc w:val="both"/>
        <w:rPr>
          <w:rFonts w:ascii="Times New Roman" w:hAnsi="Times New Roman" w:cs="Times New Roman"/>
          <w:color w:val="auto"/>
        </w:rPr>
      </w:pPr>
      <w:r w:rsidRPr="00E46DAC">
        <w:rPr>
          <w:rFonts w:ascii="Times New Roman" w:hAnsi="Times New Roman" w:cs="Times New Roman"/>
          <w:color w:val="auto"/>
        </w:rPr>
        <w:lastRenderedPageBreak/>
        <w:t>References</w:t>
      </w:r>
    </w:p>
    <w:p w14:paraId="148835CF" w14:textId="77777777" w:rsidR="00703E13" w:rsidRPr="00E46DAC" w:rsidRDefault="00703E13" w:rsidP="00703E13">
      <w:pPr>
        <w:spacing w:before="100" w:beforeAutospacing="1" w:after="100" w:afterAutospacing="1" w:line="240" w:lineRule="auto"/>
        <w:ind w:left="720" w:hanging="720"/>
        <w:rPr>
          <w:rFonts w:ascii="Times New Roman" w:eastAsia="Times New Roman" w:hAnsi="Times New Roman" w:cs="Times New Roman"/>
          <w:color w:val="auto"/>
          <w:sz w:val="24"/>
          <w:szCs w:val="24"/>
        </w:rPr>
      </w:pPr>
      <w:r w:rsidRPr="00E46DAC">
        <w:rPr>
          <w:rFonts w:ascii="Times New Roman" w:eastAsia="Times New Roman" w:hAnsi="Times New Roman" w:cs="Times New Roman"/>
          <w:color w:val="auto"/>
          <w:sz w:val="24"/>
          <w:szCs w:val="24"/>
        </w:rPr>
        <w:t xml:space="preserve">Ahmad, R., Frishman, W. H., &amp; Aronow, W. S. (2025). Polycystic ovary syndrome and cardiovascular disease: Pathophysiology, clinical evidence, and preventive strategies. </w:t>
      </w:r>
      <w:r w:rsidRPr="00E46DAC">
        <w:rPr>
          <w:rFonts w:ascii="Times New Roman" w:eastAsia="Times New Roman" w:hAnsi="Times New Roman" w:cs="Times New Roman"/>
          <w:i/>
          <w:iCs/>
          <w:color w:val="auto"/>
          <w:sz w:val="24"/>
          <w:szCs w:val="24"/>
        </w:rPr>
        <w:t>Cardiology in Review</w:t>
      </w:r>
      <w:r w:rsidRPr="00E46DAC">
        <w:rPr>
          <w:rFonts w:ascii="Times New Roman" w:eastAsia="Times New Roman" w:hAnsi="Times New Roman" w:cs="Times New Roman"/>
          <w:color w:val="auto"/>
          <w:sz w:val="24"/>
          <w:szCs w:val="24"/>
        </w:rPr>
        <w:t xml:space="preserve">. Advance online publication. </w:t>
      </w:r>
      <w:hyperlink r:id="rId8" w:history="1">
        <w:r w:rsidRPr="00E46DAC">
          <w:rPr>
            <w:rFonts w:ascii="Times New Roman" w:eastAsia="Times New Roman" w:hAnsi="Times New Roman" w:cs="Times New Roman"/>
            <w:color w:val="0000FF"/>
            <w:sz w:val="24"/>
            <w:szCs w:val="24"/>
            <w:u w:val="single"/>
          </w:rPr>
          <w:t>https://doi.org/10.1097/CRD.0000000000001054</w:t>
        </w:r>
      </w:hyperlink>
    </w:p>
    <w:p w14:paraId="488510D4" w14:textId="77777777" w:rsidR="00703E13" w:rsidRPr="00E46DAC" w:rsidRDefault="00703E13" w:rsidP="00703E13">
      <w:pPr>
        <w:spacing w:before="100" w:beforeAutospacing="1" w:after="100" w:afterAutospacing="1" w:line="240" w:lineRule="auto"/>
        <w:ind w:left="720" w:hanging="720"/>
        <w:rPr>
          <w:rFonts w:ascii="Times New Roman" w:eastAsia="Times New Roman" w:hAnsi="Times New Roman" w:cs="Times New Roman"/>
          <w:color w:val="auto"/>
          <w:sz w:val="24"/>
          <w:szCs w:val="24"/>
        </w:rPr>
      </w:pPr>
      <w:r w:rsidRPr="00E46DAC">
        <w:rPr>
          <w:rFonts w:ascii="Times New Roman" w:eastAsia="Times New Roman" w:hAnsi="Times New Roman" w:cs="Times New Roman"/>
          <w:color w:val="auto"/>
          <w:sz w:val="24"/>
          <w:szCs w:val="24"/>
        </w:rPr>
        <w:t xml:space="preserve">Alharbi, T. A. F., Rababa, M., </w:t>
      </w:r>
      <w:proofErr w:type="spellStart"/>
      <w:r w:rsidRPr="00E46DAC">
        <w:rPr>
          <w:rFonts w:ascii="Times New Roman" w:eastAsia="Times New Roman" w:hAnsi="Times New Roman" w:cs="Times New Roman"/>
          <w:color w:val="auto"/>
          <w:sz w:val="24"/>
          <w:szCs w:val="24"/>
        </w:rPr>
        <w:t>Alsuwayl</w:t>
      </w:r>
      <w:proofErr w:type="spellEnd"/>
      <w:r w:rsidRPr="00E46DAC">
        <w:rPr>
          <w:rFonts w:ascii="Times New Roman" w:eastAsia="Times New Roman" w:hAnsi="Times New Roman" w:cs="Times New Roman"/>
          <w:color w:val="auto"/>
          <w:sz w:val="24"/>
          <w:szCs w:val="24"/>
        </w:rPr>
        <w:t xml:space="preserve">, H., </w:t>
      </w:r>
      <w:proofErr w:type="spellStart"/>
      <w:r w:rsidRPr="00E46DAC">
        <w:rPr>
          <w:rFonts w:ascii="Times New Roman" w:eastAsia="Times New Roman" w:hAnsi="Times New Roman" w:cs="Times New Roman"/>
          <w:color w:val="auto"/>
          <w:sz w:val="24"/>
          <w:szCs w:val="24"/>
        </w:rPr>
        <w:t>Alsubail</w:t>
      </w:r>
      <w:proofErr w:type="spellEnd"/>
      <w:r w:rsidRPr="00E46DAC">
        <w:rPr>
          <w:rFonts w:ascii="Times New Roman" w:eastAsia="Times New Roman" w:hAnsi="Times New Roman" w:cs="Times New Roman"/>
          <w:color w:val="auto"/>
          <w:sz w:val="24"/>
          <w:szCs w:val="24"/>
        </w:rPr>
        <w:t xml:space="preserve">, A., &amp; </w:t>
      </w:r>
      <w:proofErr w:type="spellStart"/>
      <w:r w:rsidRPr="00E46DAC">
        <w:rPr>
          <w:rFonts w:ascii="Times New Roman" w:eastAsia="Times New Roman" w:hAnsi="Times New Roman" w:cs="Times New Roman"/>
          <w:color w:val="auto"/>
          <w:sz w:val="24"/>
          <w:szCs w:val="24"/>
        </w:rPr>
        <w:t>Alenizi</w:t>
      </w:r>
      <w:proofErr w:type="spellEnd"/>
      <w:r w:rsidRPr="00E46DAC">
        <w:rPr>
          <w:rFonts w:ascii="Times New Roman" w:eastAsia="Times New Roman" w:hAnsi="Times New Roman" w:cs="Times New Roman"/>
          <w:color w:val="auto"/>
          <w:sz w:val="24"/>
          <w:szCs w:val="24"/>
        </w:rPr>
        <w:t xml:space="preserve">, W. S. (2025). Diagnostic challenges and patient safety: The critical role of accuracy—A systematic review. </w:t>
      </w:r>
      <w:r w:rsidRPr="00E46DAC">
        <w:rPr>
          <w:rFonts w:ascii="Times New Roman" w:eastAsia="Times New Roman" w:hAnsi="Times New Roman" w:cs="Times New Roman"/>
          <w:i/>
          <w:iCs/>
          <w:color w:val="auto"/>
          <w:sz w:val="24"/>
          <w:szCs w:val="24"/>
        </w:rPr>
        <w:t>Journal of Multidisciplinary Healthcare, 18</w:t>
      </w:r>
      <w:r w:rsidRPr="00E46DAC">
        <w:rPr>
          <w:rFonts w:ascii="Times New Roman" w:eastAsia="Times New Roman" w:hAnsi="Times New Roman" w:cs="Times New Roman"/>
          <w:color w:val="auto"/>
          <w:sz w:val="24"/>
          <w:szCs w:val="24"/>
        </w:rPr>
        <w:t xml:space="preserve">, 3051–3064. </w:t>
      </w:r>
      <w:hyperlink r:id="rId9" w:history="1">
        <w:r w:rsidRPr="00E46DAC">
          <w:rPr>
            <w:rFonts w:ascii="Times New Roman" w:eastAsia="Times New Roman" w:hAnsi="Times New Roman" w:cs="Times New Roman"/>
            <w:color w:val="0000FF"/>
            <w:sz w:val="24"/>
            <w:szCs w:val="24"/>
            <w:u w:val="single"/>
          </w:rPr>
          <w:t>https://doi.org/10.2147/JMDH.S512254</w:t>
        </w:r>
      </w:hyperlink>
    </w:p>
    <w:p w14:paraId="33E36B8F" w14:textId="77777777" w:rsidR="00703E13" w:rsidRPr="00E46DAC" w:rsidRDefault="00703E13" w:rsidP="00703E13">
      <w:pPr>
        <w:spacing w:before="100" w:beforeAutospacing="1" w:after="100" w:afterAutospacing="1" w:line="240" w:lineRule="auto"/>
        <w:ind w:left="720" w:hanging="720"/>
        <w:rPr>
          <w:rFonts w:ascii="Times New Roman" w:eastAsia="Times New Roman" w:hAnsi="Times New Roman" w:cs="Times New Roman"/>
          <w:color w:val="auto"/>
          <w:sz w:val="24"/>
          <w:szCs w:val="24"/>
        </w:rPr>
      </w:pPr>
      <w:r w:rsidRPr="00E46DAC">
        <w:rPr>
          <w:rFonts w:ascii="Times New Roman" w:eastAsia="Times New Roman" w:hAnsi="Times New Roman" w:cs="Times New Roman"/>
          <w:color w:val="auto"/>
          <w:sz w:val="24"/>
          <w:szCs w:val="24"/>
        </w:rPr>
        <w:t xml:space="preserve">Ali, Z. (2026, May 15). </w:t>
      </w:r>
      <w:r w:rsidRPr="00E46DAC">
        <w:rPr>
          <w:rFonts w:ascii="Times New Roman" w:eastAsia="Times New Roman" w:hAnsi="Times New Roman" w:cs="Times New Roman"/>
          <w:i/>
          <w:iCs/>
          <w:color w:val="auto"/>
          <w:sz w:val="24"/>
          <w:szCs w:val="24"/>
        </w:rPr>
        <w:t>PCOS has been renamed PMOS—Here’s what that means for you</w:t>
      </w:r>
      <w:r w:rsidRPr="00E46DAC">
        <w:rPr>
          <w:rFonts w:ascii="Times New Roman" w:eastAsia="Times New Roman" w:hAnsi="Times New Roman" w:cs="Times New Roman"/>
          <w:color w:val="auto"/>
          <w:sz w:val="24"/>
          <w:szCs w:val="24"/>
        </w:rPr>
        <w:t xml:space="preserve">. </w:t>
      </w:r>
      <w:proofErr w:type="spellStart"/>
      <w:r w:rsidRPr="00E46DAC">
        <w:rPr>
          <w:rFonts w:ascii="Times New Roman" w:eastAsia="Times New Roman" w:hAnsi="Times New Roman" w:cs="Times New Roman"/>
          <w:color w:val="auto"/>
          <w:sz w:val="24"/>
          <w:szCs w:val="24"/>
        </w:rPr>
        <w:t>Hertility</w:t>
      </w:r>
      <w:proofErr w:type="spellEnd"/>
      <w:r w:rsidRPr="00E46DAC">
        <w:rPr>
          <w:rFonts w:ascii="Times New Roman" w:eastAsia="Times New Roman" w:hAnsi="Times New Roman" w:cs="Times New Roman"/>
          <w:color w:val="auto"/>
          <w:sz w:val="24"/>
          <w:szCs w:val="24"/>
        </w:rPr>
        <w:t xml:space="preserve"> Health. </w:t>
      </w:r>
      <w:hyperlink r:id="rId10" w:history="1">
        <w:r w:rsidRPr="00E46DAC">
          <w:rPr>
            <w:rFonts w:ascii="Times New Roman" w:eastAsia="Times New Roman" w:hAnsi="Times New Roman" w:cs="Times New Roman"/>
            <w:color w:val="0000FF"/>
            <w:sz w:val="24"/>
            <w:szCs w:val="24"/>
            <w:u w:val="single"/>
          </w:rPr>
          <w:t>https://hertilityhealth.com/blog/blog-pcos-renamed-pmos</w:t>
        </w:r>
      </w:hyperlink>
    </w:p>
    <w:p w14:paraId="36A21EEC" w14:textId="77777777" w:rsidR="00703E13" w:rsidRPr="00E46DAC" w:rsidRDefault="00703E13" w:rsidP="00703E13">
      <w:pPr>
        <w:spacing w:before="100" w:beforeAutospacing="1" w:after="100" w:afterAutospacing="1" w:line="240" w:lineRule="auto"/>
        <w:ind w:left="720" w:hanging="720"/>
        <w:rPr>
          <w:rFonts w:ascii="Times New Roman" w:eastAsia="Times New Roman" w:hAnsi="Times New Roman" w:cs="Times New Roman"/>
          <w:color w:val="auto"/>
          <w:sz w:val="24"/>
          <w:szCs w:val="24"/>
        </w:rPr>
      </w:pPr>
      <w:r w:rsidRPr="00E46DAC">
        <w:rPr>
          <w:rFonts w:ascii="Times New Roman" w:eastAsia="Times New Roman" w:hAnsi="Times New Roman" w:cs="Times New Roman"/>
          <w:color w:val="auto"/>
          <w:sz w:val="24"/>
          <w:szCs w:val="24"/>
        </w:rPr>
        <w:t xml:space="preserve">Arron, H. E., Marsh, B. D., Kell, D. B., Khan, M. A., Jaeger, B. R., &amp; Pretorius, E. (2024). </w:t>
      </w:r>
      <w:proofErr w:type="spellStart"/>
      <w:r w:rsidRPr="00E46DAC">
        <w:rPr>
          <w:rFonts w:ascii="Times New Roman" w:eastAsia="Times New Roman" w:hAnsi="Times New Roman" w:cs="Times New Roman"/>
          <w:color w:val="auto"/>
          <w:sz w:val="24"/>
          <w:szCs w:val="24"/>
        </w:rPr>
        <w:t>Myalgic</w:t>
      </w:r>
      <w:proofErr w:type="spellEnd"/>
      <w:r w:rsidRPr="00E46DAC">
        <w:rPr>
          <w:rFonts w:ascii="Times New Roman" w:eastAsia="Times New Roman" w:hAnsi="Times New Roman" w:cs="Times New Roman"/>
          <w:color w:val="auto"/>
          <w:sz w:val="24"/>
          <w:szCs w:val="24"/>
        </w:rPr>
        <w:t xml:space="preserve"> encephalomyelitis/chronic fatigue syndrome: The biology of a neglected disease. </w:t>
      </w:r>
      <w:r w:rsidRPr="00E46DAC">
        <w:rPr>
          <w:rFonts w:ascii="Times New Roman" w:eastAsia="Times New Roman" w:hAnsi="Times New Roman" w:cs="Times New Roman"/>
          <w:i/>
          <w:iCs/>
          <w:color w:val="auto"/>
          <w:sz w:val="24"/>
          <w:szCs w:val="24"/>
        </w:rPr>
        <w:t>Frontiers in Immunology, 15</w:t>
      </w:r>
      <w:r w:rsidRPr="00E46DAC">
        <w:rPr>
          <w:rFonts w:ascii="Times New Roman" w:eastAsia="Times New Roman" w:hAnsi="Times New Roman" w:cs="Times New Roman"/>
          <w:color w:val="auto"/>
          <w:sz w:val="24"/>
          <w:szCs w:val="24"/>
        </w:rPr>
        <w:t xml:space="preserve">, 1386607. </w:t>
      </w:r>
      <w:hyperlink r:id="rId11" w:history="1">
        <w:r w:rsidRPr="00E46DAC">
          <w:rPr>
            <w:rFonts w:ascii="Times New Roman" w:eastAsia="Times New Roman" w:hAnsi="Times New Roman" w:cs="Times New Roman"/>
            <w:color w:val="0000FF"/>
            <w:sz w:val="24"/>
            <w:szCs w:val="24"/>
            <w:u w:val="single"/>
          </w:rPr>
          <w:t>https://doi.org/10.3389/fimmu.2024.1386607</w:t>
        </w:r>
      </w:hyperlink>
    </w:p>
    <w:p w14:paraId="048912A3" w14:textId="77777777" w:rsidR="005A226B" w:rsidRPr="00E46DAC" w:rsidRDefault="00000000">
      <w:pPr>
        <w:spacing w:before="100" w:beforeAutospacing="1" w:after="100" w:afterAutospacing="1" w:line="240" w:lineRule="auto"/>
        <w:ind w:left="720" w:hanging="720"/>
        <w:rPr>
          <w:rFonts w:ascii="Times New Roman" w:eastAsia="Times New Roman" w:hAnsi="Times New Roman" w:cs="Times New Roman"/>
          <w:bCs/>
          <w:color w:val="auto"/>
          <w:sz w:val="24"/>
          <w:szCs w:val="24"/>
        </w:rPr>
      </w:pPr>
      <w:r w:rsidRPr="00E46DAC">
        <w:rPr>
          <w:rFonts w:ascii="Times New Roman" w:eastAsia="Times New Roman" w:hAnsi="Times New Roman" w:cs="Times New Roman"/>
          <w:bCs/>
          <w:sz w:val="24"/>
        </w:rPr>
        <w:t xml:space="preserve">Ashraf, A. S., Ahmad, M. I., &amp; Ahmed, M. I. (2026). Metabolic–reproductive crosstalk in polycystic ovary syndrome: Therapeutic implications of dual incretin agonism with tirzepatide. </w:t>
      </w:r>
      <w:r w:rsidRPr="00E46DAC">
        <w:rPr>
          <w:rFonts w:ascii="Times New Roman" w:eastAsia="Times New Roman" w:hAnsi="Times New Roman" w:cs="Times New Roman"/>
          <w:bCs/>
          <w:i/>
          <w:sz w:val="24"/>
        </w:rPr>
        <w:t>Journal of Advances in Medicine and Medical Research, 38</w:t>
      </w:r>
      <w:r w:rsidRPr="00E46DAC">
        <w:rPr>
          <w:rFonts w:ascii="Times New Roman" w:eastAsia="Times New Roman" w:hAnsi="Times New Roman" w:cs="Times New Roman"/>
          <w:bCs/>
          <w:sz w:val="24"/>
        </w:rPr>
        <w:t>(1), 273–292. https://doi.org/10.9734/jammr/2026/v38i16060</w:t>
      </w:r>
    </w:p>
    <w:p w14:paraId="199CB4F5" w14:textId="77777777" w:rsidR="00703E13" w:rsidRPr="00E46DAC" w:rsidRDefault="00703E13" w:rsidP="00703E13">
      <w:pPr>
        <w:spacing w:before="100" w:beforeAutospacing="1" w:after="100" w:afterAutospacing="1" w:line="240" w:lineRule="auto"/>
        <w:ind w:left="720" w:hanging="720"/>
        <w:rPr>
          <w:rFonts w:ascii="Times New Roman" w:eastAsia="Times New Roman" w:hAnsi="Times New Roman" w:cs="Times New Roman"/>
          <w:bCs/>
          <w:color w:val="auto"/>
          <w:sz w:val="24"/>
          <w:szCs w:val="24"/>
        </w:rPr>
      </w:pPr>
      <w:r w:rsidRPr="00E46DAC">
        <w:rPr>
          <w:rFonts w:ascii="Times New Roman" w:eastAsia="Times New Roman" w:hAnsi="Times New Roman" w:cs="Times New Roman"/>
          <w:bCs/>
          <w:color w:val="auto"/>
          <w:sz w:val="24"/>
          <w:szCs w:val="24"/>
        </w:rPr>
        <w:t xml:space="preserve">Baxter, K. A., Sachdeva, N., &amp; Baker, S. (2025). The application of cognitive load theory to the design of health and behavior change programs: Principles and recommendations. </w:t>
      </w:r>
      <w:r w:rsidRPr="00E46DAC">
        <w:rPr>
          <w:rFonts w:ascii="Times New Roman" w:eastAsia="Times New Roman" w:hAnsi="Times New Roman" w:cs="Times New Roman"/>
          <w:bCs/>
          <w:i/>
          <w:iCs/>
          <w:color w:val="auto"/>
          <w:sz w:val="24"/>
          <w:szCs w:val="24"/>
        </w:rPr>
        <w:t>Health Education &amp; Behavior, 52</w:t>
      </w:r>
      <w:r w:rsidRPr="00E46DAC">
        <w:rPr>
          <w:rFonts w:ascii="Times New Roman" w:eastAsia="Times New Roman" w:hAnsi="Times New Roman" w:cs="Times New Roman"/>
          <w:bCs/>
          <w:color w:val="auto"/>
          <w:sz w:val="24"/>
          <w:szCs w:val="24"/>
        </w:rPr>
        <w:t xml:space="preserve">(4), 469–477. </w:t>
      </w:r>
      <w:hyperlink r:id="rId12" w:history="1">
        <w:r w:rsidRPr="00E46DAC">
          <w:rPr>
            <w:rFonts w:ascii="Times New Roman" w:eastAsia="Times New Roman" w:hAnsi="Times New Roman" w:cs="Times New Roman"/>
            <w:bCs/>
            <w:color w:val="0000FF"/>
            <w:sz w:val="24"/>
            <w:szCs w:val="24"/>
            <w:u w:val="single"/>
          </w:rPr>
          <w:t>https://doi.org/10.1177/10901981251327185</w:t>
        </w:r>
      </w:hyperlink>
    </w:p>
    <w:p w14:paraId="2BD6E842" w14:textId="77777777" w:rsidR="00703E13" w:rsidRPr="00E46DAC" w:rsidRDefault="00703E13" w:rsidP="00703E13">
      <w:pPr>
        <w:spacing w:before="100" w:beforeAutospacing="1" w:after="100" w:afterAutospacing="1" w:line="240" w:lineRule="auto"/>
        <w:ind w:left="720" w:hanging="720"/>
        <w:rPr>
          <w:rFonts w:ascii="Times New Roman" w:eastAsia="Times New Roman" w:hAnsi="Times New Roman" w:cs="Times New Roman"/>
          <w:bCs/>
          <w:color w:val="auto"/>
          <w:sz w:val="24"/>
          <w:szCs w:val="24"/>
        </w:rPr>
      </w:pPr>
      <w:r w:rsidRPr="00E46DAC">
        <w:rPr>
          <w:rFonts w:ascii="Times New Roman" w:eastAsia="Times New Roman" w:hAnsi="Times New Roman" w:cs="Times New Roman"/>
          <w:bCs/>
          <w:color w:val="auto"/>
          <w:sz w:val="24"/>
          <w:szCs w:val="24"/>
        </w:rPr>
        <w:t xml:space="preserve">Biring, S., Burton, A. E., Dunwoody, L., &amp; Kevern, P. (2025). Women’s experiences of living with chronic pain: A qualitative meta-synthesis. </w:t>
      </w:r>
      <w:r w:rsidRPr="00E46DAC">
        <w:rPr>
          <w:rFonts w:ascii="Times New Roman" w:eastAsia="Times New Roman" w:hAnsi="Times New Roman" w:cs="Times New Roman"/>
          <w:bCs/>
          <w:i/>
          <w:iCs/>
          <w:color w:val="auto"/>
          <w:sz w:val="24"/>
          <w:szCs w:val="24"/>
        </w:rPr>
        <w:t>British Journal of Health Psychology, 30</w:t>
      </w:r>
      <w:r w:rsidRPr="00E46DAC">
        <w:rPr>
          <w:rFonts w:ascii="Times New Roman" w:eastAsia="Times New Roman" w:hAnsi="Times New Roman" w:cs="Times New Roman"/>
          <w:bCs/>
          <w:color w:val="auto"/>
          <w:sz w:val="24"/>
          <w:szCs w:val="24"/>
        </w:rPr>
        <w:t xml:space="preserve">(4), e70023. </w:t>
      </w:r>
      <w:hyperlink r:id="rId13" w:history="1">
        <w:r w:rsidRPr="00E46DAC">
          <w:rPr>
            <w:rFonts w:ascii="Times New Roman" w:eastAsia="Times New Roman" w:hAnsi="Times New Roman" w:cs="Times New Roman"/>
            <w:bCs/>
            <w:color w:val="0000FF"/>
            <w:sz w:val="24"/>
            <w:szCs w:val="24"/>
            <w:u w:val="single"/>
          </w:rPr>
          <w:t>https://doi.org/10.1111/bjhp.70023</w:t>
        </w:r>
      </w:hyperlink>
    </w:p>
    <w:p w14:paraId="6E98E9DD" w14:textId="77777777" w:rsidR="00703E13" w:rsidRPr="00E46DAC" w:rsidRDefault="00703E13" w:rsidP="00703E13">
      <w:pPr>
        <w:spacing w:before="100" w:beforeAutospacing="1" w:after="100" w:afterAutospacing="1" w:line="240" w:lineRule="auto"/>
        <w:ind w:left="720" w:hanging="720"/>
        <w:rPr>
          <w:rFonts w:ascii="Times New Roman" w:eastAsia="Times New Roman" w:hAnsi="Times New Roman" w:cs="Times New Roman"/>
          <w:bCs/>
          <w:color w:val="auto"/>
          <w:sz w:val="24"/>
          <w:szCs w:val="24"/>
        </w:rPr>
      </w:pPr>
      <w:r w:rsidRPr="00E46DAC">
        <w:rPr>
          <w:rFonts w:ascii="Times New Roman" w:eastAsia="Times New Roman" w:hAnsi="Times New Roman" w:cs="Times New Roman"/>
          <w:bCs/>
          <w:color w:val="auto"/>
          <w:sz w:val="24"/>
          <w:szCs w:val="24"/>
        </w:rPr>
        <w:t xml:space="preserve">Dennett, C. C., &amp; Simon, J. (2015). The role of polycystic ovary syndrome in reproductive and metabolic health: Overview and approaches for treatment. </w:t>
      </w:r>
      <w:r w:rsidRPr="00E46DAC">
        <w:rPr>
          <w:rFonts w:ascii="Times New Roman" w:eastAsia="Times New Roman" w:hAnsi="Times New Roman" w:cs="Times New Roman"/>
          <w:bCs/>
          <w:i/>
          <w:iCs/>
          <w:color w:val="auto"/>
          <w:sz w:val="24"/>
          <w:szCs w:val="24"/>
        </w:rPr>
        <w:t>Diabetes Spectrum, 28</w:t>
      </w:r>
      <w:r w:rsidRPr="00E46DAC">
        <w:rPr>
          <w:rFonts w:ascii="Times New Roman" w:eastAsia="Times New Roman" w:hAnsi="Times New Roman" w:cs="Times New Roman"/>
          <w:bCs/>
          <w:color w:val="auto"/>
          <w:sz w:val="24"/>
          <w:szCs w:val="24"/>
        </w:rPr>
        <w:t xml:space="preserve">(2), 116–120. </w:t>
      </w:r>
      <w:hyperlink r:id="rId14" w:history="1">
        <w:r w:rsidRPr="00E46DAC">
          <w:rPr>
            <w:rFonts w:ascii="Times New Roman" w:eastAsia="Times New Roman" w:hAnsi="Times New Roman" w:cs="Times New Roman"/>
            <w:bCs/>
            <w:color w:val="0000FF"/>
            <w:sz w:val="24"/>
            <w:szCs w:val="24"/>
            <w:u w:val="single"/>
          </w:rPr>
          <w:t>https://doi.org/10.2337/diaspect.28.2.116</w:t>
        </w:r>
      </w:hyperlink>
    </w:p>
    <w:p w14:paraId="7B50C4D5" w14:textId="77777777" w:rsidR="00703E13" w:rsidRPr="00E46DAC" w:rsidRDefault="00703E13" w:rsidP="00703E13">
      <w:pPr>
        <w:spacing w:before="100" w:beforeAutospacing="1" w:after="100" w:afterAutospacing="1" w:line="240" w:lineRule="auto"/>
        <w:ind w:left="720" w:hanging="720"/>
        <w:rPr>
          <w:rFonts w:ascii="Times New Roman" w:eastAsia="Times New Roman" w:hAnsi="Times New Roman" w:cs="Times New Roman"/>
          <w:bCs/>
          <w:color w:val="auto"/>
          <w:sz w:val="24"/>
          <w:szCs w:val="24"/>
        </w:rPr>
      </w:pPr>
      <w:r w:rsidRPr="00E46DAC">
        <w:rPr>
          <w:rFonts w:ascii="Times New Roman" w:eastAsia="Times New Roman" w:hAnsi="Times New Roman" w:cs="Times New Roman"/>
          <w:bCs/>
          <w:color w:val="auto"/>
          <w:sz w:val="24"/>
          <w:szCs w:val="24"/>
        </w:rPr>
        <w:t xml:space="preserve">Dong, J., &amp; Rees, D. A. (2023). Polycystic ovary syndrome: Pathophysiology and therapeutic opportunities. </w:t>
      </w:r>
      <w:r w:rsidRPr="00E46DAC">
        <w:rPr>
          <w:rFonts w:ascii="Times New Roman" w:eastAsia="Times New Roman" w:hAnsi="Times New Roman" w:cs="Times New Roman"/>
          <w:bCs/>
          <w:i/>
          <w:iCs/>
          <w:color w:val="auto"/>
          <w:sz w:val="24"/>
          <w:szCs w:val="24"/>
        </w:rPr>
        <w:t>BMJ Medicine, 2</w:t>
      </w:r>
      <w:r w:rsidRPr="00E46DAC">
        <w:rPr>
          <w:rFonts w:ascii="Times New Roman" w:eastAsia="Times New Roman" w:hAnsi="Times New Roman" w:cs="Times New Roman"/>
          <w:bCs/>
          <w:color w:val="auto"/>
          <w:sz w:val="24"/>
          <w:szCs w:val="24"/>
        </w:rPr>
        <w:t xml:space="preserve">(1), e000548. </w:t>
      </w:r>
      <w:hyperlink r:id="rId15" w:history="1">
        <w:r w:rsidRPr="00E46DAC">
          <w:rPr>
            <w:rFonts w:ascii="Times New Roman" w:eastAsia="Times New Roman" w:hAnsi="Times New Roman" w:cs="Times New Roman"/>
            <w:bCs/>
            <w:color w:val="0000FF"/>
            <w:sz w:val="24"/>
            <w:szCs w:val="24"/>
            <w:u w:val="single"/>
          </w:rPr>
          <w:t>https://doi.org/10.1136/bmjmed-2023-000548</w:t>
        </w:r>
      </w:hyperlink>
    </w:p>
    <w:p w14:paraId="649C21D4" w14:textId="77777777" w:rsidR="00703E13" w:rsidRPr="00E46DAC" w:rsidRDefault="00703E13" w:rsidP="00703E13">
      <w:pPr>
        <w:spacing w:before="100" w:beforeAutospacing="1" w:after="100" w:afterAutospacing="1" w:line="240" w:lineRule="auto"/>
        <w:ind w:left="720" w:hanging="720"/>
        <w:rPr>
          <w:rFonts w:ascii="Times New Roman" w:eastAsia="Times New Roman" w:hAnsi="Times New Roman" w:cs="Times New Roman"/>
          <w:bCs/>
          <w:color w:val="auto"/>
          <w:sz w:val="24"/>
          <w:szCs w:val="24"/>
        </w:rPr>
      </w:pPr>
      <w:r w:rsidRPr="00E46DAC">
        <w:rPr>
          <w:rFonts w:ascii="Times New Roman" w:eastAsia="Times New Roman" w:hAnsi="Times New Roman" w:cs="Times New Roman"/>
          <w:bCs/>
          <w:color w:val="auto"/>
          <w:sz w:val="24"/>
          <w:szCs w:val="24"/>
        </w:rPr>
        <w:t xml:space="preserve">Endocrine Society. (2026, May 12). </w:t>
      </w:r>
      <w:r w:rsidRPr="00E46DAC">
        <w:rPr>
          <w:rFonts w:ascii="Times New Roman" w:eastAsia="Times New Roman" w:hAnsi="Times New Roman" w:cs="Times New Roman"/>
          <w:bCs/>
          <w:i/>
          <w:iCs/>
          <w:color w:val="auto"/>
          <w:sz w:val="24"/>
          <w:szCs w:val="24"/>
        </w:rPr>
        <w:t>Polyendocrine metabolic ovarian syndrome: New name to improve diagnosis and care of condition affecting 170 million women worldwide</w:t>
      </w:r>
      <w:r w:rsidRPr="00E46DAC">
        <w:rPr>
          <w:rFonts w:ascii="Times New Roman" w:eastAsia="Times New Roman" w:hAnsi="Times New Roman" w:cs="Times New Roman"/>
          <w:bCs/>
          <w:color w:val="auto"/>
          <w:sz w:val="24"/>
          <w:szCs w:val="24"/>
        </w:rPr>
        <w:t xml:space="preserve"> [Press release]. </w:t>
      </w:r>
      <w:hyperlink r:id="rId16" w:history="1">
        <w:r w:rsidRPr="00E46DAC">
          <w:rPr>
            <w:rFonts w:ascii="Times New Roman" w:eastAsia="Times New Roman" w:hAnsi="Times New Roman" w:cs="Times New Roman"/>
            <w:bCs/>
            <w:color w:val="0000FF"/>
            <w:sz w:val="24"/>
            <w:szCs w:val="24"/>
            <w:u w:val="single"/>
          </w:rPr>
          <w:t>https://www.endocrine.org/news-and-advocacy/news-room/2026/pcos-name-change</w:t>
        </w:r>
      </w:hyperlink>
    </w:p>
    <w:p w14:paraId="54CAA4FF" w14:textId="77777777" w:rsidR="00703E13" w:rsidRPr="00E46DAC" w:rsidRDefault="00703E13" w:rsidP="00703E13">
      <w:pPr>
        <w:spacing w:before="100" w:beforeAutospacing="1" w:after="100" w:afterAutospacing="1" w:line="240" w:lineRule="auto"/>
        <w:ind w:left="720" w:hanging="720"/>
        <w:rPr>
          <w:rFonts w:ascii="Times New Roman" w:eastAsia="Times New Roman" w:hAnsi="Times New Roman" w:cs="Times New Roman"/>
          <w:bCs/>
          <w:color w:val="auto"/>
          <w:sz w:val="24"/>
          <w:szCs w:val="24"/>
        </w:rPr>
      </w:pPr>
      <w:r w:rsidRPr="00E46DAC">
        <w:rPr>
          <w:rFonts w:ascii="Times New Roman" w:eastAsia="Times New Roman" w:hAnsi="Times New Roman" w:cs="Times New Roman"/>
          <w:bCs/>
          <w:color w:val="auto"/>
          <w:sz w:val="24"/>
          <w:szCs w:val="24"/>
        </w:rPr>
        <w:lastRenderedPageBreak/>
        <w:t xml:space="preserve">Ford-Jones, P. C. (2015). Misdiagnosis of attention deficit hyperactivity disorder: “Normal </w:t>
      </w:r>
      <w:proofErr w:type="spellStart"/>
      <w:r w:rsidRPr="00E46DAC">
        <w:rPr>
          <w:rFonts w:ascii="Times New Roman" w:eastAsia="Times New Roman" w:hAnsi="Times New Roman" w:cs="Times New Roman"/>
          <w:bCs/>
          <w:color w:val="auto"/>
          <w:sz w:val="24"/>
          <w:szCs w:val="24"/>
        </w:rPr>
        <w:t>behaviour</w:t>
      </w:r>
      <w:proofErr w:type="spellEnd"/>
      <w:r w:rsidRPr="00E46DAC">
        <w:rPr>
          <w:rFonts w:ascii="Times New Roman" w:eastAsia="Times New Roman" w:hAnsi="Times New Roman" w:cs="Times New Roman"/>
          <w:bCs/>
          <w:color w:val="auto"/>
          <w:sz w:val="24"/>
          <w:szCs w:val="24"/>
        </w:rPr>
        <w:t xml:space="preserve">” and relative maturity. </w:t>
      </w:r>
      <w:proofErr w:type="spellStart"/>
      <w:r w:rsidRPr="00E46DAC">
        <w:rPr>
          <w:rFonts w:ascii="Times New Roman" w:eastAsia="Times New Roman" w:hAnsi="Times New Roman" w:cs="Times New Roman"/>
          <w:bCs/>
          <w:i/>
          <w:iCs/>
          <w:color w:val="auto"/>
          <w:sz w:val="24"/>
          <w:szCs w:val="24"/>
        </w:rPr>
        <w:t>Paediatrics</w:t>
      </w:r>
      <w:proofErr w:type="spellEnd"/>
      <w:r w:rsidRPr="00E46DAC">
        <w:rPr>
          <w:rFonts w:ascii="Times New Roman" w:eastAsia="Times New Roman" w:hAnsi="Times New Roman" w:cs="Times New Roman"/>
          <w:bCs/>
          <w:i/>
          <w:iCs/>
          <w:color w:val="auto"/>
          <w:sz w:val="24"/>
          <w:szCs w:val="24"/>
        </w:rPr>
        <w:t xml:space="preserve"> &amp; Child Health, 20</w:t>
      </w:r>
      <w:r w:rsidRPr="00E46DAC">
        <w:rPr>
          <w:rFonts w:ascii="Times New Roman" w:eastAsia="Times New Roman" w:hAnsi="Times New Roman" w:cs="Times New Roman"/>
          <w:bCs/>
          <w:color w:val="auto"/>
          <w:sz w:val="24"/>
          <w:szCs w:val="24"/>
        </w:rPr>
        <w:t xml:space="preserve">(4), 200–202. </w:t>
      </w:r>
      <w:hyperlink r:id="rId17" w:history="1">
        <w:r w:rsidRPr="00E46DAC">
          <w:rPr>
            <w:rFonts w:ascii="Times New Roman" w:eastAsia="Times New Roman" w:hAnsi="Times New Roman" w:cs="Times New Roman"/>
            <w:bCs/>
            <w:color w:val="0000FF"/>
            <w:sz w:val="24"/>
            <w:szCs w:val="24"/>
            <w:u w:val="single"/>
          </w:rPr>
          <w:t>https://doi.org/10.1093/pch/20.4.200</w:t>
        </w:r>
      </w:hyperlink>
    </w:p>
    <w:p w14:paraId="7D28A273" w14:textId="77777777" w:rsidR="00703E13" w:rsidRPr="00E46DAC" w:rsidRDefault="00703E13" w:rsidP="00703E13">
      <w:pPr>
        <w:spacing w:before="100" w:beforeAutospacing="1" w:after="100" w:afterAutospacing="1" w:line="240" w:lineRule="auto"/>
        <w:ind w:left="720" w:hanging="720"/>
        <w:rPr>
          <w:rFonts w:ascii="Times New Roman" w:eastAsia="Times New Roman" w:hAnsi="Times New Roman" w:cs="Times New Roman"/>
          <w:bCs/>
          <w:color w:val="auto"/>
          <w:sz w:val="24"/>
          <w:szCs w:val="24"/>
        </w:rPr>
      </w:pPr>
      <w:r w:rsidRPr="00E46DAC">
        <w:rPr>
          <w:rFonts w:ascii="Times New Roman" w:eastAsia="Times New Roman" w:hAnsi="Times New Roman" w:cs="Times New Roman"/>
          <w:bCs/>
          <w:color w:val="auto"/>
          <w:sz w:val="24"/>
          <w:szCs w:val="24"/>
        </w:rPr>
        <w:t xml:space="preserve">Funkhouser, W. K., Jr. (2018). Pathology: The clinical description of human disease. In W. B. Coleman and G. J. </w:t>
      </w:r>
      <w:proofErr w:type="spellStart"/>
      <w:r w:rsidRPr="00E46DAC">
        <w:rPr>
          <w:rFonts w:ascii="Times New Roman" w:eastAsia="Times New Roman" w:hAnsi="Times New Roman" w:cs="Times New Roman"/>
          <w:bCs/>
          <w:color w:val="auto"/>
          <w:sz w:val="24"/>
          <w:szCs w:val="24"/>
        </w:rPr>
        <w:t>Tsongalis</w:t>
      </w:r>
      <w:proofErr w:type="spellEnd"/>
      <w:r w:rsidRPr="00E46DAC">
        <w:rPr>
          <w:rFonts w:ascii="Times New Roman" w:eastAsia="Times New Roman" w:hAnsi="Times New Roman" w:cs="Times New Roman"/>
          <w:bCs/>
          <w:color w:val="auto"/>
          <w:sz w:val="24"/>
          <w:szCs w:val="24"/>
        </w:rPr>
        <w:t xml:space="preserve"> (Eds.), </w:t>
      </w:r>
      <w:r w:rsidRPr="00E46DAC">
        <w:rPr>
          <w:rFonts w:ascii="Times New Roman" w:eastAsia="Times New Roman" w:hAnsi="Times New Roman" w:cs="Times New Roman"/>
          <w:bCs/>
          <w:i/>
          <w:iCs/>
          <w:color w:val="auto"/>
          <w:sz w:val="24"/>
          <w:szCs w:val="24"/>
        </w:rPr>
        <w:t>Molecular pathology: The molecular basis of human disease</w:t>
      </w:r>
      <w:r w:rsidRPr="00E46DAC">
        <w:rPr>
          <w:rFonts w:ascii="Times New Roman" w:eastAsia="Times New Roman" w:hAnsi="Times New Roman" w:cs="Times New Roman"/>
          <w:bCs/>
          <w:color w:val="auto"/>
          <w:sz w:val="24"/>
          <w:szCs w:val="24"/>
        </w:rPr>
        <w:t xml:space="preserve"> (2nd ed., pp. 217–229). Academic Press. </w:t>
      </w:r>
      <w:hyperlink r:id="rId18" w:history="1">
        <w:r w:rsidRPr="00E46DAC">
          <w:rPr>
            <w:rFonts w:ascii="Times New Roman" w:eastAsia="Times New Roman" w:hAnsi="Times New Roman" w:cs="Times New Roman"/>
            <w:bCs/>
            <w:color w:val="0000FF"/>
            <w:sz w:val="24"/>
            <w:szCs w:val="24"/>
            <w:u w:val="single"/>
          </w:rPr>
          <w:t>https://doi.org/10.1016/B978-0-12-802761-5.00011-0</w:t>
        </w:r>
      </w:hyperlink>
    </w:p>
    <w:p w14:paraId="1AED117D" w14:textId="77777777" w:rsidR="00703E13" w:rsidRPr="00E46DAC" w:rsidRDefault="00703E13" w:rsidP="00703E13">
      <w:pPr>
        <w:spacing w:before="100" w:beforeAutospacing="1" w:after="100" w:afterAutospacing="1" w:line="240" w:lineRule="auto"/>
        <w:ind w:left="720" w:hanging="720"/>
        <w:rPr>
          <w:rFonts w:ascii="Times New Roman" w:eastAsia="Times New Roman" w:hAnsi="Times New Roman" w:cs="Times New Roman"/>
          <w:bCs/>
          <w:color w:val="auto"/>
          <w:sz w:val="24"/>
          <w:szCs w:val="24"/>
        </w:rPr>
      </w:pPr>
      <w:r w:rsidRPr="00E46DAC">
        <w:rPr>
          <w:rFonts w:ascii="Times New Roman" w:eastAsia="Times New Roman" w:hAnsi="Times New Roman" w:cs="Times New Roman"/>
          <w:bCs/>
          <w:color w:val="auto"/>
          <w:sz w:val="24"/>
          <w:szCs w:val="24"/>
        </w:rPr>
        <w:t xml:space="preserve">Gibson-Helm, M., </w:t>
      </w:r>
      <w:proofErr w:type="spellStart"/>
      <w:r w:rsidRPr="00E46DAC">
        <w:rPr>
          <w:rFonts w:ascii="Times New Roman" w:eastAsia="Times New Roman" w:hAnsi="Times New Roman" w:cs="Times New Roman"/>
          <w:bCs/>
          <w:color w:val="auto"/>
          <w:sz w:val="24"/>
          <w:szCs w:val="24"/>
        </w:rPr>
        <w:t>Teede</w:t>
      </w:r>
      <w:proofErr w:type="spellEnd"/>
      <w:r w:rsidRPr="00E46DAC">
        <w:rPr>
          <w:rFonts w:ascii="Times New Roman" w:eastAsia="Times New Roman" w:hAnsi="Times New Roman" w:cs="Times New Roman"/>
          <w:bCs/>
          <w:color w:val="auto"/>
          <w:sz w:val="24"/>
          <w:szCs w:val="24"/>
        </w:rPr>
        <w:t xml:space="preserve">, H., </w:t>
      </w:r>
      <w:proofErr w:type="spellStart"/>
      <w:r w:rsidRPr="00E46DAC">
        <w:rPr>
          <w:rFonts w:ascii="Times New Roman" w:eastAsia="Times New Roman" w:hAnsi="Times New Roman" w:cs="Times New Roman"/>
          <w:bCs/>
          <w:color w:val="auto"/>
          <w:sz w:val="24"/>
          <w:szCs w:val="24"/>
        </w:rPr>
        <w:t>Dunaif</w:t>
      </w:r>
      <w:proofErr w:type="spellEnd"/>
      <w:r w:rsidRPr="00E46DAC">
        <w:rPr>
          <w:rFonts w:ascii="Times New Roman" w:eastAsia="Times New Roman" w:hAnsi="Times New Roman" w:cs="Times New Roman"/>
          <w:bCs/>
          <w:color w:val="auto"/>
          <w:sz w:val="24"/>
          <w:szCs w:val="24"/>
        </w:rPr>
        <w:t xml:space="preserve">, A., &amp; </w:t>
      </w:r>
      <w:proofErr w:type="spellStart"/>
      <w:r w:rsidRPr="00E46DAC">
        <w:rPr>
          <w:rFonts w:ascii="Times New Roman" w:eastAsia="Times New Roman" w:hAnsi="Times New Roman" w:cs="Times New Roman"/>
          <w:bCs/>
          <w:color w:val="auto"/>
          <w:sz w:val="24"/>
          <w:szCs w:val="24"/>
        </w:rPr>
        <w:t>Dokras</w:t>
      </w:r>
      <w:proofErr w:type="spellEnd"/>
      <w:r w:rsidRPr="00E46DAC">
        <w:rPr>
          <w:rFonts w:ascii="Times New Roman" w:eastAsia="Times New Roman" w:hAnsi="Times New Roman" w:cs="Times New Roman"/>
          <w:bCs/>
          <w:color w:val="auto"/>
          <w:sz w:val="24"/>
          <w:szCs w:val="24"/>
        </w:rPr>
        <w:t xml:space="preserve">, A. (2017). Delayed diagnosis and a lack of information associated with dissatisfaction in women with polycystic ovary syndrome. </w:t>
      </w:r>
      <w:r w:rsidRPr="00E46DAC">
        <w:rPr>
          <w:rFonts w:ascii="Times New Roman" w:eastAsia="Times New Roman" w:hAnsi="Times New Roman" w:cs="Times New Roman"/>
          <w:bCs/>
          <w:i/>
          <w:iCs/>
          <w:color w:val="auto"/>
          <w:sz w:val="24"/>
          <w:szCs w:val="24"/>
        </w:rPr>
        <w:t>The Journal of Clinical Endocrinology &amp; Metabolism, 102</w:t>
      </w:r>
      <w:r w:rsidRPr="00E46DAC">
        <w:rPr>
          <w:rFonts w:ascii="Times New Roman" w:eastAsia="Times New Roman" w:hAnsi="Times New Roman" w:cs="Times New Roman"/>
          <w:bCs/>
          <w:color w:val="auto"/>
          <w:sz w:val="24"/>
          <w:szCs w:val="24"/>
        </w:rPr>
        <w:t xml:space="preserve">(2), 604–612. </w:t>
      </w:r>
      <w:hyperlink r:id="rId19" w:history="1">
        <w:r w:rsidRPr="00E46DAC">
          <w:rPr>
            <w:rFonts w:ascii="Times New Roman" w:eastAsia="Times New Roman" w:hAnsi="Times New Roman" w:cs="Times New Roman"/>
            <w:bCs/>
            <w:color w:val="0000FF"/>
            <w:sz w:val="24"/>
            <w:szCs w:val="24"/>
            <w:u w:val="single"/>
          </w:rPr>
          <w:t>https://doi.org/10.1210/jc.2016-2963</w:t>
        </w:r>
      </w:hyperlink>
    </w:p>
    <w:p w14:paraId="13C497B1" w14:textId="77777777" w:rsidR="005A226B" w:rsidRPr="00E46DAC" w:rsidRDefault="00000000">
      <w:pPr>
        <w:spacing w:before="100" w:beforeAutospacing="1" w:after="100" w:afterAutospacing="1" w:line="240" w:lineRule="auto"/>
        <w:ind w:left="720" w:hanging="720"/>
        <w:rPr>
          <w:rFonts w:ascii="Times New Roman" w:eastAsia="Times New Roman" w:hAnsi="Times New Roman" w:cs="Times New Roman"/>
          <w:bCs/>
          <w:color w:val="auto"/>
          <w:sz w:val="24"/>
          <w:szCs w:val="24"/>
        </w:rPr>
      </w:pPr>
      <w:r w:rsidRPr="00E46DAC">
        <w:rPr>
          <w:rFonts w:ascii="Times New Roman" w:eastAsia="Times New Roman" w:hAnsi="Times New Roman" w:cs="Times New Roman"/>
          <w:bCs/>
          <w:sz w:val="24"/>
        </w:rPr>
        <w:t xml:space="preserve">Kaur, M., Kaur, R., Kapila, H., &amp; Kaur, R. (2025). Health literacy in the prevention of non-communicable diseases: A narrative review. </w:t>
      </w:r>
      <w:r w:rsidRPr="00E46DAC">
        <w:rPr>
          <w:rFonts w:ascii="Times New Roman" w:eastAsia="Times New Roman" w:hAnsi="Times New Roman" w:cs="Times New Roman"/>
          <w:bCs/>
          <w:i/>
          <w:sz w:val="24"/>
        </w:rPr>
        <w:t>Journal of International Research in Medical and Pharmaceutical Sciences, 20</w:t>
      </w:r>
      <w:r w:rsidRPr="00E46DAC">
        <w:rPr>
          <w:rFonts w:ascii="Times New Roman" w:eastAsia="Times New Roman" w:hAnsi="Times New Roman" w:cs="Times New Roman"/>
          <w:bCs/>
          <w:sz w:val="24"/>
        </w:rPr>
        <w:t>(3), 176–184. https://doi.org/10.56557/jirmeps/2025/v20i39996</w:t>
      </w:r>
    </w:p>
    <w:p w14:paraId="77FC2C60" w14:textId="77777777" w:rsidR="005A226B" w:rsidRPr="00E46DAC" w:rsidRDefault="00000000">
      <w:pPr>
        <w:spacing w:before="100" w:beforeAutospacing="1" w:after="100" w:afterAutospacing="1" w:line="240" w:lineRule="auto"/>
        <w:ind w:left="720" w:hanging="720"/>
        <w:rPr>
          <w:rFonts w:ascii="Times New Roman" w:eastAsia="Times New Roman" w:hAnsi="Times New Roman" w:cs="Times New Roman"/>
          <w:bCs/>
          <w:color w:val="auto"/>
          <w:sz w:val="24"/>
          <w:szCs w:val="24"/>
        </w:rPr>
      </w:pPr>
      <w:r w:rsidRPr="00E46DAC">
        <w:rPr>
          <w:rFonts w:ascii="Times New Roman" w:eastAsia="Times New Roman" w:hAnsi="Times New Roman" w:cs="Times New Roman"/>
          <w:bCs/>
          <w:sz w:val="24"/>
        </w:rPr>
        <w:t xml:space="preserve">Kulwicka, K., Rusowicz, J., &amp; Gasiorowska, A. (2025). Label matters: How labeling and diagnosis affect lay perception of people with depressive symptoms. </w:t>
      </w:r>
      <w:r w:rsidRPr="00E46DAC">
        <w:rPr>
          <w:rFonts w:ascii="Times New Roman" w:eastAsia="Times New Roman" w:hAnsi="Times New Roman" w:cs="Times New Roman"/>
          <w:bCs/>
          <w:i/>
          <w:sz w:val="24"/>
        </w:rPr>
        <w:t>Frontiers in Psychiatry, 16</w:t>
      </w:r>
      <w:r w:rsidRPr="00E46DAC">
        <w:rPr>
          <w:rFonts w:ascii="Times New Roman" w:eastAsia="Times New Roman" w:hAnsi="Times New Roman" w:cs="Times New Roman"/>
          <w:bCs/>
          <w:sz w:val="24"/>
        </w:rPr>
        <w:t>, 1612517. https://doi.org/10.3389/fpsyt.2025.1612517</w:t>
      </w:r>
    </w:p>
    <w:p w14:paraId="203F5F3B" w14:textId="77777777" w:rsidR="00703E13" w:rsidRPr="00E46DAC" w:rsidRDefault="00703E13" w:rsidP="00703E13">
      <w:pPr>
        <w:spacing w:before="100" w:beforeAutospacing="1" w:after="100" w:afterAutospacing="1" w:line="240" w:lineRule="auto"/>
        <w:ind w:left="720" w:hanging="720"/>
        <w:rPr>
          <w:rFonts w:ascii="Times New Roman" w:eastAsia="Times New Roman" w:hAnsi="Times New Roman" w:cs="Times New Roman"/>
          <w:color w:val="auto"/>
          <w:sz w:val="24"/>
          <w:szCs w:val="24"/>
        </w:rPr>
      </w:pPr>
      <w:r w:rsidRPr="00E46DAC">
        <w:rPr>
          <w:rFonts w:ascii="Times New Roman" w:eastAsia="Times New Roman" w:hAnsi="Times New Roman" w:cs="Times New Roman"/>
          <w:color w:val="auto"/>
          <w:sz w:val="24"/>
          <w:szCs w:val="24"/>
        </w:rPr>
        <w:t xml:space="preserve">Li, W., Feng, H., &amp; Ye, Q. (2025). Factors contributing to the delayed diagnosis of endometriosis: A systematic review and meta-analysis. </w:t>
      </w:r>
      <w:r w:rsidRPr="00E46DAC">
        <w:rPr>
          <w:rFonts w:ascii="Times New Roman" w:eastAsia="Times New Roman" w:hAnsi="Times New Roman" w:cs="Times New Roman"/>
          <w:i/>
          <w:iCs/>
          <w:color w:val="auto"/>
          <w:sz w:val="24"/>
          <w:szCs w:val="24"/>
        </w:rPr>
        <w:t>Frontiers in Medicine, 12</w:t>
      </w:r>
      <w:r w:rsidRPr="00E46DAC">
        <w:rPr>
          <w:rFonts w:ascii="Times New Roman" w:eastAsia="Times New Roman" w:hAnsi="Times New Roman" w:cs="Times New Roman"/>
          <w:color w:val="auto"/>
          <w:sz w:val="24"/>
          <w:szCs w:val="24"/>
        </w:rPr>
        <w:t xml:space="preserve">, 1576490. </w:t>
      </w:r>
      <w:hyperlink r:id="rId20" w:history="1">
        <w:r w:rsidRPr="00E46DAC">
          <w:rPr>
            <w:rFonts w:ascii="Times New Roman" w:eastAsia="Times New Roman" w:hAnsi="Times New Roman" w:cs="Times New Roman"/>
            <w:color w:val="0000FF"/>
            <w:sz w:val="24"/>
            <w:szCs w:val="24"/>
            <w:u w:val="single"/>
          </w:rPr>
          <w:t>https://doi.org/10.3389/fmed.2025.1576490</w:t>
        </w:r>
      </w:hyperlink>
    </w:p>
    <w:p w14:paraId="3A3513C1" w14:textId="77777777" w:rsidR="00703E13" w:rsidRPr="00E46DAC" w:rsidRDefault="00703E13" w:rsidP="00703E13">
      <w:pPr>
        <w:spacing w:before="100" w:beforeAutospacing="1" w:after="100" w:afterAutospacing="1" w:line="240" w:lineRule="auto"/>
        <w:ind w:left="720" w:hanging="720"/>
        <w:rPr>
          <w:rFonts w:ascii="Times New Roman" w:eastAsia="Times New Roman" w:hAnsi="Times New Roman" w:cs="Times New Roman"/>
          <w:color w:val="auto"/>
          <w:sz w:val="24"/>
          <w:szCs w:val="24"/>
        </w:rPr>
      </w:pPr>
      <w:r w:rsidRPr="00E46DAC">
        <w:rPr>
          <w:rFonts w:ascii="Times New Roman" w:eastAsia="Times New Roman" w:hAnsi="Times New Roman" w:cs="Times New Roman"/>
          <w:color w:val="auto"/>
          <w:sz w:val="24"/>
          <w:szCs w:val="24"/>
        </w:rPr>
        <w:t xml:space="preserve">Louwers, Y. V., &amp; Laven, J. S. E. (2020). Characteristics of polycystic ovary syndrome throughout life. </w:t>
      </w:r>
      <w:r w:rsidRPr="00E46DAC">
        <w:rPr>
          <w:rFonts w:ascii="Times New Roman" w:eastAsia="Times New Roman" w:hAnsi="Times New Roman" w:cs="Times New Roman"/>
          <w:i/>
          <w:iCs/>
          <w:color w:val="auto"/>
          <w:sz w:val="24"/>
          <w:szCs w:val="24"/>
        </w:rPr>
        <w:t>Therapeutic Advances in Reproductive Health, 14</w:t>
      </w:r>
      <w:r w:rsidRPr="00E46DAC">
        <w:rPr>
          <w:rFonts w:ascii="Times New Roman" w:eastAsia="Times New Roman" w:hAnsi="Times New Roman" w:cs="Times New Roman"/>
          <w:color w:val="auto"/>
          <w:sz w:val="24"/>
          <w:szCs w:val="24"/>
        </w:rPr>
        <w:t xml:space="preserve">, 2633494120911038. </w:t>
      </w:r>
      <w:hyperlink r:id="rId21" w:history="1">
        <w:r w:rsidRPr="00E46DAC">
          <w:rPr>
            <w:rFonts w:ascii="Times New Roman" w:eastAsia="Times New Roman" w:hAnsi="Times New Roman" w:cs="Times New Roman"/>
            <w:color w:val="0000FF"/>
            <w:sz w:val="24"/>
            <w:szCs w:val="24"/>
            <w:u w:val="single"/>
          </w:rPr>
          <w:t>https://doi.org/10.1177/2633494120911038</w:t>
        </w:r>
      </w:hyperlink>
    </w:p>
    <w:p w14:paraId="2143AB3B" w14:textId="77777777" w:rsidR="00703E13" w:rsidRPr="00E46DAC" w:rsidRDefault="00703E13" w:rsidP="00703E13">
      <w:pPr>
        <w:spacing w:before="100" w:beforeAutospacing="1" w:after="100" w:afterAutospacing="1" w:line="240" w:lineRule="auto"/>
        <w:ind w:left="720" w:hanging="720"/>
        <w:rPr>
          <w:rFonts w:ascii="Times New Roman" w:eastAsia="Times New Roman" w:hAnsi="Times New Roman" w:cs="Times New Roman"/>
          <w:color w:val="auto"/>
          <w:sz w:val="24"/>
          <w:szCs w:val="24"/>
        </w:rPr>
      </w:pPr>
      <w:r w:rsidRPr="00E46DAC">
        <w:rPr>
          <w:rFonts w:ascii="Times New Roman" w:eastAsia="Times New Roman" w:hAnsi="Times New Roman" w:cs="Times New Roman"/>
          <w:color w:val="auto"/>
          <w:sz w:val="24"/>
          <w:szCs w:val="24"/>
        </w:rPr>
        <w:t xml:space="preserve">McNamara, T. P. (2005). </w:t>
      </w:r>
      <w:r w:rsidRPr="00E46DAC">
        <w:rPr>
          <w:rFonts w:ascii="Times New Roman" w:eastAsia="Times New Roman" w:hAnsi="Times New Roman" w:cs="Times New Roman"/>
          <w:i/>
          <w:iCs/>
          <w:color w:val="auto"/>
          <w:sz w:val="24"/>
          <w:szCs w:val="24"/>
        </w:rPr>
        <w:t>Semantic priming: Perspectives from memory and word recognition</w:t>
      </w:r>
      <w:r w:rsidRPr="00E46DAC">
        <w:rPr>
          <w:rFonts w:ascii="Times New Roman" w:eastAsia="Times New Roman" w:hAnsi="Times New Roman" w:cs="Times New Roman"/>
          <w:color w:val="auto"/>
          <w:sz w:val="24"/>
          <w:szCs w:val="24"/>
        </w:rPr>
        <w:t xml:space="preserve">. Psychology Press. </w:t>
      </w:r>
      <w:hyperlink r:id="rId22" w:history="1">
        <w:r w:rsidRPr="00E46DAC">
          <w:rPr>
            <w:rFonts w:ascii="Times New Roman" w:eastAsia="Times New Roman" w:hAnsi="Times New Roman" w:cs="Times New Roman"/>
            <w:color w:val="0000FF"/>
            <w:sz w:val="24"/>
            <w:szCs w:val="24"/>
            <w:u w:val="single"/>
          </w:rPr>
          <w:t>https://doi.org/10.4324/9780203338001</w:t>
        </w:r>
      </w:hyperlink>
    </w:p>
    <w:p w14:paraId="3C0CC14A" w14:textId="77777777" w:rsidR="00703E13" w:rsidRPr="00E46DAC" w:rsidRDefault="00703E13" w:rsidP="00703E13">
      <w:pPr>
        <w:spacing w:before="100" w:beforeAutospacing="1" w:after="100" w:afterAutospacing="1" w:line="240" w:lineRule="auto"/>
        <w:ind w:left="720" w:hanging="720"/>
        <w:rPr>
          <w:rFonts w:ascii="Times New Roman" w:eastAsia="Times New Roman" w:hAnsi="Times New Roman" w:cs="Times New Roman"/>
          <w:color w:val="auto"/>
          <w:sz w:val="24"/>
          <w:szCs w:val="24"/>
        </w:rPr>
      </w:pPr>
      <w:r w:rsidRPr="00E46DAC">
        <w:rPr>
          <w:rFonts w:ascii="Times New Roman" w:eastAsia="Times New Roman" w:hAnsi="Times New Roman" w:cs="Times New Roman"/>
          <w:color w:val="auto"/>
          <w:sz w:val="24"/>
          <w:szCs w:val="24"/>
        </w:rPr>
        <w:t xml:space="preserve">Missel, M., Andersen, L. K., Corvinius, C., Mathiasen, M. C., Donsel, P. O., Schønau, M. N., </w:t>
      </w:r>
      <w:proofErr w:type="spellStart"/>
      <w:r w:rsidRPr="00E46DAC">
        <w:rPr>
          <w:rFonts w:ascii="Times New Roman" w:eastAsia="Times New Roman" w:hAnsi="Times New Roman" w:cs="Times New Roman"/>
          <w:color w:val="auto"/>
          <w:sz w:val="24"/>
          <w:szCs w:val="24"/>
        </w:rPr>
        <w:t>Pappot</w:t>
      </w:r>
      <w:proofErr w:type="spellEnd"/>
      <w:r w:rsidRPr="00E46DAC">
        <w:rPr>
          <w:rFonts w:ascii="Times New Roman" w:eastAsia="Times New Roman" w:hAnsi="Times New Roman" w:cs="Times New Roman"/>
          <w:color w:val="auto"/>
          <w:sz w:val="24"/>
          <w:szCs w:val="24"/>
        </w:rPr>
        <w:t xml:space="preserve">, H., Witting, N., Culligan, M., Locatelli, G., Jarden, M., &amp; Piil, K. (2025). Understanding symptoms in the lives of adult patients with acute or chronic illness: A phenomenological study of patient experiences. </w:t>
      </w:r>
      <w:r w:rsidRPr="00E46DAC">
        <w:rPr>
          <w:rFonts w:ascii="Times New Roman" w:eastAsia="Times New Roman" w:hAnsi="Times New Roman" w:cs="Times New Roman"/>
          <w:i/>
          <w:iCs/>
          <w:color w:val="auto"/>
          <w:sz w:val="24"/>
          <w:szCs w:val="24"/>
        </w:rPr>
        <w:t>International Journal of Qualitative Studies on Health and Well-being, 20</w:t>
      </w:r>
      <w:r w:rsidRPr="00E46DAC">
        <w:rPr>
          <w:rFonts w:ascii="Times New Roman" w:eastAsia="Times New Roman" w:hAnsi="Times New Roman" w:cs="Times New Roman"/>
          <w:color w:val="auto"/>
          <w:sz w:val="24"/>
          <w:szCs w:val="24"/>
        </w:rPr>
        <w:t xml:space="preserve">(1), 2534871. </w:t>
      </w:r>
      <w:hyperlink r:id="rId23" w:history="1">
        <w:r w:rsidRPr="00E46DAC">
          <w:rPr>
            <w:rFonts w:ascii="Times New Roman" w:eastAsia="Times New Roman" w:hAnsi="Times New Roman" w:cs="Times New Roman"/>
            <w:color w:val="0000FF"/>
            <w:sz w:val="24"/>
            <w:szCs w:val="24"/>
            <w:u w:val="single"/>
          </w:rPr>
          <w:t>https://doi.org/10.1080/17482631.2025.2534871</w:t>
        </w:r>
      </w:hyperlink>
    </w:p>
    <w:p w14:paraId="505FF8F7" w14:textId="77777777" w:rsidR="00703E13" w:rsidRPr="00E46DAC" w:rsidRDefault="00703E13" w:rsidP="00703E13">
      <w:pPr>
        <w:spacing w:before="100" w:beforeAutospacing="1" w:after="100" w:afterAutospacing="1" w:line="240" w:lineRule="auto"/>
        <w:ind w:left="720" w:hanging="720"/>
        <w:rPr>
          <w:rFonts w:ascii="Times New Roman" w:eastAsia="Times New Roman" w:hAnsi="Times New Roman" w:cs="Times New Roman"/>
          <w:color w:val="auto"/>
          <w:sz w:val="24"/>
          <w:szCs w:val="24"/>
        </w:rPr>
      </w:pPr>
      <w:r w:rsidRPr="00E46DAC">
        <w:rPr>
          <w:rFonts w:ascii="Times New Roman" w:eastAsia="Times New Roman" w:hAnsi="Times New Roman" w:cs="Times New Roman"/>
          <w:color w:val="auto"/>
          <w:sz w:val="24"/>
          <w:szCs w:val="24"/>
        </w:rPr>
        <w:t xml:space="preserve">Pavičić Baldani, D., </w:t>
      </w:r>
      <w:proofErr w:type="spellStart"/>
      <w:r w:rsidRPr="00E46DAC">
        <w:rPr>
          <w:rFonts w:ascii="Times New Roman" w:eastAsia="Times New Roman" w:hAnsi="Times New Roman" w:cs="Times New Roman"/>
          <w:color w:val="auto"/>
          <w:sz w:val="24"/>
          <w:szCs w:val="24"/>
        </w:rPr>
        <w:t>Škrgatić</w:t>
      </w:r>
      <w:proofErr w:type="spellEnd"/>
      <w:r w:rsidRPr="00E46DAC">
        <w:rPr>
          <w:rFonts w:ascii="Times New Roman" w:eastAsia="Times New Roman" w:hAnsi="Times New Roman" w:cs="Times New Roman"/>
          <w:color w:val="auto"/>
          <w:sz w:val="24"/>
          <w:szCs w:val="24"/>
        </w:rPr>
        <w:t xml:space="preserve">, L., &amp; </w:t>
      </w:r>
      <w:proofErr w:type="spellStart"/>
      <w:r w:rsidRPr="00E46DAC">
        <w:rPr>
          <w:rFonts w:ascii="Times New Roman" w:eastAsia="Times New Roman" w:hAnsi="Times New Roman" w:cs="Times New Roman"/>
          <w:color w:val="auto"/>
          <w:sz w:val="24"/>
          <w:szCs w:val="24"/>
        </w:rPr>
        <w:t>Ougouag</w:t>
      </w:r>
      <w:proofErr w:type="spellEnd"/>
      <w:r w:rsidRPr="00E46DAC">
        <w:rPr>
          <w:rFonts w:ascii="Times New Roman" w:eastAsia="Times New Roman" w:hAnsi="Times New Roman" w:cs="Times New Roman"/>
          <w:color w:val="auto"/>
          <w:sz w:val="24"/>
          <w:szCs w:val="24"/>
        </w:rPr>
        <w:t xml:space="preserve">, R. (2015). Polycystic ovary syndrome: Important </w:t>
      </w:r>
      <w:proofErr w:type="spellStart"/>
      <w:r w:rsidRPr="00E46DAC">
        <w:rPr>
          <w:rFonts w:ascii="Times New Roman" w:eastAsia="Times New Roman" w:hAnsi="Times New Roman" w:cs="Times New Roman"/>
          <w:color w:val="auto"/>
          <w:sz w:val="24"/>
          <w:szCs w:val="24"/>
        </w:rPr>
        <w:t>underrecognised</w:t>
      </w:r>
      <w:proofErr w:type="spellEnd"/>
      <w:r w:rsidRPr="00E46DAC">
        <w:rPr>
          <w:rFonts w:ascii="Times New Roman" w:eastAsia="Times New Roman" w:hAnsi="Times New Roman" w:cs="Times New Roman"/>
          <w:color w:val="auto"/>
          <w:sz w:val="24"/>
          <w:szCs w:val="24"/>
        </w:rPr>
        <w:t xml:space="preserve"> cardiometabolic risk factor in reproductive-age women. </w:t>
      </w:r>
      <w:r w:rsidRPr="00E46DAC">
        <w:rPr>
          <w:rFonts w:ascii="Times New Roman" w:eastAsia="Times New Roman" w:hAnsi="Times New Roman" w:cs="Times New Roman"/>
          <w:i/>
          <w:iCs/>
          <w:color w:val="auto"/>
          <w:sz w:val="24"/>
          <w:szCs w:val="24"/>
        </w:rPr>
        <w:t>International Journal of Endocrinology, 2015</w:t>
      </w:r>
      <w:r w:rsidRPr="00E46DAC">
        <w:rPr>
          <w:rFonts w:ascii="Times New Roman" w:eastAsia="Times New Roman" w:hAnsi="Times New Roman" w:cs="Times New Roman"/>
          <w:color w:val="auto"/>
          <w:sz w:val="24"/>
          <w:szCs w:val="24"/>
        </w:rPr>
        <w:t xml:space="preserve">, 786362. </w:t>
      </w:r>
      <w:hyperlink r:id="rId24" w:history="1">
        <w:r w:rsidRPr="00E46DAC">
          <w:rPr>
            <w:rFonts w:ascii="Times New Roman" w:eastAsia="Times New Roman" w:hAnsi="Times New Roman" w:cs="Times New Roman"/>
            <w:color w:val="0000FF"/>
            <w:sz w:val="24"/>
            <w:szCs w:val="24"/>
            <w:u w:val="single"/>
          </w:rPr>
          <w:t>https://doi.org/10.1155/2015/786362</w:t>
        </w:r>
      </w:hyperlink>
    </w:p>
    <w:p w14:paraId="0CDF07B5" w14:textId="77777777" w:rsidR="00703E13" w:rsidRPr="00E46DAC" w:rsidRDefault="00703E13" w:rsidP="00703E13">
      <w:pPr>
        <w:spacing w:before="100" w:beforeAutospacing="1" w:after="100" w:afterAutospacing="1" w:line="240" w:lineRule="auto"/>
        <w:ind w:left="720" w:hanging="720"/>
        <w:rPr>
          <w:rFonts w:ascii="Times New Roman" w:eastAsia="Times New Roman" w:hAnsi="Times New Roman" w:cs="Times New Roman"/>
          <w:color w:val="auto"/>
          <w:sz w:val="24"/>
          <w:szCs w:val="24"/>
        </w:rPr>
      </w:pPr>
      <w:r w:rsidRPr="00E46DAC">
        <w:rPr>
          <w:rFonts w:ascii="Times New Roman" w:eastAsia="Times New Roman" w:hAnsi="Times New Roman" w:cs="Times New Roman"/>
          <w:color w:val="auto"/>
          <w:sz w:val="24"/>
          <w:szCs w:val="24"/>
        </w:rPr>
        <w:lastRenderedPageBreak/>
        <w:t xml:space="preserve">Shukla, A., Rasquin, L. I., &amp; Anastasopoulou, C. (2025). Polyendocrine metabolic ovarian syndrome. In </w:t>
      </w:r>
      <w:proofErr w:type="spellStart"/>
      <w:r w:rsidRPr="00E46DAC">
        <w:rPr>
          <w:rFonts w:ascii="Times New Roman" w:eastAsia="Times New Roman" w:hAnsi="Times New Roman" w:cs="Times New Roman"/>
          <w:i/>
          <w:iCs/>
          <w:color w:val="auto"/>
          <w:sz w:val="24"/>
          <w:szCs w:val="24"/>
        </w:rPr>
        <w:t>StatPearls</w:t>
      </w:r>
      <w:proofErr w:type="spellEnd"/>
      <w:r w:rsidRPr="00E46DAC">
        <w:rPr>
          <w:rFonts w:ascii="Times New Roman" w:eastAsia="Times New Roman" w:hAnsi="Times New Roman" w:cs="Times New Roman"/>
          <w:color w:val="auto"/>
          <w:sz w:val="24"/>
          <w:szCs w:val="24"/>
        </w:rPr>
        <w:t xml:space="preserve">. </w:t>
      </w:r>
      <w:proofErr w:type="spellStart"/>
      <w:r w:rsidRPr="00E46DAC">
        <w:rPr>
          <w:rFonts w:ascii="Times New Roman" w:eastAsia="Times New Roman" w:hAnsi="Times New Roman" w:cs="Times New Roman"/>
          <w:color w:val="auto"/>
          <w:sz w:val="24"/>
          <w:szCs w:val="24"/>
        </w:rPr>
        <w:t>StatPearls</w:t>
      </w:r>
      <w:proofErr w:type="spellEnd"/>
      <w:r w:rsidRPr="00E46DAC">
        <w:rPr>
          <w:rFonts w:ascii="Times New Roman" w:eastAsia="Times New Roman" w:hAnsi="Times New Roman" w:cs="Times New Roman"/>
          <w:color w:val="auto"/>
          <w:sz w:val="24"/>
          <w:szCs w:val="24"/>
        </w:rPr>
        <w:t xml:space="preserve"> Publishing. </w:t>
      </w:r>
      <w:hyperlink r:id="rId25" w:history="1">
        <w:r w:rsidRPr="00E46DAC">
          <w:rPr>
            <w:rFonts w:ascii="Times New Roman" w:eastAsia="Times New Roman" w:hAnsi="Times New Roman" w:cs="Times New Roman"/>
            <w:color w:val="0000FF"/>
            <w:sz w:val="24"/>
            <w:szCs w:val="24"/>
            <w:u w:val="single"/>
          </w:rPr>
          <w:t>https://www.ncbi.nlm.nih.gov/books/NBK459251/</w:t>
        </w:r>
      </w:hyperlink>
    </w:p>
    <w:p w14:paraId="6337546A" w14:textId="77777777" w:rsidR="00703E13" w:rsidRPr="00E46DAC" w:rsidRDefault="00703E13" w:rsidP="00703E13">
      <w:pPr>
        <w:spacing w:before="100" w:beforeAutospacing="1" w:after="100" w:afterAutospacing="1" w:line="240" w:lineRule="auto"/>
        <w:ind w:left="720" w:hanging="720"/>
        <w:rPr>
          <w:rFonts w:ascii="Times New Roman" w:eastAsia="Times New Roman" w:hAnsi="Times New Roman" w:cs="Times New Roman"/>
          <w:color w:val="auto"/>
          <w:sz w:val="24"/>
          <w:szCs w:val="24"/>
        </w:rPr>
      </w:pPr>
      <w:r w:rsidRPr="00E46DAC">
        <w:rPr>
          <w:rFonts w:ascii="Times New Roman" w:eastAsia="Times New Roman" w:hAnsi="Times New Roman" w:cs="Times New Roman"/>
          <w:color w:val="auto"/>
          <w:sz w:val="24"/>
          <w:szCs w:val="24"/>
        </w:rPr>
        <w:t xml:space="preserve">Sims, R., Michaleff, Z. A., </w:t>
      </w:r>
      <w:proofErr w:type="spellStart"/>
      <w:r w:rsidRPr="00E46DAC">
        <w:rPr>
          <w:rFonts w:ascii="Times New Roman" w:eastAsia="Times New Roman" w:hAnsi="Times New Roman" w:cs="Times New Roman"/>
          <w:color w:val="auto"/>
          <w:sz w:val="24"/>
          <w:szCs w:val="24"/>
        </w:rPr>
        <w:t>Glasziou</w:t>
      </w:r>
      <w:proofErr w:type="spellEnd"/>
      <w:r w:rsidRPr="00E46DAC">
        <w:rPr>
          <w:rFonts w:ascii="Times New Roman" w:eastAsia="Times New Roman" w:hAnsi="Times New Roman" w:cs="Times New Roman"/>
          <w:color w:val="auto"/>
          <w:sz w:val="24"/>
          <w:szCs w:val="24"/>
        </w:rPr>
        <w:t xml:space="preserve">, P., &amp; Thomas, R. (2025). Discussing the potential consequences of a diagnostic label before routine non-cancer screening: Qualitative study with general practitioners and consumers. </w:t>
      </w:r>
      <w:proofErr w:type="spellStart"/>
      <w:r w:rsidRPr="00E46DAC">
        <w:rPr>
          <w:rFonts w:ascii="Times New Roman" w:eastAsia="Times New Roman" w:hAnsi="Times New Roman" w:cs="Times New Roman"/>
          <w:i/>
          <w:iCs/>
          <w:color w:val="auto"/>
          <w:sz w:val="24"/>
          <w:szCs w:val="24"/>
        </w:rPr>
        <w:t>BJPsych</w:t>
      </w:r>
      <w:proofErr w:type="spellEnd"/>
      <w:r w:rsidRPr="00E46DAC">
        <w:rPr>
          <w:rFonts w:ascii="Times New Roman" w:eastAsia="Times New Roman" w:hAnsi="Times New Roman" w:cs="Times New Roman"/>
          <w:i/>
          <w:iCs/>
          <w:color w:val="auto"/>
          <w:sz w:val="24"/>
          <w:szCs w:val="24"/>
        </w:rPr>
        <w:t xml:space="preserve"> Open, 11</w:t>
      </w:r>
      <w:r w:rsidRPr="00E46DAC">
        <w:rPr>
          <w:rFonts w:ascii="Times New Roman" w:eastAsia="Times New Roman" w:hAnsi="Times New Roman" w:cs="Times New Roman"/>
          <w:color w:val="auto"/>
          <w:sz w:val="24"/>
          <w:szCs w:val="24"/>
        </w:rPr>
        <w:t xml:space="preserve">(4), e106. </w:t>
      </w:r>
      <w:hyperlink r:id="rId26" w:history="1">
        <w:r w:rsidRPr="00E46DAC">
          <w:rPr>
            <w:rFonts w:ascii="Times New Roman" w:eastAsia="Times New Roman" w:hAnsi="Times New Roman" w:cs="Times New Roman"/>
            <w:color w:val="0000FF"/>
            <w:sz w:val="24"/>
            <w:szCs w:val="24"/>
            <w:u w:val="single"/>
          </w:rPr>
          <w:t>https://doi.org/10.1192/bjo.2025.5</w:t>
        </w:r>
      </w:hyperlink>
    </w:p>
    <w:p w14:paraId="5CAE400C" w14:textId="77777777" w:rsidR="00703E13" w:rsidRPr="00E46DAC" w:rsidRDefault="00703E13" w:rsidP="00703E13">
      <w:pPr>
        <w:spacing w:before="100" w:beforeAutospacing="1" w:after="100" w:afterAutospacing="1" w:line="240" w:lineRule="auto"/>
        <w:ind w:left="720" w:hanging="720"/>
        <w:rPr>
          <w:rFonts w:ascii="Times New Roman" w:eastAsia="Times New Roman" w:hAnsi="Times New Roman" w:cs="Times New Roman"/>
          <w:color w:val="auto"/>
          <w:sz w:val="24"/>
          <w:szCs w:val="24"/>
        </w:rPr>
      </w:pPr>
      <w:r w:rsidRPr="00E46DAC">
        <w:rPr>
          <w:rFonts w:ascii="Times New Roman" w:eastAsia="Times New Roman" w:hAnsi="Times New Roman" w:cs="Times New Roman"/>
          <w:color w:val="auto"/>
          <w:sz w:val="24"/>
          <w:szCs w:val="24"/>
        </w:rPr>
        <w:t xml:space="preserve">Society of General Internal Medicine. (2014). Abstracts from the 37th annual meeting of the Society of General Internal Medicine. </w:t>
      </w:r>
      <w:r w:rsidRPr="00E46DAC">
        <w:rPr>
          <w:rFonts w:ascii="Times New Roman" w:eastAsia="Times New Roman" w:hAnsi="Times New Roman" w:cs="Times New Roman"/>
          <w:i/>
          <w:iCs/>
          <w:color w:val="auto"/>
          <w:sz w:val="24"/>
          <w:szCs w:val="24"/>
        </w:rPr>
        <w:t>Journal of General Internal Medicine, 29</w:t>
      </w:r>
      <w:r w:rsidRPr="00E46DAC">
        <w:rPr>
          <w:rFonts w:ascii="Times New Roman" w:eastAsia="Times New Roman" w:hAnsi="Times New Roman" w:cs="Times New Roman"/>
          <w:color w:val="auto"/>
          <w:sz w:val="24"/>
          <w:szCs w:val="24"/>
        </w:rPr>
        <w:t xml:space="preserve">(Suppl. 1), 1–545. </w:t>
      </w:r>
      <w:hyperlink r:id="rId27" w:history="1">
        <w:r w:rsidRPr="00E46DAC">
          <w:rPr>
            <w:rFonts w:ascii="Times New Roman" w:eastAsia="Times New Roman" w:hAnsi="Times New Roman" w:cs="Times New Roman"/>
            <w:color w:val="0000FF"/>
            <w:sz w:val="24"/>
            <w:szCs w:val="24"/>
            <w:u w:val="single"/>
          </w:rPr>
          <w:t>https://doi.org/10.1007/s11606-014-2834-9</w:t>
        </w:r>
      </w:hyperlink>
    </w:p>
    <w:p w14:paraId="23DBE886" w14:textId="77777777" w:rsidR="00703E13" w:rsidRPr="00E46DAC" w:rsidRDefault="00703E13" w:rsidP="00703E13">
      <w:pPr>
        <w:spacing w:before="100" w:beforeAutospacing="1" w:after="100" w:afterAutospacing="1" w:line="240" w:lineRule="auto"/>
        <w:ind w:left="720" w:hanging="720"/>
        <w:rPr>
          <w:rFonts w:ascii="Times New Roman" w:eastAsia="Times New Roman" w:hAnsi="Times New Roman" w:cs="Times New Roman"/>
          <w:color w:val="auto"/>
          <w:sz w:val="24"/>
          <w:szCs w:val="24"/>
        </w:rPr>
      </w:pPr>
      <w:r w:rsidRPr="00E46DAC">
        <w:rPr>
          <w:rFonts w:ascii="Times New Roman" w:eastAsia="Times New Roman" w:hAnsi="Times New Roman" w:cs="Times New Roman"/>
          <w:color w:val="auto"/>
          <w:sz w:val="24"/>
          <w:szCs w:val="24"/>
        </w:rPr>
        <w:t xml:space="preserve">Stener-Victorin, E., </w:t>
      </w:r>
      <w:proofErr w:type="spellStart"/>
      <w:r w:rsidRPr="00E46DAC">
        <w:rPr>
          <w:rFonts w:ascii="Times New Roman" w:eastAsia="Times New Roman" w:hAnsi="Times New Roman" w:cs="Times New Roman"/>
          <w:color w:val="auto"/>
          <w:sz w:val="24"/>
          <w:szCs w:val="24"/>
        </w:rPr>
        <w:t>Teede</w:t>
      </w:r>
      <w:proofErr w:type="spellEnd"/>
      <w:r w:rsidRPr="00E46DAC">
        <w:rPr>
          <w:rFonts w:ascii="Times New Roman" w:eastAsia="Times New Roman" w:hAnsi="Times New Roman" w:cs="Times New Roman"/>
          <w:color w:val="auto"/>
          <w:sz w:val="24"/>
          <w:szCs w:val="24"/>
        </w:rPr>
        <w:t xml:space="preserve">, H., Norman, R. J., Legro, R., Goodarzi, M. O., </w:t>
      </w:r>
      <w:proofErr w:type="spellStart"/>
      <w:r w:rsidRPr="00E46DAC">
        <w:rPr>
          <w:rFonts w:ascii="Times New Roman" w:eastAsia="Times New Roman" w:hAnsi="Times New Roman" w:cs="Times New Roman"/>
          <w:color w:val="auto"/>
          <w:sz w:val="24"/>
          <w:szCs w:val="24"/>
        </w:rPr>
        <w:t>Dokras</w:t>
      </w:r>
      <w:proofErr w:type="spellEnd"/>
      <w:r w:rsidRPr="00E46DAC">
        <w:rPr>
          <w:rFonts w:ascii="Times New Roman" w:eastAsia="Times New Roman" w:hAnsi="Times New Roman" w:cs="Times New Roman"/>
          <w:color w:val="auto"/>
          <w:sz w:val="24"/>
          <w:szCs w:val="24"/>
        </w:rPr>
        <w:t xml:space="preserve">, A., Laven, J., Hoeger, K., &amp; </w:t>
      </w:r>
      <w:proofErr w:type="spellStart"/>
      <w:r w:rsidRPr="00E46DAC">
        <w:rPr>
          <w:rFonts w:ascii="Times New Roman" w:eastAsia="Times New Roman" w:hAnsi="Times New Roman" w:cs="Times New Roman"/>
          <w:color w:val="auto"/>
          <w:sz w:val="24"/>
          <w:szCs w:val="24"/>
        </w:rPr>
        <w:t>Piltonen</w:t>
      </w:r>
      <w:proofErr w:type="spellEnd"/>
      <w:r w:rsidRPr="00E46DAC">
        <w:rPr>
          <w:rFonts w:ascii="Times New Roman" w:eastAsia="Times New Roman" w:hAnsi="Times New Roman" w:cs="Times New Roman"/>
          <w:color w:val="auto"/>
          <w:sz w:val="24"/>
          <w:szCs w:val="24"/>
        </w:rPr>
        <w:t xml:space="preserve">, T. T. (2024). Polycystic ovary syndrome. </w:t>
      </w:r>
      <w:r w:rsidRPr="00E46DAC">
        <w:rPr>
          <w:rFonts w:ascii="Times New Roman" w:eastAsia="Times New Roman" w:hAnsi="Times New Roman" w:cs="Times New Roman"/>
          <w:i/>
          <w:iCs/>
          <w:color w:val="auto"/>
          <w:sz w:val="24"/>
          <w:szCs w:val="24"/>
        </w:rPr>
        <w:t>Nature Reviews Disease Primers, 10</w:t>
      </w:r>
      <w:r w:rsidRPr="00E46DAC">
        <w:rPr>
          <w:rFonts w:ascii="Times New Roman" w:eastAsia="Times New Roman" w:hAnsi="Times New Roman" w:cs="Times New Roman"/>
          <w:color w:val="auto"/>
          <w:sz w:val="24"/>
          <w:szCs w:val="24"/>
        </w:rPr>
        <w:t xml:space="preserve">, 27. </w:t>
      </w:r>
      <w:hyperlink r:id="rId28" w:history="1">
        <w:r w:rsidRPr="00E46DAC">
          <w:rPr>
            <w:rFonts w:ascii="Times New Roman" w:eastAsia="Times New Roman" w:hAnsi="Times New Roman" w:cs="Times New Roman"/>
            <w:color w:val="0000FF"/>
            <w:sz w:val="24"/>
            <w:szCs w:val="24"/>
            <w:u w:val="single"/>
          </w:rPr>
          <w:t>https://doi.org/10.1038/s41572-024-00511-3</w:t>
        </w:r>
      </w:hyperlink>
    </w:p>
    <w:p w14:paraId="46742031" w14:textId="77777777" w:rsidR="00703E13" w:rsidRPr="00E46DAC" w:rsidRDefault="00703E13" w:rsidP="00703E13">
      <w:pPr>
        <w:spacing w:before="100" w:beforeAutospacing="1" w:after="100" w:afterAutospacing="1" w:line="240" w:lineRule="auto"/>
        <w:ind w:left="720" w:hanging="720"/>
        <w:rPr>
          <w:rFonts w:ascii="Times New Roman" w:eastAsia="Times New Roman" w:hAnsi="Times New Roman" w:cs="Times New Roman"/>
          <w:color w:val="auto"/>
          <w:sz w:val="24"/>
          <w:szCs w:val="24"/>
        </w:rPr>
      </w:pPr>
      <w:proofErr w:type="spellStart"/>
      <w:r w:rsidRPr="00E46DAC">
        <w:rPr>
          <w:rFonts w:ascii="Times New Roman" w:eastAsia="Times New Roman" w:hAnsi="Times New Roman" w:cs="Times New Roman"/>
          <w:color w:val="auto"/>
          <w:sz w:val="24"/>
          <w:szCs w:val="24"/>
        </w:rPr>
        <w:t>Stollznow</w:t>
      </w:r>
      <w:proofErr w:type="spellEnd"/>
      <w:r w:rsidRPr="00E46DAC">
        <w:rPr>
          <w:rFonts w:ascii="Times New Roman" w:eastAsia="Times New Roman" w:hAnsi="Times New Roman" w:cs="Times New Roman"/>
          <w:color w:val="auto"/>
          <w:sz w:val="24"/>
          <w:szCs w:val="24"/>
        </w:rPr>
        <w:t xml:space="preserve">, K. (2020, November 23). </w:t>
      </w:r>
      <w:r w:rsidRPr="00E46DAC">
        <w:rPr>
          <w:rFonts w:ascii="Times New Roman" w:eastAsia="Times New Roman" w:hAnsi="Times New Roman" w:cs="Times New Roman"/>
          <w:i/>
          <w:iCs/>
          <w:color w:val="auto"/>
          <w:sz w:val="24"/>
          <w:szCs w:val="24"/>
        </w:rPr>
        <w:t>How did Down syndrome get its name?</w:t>
      </w:r>
      <w:r w:rsidRPr="00E46DAC">
        <w:rPr>
          <w:rFonts w:ascii="Times New Roman" w:eastAsia="Times New Roman" w:hAnsi="Times New Roman" w:cs="Times New Roman"/>
          <w:color w:val="auto"/>
          <w:sz w:val="24"/>
          <w:szCs w:val="24"/>
        </w:rPr>
        <w:t xml:space="preserve"> Cambridge Core Blog. </w:t>
      </w:r>
      <w:hyperlink r:id="rId29" w:history="1">
        <w:r w:rsidRPr="00E46DAC">
          <w:rPr>
            <w:rFonts w:ascii="Times New Roman" w:eastAsia="Times New Roman" w:hAnsi="Times New Roman" w:cs="Times New Roman"/>
            <w:color w:val="0000FF"/>
            <w:sz w:val="24"/>
            <w:szCs w:val="24"/>
            <w:u w:val="single"/>
          </w:rPr>
          <w:t>https://www.cambridge.org/core/blog/2020/11/23/how-did-down-syndrome-get-its-name/</w:t>
        </w:r>
      </w:hyperlink>
    </w:p>
    <w:p w14:paraId="7003C486" w14:textId="77777777" w:rsidR="00703E13" w:rsidRPr="00E46DAC" w:rsidRDefault="00703E13" w:rsidP="00703E13">
      <w:pPr>
        <w:spacing w:before="100" w:beforeAutospacing="1" w:after="100" w:afterAutospacing="1" w:line="240" w:lineRule="auto"/>
        <w:ind w:left="720" w:hanging="720"/>
        <w:rPr>
          <w:rFonts w:ascii="Times New Roman" w:eastAsia="Times New Roman" w:hAnsi="Times New Roman" w:cs="Times New Roman"/>
          <w:color w:val="auto"/>
          <w:sz w:val="24"/>
          <w:szCs w:val="24"/>
        </w:rPr>
      </w:pPr>
      <w:proofErr w:type="spellStart"/>
      <w:r w:rsidRPr="00E46DAC">
        <w:rPr>
          <w:rFonts w:ascii="Times New Roman" w:eastAsia="Times New Roman" w:hAnsi="Times New Roman" w:cs="Times New Roman"/>
          <w:color w:val="auto"/>
          <w:sz w:val="24"/>
          <w:szCs w:val="24"/>
          <w:lang w:val="es-US"/>
        </w:rPr>
        <w:t>Suemo</w:t>
      </w:r>
      <w:proofErr w:type="spellEnd"/>
      <w:r w:rsidRPr="00E46DAC">
        <w:rPr>
          <w:rFonts w:ascii="Times New Roman" w:eastAsia="Times New Roman" w:hAnsi="Times New Roman" w:cs="Times New Roman"/>
          <w:color w:val="auto"/>
          <w:sz w:val="24"/>
          <w:szCs w:val="24"/>
          <w:lang w:val="es-US"/>
        </w:rPr>
        <w:t xml:space="preserve">, J. S., </w:t>
      </w:r>
      <w:proofErr w:type="spellStart"/>
      <w:r w:rsidRPr="00E46DAC">
        <w:rPr>
          <w:rFonts w:ascii="Times New Roman" w:eastAsia="Times New Roman" w:hAnsi="Times New Roman" w:cs="Times New Roman"/>
          <w:color w:val="auto"/>
          <w:sz w:val="24"/>
          <w:szCs w:val="24"/>
          <w:lang w:val="es-US"/>
        </w:rPr>
        <w:t>Ternenge</w:t>
      </w:r>
      <w:proofErr w:type="spellEnd"/>
      <w:r w:rsidRPr="00E46DAC">
        <w:rPr>
          <w:rFonts w:ascii="Times New Roman" w:eastAsia="Times New Roman" w:hAnsi="Times New Roman" w:cs="Times New Roman"/>
          <w:color w:val="auto"/>
          <w:sz w:val="24"/>
          <w:szCs w:val="24"/>
          <w:lang w:val="es-US"/>
        </w:rPr>
        <w:t xml:space="preserve">, K., &amp; Adeyemi, R. (2023). </w:t>
      </w:r>
      <w:r w:rsidRPr="00E46DAC">
        <w:rPr>
          <w:rFonts w:ascii="Times New Roman" w:eastAsia="Times New Roman" w:hAnsi="Times New Roman" w:cs="Times New Roman"/>
          <w:color w:val="auto"/>
          <w:sz w:val="24"/>
          <w:szCs w:val="24"/>
        </w:rPr>
        <w:t xml:space="preserve">Appraisal of the influence of broadcast media on knowledge of mental health among the Nigerian audience. </w:t>
      </w:r>
      <w:r w:rsidRPr="00E46DAC">
        <w:rPr>
          <w:rFonts w:ascii="Times New Roman" w:eastAsia="Times New Roman" w:hAnsi="Times New Roman" w:cs="Times New Roman"/>
          <w:i/>
          <w:iCs/>
          <w:color w:val="auto"/>
          <w:sz w:val="24"/>
          <w:szCs w:val="24"/>
        </w:rPr>
        <w:t>Asian Journal of Current Research, 8</w:t>
      </w:r>
      <w:r w:rsidRPr="00E46DAC">
        <w:rPr>
          <w:rFonts w:ascii="Times New Roman" w:eastAsia="Times New Roman" w:hAnsi="Times New Roman" w:cs="Times New Roman"/>
          <w:color w:val="auto"/>
          <w:sz w:val="24"/>
          <w:szCs w:val="24"/>
        </w:rPr>
        <w:t xml:space="preserve">(2), 40–51. </w:t>
      </w:r>
      <w:hyperlink r:id="rId30" w:history="1">
        <w:r w:rsidRPr="00E46DAC">
          <w:rPr>
            <w:rFonts w:ascii="Times New Roman" w:eastAsia="Times New Roman" w:hAnsi="Times New Roman" w:cs="Times New Roman"/>
            <w:color w:val="0000FF"/>
            <w:sz w:val="24"/>
            <w:szCs w:val="24"/>
            <w:u w:val="single"/>
          </w:rPr>
          <w:t>https://doi.org/10.56557/AJOCR/2023/v8i28299</w:t>
        </w:r>
      </w:hyperlink>
    </w:p>
    <w:p w14:paraId="5B9748E1" w14:textId="77777777" w:rsidR="00703E13" w:rsidRPr="00E46DAC" w:rsidRDefault="00703E13" w:rsidP="00703E13">
      <w:pPr>
        <w:spacing w:before="100" w:beforeAutospacing="1" w:after="100" w:afterAutospacing="1" w:line="240" w:lineRule="auto"/>
        <w:ind w:left="720" w:hanging="720"/>
        <w:rPr>
          <w:rFonts w:ascii="Times New Roman" w:eastAsia="Times New Roman" w:hAnsi="Times New Roman" w:cs="Times New Roman"/>
          <w:color w:val="auto"/>
          <w:sz w:val="24"/>
          <w:szCs w:val="24"/>
        </w:rPr>
      </w:pPr>
      <w:r w:rsidRPr="00E46DAC">
        <w:rPr>
          <w:rFonts w:ascii="Times New Roman" w:eastAsia="Times New Roman" w:hAnsi="Times New Roman" w:cs="Times New Roman"/>
          <w:color w:val="auto"/>
          <w:sz w:val="24"/>
          <w:szCs w:val="24"/>
        </w:rPr>
        <w:t xml:space="preserve">Sung, N., Amir, J., Abed </w:t>
      </w:r>
      <w:proofErr w:type="spellStart"/>
      <w:r w:rsidRPr="00E46DAC">
        <w:rPr>
          <w:rFonts w:ascii="Times New Roman" w:eastAsia="Times New Roman" w:hAnsi="Times New Roman" w:cs="Times New Roman"/>
          <w:color w:val="auto"/>
          <w:sz w:val="24"/>
          <w:szCs w:val="24"/>
        </w:rPr>
        <w:t>Alwahab</w:t>
      </w:r>
      <w:proofErr w:type="spellEnd"/>
      <w:r w:rsidRPr="00E46DAC">
        <w:rPr>
          <w:rFonts w:ascii="Times New Roman" w:eastAsia="Times New Roman" w:hAnsi="Times New Roman" w:cs="Times New Roman"/>
          <w:color w:val="auto"/>
          <w:sz w:val="24"/>
          <w:szCs w:val="24"/>
        </w:rPr>
        <w:t xml:space="preserve">, U., &amp; Falcone, T. (2026). Polycystic ovary syndrome: An update on diagnosis and management. </w:t>
      </w:r>
      <w:r w:rsidRPr="00E46DAC">
        <w:rPr>
          <w:rFonts w:ascii="Times New Roman" w:eastAsia="Times New Roman" w:hAnsi="Times New Roman" w:cs="Times New Roman"/>
          <w:i/>
          <w:iCs/>
          <w:color w:val="auto"/>
          <w:sz w:val="24"/>
          <w:szCs w:val="24"/>
        </w:rPr>
        <w:t>Cleveland Clinic Journal of Medicine, 93</w:t>
      </w:r>
      <w:r w:rsidRPr="00E46DAC">
        <w:rPr>
          <w:rFonts w:ascii="Times New Roman" w:eastAsia="Times New Roman" w:hAnsi="Times New Roman" w:cs="Times New Roman"/>
          <w:color w:val="auto"/>
          <w:sz w:val="24"/>
          <w:szCs w:val="24"/>
        </w:rPr>
        <w:t xml:space="preserve">(3), 176–183. </w:t>
      </w:r>
      <w:hyperlink r:id="rId31" w:history="1">
        <w:r w:rsidRPr="00E46DAC">
          <w:rPr>
            <w:rFonts w:ascii="Times New Roman" w:eastAsia="Times New Roman" w:hAnsi="Times New Roman" w:cs="Times New Roman"/>
            <w:color w:val="0000FF"/>
            <w:sz w:val="24"/>
            <w:szCs w:val="24"/>
            <w:u w:val="single"/>
          </w:rPr>
          <w:t>https://doi.org/10.3949/ccjm.93a.25090</w:t>
        </w:r>
      </w:hyperlink>
    </w:p>
    <w:p w14:paraId="55D3D7D9" w14:textId="77777777" w:rsidR="00703E13" w:rsidRPr="00E46DAC" w:rsidRDefault="00703E13" w:rsidP="00703E13">
      <w:pPr>
        <w:spacing w:before="100" w:beforeAutospacing="1" w:after="100" w:afterAutospacing="1" w:line="240" w:lineRule="auto"/>
        <w:ind w:left="720" w:hanging="720"/>
        <w:rPr>
          <w:rFonts w:ascii="Times New Roman" w:eastAsia="Times New Roman" w:hAnsi="Times New Roman" w:cs="Times New Roman"/>
          <w:color w:val="auto"/>
          <w:sz w:val="24"/>
          <w:szCs w:val="24"/>
        </w:rPr>
      </w:pPr>
      <w:proofErr w:type="spellStart"/>
      <w:r w:rsidRPr="00E46DAC">
        <w:rPr>
          <w:rFonts w:ascii="Times New Roman" w:eastAsia="Times New Roman" w:hAnsi="Times New Roman" w:cs="Times New Roman"/>
          <w:color w:val="auto"/>
          <w:sz w:val="24"/>
          <w:szCs w:val="24"/>
        </w:rPr>
        <w:t>Teede</w:t>
      </w:r>
      <w:proofErr w:type="spellEnd"/>
      <w:r w:rsidRPr="00E46DAC">
        <w:rPr>
          <w:rFonts w:ascii="Times New Roman" w:eastAsia="Times New Roman" w:hAnsi="Times New Roman" w:cs="Times New Roman"/>
          <w:color w:val="auto"/>
          <w:sz w:val="24"/>
          <w:szCs w:val="24"/>
        </w:rPr>
        <w:t xml:space="preserve">, H. J., Tay, C. T., Laven, J., </w:t>
      </w:r>
      <w:proofErr w:type="spellStart"/>
      <w:r w:rsidRPr="00E46DAC">
        <w:rPr>
          <w:rFonts w:ascii="Times New Roman" w:eastAsia="Times New Roman" w:hAnsi="Times New Roman" w:cs="Times New Roman"/>
          <w:color w:val="auto"/>
          <w:sz w:val="24"/>
          <w:szCs w:val="24"/>
        </w:rPr>
        <w:t>Dokras</w:t>
      </w:r>
      <w:proofErr w:type="spellEnd"/>
      <w:r w:rsidRPr="00E46DAC">
        <w:rPr>
          <w:rFonts w:ascii="Times New Roman" w:eastAsia="Times New Roman" w:hAnsi="Times New Roman" w:cs="Times New Roman"/>
          <w:color w:val="auto"/>
          <w:sz w:val="24"/>
          <w:szCs w:val="24"/>
        </w:rPr>
        <w:t xml:space="preserve">, A., Moran, L. J., </w:t>
      </w:r>
      <w:proofErr w:type="spellStart"/>
      <w:r w:rsidRPr="00E46DAC">
        <w:rPr>
          <w:rFonts w:ascii="Times New Roman" w:eastAsia="Times New Roman" w:hAnsi="Times New Roman" w:cs="Times New Roman"/>
          <w:color w:val="auto"/>
          <w:sz w:val="24"/>
          <w:szCs w:val="24"/>
        </w:rPr>
        <w:t>Piltonen</w:t>
      </w:r>
      <w:proofErr w:type="spellEnd"/>
      <w:r w:rsidRPr="00E46DAC">
        <w:rPr>
          <w:rFonts w:ascii="Times New Roman" w:eastAsia="Times New Roman" w:hAnsi="Times New Roman" w:cs="Times New Roman"/>
          <w:color w:val="auto"/>
          <w:sz w:val="24"/>
          <w:szCs w:val="24"/>
        </w:rPr>
        <w:t xml:space="preserve">, T. T., Costello, M. F., Boivin, J., Redman, L. M., Boyle, J. A., Norman, R. J., Mousa, A., Joham, A. E., &amp; International PCOS Network. (2023). Recommendations from the 2023 international evidence-based guideline for the assessment and management of polycystic ovary syndrome. </w:t>
      </w:r>
      <w:r w:rsidRPr="00E46DAC">
        <w:rPr>
          <w:rFonts w:ascii="Times New Roman" w:eastAsia="Times New Roman" w:hAnsi="Times New Roman" w:cs="Times New Roman"/>
          <w:i/>
          <w:iCs/>
          <w:color w:val="auto"/>
          <w:sz w:val="24"/>
          <w:szCs w:val="24"/>
        </w:rPr>
        <w:t>Fertility and Sterility, 120</w:t>
      </w:r>
      <w:r w:rsidRPr="00E46DAC">
        <w:rPr>
          <w:rFonts w:ascii="Times New Roman" w:eastAsia="Times New Roman" w:hAnsi="Times New Roman" w:cs="Times New Roman"/>
          <w:color w:val="auto"/>
          <w:sz w:val="24"/>
          <w:szCs w:val="24"/>
        </w:rPr>
        <w:t xml:space="preserve">(4), 767–793. </w:t>
      </w:r>
      <w:hyperlink r:id="rId32" w:history="1">
        <w:r w:rsidRPr="00E46DAC">
          <w:rPr>
            <w:rFonts w:ascii="Times New Roman" w:eastAsia="Times New Roman" w:hAnsi="Times New Roman" w:cs="Times New Roman"/>
            <w:color w:val="0000FF"/>
            <w:sz w:val="24"/>
            <w:szCs w:val="24"/>
            <w:u w:val="single"/>
          </w:rPr>
          <w:t>https://doi.org/10.1016/j.fertnstert.2023.07.025</w:t>
        </w:r>
      </w:hyperlink>
    </w:p>
    <w:p w14:paraId="3B0C8031" w14:textId="77777777" w:rsidR="005A226B" w:rsidRPr="00E46DAC" w:rsidRDefault="00000000">
      <w:pPr>
        <w:spacing w:before="100" w:beforeAutospacing="1" w:after="100" w:afterAutospacing="1" w:line="240" w:lineRule="auto"/>
        <w:ind w:left="720" w:hanging="720"/>
        <w:rPr>
          <w:rFonts w:ascii="Times New Roman" w:eastAsia="Times New Roman" w:hAnsi="Times New Roman" w:cs="Times New Roman"/>
          <w:bCs/>
          <w:color w:val="auto"/>
          <w:sz w:val="24"/>
          <w:szCs w:val="24"/>
        </w:rPr>
      </w:pPr>
      <w:proofErr w:type="spellStart"/>
      <w:r w:rsidRPr="00E46DAC">
        <w:rPr>
          <w:rFonts w:ascii="Times New Roman" w:eastAsia="Times New Roman" w:hAnsi="Times New Roman" w:cs="Times New Roman"/>
          <w:bCs/>
          <w:sz w:val="24"/>
        </w:rPr>
        <w:t>Teede</w:t>
      </w:r>
      <w:proofErr w:type="spellEnd"/>
      <w:r w:rsidRPr="00E46DAC">
        <w:rPr>
          <w:rFonts w:ascii="Times New Roman" w:eastAsia="Times New Roman" w:hAnsi="Times New Roman" w:cs="Times New Roman"/>
          <w:bCs/>
          <w:sz w:val="24"/>
        </w:rPr>
        <w:t xml:space="preserve">, H. J., Moran, L. J., Morman, R., Gibson, M., </w:t>
      </w:r>
      <w:proofErr w:type="spellStart"/>
      <w:r w:rsidRPr="00E46DAC">
        <w:rPr>
          <w:rFonts w:ascii="Times New Roman" w:eastAsia="Times New Roman" w:hAnsi="Times New Roman" w:cs="Times New Roman"/>
          <w:bCs/>
          <w:sz w:val="24"/>
        </w:rPr>
        <w:t>Dokras</w:t>
      </w:r>
      <w:proofErr w:type="spellEnd"/>
      <w:r w:rsidRPr="00E46DAC">
        <w:rPr>
          <w:rFonts w:ascii="Times New Roman" w:eastAsia="Times New Roman" w:hAnsi="Times New Roman" w:cs="Times New Roman"/>
          <w:bCs/>
          <w:sz w:val="24"/>
        </w:rPr>
        <w:t xml:space="preserve">, A., Berry, L., Laven, J. S. E., </w:t>
      </w:r>
      <w:proofErr w:type="spellStart"/>
      <w:r w:rsidRPr="00E46DAC">
        <w:rPr>
          <w:rFonts w:ascii="Times New Roman" w:eastAsia="Times New Roman" w:hAnsi="Times New Roman" w:cs="Times New Roman"/>
          <w:bCs/>
          <w:sz w:val="24"/>
        </w:rPr>
        <w:t>Joham</w:t>
      </w:r>
      <w:proofErr w:type="spellEnd"/>
      <w:r w:rsidRPr="00E46DAC">
        <w:rPr>
          <w:rFonts w:ascii="Times New Roman" w:eastAsia="Times New Roman" w:hAnsi="Times New Roman" w:cs="Times New Roman"/>
          <w:bCs/>
          <w:sz w:val="24"/>
        </w:rPr>
        <w:t xml:space="preserve">, A., </w:t>
      </w:r>
      <w:proofErr w:type="spellStart"/>
      <w:r w:rsidRPr="00E46DAC">
        <w:rPr>
          <w:rFonts w:ascii="Times New Roman" w:eastAsia="Times New Roman" w:hAnsi="Times New Roman" w:cs="Times New Roman"/>
          <w:bCs/>
          <w:sz w:val="24"/>
        </w:rPr>
        <w:t>Piltonen</w:t>
      </w:r>
      <w:proofErr w:type="spellEnd"/>
      <w:r w:rsidRPr="00E46DAC">
        <w:rPr>
          <w:rFonts w:ascii="Times New Roman" w:eastAsia="Times New Roman" w:hAnsi="Times New Roman" w:cs="Times New Roman"/>
          <w:bCs/>
          <w:sz w:val="24"/>
        </w:rPr>
        <w:t xml:space="preserve">, T. T., Costello, M. F., Norman, R. J., &amp; Bahri </w:t>
      </w:r>
      <w:proofErr w:type="spellStart"/>
      <w:r w:rsidRPr="00E46DAC">
        <w:rPr>
          <w:rFonts w:ascii="Times New Roman" w:eastAsia="Times New Roman" w:hAnsi="Times New Roman" w:cs="Times New Roman"/>
          <w:bCs/>
          <w:sz w:val="24"/>
        </w:rPr>
        <w:t>Khomami</w:t>
      </w:r>
      <w:proofErr w:type="spellEnd"/>
      <w:r w:rsidRPr="00E46DAC">
        <w:rPr>
          <w:rFonts w:ascii="Times New Roman" w:eastAsia="Times New Roman" w:hAnsi="Times New Roman" w:cs="Times New Roman"/>
          <w:bCs/>
          <w:sz w:val="24"/>
        </w:rPr>
        <w:t xml:space="preserve">, M. (2025). Polycystic ovary syndrome perspectives from patients and health professionals on clinical features, current name, and renaming: A longitudinal international online survey. </w:t>
      </w:r>
      <w:proofErr w:type="spellStart"/>
      <w:r w:rsidRPr="00E46DAC">
        <w:rPr>
          <w:rFonts w:ascii="Times New Roman" w:eastAsia="Times New Roman" w:hAnsi="Times New Roman" w:cs="Times New Roman"/>
          <w:bCs/>
          <w:i/>
          <w:sz w:val="24"/>
        </w:rPr>
        <w:t>eClinicalMedicine</w:t>
      </w:r>
      <w:proofErr w:type="spellEnd"/>
      <w:r w:rsidRPr="00E46DAC">
        <w:rPr>
          <w:rFonts w:ascii="Times New Roman" w:eastAsia="Times New Roman" w:hAnsi="Times New Roman" w:cs="Times New Roman"/>
          <w:bCs/>
          <w:i/>
          <w:sz w:val="24"/>
        </w:rPr>
        <w:t>, 84</w:t>
      </w:r>
      <w:r w:rsidRPr="00E46DAC">
        <w:rPr>
          <w:rFonts w:ascii="Times New Roman" w:eastAsia="Times New Roman" w:hAnsi="Times New Roman" w:cs="Times New Roman"/>
          <w:bCs/>
          <w:sz w:val="24"/>
        </w:rPr>
        <w:t>, 103287. https://doi.org/10.1016/j.eclinm.2025.103287</w:t>
      </w:r>
    </w:p>
    <w:p w14:paraId="699EA1E7" w14:textId="77777777" w:rsidR="00703E13" w:rsidRPr="00E46DAC" w:rsidRDefault="00703E13" w:rsidP="00703E13">
      <w:pPr>
        <w:spacing w:before="100" w:beforeAutospacing="1" w:after="100" w:afterAutospacing="1" w:line="240" w:lineRule="auto"/>
        <w:ind w:left="720" w:hanging="720"/>
        <w:rPr>
          <w:rFonts w:ascii="Times New Roman" w:eastAsia="Times New Roman" w:hAnsi="Times New Roman" w:cs="Times New Roman"/>
          <w:color w:val="auto"/>
          <w:sz w:val="24"/>
          <w:szCs w:val="24"/>
        </w:rPr>
      </w:pPr>
      <w:proofErr w:type="spellStart"/>
      <w:r w:rsidRPr="00E46DAC">
        <w:rPr>
          <w:rFonts w:ascii="Times New Roman" w:eastAsia="Times New Roman" w:hAnsi="Times New Roman" w:cs="Times New Roman"/>
          <w:color w:val="auto"/>
          <w:sz w:val="24"/>
          <w:szCs w:val="24"/>
        </w:rPr>
        <w:t>Teede</w:t>
      </w:r>
      <w:proofErr w:type="spellEnd"/>
      <w:r w:rsidRPr="00E46DAC">
        <w:rPr>
          <w:rFonts w:ascii="Times New Roman" w:eastAsia="Times New Roman" w:hAnsi="Times New Roman" w:cs="Times New Roman"/>
          <w:color w:val="auto"/>
          <w:sz w:val="24"/>
          <w:szCs w:val="24"/>
        </w:rPr>
        <w:t xml:space="preserve">, H. J., Bahri </w:t>
      </w:r>
      <w:proofErr w:type="spellStart"/>
      <w:r w:rsidRPr="00E46DAC">
        <w:rPr>
          <w:rFonts w:ascii="Times New Roman" w:eastAsia="Times New Roman" w:hAnsi="Times New Roman" w:cs="Times New Roman"/>
          <w:color w:val="auto"/>
          <w:sz w:val="24"/>
          <w:szCs w:val="24"/>
        </w:rPr>
        <w:t>Khomami</w:t>
      </w:r>
      <w:proofErr w:type="spellEnd"/>
      <w:r w:rsidRPr="00E46DAC">
        <w:rPr>
          <w:rFonts w:ascii="Times New Roman" w:eastAsia="Times New Roman" w:hAnsi="Times New Roman" w:cs="Times New Roman"/>
          <w:color w:val="auto"/>
          <w:sz w:val="24"/>
          <w:szCs w:val="24"/>
        </w:rPr>
        <w:t xml:space="preserve">, M., Morman, R., Laven, J. S. E., </w:t>
      </w:r>
      <w:proofErr w:type="spellStart"/>
      <w:r w:rsidRPr="00E46DAC">
        <w:rPr>
          <w:rFonts w:ascii="Times New Roman" w:eastAsia="Times New Roman" w:hAnsi="Times New Roman" w:cs="Times New Roman"/>
          <w:color w:val="auto"/>
          <w:sz w:val="24"/>
          <w:szCs w:val="24"/>
        </w:rPr>
        <w:t>Joham</w:t>
      </w:r>
      <w:proofErr w:type="spellEnd"/>
      <w:r w:rsidRPr="00E46DAC">
        <w:rPr>
          <w:rFonts w:ascii="Times New Roman" w:eastAsia="Times New Roman" w:hAnsi="Times New Roman" w:cs="Times New Roman"/>
          <w:color w:val="auto"/>
          <w:sz w:val="24"/>
          <w:szCs w:val="24"/>
        </w:rPr>
        <w:t xml:space="preserve">, A. E., Costello, M. F., Patil, M., Rees, D. A., Berry, L., Cree, M. G., Zhao, H., Norman, R. J., </w:t>
      </w:r>
      <w:proofErr w:type="spellStart"/>
      <w:r w:rsidRPr="00E46DAC">
        <w:rPr>
          <w:rFonts w:ascii="Times New Roman" w:eastAsia="Times New Roman" w:hAnsi="Times New Roman" w:cs="Times New Roman"/>
          <w:color w:val="auto"/>
          <w:sz w:val="24"/>
          <w:szCs w:val="24"/>
        </w:rPr>
        <w:t>Dokras</w:t>
      </w:r>
      <w:proofErr w:type="spellEnd"/>
      <w:r w:rsidRPr="00E46DAC">
        <w:rPr>
          <w:rFonts w:ascii="Times New Roman" w:eastAsia="Times New Roman" w:hAnsi="Times New Roman" w:cs="Times New Roman"/>
          <w:color w:val="auto"/>
          <w:sz w:val="24"/>
          <w:szCs w:val="24"/>
        </w:rPr>
        <w:t xml:space="preserve">, A., </w:t>
      </w:r>
      <w:proofErr w:type="spellStart"/>
      <w:r w:rsidRPr="00E46DAC">
        <w:rPr>
          <w:rFonts w:ascii="Times New Roman" w:eastAsia="Times New Roman" w:hAnsi="Times New Roman" w:cs="Times New Roman"/>
          <w:color w:val="auto"/>
          <w:sz w:val="24"/>
          <w:szCs w:val="24"/>
        </w:rPr>
        <w:t>Piltonen</w:t>
      </w:r>
      <w:proofErr w:type="spellEnd"/>
      <w:r w:rsidRPr="00E46DAC">
        <w:rPr>
          <w:rFonts w:ascii="Times New Roman" w:eastAsia="Times New Roman" w:hAnsi="Times New Roman" w:cs="Times New Roman"/>
          <w:color w:val="auto"/>
          <w:sz w:val="24"/>
          <w:szCs w:val="24"/>
        </w:rPr>
        <w:t xml:space="preserve">, T., &amp; Global Name Change Consortium. (2026). Polyendocrine metabolic ovarian syndrome, the new name for polycystic ovary syndrome: A multistep global </w:t>
      </w:r>
      <w:r w:rsidRPr="00E46DAC">
        <w:rPr>
          <w:rFonts w:ascii="Times New Roman" w:eastAsia="Times New Roman" w:hAnsi="Times New Roman" w:cs="Times New Roman"/>
          <w:color w:val="auto"/>
          <w:sz w:val="24"/>
          <w:szCs w:val="24"/>
        </w:rPr>
        <w:lastRenderedPageBreak/>
        <w:t xml:space="preserve">consensus process. </w:t>
      </w:r>
      <w:r w:rsidRPr="00E46DAC">
        <w:rPr>
          <w:rFonts w:ascii="Times New Roman" w:eastAsia="Times New Roman" w:hAnsi="Times New Roman" w:cs="Times New Roman"/>
          <w:i/>
          <w:iCs/>
          <w:color w:val="auto"/>
          <w:sz w:val="24"/>
          <w:szCs w:val="24"/>
        </w:rPr>
        <w:t>The Lancet, 407</w:t>
      </w:r>
      <w:r w:rsidRPr="00E46DAC">
        <w:rPr>
          <w:rFonts w:ascii="Times New Roman" w:eastAsia="Times New Roman" w:hAnsi="Times New Roman" w:cs="Times New Roman"/>
          <w:color w:val="auto"/>
          <w:sz w:val="24"/>
          <w:szCs w:val="24"/>
        </w:rPr>
        <w:t xml:space="preserve">(10545), 2329–2339. </w:t>
      </w:r>
      <w:hyperlink r:id="rId33" w:history="1">
        <w:r w:rsidRPr="00E46DAC">
          <w:rPr>
            <w:rFonts w:ascii="Times New Roman" w:eastAsia="Times New Roman" w:hAnsi="Times New Roman" w:cs="Times New Roman"/>
            <w:color w:val="0000FF"/>
            <w:sz w:val="24"/>
            <w:szCs w:val="24"/>
            <w:u w:val="single"/>
          </w:rPr>
          <w:t>https://doi.org/10.1016/S0140-6736(26)00717-8</w:t>
        </w:r>
      </w:hyperlink>
    </w:p>
    <w:p w14:paraId="05B60D6A" w14:textId="77777777" w:rsidR="00703E13" w:rsidRPr="00E46DAC" w:rsidRDefault="00703E13" w:rsidP="00703E13">
      <w:pPr>
        <w:spacing w:before="100" w:beforeAutospacing="1" w:after="100" w:afterAutospacing="1" w:line="240" w:lineRule="auto"/>
        <w:ind w:left="720" w:hanging="720"/>
        <w:rPr>
          <w:rFonts w:ascii="Times New Roman" w:eastAsia="Times New Roman" w:hAnsi="Times New Roman" w:cs="Times New Roman"/>
          <w:color w:val="auto"/>
          <w:sz w:val="24"/>
          <w:szCs w:val="24"/>
        </w:rPr>
      </w:pPr>
      <w:r w:rsidRPr="00E46DAC">
        <w:rPr>
          <w:rFonts w:ascii="Times New Roman" w:eastAsia="Times New Roman" w:hAnsi="Times New Roman" w:cs="Times New Roman"/>
          <w:color w:val="auto"/>
          <w:sz w:val="24"/>
          <w:szCs w:val="24"/>
        </w:rPr>
        <w:t xml:space="preserve">Trimble, M., &amp; Reynolds, E. H. (2016). A brief history of hysteria: From the ancient to the modern. </w:t>
      </w:r>
      <w:r w:rsidRPr="00E46DAC">
        <w:rPr>
          <w:rFonts w:ascii="Times New Roman" w:eastAsia="Times New Roman" w:hAnsi="Times New Roman" w:cs="Times New Roman"/>
          <w:i/>
          <w:iCs/>
          <w:color w:val="auto"/>
          <w:sz w:val="24"/>
          <w:szCs w:val="24"/>
        </w:rPr>
        <w:t>Handbook of Clinical Neurology, 139</w:t>
      </w:r>
      <w:r w:rsidRPr="00E46DAC">
        <w:rPr>
          <w:rFonts w:ascii="Times New Roman" w:eastAsia="Times New Roman" w:hAnsi="Times New Roman" w:cs="Times New Roman"/>
          <w:color w:val="auto"/>
          <w:sz w:val="24"/>
          <w:szCs w:val="24"/>
        </w:rPr>
        <w:t xml:space="preserve">, 3–10. </w:t>
      </w:r>
      <w:hyperlink r:id="rId34" w:history="1">
        <w:r w:rsidRPr="00E46DAC">
          <w:rPr>
            <w:rFonts w:ascii="Times New Roman" w:eastAsia="Times New Roman" w:hAnsi="Times New Roman" w:cs="Times New Roman"/>
            <w:color w:val="0000FF"/>
            <w:sz w:val="24"/>
            <w:szCs w:val="24"/>
            <w:u w:val="single"/>
          </w:rPr>
          <w:t>https://doi.org/10.1016/B978-0-12-801772-2.00001-1</w:t>
        </w:r>
      </w:hyperlink>
    </w:p>
    <w:p w14:paraId="342D3D9A" w14:textId="77777777" w:rsidR="00703E13" w:rsidRPr="00E46DAC" w:rsidRDefault="00703E13" w:rsidP="00703E13">
      <w:pPr>
        <w:spacing w:before="100" w:beforeAutospacing="1" w:after="100" w:afterAutospacing="1" w:line="240" w:lineRule="auto"/>
        <w:ind w:left="720" w:hanging="720"/>
        <w:rPr>
          <w:rFonts w:ascii="Times New Roman" w:eastAsia="Times New Roman" w:hAnsi="Times New Roman" w:cs="Times New Roman"/>
          <w:color w:val="auto"/>
          <w:sz w:val="24"/>
          <w:szCs w:val="24"/>
        </w:rPr>
      </w:pPr>
      <w:r w:rsidRPr="00E46DAC">
        <w:rPr>
          <w:rFonts w:ascii="Times New Roman" w:eastAsia="Times New Roman" w:hAnsi="Times New Roman" w:cs="Times New Roman"/>
          <w:color w:val="auto"/>
          <w:sz w:val="24"/>
          <w:szCs w:val="24"/>
        </w:rPr>
        <w:t xml:space="preserve">Uka-Kalu, E. C., </w:t>
      </w:r>
      <w:proofErr w:type="spellStart"/>
      <w:r w:rsidRPr="00E46DAC">
        <w:rPr>
          <w:rFonts w:ascii="Times New Roman" w:eastAsia="Times New Roman" w:hAnsi="Times New Roman" w:cs="Times New Roman"/>
          <w:color w:val="auto"/>
          <w:sz w:val="24"/>
          <w:szCs w:val="24"/>
        </w:rPr>
        <w:t>Elekeh</w:t>
      </w:r>
      <w:proofErr w:type="spellEnd"/>
      <w:r w:rsidRPr="00E46DAC">
        <w:rPr>
          <w:rFonts w:ascii="Times New Roman" w:eastAsia="Times New Roman" w:hAnsi="Times New Roman" w:cs="Times New Roman"/>
          <w:color w:val="auto"/>
          <w:sz w:val="24"/>
          <w:szCs w:val="24"/>
        </w:rPr>
        <w:t xml:space="preserve">, R. I., &amp; </w:t>
      </w:r>
      <w:proofErr w:type="spellStart"/>
      <w:r w:rsidRPr="00E46DAC">
        <w:rPr>
          <w:rFonts w:ascii="Times New Roman" w:eastAsia="Times New Roman" w:hAnsi="Times New Roman" w:cs="Times New Roman"/>
          <w:color w:val="auto"/>
          <w:sz w:val="24"/>
          <w:szCs w:val="24"/>
        </w:rPr>
        <w:t>Okore</w:t>
      </w:r>
      <w:proofErr w:type="spellEnd"/>
      <w:r w:rsidRPr="00E46DAC">
        <w:rPr>
          <w:rFonts w:ascii="Times New Roman" w:eastAsia="Times New Roman" w:hAnsi="Times New Roman" w:cs="Times New Roman"/>
          <w:color w:val="auto"/>
          <w:sz w:val="24"/>
          <w:szCs w:val="24"/>
        </w:rPr>
        <w:t xml:space="preserve">, M. U. (2026). Awareness of polycystic ovary syndrome (PCOS) among female undergraduates in Abia State University, </w:t>
      </w:r>
      <w:proofErr w:type="spellStart"/>
      <w:r w:rsidRPr="00E46DAC">
        <w:rPr>
          <w:rFonts w:ascii="Times New Roman" w:eastAsia="Times New Roman" w:hAnsi="Times New Roman" w:cs="Times New Roman"/>
          <w:color w:val="auto"/>
          <w:sz w:val="24"/>
          <w:szCs w:val="24"/>
        </w:rPr>
        <w:t>Uturu</w:t>
      </w:r>
      <w:proofErr w:type="spellEnd"/>
      <w:r w:rsidRPr="00E46DAC">
        <w:rPr>
          <w:rFonts w:ascii="Times New Roman" w:eastAsia="Times New Roman" w:hAnsi="Times New Roman" w:cs="Times New Roman"/>
          <w:color w:val="auto"/>
          <w:sz w:val="24"/>
          <w:szCs w:val="24"/>
        </w:rPr>
        <w:t xml:space="preserve">, Nigeria. </w:t>
      </w:r>
      <w:r w:rsidRPr="00E46DAC">
        <w:rPr>
          <w:rFonts w:ascii="Times New Roman" w:eastAsia="Times New Roman" w:hAnsi="Times New Roman" w:cs="Times New Roman"/>
          <w:i/>
          <w:iCs/>
          <w:color w:val="auto"/>
          <w:sz w:val="24"/>
          <w:szCs w:val="24"/>
        </w:rPr>
        <w:t>Asian Journal of Research and Reports in Endocrinology, 9</w:t>
      </w:r>
      <w:r w:rsidRPr="00E46DAC">
        <w:rPr>
          <w:rFonts w:ascii="Times New Roman" w:eastAsia="Times New Roman" w:hAnsi="Times New Roman" w:cs="Times New Roman"/>
          <w:color w:val="auto"/>
          <w:sz w:val="24"/>
          <w:szCs w:val="24"/>
        </w:rPr>
        <w:t xml:space="preserve">(1), 9–22. </w:t>
      </w:r>
      <w:hyperlink r:id="rId35" w:history="1">
        <w:r w:rsidRPr="00E46DAC">
          <w:rPr>
            <w:rFonts w:ascii="Times New Roman" w:eastAsia="Times New Roman" w:hAnsi="Times New Roman" w:cs="Times New Roman"/>
            <w:color w:val="0000FF"/>
            <w:sz w:val="24"/>
            <w:szCs w:val="24"/>
            <w:u w:val="single"/>
          </w:rPr>
          <w:t>https://doi.org/10.9734/ajrre/2026/v9i1121</w:t>
        </w:r>
      </w:hyperlink>
    </w:p>
    <w:p w14:paraId="46A10939" w14:textId="77777777" w:rsidR="00703E13" w:rsidRPr="00E46DAC" w:rsidRDefault="00703E13" w:rsidP="00703E13">
      <w:pPr>
        <w:spacing w:before="100" w:beforeAutospacing="1" w:after="100" w:afterAutospacing="1" w:line="240" w:lineRule="auto"/>
        <w:ind w:left="720" w:hanging="720"/>
        <w:rPr>
          <w:rFonts w:ascii="Times New Roman" w:eastAsia="Times New Roman" w:hAnsi="Times New Roman" w:cs="Times New Roman"/>
          <w:color w:val="auto"/>
          <w:sz w:val="24"/>
          <w:szCs w:val="24"/>
        </w:rPr>
      </w:pPr>
      <w:proofErr w:type="spellStart"/>
      <w:r w:rsidRPr="00E46DAC">
        <w:rPr>
          <w:rFonts w:ascii="Times New Roman" w:eastAsia="Times New Roman" w:hAnsi="Times New Roman" w:cs="Times New Roman"/>
          <w:color w:val="auto"/>
          <w:sz w:val="24"/>
          <w:szCs w:val="24"/>
        </w:rPr>
        <w:t>Witchel</w:t>
      </w:r>
      <w:proofErr w:type="spellEnd"/>
      <w:r w:rsidRPr="00E46DAC">
        <w:rPr>
          <w:rFonts w:ascii="Times New Roman" w:eastAsia="Times New Roman" w:hAnsi="Times New Roman" w:cs="Times New Roman"/>
          <w:color w:val="auto"/>
          <w:sz w:val="24"/>
          <w:szCs w:val="24"/>
        </w:rPr>
        <w:t xml:space="preserve">, S. F., </w:t>
      </w:r>
      <w:proofErr w:type="spellStart"/>
      <w:r w:rsidRPr="00E46DAC">
        <w:rPr>
          <w:rFonts w:ascii="Times New Roman" w:eastAsia="Times New Roman" w:hAnsi="Times New Roman" w:cs="Times New Roman"/>
          <w:color w:val="auto"/>
          <w:sz w:val="24"/>
          <w:szCs w:val="24"/>
        </w:rPr>
        <w:t>Oberfield</w:t>
      </w:r>
      <w:proofErr w:type="spellEnd"/>
      <w:r w:rsidRPr="00E46DAC">
        <w:rPr>
          <w:rFonts w:ascii="Times New Roman" w:eastAsia="Times New Roman" w:hAnsi="Times New Roman" w:cs="Times New Roman"/>
          <w:color w:val="auto"/>
          <w:sz w:val="24"/>
          <w:szCs w:val="24"/>
        </w:rPr>
        <w:t xml:space="preserve">, S. E., &amp; Peña, A. S. (2019). Polycystic ovary syndrome: Pathophysiology, presentation, and treatment with emphasis on adolescent girls. </w:t>
      </w:r>
      <w:r w:rsidRPr="00E46DAC">
        <w:rPr>
          <w:rFonts w:ascii="Times New Roman" w:eastAsia="Times New Roman" w:hAnsi="Times New Roman" w:cs="Times New Roman"/>
          <w:i/>
          <w:iCs/>
          <w:color w:val="auto"/>
          <w:sz w:val="24"/>
          <w:szCs w:val="24"/>
        </w:rPr>
        <w:t>Journal of the Endocrine Society, 3</w:t>
      </w:r>
      <w:r w:rsidRPr="00E46DAC">
        <w:rPr>
          <w:rFonts w:ascii="Times New Roman" w:eastAsia="Times New Roman" w:hAnsi="Times New Roman" w:cs="Times New Roman"/>
          <w:color w:val="auto"/>
          <w:sz w:val="24"/>
          <w:szCs w:val="24"/>
        </w:rPr>
        <w:t xml:space="preserve">(8), 1545–1573. </w:t>
      </w:r>
      <w:hyperlink r:id="rId36" w:history="1">
        <w:r w:rsidRPr="00E46DAC">
          <w:rPr>
            <w:rFonts w:ascii="Times New Roman" w:eastAsia="Times New Roman" w:hAnsi="Times New Roman" w:cs="Times New Roman"/>
            <w:color w:val="0000FF"/>
            <w:sz w:val="24"/>
            <w:szCs w:val="24"/>
            <w:u w:val="single"/>
          </w:rPr>
          <w:t>https://doi.org/10.1210/js.2019-00078</w:t>
        </w:r>
      </w:hyperlink>
    </w:p>
    <w:p w14:paraId="2AEBA61A" w14:textId="77777777" w:rsidR="00703E13" w:rsidRPr="00E46DAC" w:rsidRDefault="00703E13" w:rsidP="00703E13">
      <w:pPr>
        <w:spacing w:before="100" w:beforeAutospacing="1" w:after="100" w:afterAutospacing="1" w:line="240" w:lineRule="auto"/>
        <w:ind w:left="720" w:hanging="720"/>
        <w:rPr>
          <w:rFonts w:ascii="Times New Roman" w:eastAsia="Times New Roman" w:hAnsi="Times New Roman" w:cs="Times New Roman"/>
          <w:color w:val="auto"/>
          <w:sz w:val="24"/>
          <w:szCs w:val="24"/>
        </w:rPr>
      </w:pPr>
      <w:r w:rsidRPr="00E46DAC">
        <w:rPr>
          <w:rFonts w:ascii="Times New Roman" w:eastAsia="Times New Roman" w:hAnsi="Times New Roman" w:cs="Times New Roman"/>
          <w:color w:val="auto"/>
          <w:sz w:val="24"/>
          <w:szCs w:val="24"/>
        </w:rPr>
        <w:t xml:space="preserve">Yazdani, S., Hosseinzadeh, M., &amp; Hosseini, F. (2017). Models of clinical reasoning with a focus on general practice: A critical review. </w:t>
      </w:r>
      <w:r w:rsidRPr="00E46DAC">
        <w:rPr>
          <w:rFonts w:ascii="Times New Roman" w:eastAsia="Times New Roman" w:hAnsi="Times New Roman" w:cs="Times New Roman"/>
          <w:i/>
          <w:iCs/>
          <w:color w:val="auto"/>
          <w:sz w:val="24"/>
          <w:szCs w:val="24"/>
        </w:rPr>
        <w:t>Journal of Advances in Medical Education &amp; Professionalism, 5</w:t>
      </w:r>
      <w:r w:rsidRPr="00E46DAC">
        <w:rPr>
          <w:rFonts w:ascii="Times New Roman" w:eastAsia="Times New Roman" w:hAnsi="Times New Roman" w:cs="Times New Roman"/>
          <w:color w:val="auto"/>
          <w:sz w:val="24"/>
          <w:szCs w:val="24"/>
        </w:rPr>
        <w:t xml:space="preserve">(4), 177–184. </w:t>
      </w:r>
      <w:hyperlink r:id="rId37" w:history="1">
        <w:r w:rsidRPr="00E46DAC">
          <w:rPr>
            <w:rFonts w:ascii="Times New Roman" w:eastAsia="Times New Roman" w:hAnsi="Times New Roman" w:cs="Times New Roman"/>
            <w:color w:val="0000FF"/>
            <w:sz w:val="24"/>
            <w:szCs w:val="24"/>
            <w:u w:val="single"/>
          </w:rPr>
          <w:t>https://pmc.ncbi.nlm.nih.gov/articles/PMC5611427/</w:t>
        </w:r>
      </w:hyperlink>
    </w:p>
    <w:p w14:paraId="2D4FF77B" w14:textId="77777777" w:rsidR="005A226B" w:rsidRPr="003A4281" w:rsidRDefault="00000000">
      <w:pPr>
        <w:spacing w:before="100" w:beforeAutospacing="1" w:after="100" w:afterAutospacing="1" w:line="240" w:lineRule="auto"/>
        <w:ind w:left="720" w:hanging="720"/>
        <w:rPr>
          <w:rFonts w:ascii="Times New Roman" w:eastAsia="Times New Roman" w:hAnsi="Times New Roman" w:cs="Times New Roman"/>
          <w:color w:val="auto"/>
          <w:sz w:val="24"/>
          <w:szCs w:val="24"/>
        </w:rPr>
      </w:pPr>
      <w:r w:rsidRPr="00E46DAC">
        <w:rPr>
          <w:rFonts w:ascii="Times New Roman" w:eastAsia="Times New Roman" w:hAnsi="Times New Roman" w:cs="Times New Roman"/>
          <w:sz w:val="24"/>
        </w:rPr>
        <w:t xml:space="preserve">Zhang, A. Z., Sehrt, M., Ley, S. A., Ross, K. V., </w:t>
      </w:r>
      <w:proofErr w:type="spellStart"/>
      <w:r w:rsidRPr="00E46DAC">
        <w:rPr>
          <w:rFonts w:ascii="Times New Roman" w:eastAsia="Times New Roman" w:hAnsi="Times New Roman" w:cs="Times New Roman"/>
          <w:sz w:val="24"/>
        </w:rPr>
        <w:t>Phimphasone</w:t>
      </w:r>
      <w:proofErr w:type="spellEnd"/>
      <w:r w:rsidRPr="00E46DAC">
        <w:rPr>
          <w:rFonts w:ascii="Times New Roman" w:eastAsia="Times New Roman" w:hAnsi="Times New Roman" w:cs="Times New Roman"/>
          <w:sz w:val="24"/>
        </w:rPr>
        <w:t xml:space="preserve">-Brady, P., &amp; McKenney, K. M. (2025). Gaps and opportunities in polycystic ovary syndrome care—a qualitative study. </w:t>
      </w:r>
      <w:r w:rsidRPr="00E46DAC">
        <w:rPr>
          <w:rFonts w:ascii="Times New Roman" w:eastAsia="Times New Roman" w:hAnsi="Times New Roman" w:cs="Times New Roman"/>
          <w:i/>
          <w:sz w:val="24"/>
        </w:rPr>
        <w:t>F&amp;S Reports, 6</w:t>
      </w:r>
      <w:r w:rsidRPr="00E46DAC">
        <w:rPr>
          <w:rFonts w:ascii="Times New Roman" w:eastAsia="Times New Roman" w:hAnsi="Times New Roman" w:cs="Times New Roman"/>
          <w:sz w:val="24"/>
        </w:rPr>
        <w:t>(3), 357–365. https://doi.org/10.1016/j.xfre.2025.05.011</w:t>
      </w:r>
    </w:p>
    <w:p w14:paraId="6FD600D3" w14:textId="77777777" w:rsidR="00703E13" w:rsidRPr="003A4281" w:rsidRDefault="00703E13" w:rsidP="00B85B5B">
      <w:pPr>
        <w:pStyle w:val="Heading1"/>
        <w:jc w:val="both"/>
        <w:rPr>
          <w:rFonts w:ascii="Times New Roman" w:hAnsi="Times New Roman" w:cs="Times New Roman"/>
          <w:b w:val="0"/>
          <w:bCs w:val="0"/>
          <w:color w:val="auto"/>
        </w:rPr>
      </w:pPr>
    </w:p>
    <w:sectPr w:rsidR="00703E13" w:rsidRPr="003A4281" w:rsidSect="00D94A69">
      <w:headerReference w:type="even" r:id="rId38"/>
      <w:headerReference w:type="default" r:id="rId39"/>
      <w:footerReference w:type="even" r:id="rId40"/>
      <w:footerReference w:type="default" r:id="rId41"/>
      <w:headerReference w:type="first" r:id="rId42"/>
      <w:footerReference w:type="first" r:id="rId43"/>
      <w:pgSz w:w="12240" w:h="15840"/>
      <w:pgMar w:top="1440" w:right="1440" w:bottom="1440" w:left="1440" w:header="708" w:footer="70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6C2DB9" w14:textId="77777777" w:rsidR="00D347DF" w:rsidRDefault="00D347DF">
      <w:pPr>
        <w:spacing w:after="0" w:line="240" w:lineRule="auto"/>
      </w:pPr>
      <w:r>
        <w:separator/>
      </w:r>
    </w:p>
  </w:endnote>
  <w:endnote w:type="continuationSeparator" w:id="0">
    <w:p w14:paraId="2244A8D5" w14:textId="77777777" w:rsidR="00D347DF" w:rsidRDefault="00D347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9D80D8" w14:textId="77777777" w:rsidR="000E1653" w:rsidRDefault="000E165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3C6BB0" w14:textId="77777777" w:rsidR="00AC363E" w:rsidRDefault="00D94A69">
    <w:pPr>
      <w:jc w:val="center"/>
    </w:pPr>
    <w:r>
      <w:rPr>
        <w:color w:val="666666"/>
        <w:sz w:val="18"/>
        <w:szCs w:val="18"/>
      </w:rPr>
      <w:fldChar w:fldCharType="begin"/>
    </w:r>
    <w:r w:rsidR="007578DC">
      <w:rPr>
        <w:color w:val="666666"/>
        <w:sz w:val="18"/>
        <w:szCs w:val="18"/>
      </w:rPr>
      <w:instrText>PAGE</w:instrText>
    </w:r>
    <w:r>
      <w:rPr>
        <w:color w:val="666666"/>
        <w:sz w:val="18"/>
        <w:szCs w:val="18"/>
      </w:rPr>
      <w:fldChar w:fldCharType="separate"/>
    </w:r>
    <w:r w:rsidR="00857DFC">
      <w:rPr>
        <w:noProof/>
        <w:color w:val="666666"/>
        <w:sz w:val="18"/>
        <w:szCs w:val="18"/>
      </w:rPr>
      <w:t>2</w:t>
    </w:r>
    <w:r>
      <w:rPr>
        <w:color w:val="666666"/>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799A7A" w14:textId="77777777" w:rsidR="00AC363E" w:rsidRDefault="00D94A69">
    <w:pPr>
      <w:jc w:val="center"/>
    </w:pPr>
    <w:r>
      <w:rPr>
        <w:color w:val="666666"/>
        <w:sz w:val="18"/>
        <w:szCs w:val="18"/>
      </w:rPr>
      <w:fldChar w:fldCharType="begin"/>
    </w:r>
    <w:r w:rsidR="007578DC">
      <w:rPr>
        <w:color w:val="666666"/>
        <w:sz w:val="18"/>
        <w:szCs w:val="18"/>
      </w:rPr>
      <w:instrText>PAGE</w:instrText>
    </w:r>
    <w:r>
      <w:rPr>
        <w:color w:val="666666"/>
        <w:sz w:val="18"/>
        <w:szCs w:val="18"/>
      </w:rPr>
      <w:fldChar w:fldCharType="separate"/>
    </w:r>
    <w:r w:rsidR="00857DFC">
      <w:rPr>
        <w:noProof/>
        <w:color w:val="666666"/>
        <w:sz w:val="18"/>
        <w:szCs w:val="18"/>
      </w:rPr>
      <w:t>1</w:t>
    </w:r>
    <w:r>
      <w:rPr>
        <w:color w:val="666666"/>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81C3B4" w14:textId="77777777" w:rsidR="00D347DF" w:rsidRDefault="00D347DF">
      <w:pPr>
        <w:spacing w:after="0" w:line="240" w:lineRule="auto"/>
      </w:pPr>
      <w:r>
        <w:separator/>
      </w:r>
    </w:p>
  </w:footnote>
  <w:footnote w:type="continuationSeparator" w:id="0">
    <w:p w14:paraId="2BFC3795" w14:textId="77777777" w:rsidR="00D347DF" w:rsidRDefault="00D347D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B068E8" w14:textId="77777777" w:rsidR="000E1653" w:rsidRDefault="00000000">
    <w:pPr>
      <w:pStyle w:val="Header"/>
    </w:pPr>
    <w:r>
      <w:rPr>
        <w:noProof/>
      </w:rPr>
      <w:pict w14:anchorId="6B66062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74865672" o:spid="_x0000_s1026" type="#_x0000_t136" style="position:absolute;margin-left:0;margin-top:0;width:586.55pt;height:73.3pt;rotation:315;z-index:-251655168;mso-position-horizontal:center;mso-position-horizontal-relative:margin;mso-position-vertical:center;mso-position-vertical-relative:margin" o:allowincell="f" fillcolor="silver" stroked="f">
          <v:fill opacity=".5"/>
          <v:textpath style="font-family:&quot;Cambria&quot;;font-size:1pt" string="UNDER PEER REVIEW"/>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B0A730" w14:textId="77777777" w:rsidR="000E1653" w:rsidRDefault="00000000">
    <w:pPr>
      <w:pStyle w:val="Header"/>
    </w:pPr>
    <w:r>
      <w:rPr>
        <w:noProof/>
      </w:rPr>
      <w:pict w14:anchorId="1508FC6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74865673" o:spid="_x0000_s1027" type="#_x0000_t136" style="position:absolute;margin-left:0;margin-top:0;width:586.55pt;height:73.3pt;rotation:315;z-index:-251653120;mso-position-horizontal:center;mso-position-horizontal-relative:margin;mso-position-vertical:center;mso-position-vertical-relative:margin" o:allowincell="f" fillcolor="silver" stroked="f">
          <v:fill opacity=".5"/>
          <v:textpath style="font-family:&quot;Cambria&quot;;font-size:1pt" string="UNDER PEER REVIEW"/>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246969" w14:textId="77777777" w:rsidR="000E1653" w:rsidRDefault="00000000">
    <w:pPr>
      <w:pStyle w:val="Header"/>
    </w:pPr>
    <w:r>
      <w:rPr>
        <w:noProof/>
      </w:rPr>
      <w:pict w14:anchorId="1F5752F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74865671" o:spid="_x0000_s1025" type="#_x0000_t136" style="position:absolute;margin-left:0;margin-top:0;width:586.55pt;height:73.3pt;rotation:315;z-index:-251657216;mso-position-horizontal:center;mso-position-horizontal-relative:margin;mso-position-vertical:center;mso-position-vertical-relative:margin" o:allowincell="f" fillcolor="silver" stroked="f">
          <v:fill opacity=".5"/>
          <v:textpath style="font-family:&quot;Cambria&quot;;font-size:1pt" string="UNDER PEER REVIEW"/>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203E71"/>
    <w:multiLevelType w:val="hybridMultilevel"/>
    <w:tmpl w:val="8DF8CEA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B61479C"/>
    <w:multiLevelType w:val="hybridMultilevel"/>
    <w:tmpl w:val="F6A26802"/>
    <w:lvl w:ilvl="0" w:tplc="B55E4676">
      <w:start w:val="1"/>
      <w:numFmt w:val="decimal"/>
      <w:lvlText w:val="%1."/>
      <w:lvlJc w:val="left"/>
      <w:pPr>
        <w:ind w:left="540" w:hanging="540"/>
      </w:pPr>
    </w:lvl>
    <w:lvl w:ilvl="1" w:tplc="73C81EE0">
      <w:numFmt w:val="decimal"/>
      <w:lvlText w:val=""/>
      <w:lvlJc w:val="left"/>
    </w:lvl>
    <w:lvl w:ilvl="2" w:tplc="E796FCCE">
      <w:numFmt w:val="decimal"/>
      <w:lvlText w:val=""/>
      <w:lvlJc w:val="left"/>
    </w:lvl>
    <w:lvl w:ilvl="3" w:tplc="11EE1810">
      <w:numFmt w:val="decimal"/>
      <w:lvlText w:val=""/>
      <w:lvlJc w:val="left"/>
    </w:lvl>
    <w:lvl w:ilvl="4" w:tplc="91CA9A44">
      <w:numFmt w:val="decimal"/>
      <w:lvlText w:val=""/>
      <w:lvlJc w:val="left"/>
    </w:lvl>
    <w:lvl w:ilvl="5" w:tplc="95D2FCFC">
      <w:numFmt w:val="decimal"/>
      <w:lvlText w:val=""/>
      <w:lvlJc w:val="left"/>
    </w:lvl>
    <w:lvl w:ilvl="6" w:tplc="1A604CD6">
      <w:numFmt w:val="decimal"/>
      <w:lvlText w:val=""/>
      <w:lvlJc w:val="left"/>
    </w:lvl>
    <w:lvl w:ilvl="7" w:tplc="08FAC5C8">
      <w:numFmt w:val="decimal"/>
      <w:lvlText w:val=""/>
      <w:lvlJc w:val="left"/>
    </w:lvl>
    <w:lvl w:ilvl="8" w:tplc="318638B0">
      <w:numFmt w:val="decimal"/>
      <w:lvlText w:val=""/>
      <w:lvlJc w:val="left"/>
    </w:lvl>
  </w:abstractNum>
  <w:abstractNum w:abstractNumId="2" w15:restartNumberingAfterBreak="0">
    <w:nsid w:val="784A79B4"/>
    <w:multiLevelType w:val="hybridMultilevel"/>
    <w:tmpl w:val="A84E35C4"/>
    <w:lvl w:ilvl="0" w:tplc="0608CCDA">
      <w:start w:val="1"/>
      <w:numFmt w:val="bullet"/>
      <w:lvlText w:val="●"/>
      <w:lvlJc w:val="left"/>
      <w:pPr>
        <w:ind w:left="720" w:hanging="360"/>
      </w:pPr>
    </w:lvl>
    <w:lvl w:ilvl="1" w:tplc="6A524324">
      <w:start w:val="1"/>
      <w:numFmt w:val="bullet"/>
      <w:lvlText w:val="○"/>
      <w:lvlJc w:val="left"/>
      <w:pPr>
        <w:ind w:left="1440" w:hanging="360"/>
      </w:pPr>
    </w:lvl>
    <w:lvl w:ilvl="2" w:tplc="3306B7B4">
      <w:start w:val="1"/>
      <w:numFmt w:val="bullet"/>
      <w:lvlText w:val="■"/>
      <w:lvlJc w:val="left"/>
      <w:pPr>
        <w:ind w:left="2160" w:hanging="360"/>
      </w:pPr>
    </w:lvl>
    <w:lvl w:ilvl="3" w:tplc="0220D008">
      <w:start w:val="1"/>
      <w:numFmt w:val="bullet"/>
      <w:lvlText w:val="●"/>
      <w:lvlJc w:val="left"/>
      <w:pPr>
        <w:ind w:left="2880" w:hanging="360"/>
      </w:pPr>
    </w:lvl>
    <w:lvl w:ilvl="4" w:tplc="528070CA">
      <w:start w:val="1"/>
      <w:numFmt w:val="bullet"/>
      <w:lvlText w:val="○"/>
      <w:lvlJc w:val="left"/>
      <w:pPr>
        <w:ind w:left="3600" w:hanging="360"/>
      </w:pPr>
    </w:lvl>
    <w:lvl w:ilvl="5" w:tplc="831E863C">
      <w:start w:val="1"/>
      <w:numFmt w:val="bullet"/>
      <w:lvlText w:val="■"/>
      <w:lvlJc w:val="left"/>
      <w:pPr>
        <w:ind w:left="4320" w:hanging="360"/>
      </w:pPr>
    </w:lvl>
    <w:lvl w:ilvl="6" w:tplc="3D10EABA">
      <w:start w:val="1"/>
      <w:numFmt w:val="bullet"/>
      <w:lvlText w:val="●"/>
      <w:lvlJc w:val="left"/>
      <w:pPr>
        <w:ind w:left="5040" w:hanging="360"/>
      </w:pPr>
    </w:lvl>
    <w:lvl w:ilvl="7" w:tplc="7766FE96">
      <w:start w:val="1"/>
      <w:numFmt w:val="bullet"/>
      <w:lvlText w:val="●"/>
      <w:lvlJc w:val="left"/>
      <w:pPr>
        <w:ind w:left="5760" w:hanging="360"/>
      </w:pPr>
    </w:lvl>
    <w:lvl w:ilvl="8" w:tplc="5C746A28">
      <w:start w:val="1"/>
      <w:numFmt w:val="bullet"/>
      <w:lvlText w:val="●"/>
      <w:lvlJc w:val="left"/>
      <w:pPr>
        <w:ind w:left="6480" w:hanging="360"/>
      </w:pPr>
    </w:lvl>
  </w:abstractNum>
  <w:num w:numId="1" w16cid:durableId="1470979416">
    <w:abstractNumId w:val="2"/>
    <w:lvlOverride w:ilvl="0">
      <w:startOverride w:val="1"/>
    </w:lvlOverride>
  </w:num>
  <w:num w:numId="2" w16cid:durableId="1217278041">
    <w:abstractNumId w:val="1"/>
    <w:lvlOverride w:ilvl="0">
      <w:startOverride w:val="1"/>
    </w:lvlOverride>
  </w:num>
  <w:num w:numId="3" w16cid:durableId="14940255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isplayBackgroundShape/>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xMrcwNzKwNDY2NTcwNbVU0lEKTi0uzszPAykwrAUAHNz/YywAAAA="/>
  </w:docVars>
  <w:rsids>
    <w:rsidRoot w:val="00AC363E"/>
    <w:rsid w:val="000378C7"/>
    <w:rsid w:val="0004469F"/>
    <w:rsid w:val="00061177"/>
    <w:rsid w:val="000651AF"/>
    <w:rsid w:val="00080576"/>
    <w:rsid w:val="000C2571"/>
    <w:rsid w:val="000E1653"/>
    <w:rsid w:val="001351E5"/>
    <w:rsid w:val="00371EA8"/>
    <w:rsid w:val="003767DA"/>
    <w:rsid w:val="003A4281"/>
    <w:rsid w:val="003D04B8"/>
    <w:rsid w:val="00447943"/>
    <w:rsid w:val="004A18BF"/>
    <w:rsid w:val="004F1B7E"/>
    <w:rsid w:val="005119CF"/>
    <w:rsid w:val="005901B9"/>
    <w:rsid w:val="005A226B"/>
    <w:rsid w:val="006804B1"/>
    <w:rsid w:val="006E21ED"/>
    <w:rsid w:val="00703E13"/>
    <w:rsid w:val="0071031A"/>
    <w:rsid w:val="00736E24"/>
    <w:rsid w:val="007578DC"/>
    <w:rsid w:val="0076280C"/>
    <w:rsid w:val="0077779A"/>
    <w:rsid w:val="007829F4"/>
    <w:rsid w:val="007D0849"/>
    <w:rsid w:val="00857DFC"/>
    <w:rsid w:val="00861E7F"/>
    <w:rsid w:val="0086583C"/>
    <w:rsid w:val="00873C5E"/>
    <w:rsid w:val="00881C94"/>
    <w:rsid w:val="00911852"/>
    <w:rsid w:val="009942BC"/>
    <w:rsid w:val="009A16ED"/>
    <w:rsid w:val="00AC363E"/>
    <w:rsid w:val="00B85B5B"/>
    <w:rsid w:val="00B865CD"/>
    <w:rsid w:val="00BA7F55"/>
    <w:rsid w:val="00C94522"/>
    <w:rsid w:val="00CA34A7"/>
    <w:rsid w:val="00D347DF"/>
    <w:rsid w:val="00D36FDA"/>
    <w:rsid w:val="00D370FC"/>
    <w:rsid w:val="00D863BE"/>
    <w:rsid w:val="00D94A69"/>
    <w:rsid w:val="00E12A20"/>
    <w:rsid w:val="00E46DAC"/>
    <w:rsid w:val="00F83420"/>
    <w:rsid w:val="00F84FA8"/>
    <w:rsid w:val="00FF0B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528660"/>
  <w15:docId w15:val="{AC723F3D-B90C-418F-9C3A-D62A741249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Cambria" w:hAnsi="Cambria" w:cs="Cambria"/>
        <w:color w:val="1A1A1A"/>
        <w:sz w:val="23"/>
        <w:szCs w:val="23"/>
        <w:lang w:val="en-US" w:eastAsia="en-US" w:bidi="ar-SA"/>
      </w:rPr>
    </w:rPrDefault>
    <w:pPrDefault>
      <w:pPr>
        <w:spacing w:after="12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4A69"/>
  </w:style>
  <w:style w:type="paragraph" w:styleId="Heading1">
    <w:name w:val="heading 1"/>
    <w:uiPriority w:val="9"/>
    <w:qFormat/>
    <w:rsid w:val="00D94A69"/>
    <w:pPr>
      <w:keepNext/>
      <w:spacing w:before="300" w:after="130"/>
      <w:outlineLvl w:val="0"/>
    </w:pPr>
    <w:rPr>
      <w:b/>
      <w:bCs/>
      <w:color w:val="163C5C"/>
      <w:sz w:val="30"/>
      <w:szCs w:val="30"/>
    </w:rPr>
  </w:style>
  <w:style w:type="paragraph" w:styleId="Heading2">
    <w:name w:val="heading 2"/>
    <w:uiPriority w:val="9"/>
    <w:unhideWhenUsed/>
    <w:qFormat/>
    <w:rsid w:val="00D94A69"/>
    <w:pPr>
      <w:keepNext/>
      <w:spacing w:before="220" w:after="90"/>
      <w:outlineLvl w:val="1"/>
    </w:pPr>
    <w:rPr>
      <w:b/>
      <w:bCs/>
      <w:color w:val="163C5C"/>
      <w:sz w:val="25"/>
      <w:szCs w:val="25"/>
    </w:rPr>
  </w:style>
  <w:style w:type="paragraph" w:styleId="Heading3">
    <w:name w:val="heading 3"/>
    <w:uiPriority w:val="9"/>
    <w:semiHidden/>
    <w:unhideWhenUsed/>
    <w:qFormat/>
    <w:rsid w:val="00D94A69"/>
    <w:pPr>
      <w:outlineLvl w:val="2"/>
    </w:pPr>
    <w:rPr>
      <w:color w:val="1F4D78"/>
      <w:sz w:val="24"/>
      <w:szCs w:val="24"/>
    </w:rPr>
  </w:style>
  <w:style w:type="paragraph" w:styleId="Heading4">
    <w:name w:val="heading 4"/>
    <w:uiPriority w:val="9"/>
    <w:semiHidden/>
    <w:unhideWhenUsed/>
    <w:qFormat/>
    <w:rsid w:val="00D94A69"/>
    <w:pPr>
      <w:outlineLvl w:val="3"/>
    </w:pPr>
    <w:rPr>
      <w:i/>
      <w:iCs/>
      <w:color w:val="2E74B5"/>
    </w:rPr>
  </w:style>
  <w:style w:type="paragraph" w:styleId="Heading5">
    <w:name w:val="heading 5"/>
    <w:uiPriority w:val="9"/>
    <w:semiHidden/>
    <w:unhideWhenUsed/>
    <w:qFormat/>
    <w:rsid w:val="00D94A69"/>
    <w:pPr>
      <w:outlineLvl w:val="4"/>
    </w:pPr>
    <w:rPr>
      <w:color w:val="2E74B5"/>
    </w:rPr>
  </w:style>
  <w:style w:type="paragraph" w:styleId="Heading6">
    <w:name w:val="heading 6"/>
    <w:uiPriority w:val="9"/>
    <w:semiHidden/>
    <w:unhideWhenUsed/>
    <w:qFormat/>
    <w:rsid w:val="00D94A69"/>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sid w:val="00D94A69"/>
    <w:rPr>
      <w:sz w:val="56"/>
      <w:szCs w:val="56"/>
    </w:rPr>
  </w:style>
  <w:style w:type="paragraph" w:customStyle="1" w:styleId="Strong1">
    <w:name w:val="Strong1"/>
    <w:qFormat/>
    <w:rsid w:val="00D94A69"/>
    <w:rPr>
      <w:b/>
      <w:bCs/>
    </w:rPr>
  </w:style>
  <w:style w:type="paragraph" w:styleId="ListParagraph">
    <w:name w:val="List Paragraph"/>
    <w:qFormat/>
    <w:rsid w:val="00D94A69"/>
  </w:style>
  <w:style w:type="character" w:styleId="Hyperlink">
    <w:name w:val="Hyperlink"/>
    <w:uiPriority w:val="99"/>
    <w:unhideWhenUsed/>
    <w:rsid w:val="00D94A69"/>
    <w:rPr>
      <w:color w:val="0563C1"/>
      <w:u w:val="single"/>
    </w:rPr>
  </w:style>
  <w:style w:type="character" w:styleId="FootnoteReference">
    <w:name w:val="footnote reference"/>
    <w:uiPriority w:val="99"/>
    <w:semiHidden/>
    <w:unhideWhenUsed/>
    <w:rsid w:val="00D94A69"/>
    <w:rPr>
      <w:vertAlign w:val="superscript"/>
    </w:rPr>
  </w:style>
  <w:style w:type="paragraph" w:styleId="FootnoteText">
    <w:name w:val="footnote text"/>
    <w:link w:val="FootnoteTextChar"/>
    <w:uiPriority w:val="99"/>
    <w:semiHidden/>
    <w:unhideWhenUsed/>
    <w:rsid w:val="00D94A69"/>
    <w:pPr>
      <w:spacing w:after="0" w:line="240" w:lineRule="auto"/>
    </w:pPr>
    <w:rPr>
      <w:sz w:val="20"/>
      <w:szCs w:val="20"/>
    </w:rPr>
  </w:style>
  <w:style w:type="character" w:customStyle="1" w:styleId="FootnoteTextChar">
    <w:name w:val="Footnote Text Char"/>
    <w:link w:val="FootnoteText"/>
    <w:uiPriority w:val="99"/>
    <w:semiHidden/>
    <w:unhideWhenUsed/>
    <w:rsid w:val="00D94A69"/>
    <w:rPr>
      <w:sz w:val="20"/>
      <w:szCs w:val="20"/>
    </w:rPr>
  </w:style>
  <w:style w:type="character" w:styleId="EndnoteReference">
    <w:name w:val="endnote reference"/>
    <w:uiPriority w:val="99"/>
    <w:semiHidden/>
    <w:unhideWhenUsed/>
    <w:rsid w:val="00D94A69"/>
    <w:rPr>
      <w:vertAlign w:val="superscript"/>
    </w:rPr>
  </w:style>
  <w:style w:type="paragraph" w:styleId="EndnoteText">
    <w:name w:val="endnote text"/>
    <w:link w:val="EndnoteTextChar"/>
    <w:uiPriority w:val="99"/>
    <w:semiHidden/>
    <w:unhideWhenUsed/>
    <w:rsid w:val="00D94A69"/>
    <w:pPr>
      <w:spacing w:after="0" w:line="240" w:lineRule="auto"/>
    </w:pPr>
    <w:rPr>
      <w:sz w:val="20"/>
      <w:szCs w:val="20"/>
    </w:rPr>
  </w:style>
  <w:style w:type="character" w:customStyle="1" w:styleId="EndnoteTextChar">
    <w:name w:val="Endnote Text Char"/>
    <w:link w:val="EndnoteText"/>
    <w:uiPriority w:val="99"/>
    <w:semiHidden/>
    <w:unhideWhenUsed/>
    <w:rsid w:val="00D94A69"/>
    <w:rPr>
      <w:sz w:val="20"/>
      <w:szCs w:val="20"/>
    </w:rPr>
  </w:style>
  <w:style w:type="paragraph" w:customStyle="1" w:styleId="ReferenceItem">
    <w:name w:val="Reference Item"/>
    <w:rsid w:val="00D94A69"/>
    <w:pPr>
      <w:spacing w:after="80" w:line="240" w:lineRule="auto"/>
    </w:pPr>
    <w:rPr>
      <w:sz w:val="21"/>
      <w:szCs w:val="21"/>
    </w:rPr>
  </w:style>
  <w:style w:type="paragraph" w:styleId="NormalWeb">
    <w:name w:val="Normal (Web)"/>
    <w:basedOn w:val="Normal"/>
    <w:uiPriority w:val="99"/>
    <w:semiHidden/>
    <w:unhideWhenUsed/>
    <w:rsid w:val="0004469F"/>
    <w:pPr>
      <w:spacing w:before="100" w:beforeAutospacing="1" w:after="100" w:afterAutospacing="1" w:line="240" w:lineRule="auto"/>
    </w:pPr>
    <w:rPr>
      <w:rFonts w:ascii="Times New Roman" w:eastAsia="Times New Roman" w:hAnsi="Times New Roman" w:cs="Times New Roman"/>
      <w:color w:val="auto"/>
      <w:sz w:val="24"/>
      <w:szCs w:val="24"/>
    </w:rPr>
  </w:style>
  <w:style w:type="character" w:customStyle="1" w:styleId="UnresolvedMention1">
    <w:name w:val="Unresolved Mention1"/>
    <w:basedOn w:val="DefaultParagraphFont"/>
    <w:uiPriority w:val="99"/>
    <w:semiHidden/>
    <w:unhideWhenUsed/>
    <w:rsid w:val="00873C5E"/>
    <w:rPr>
      <w:color w:val="605E5C"/>
      <w:shd w:val="clear" w:color="auto" w:fill="E1DFDD"/>
    </w:rPr>
  </w:style>
  <w:style w:type="paragraph" w:styleId="BalloonText">
    <w:name w:val="Balloon Text"/>
    <w:basedOn w:val="Normal"/>
    <w:link w:val="BalloonTextChar"/>
    <w:uiPriority w:val="99"/>
    <w:semiHidden/>
    <w:unhideWhenUsed/>
    <w:rsid w:val="00857DF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57DFC"/>
    <w:rPr>
      <w:rFonts w:ascii="Tahoma" w:hAnsi="Tahoma" w:cs="Tahoma"/>
      <w:sz w:val="16"/>
      <w:szCs w:val="16"/>
    </w:rPr>
  </w:style>
  <w:style w:type="paragraph" w:customStyle="1" w:styleId="pdq2pgselectionanchorcontainer">
    <w:name w:val="pdq2pg_selectionanchorcontainer"/>
    <w:basedOn w:val="Normal"/>
    <w:rsid w:val="00857DFC"/>
    <w:pPr>
      <w:spacing w:before="100" w:beforeAutospacing="1" w:after="100" w:afterAutospacing="1" w:line="240" w:lineRule="auto"/>
    </w:pPr>
    <w:rPr>
      <w:rFonts w:ascii="Times New Roman" w:eastAsia="Times New Roman" w:hAnsi="Times New Roman" w:cs="Times New Roman"/>
      <w:color w:val="auto"/>
      <w:sz w:val="24"/>
      <w:szCs w:val="24"/>
      <w:lang w:val="en-GB" w:eastAsia="en-GB"/>
    </w:rPr>
  </w:style>
  <w:style w:type="character" w:styleId="Emphasis">
    <w:name w:val="Emphasis"/>
    <w:basedOn w:val="DefaultParagraphFont"/>
    <w:uiPriority w:val="20"/>
    <w:qFormat/>
    <w:rsid w:val="00857DFC"/>
    <w:rPr>
      <w:i/>
      <w:iCs/>
    </w:rPr>
  </w:style>
  <w:style w:type="paragraph" w:styleId="Header">
    <w:name w:val="header"/>
    <w:basedOn w:val="Normal"/>
    <w:link w:val="HeaderChar"/>
    <w:uiPriority w:val="99"/>
    <w:unhideWhenUsed/>
    <w:rsid w:val="00857DFC"/>
    <w:pPr>
      <w:tabs>
        <w:tab w:val="center" w:pos="4513"/>
        <w:tab w:val="right" w:pos="9026"/>
      </w:tabs>
      <w:spacing w:after="0" w:line="240" w:lineRule="auto"/>
    </w:pPr>
  </w:style>
  <w:style w:type="character" w:customStyle="1" w:styleId="HeaderChar">
    <w:name w:val="Header Char"/>
    <w:basedOn w:val="DefaultParagraphFont"/>
    <w:link w:val="Header"/>
    <w:uiPriority w:val="99"/>
    <w:rsid w:val="00857DFC"/>
  </w:style>
  <w:style w:type="paragraph" w:styleId="Footer">
    <w:name w:val="footer"/>
    <w:basedOn w:val="Normal"/>
    <w:link w:val="FooterChar"/>
    <w:uiPriority w:val="99"/>
    <w:unhideWhenUsed/>
    <w:rsid w:val="00857DFC"/>
    <w:pPr>
      <w:tabs>
        <w:tab w:val="center" w:pos="4513"/>
        <w:tab w:val="right" w:pos="9026"/>
      </w:tabs>
      <w:spacing w:after="0" w:line="240" w:lineRule="auto"/>
    </w:pPr>
  </w:style>
  <w:style w:type="character" w:customStyle="1" w:styleId="FooterChar">
    <w:name w:val="Footer Char"/>
    <w:basedOn w:val="DefaultParagraphFont"/>
    <w:link w:val="Footer"/>
    <w:uiPriority w:val="99"/>
    <w:rsid w:val="00857DFC"/>
  </w:style>
  <w:style w:type="character" w:styleId="UnresolvedMention">
    <w:name w:val="Unresolved Mention"/>
    <w:basedOn w:val="DefaultParagraphFont"/>
    <w:uiPriority w:val="99"/>
    <w:semiHidden/>
    <w:unhideWhenUsed/>
    <w:rsid w:val="006804B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59066199">
      <w:bodyDiv w:val="1"/>
      <w:marLeft w:val="0"/>
      <w:marRight w:val="0"/>
      <w:marTop w:val="0"/>
      <w:marBottom w:val="0"/>
      <w:divBdr>
        <w:top w:val="none" w:sz="0" w:space="0" w:color="auto"/>
        <w:left w:val="none" w:sz="0" w:space="0" w:color="auto"/>
        <w:bottom w:val="none" w:sz="0" w:space="0" w:color="auto"/>
        <w:right w:val="none" w:sz="0" w:space="0" w:color="auto"/>
      </w:divBdr>
    </w:div>
    <w:div w:id="1582177106">
      <w:bodyDiv w:val="1"/>
      <w:marLeft w:val="0"/>
      <w:marRight w:val="0"/>
      <w:marTop w:val="0"/>
      <w:marBottom w:val="0"/>
      <w:divBdr>
        <w:top w:val="none" w:sz="0" w:space="0" w:color="auto"/>
        <w:left w:val="none" w:sz="0" w:space="0" w:color="auto"/>
        <w:bottom w:val="none" w:sz="0" w:space="0" w:color="auto"/>
        <w:right w:val="none" w:sz="0" w:space="0" w:color="auto"/>
      </w:divBdr>
    </w:div>
    <w:div w:id="199413532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oi.org/10.1111/bjhp.70023" TargetMode="External"/><Relationship Id="rId18" Type="http://schemas.openxmlformats.org/officeDocument/2006/relationships/hyperlink" Target="https://doi.org/10.1016/B978-0-12-802761-5.00011-0" TargetMode="External"/><Relationship Id="rId26" Type="http://schemas.openxmlformats.org/officeDocument/2006/relationships/hyperlink" Target="https://doi.org/10.1192/bjo.2025.5" TargetMode="External"/><Relationship Id="rId39" Type="http://schemas.openxmlformats.org/officeDocument/2006/relationships/header" Target="header2.xml"/><Relationship Id="rId21" Type="http://schemas.openxmlformats.org/officeDocument/2006/relationships/hyperlink" Target="https://doi.org/10.1177/2633494120911038" TargetMode="External"/><Relationship Id="rId34" Type="http://schemas.openxmlformats.org/officeDocument/2006/relationships/hyperlink" Target="https://doi.org/10.1016/B978-0-12-801772-2.00001-1" TargetMode="External"/><Relationship Id="rId42" Type="http://schemas.openxmlformats.org/officeDocument/2006/relationships/header" Target="header3.xm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hyperlink" Target="https://www.endocrine.org/news-and-advocacy/news-room/2026/pcos-name-change" TargetMode="External"/><Relationship Id="rId29" Type="http://schemas.openxmlformats.org/officeDocument/2006/relationships/hyperlink" Target="https://www.cambridge.org/core/blog/2020/11/23/how-did-down-syndrome-get-its-name/"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oi.org/10.3389/fimmu.2024.1386607" TargetMode="External"/><Relationship Id="rId24" Type="http://schemas.openxmlformats.org/officeDocument/2006/relationships/hyperlink" Target="https://doi.org/10.1155/2015/786362" TargetMode="External"/><Relationship Id="rId32" Type="http://schemas.openxmlformats.org/officeDocument/2006/relationships/hyperlink" Target="https://doi.org/10.1016/j.fertnstert.2023.07.025" TargetMode="External"/><Relationship Id="rId37" Type="http://schemas.openxmlformats.org/officeDocument/2006/relationships/hyperlink" Target="https://pmc.ncbi.nlm.nih.gov/articles/PMC5611427/" TargetMode="External"/><Relationship Id="rId40" Type="http://schemas.openxmlformats.org/officeDocument/2006/relationships/footer" Target="footer1.xml"/><Relationship Id="rId45"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doi.org/10.1136/bmjmed-2023-000548" TargetMode="External"/><Relationship Id="rId23" Type="http://schemas.openxmlformats.org/officeDocument/2006/relationships/hyperlink" Target="https://doi.org/10.1080/17482631.2025.2534871" TargetMode="External"/><Relationship Id="rId28" Type="http://schemas.openxmlformats.org/officeDocument/2006/relationships/hyperlink" Target="https://doi.org/10.1038/s41572-024-00511-3" TargetMode="External"/><Relationship Id="rId36" Type="http://schemas.openxmlformats.org/officeDocument/2006/relationships/hyperlink" Target="https://doi.org/10.1210/js.2019-00078" TargetMode="External"/><Relationship Id="rId10" Type="http://schemas.openxmlformats.org/officeDocument/2006/relationships/hyperlink" Target="https://hertilityhealth.com/blog/blog-pcos-renamed-pmos" TargetMode="External"/><Relationship Id="rId19" Type="http://schemas.openxmlformats.org/officeDocument/2006/relationships/hyperlink" Target="https://doi.org/10.1210/jc.2016-2963" TargetMode="External"/><Relationship Id="rId31" Type="http://schemas.openxmlformats.org/officeDocument/2006/relationships/hyperlink" Target="https://doi.org/10.3949/ccjm.93a.25090" TargetMode="External"/><Relationship Id="rId44"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doi.org/10.2147/JMDH.S512254" TargetMode="External"/><Relationship Id="rId14" Type="http://schemas.openxmlformats.org/officeDocument/2006/relationships/hyperlink" Target="https://doi.org/10.2337/diaspect.28.2.116" TargetMode="External"/><Relationship Id="rId22" Type="http://schemas.openxmlformats.org/officeDocument/2006/relationships/hyperlink" Target="https://doi.org/10.4324/9780203338001" TargetMode="External"/><Relationship Id="rId27" Type="http://schemas.openxmlformats.org/officeDocument/2006/relationships/hyperlink" Target="https://doi.org/10.1007/s11606-014-2834-9" TargetMode="External"/><Relationship Id="rId30" Type="http://schemas.openxmlformats.org/officeDocument/2006/relationships/hyperlink" Target="https://doi.org/10.56557/AJOCR/2023/v8i28299" TargetMode="External"/><Relationship Id="rId35" Type="http://schemas.openxmlformats.org/officeDocument/2006/relationships/hyperlink" Target="https://doi.org/10.9734/ajrre/2026/v9i1121" TargetMode="External"/><Relationship Id="rId43" Type="http://schemas.openxmlformats.org/officeDocument/2006/relationships/footer" Target="footer3.xml"/><Relationship Id="rId8" Type="http://schemas.openxmlformats.org/officeDocument/2006/relationships/hyperlink" Target="https://doi.org/10.1097/CRD.0000000000001054" TargetMode="External"/><Relationship Id="rId3" Type="http://schemas.openxmlformats.org/officeDocument/2006/relationships/settings" Target="settings.xml"/><Relationship Id="rId12" Type="http://schemas.openxmlformats.org/officeDocument/2006/relationships/hyperlink" Target="https://doi.org/10.1177/10901981251327185" TargetMode="External"/><Relationship Id="rId17" Type="http://schemas.openxmlformats.org/officeDocument/2006/relationships/hyperlink" Target="https://doi.org/10.1093/pch/20.4.200" TargetMode="External"/><Relationship Id="rId25" Type="http://schemas.openxmlformats.org/officeDocument/2006/relationships/hyperlink" Target="https://www.ncbi.nlm.nih.gov/books/NBK459251/" TargetMode="External"/><Relationship Id="rId33" Type="http://schemas.openxmlformats.org/officeDocument/2006/relationships/hyperlink" Target="https://doi.org/10.1016/S0140-6736(26)00717-8" TargetMode="External"/><Relationship Id="rId38" Type="http://schemas.openxmlformats.org/officeDocument/2006/relationships/header" Target="header1.xml"/><Relationship Id="rId20" Type="http://schemas.openxmlformats.org/officeDocument/2006/relationships/hyperlink" Target="https://doi.org/10.3389/fmed.2025.1576490" TargetMode="External"/><Relationship Id="rId41"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769</TotalTime>
  <Pages>20</Pages>
  <Words>7472</Words>
  <Characters>42596</Characters>
  <Application>Microsoft Office Word</Application>
  <DocSecurity>0</DocSecurity>
  <Lines>354</Lines>
  <Paragraphs>99</Paragraphs>
  <ScaleCrop>false</ScaleCrop>
  <HeadingPairs>
    <vt:vector size="2" baseType="variant">
      <vt:variant>
        <vt:lpstr>Title</vt:lpstr>
      </vt:variant>
      <vt:variant>
        <vt:i4>1</vt:i4>
      </vt:variant>
    </vt:vector>
  </HeadingPairs>
  <TitlesOfParts>
    <vt:vector size="1" baseType="lpstr">
      <vt:lpstr>Medical Nomenclature and Patient Understanding: Lessons from the Polycystic Ovary Syndrome to Polyendocrine Metabolic Ovarian Syndrome Transition</vt:lpstr>
    </vt:vector>
  </TitlesOfParts>
  <Company/>
  <LinksUpToDate>false</LinksUpToDate>
  <CharactersWithSpaces>49969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Medical Nomenclature and Patient Understanding: Lessons from the Polycystic Ovary Syndrome to Polyendocrine Metabolic Ovarian Syndrome Transition</dc:title>
  <dc:creator>Manuscript</dc:creator>
  <cp:lastModifiedBy>SDI CPU 1117</cp:lastModifiedBy>
  <cp:revision>26</cp:revision>
  <dcterms:created xsi:type="dcterms:W3CDTF">2026-06-27T21:02:00Z</dcterms:created>
  <dcterms:modified xsi:type="dcterms:W3CDTF">2026-07-11T07:07:00Z</dcterms:modified>
</cp:coreProperties>
</file>