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060AE" w14:textId="77777777" w:rsidR="00821EFE" w:rsidRPr="00C16A60" w:rsidRDefault="00355686">
      <w:pPr>
        <w:widowControl/>
        <w:jc w:val="center"/>
        <w:rPr>
          <w:rStyle w:val="Heading1Char"/>
          <w:rFonts w:ascii="Times New Roman Bold" w:eastAsiaTheme="minorEastAsia" w:hAnsi="Times New Roman Bold" w:cs="Times New Roman Bold"/>
          <w:bCs/>
        </w:rPr>
      </w:pPr>
      <w:r w:rsidRPr="00C16A60">
        <w:rPr>
          <w:rStyle w:val="Heading1Char"/>
          <w:rFonts w:ascii="Times New Roman Bold" w:eastAsiaTheme="minorEastAsia" w:hAnsi="Times New Roman Bold" w:cs="Times New Roman Bold"/>
          <w:bCs/>
        </w:rPr>
        <w:t>Assessing Intelligent Technology Integration and Its Impacts on Mathematics Education in China</w:t>
      </w:r>
    </w:p>
    <w:p w14:paraId="05F9CA48" w14:textId="77777777" w:rsidR="00821EFE" w:rsidRPr="00C16A60" w:rsidRDefault="00821EFE">
      <w:pPr>
        <w:rPr>
          <w:rFonts w:ascii="Times New Roman Regular" w:hAnsi="Times New Roman Regular" w:cs="Times New Roman Regular"/>
        </w:rPr>
      </w:pPr>
    </w:p>
    <w:p w14:paraId="5AD1E22E" w14:textId="77777777" w:rsidR="00170F96" w:rsidRPr="00C16A60" w:rsidRDefault="00355686">
      <w:pPr>
        <w:widowControl/>
        <w:jc w:val="left"/>
        <w:rPr>
          <w:rStyle w:val="Heading1Char"/>
          <w:rFonts w:ascii="Times New Roman Bold" w:eastAsiaTheme="minorEastAsia" w:hAnsi="Times New Roman Bold" w:cs="Times New Roman Bold"/>
          <w:bCs/>
        </w:rPr>
      </w:pPr>
      <w:r w:rsidRPr="00C16A60">
        <w:rPr>
          <w:rStyle w:val="Heading1Char"/>
          <w:rFonts w:ascii="Times New Roman Bold" w:eastAsiaTheme="minorEastAsia" w:hAnsi="Times New Roman Bold" w:cs="Times New Roman Bold"/>
          <w:bCs/>
        </w:rPr>
        <w:t>ABSTRACT:</w:t>
      </w:r>
    </w:p>
    <w:p w14:paraId="3FEFCD5A" w14:textId="6E2E42EE" w:rsidR="00821EFE" w:rsidRPr="00C16A60" w:rsidRDefault="00C16A60" w:rsidP="0065318A">
      <w:pPr>
        <w:pStyle w:val="pdq2pgselectionanchorcontainer"/>
        <w:jc w:val="both"/>
        <w:rPr>
          <w:rFonts w:ascii="Times New Roman Regular" w:hAnsi="Times New Roman Regular" w:cs="Times New Roman Regular"/>
        </w:rPr>
      </w:pPr>
      <w:r>
        <w:t xml:space="preserve">Intelligent technologies are becoming an important component of mathematics education as schools seek to improve instructional precision, learning support, assessment, and teacher professional development. This review examines how intelligent technology has been integrated into mathematics education in China and identifies the main research themes, reported outcomes, challenges, development pathways, and methodological features in the existing literature. A narrative literature review and content analysis were conducted using 30 highly relevant CNKI-indexed publications on intelligent technology empowering mathematics education published between 2020 and 2025. The review indicates that current studies mainly focus on five dimensions: application scenarios, empowerment outcomes, challenges, development pathways, and research methods. Intelligent technologies are commonly discussed in relation to </w:t>
      </w:r>
      <w:proofErr w:type="spellStart"/>
      <w:r>
        <w:t>personalised</w:t>
      </w:r>
      <w:proofErr w:type="spellEnd"/>
      <w:r>
        <w:t xml:space="preserve"> learning, teaching resource generation, classroom interaction, integrated teaching-learning-assessment systems, and teacher role transformation. Reported benefits include improved teaching precision, richer learning experiences, more timely feedback, and support for data-informed teaching. However, the evidence base remains uneven. Many studies rely on case studies, classroom-practice summaries, or short-term empirical designs, while large-scale and long-term evidence remains limited. The review also identifies concerns regarding teacher digital literacy, student dependence on technological tools, data privacy, algorithmic bias, and unequal access to intelligent resources. Overall, effective integration requires closer alignment between technology, pedagogy, mathematics-specific learning needs, teacher capacity, and ethical governance.</w:t>
      </w:r>
    </w:p>
    <w:p w14:paraId="5C528271" w14:textId="77777777" w:rsidR="00C16A60" w:rsidRDefault="00355686" w:rsidP="0030236C">
      <w:pPr>
        <w:pStyle w:val="pdq2pgselectionanchorcontainer"/>
        <w:jc w:val="both"/>
      </w:pPr>
      <w:r w:rsidRPr="00950250">
        <w:rPr>
          <w:rStyle w:val="Heading1Char"/>
          <w:rFonts w:ascii="Times New Roman Bold" w:eastAsiaTheme="minorEastAsia" w:hAnsi="Times New Roman Bold" w:cs="Times New Roman Bold"/>
          <w:bCs/>
        </w:rPr>
        <w:t>KEYWORDS</w:t>
      </w:r>
      <w:r w:rsidRPr="00C16A60">
        <w:rPr>
          <w:rStyle w:val="Heading1Char"/>
          <w:rFonts w:ascii="Times New Roman Bold" w:eastAsiaTheme="minorEastAsia" w:hAnsi="Times New Roman Bold" w:cs="Times New Roman Bold"/>
          <w:bCs/>
        </w:rPr>
        <w:t xml:space="preserve">: </w:t>
      </w:r>
      <w:r w:rsidR="00C16A60">
        <w:t xml:space="preserve">Intelligent technology; artificial intelligence; mathematics education; educational </w:t>
      </w:r>
      <w:proofErr w:type="spellStart"/>
      <w:r w:rsidR="00C16A60">
        <w:t>digitalisation</w:t>
      </w:r>
      <w:proofErr w:type="spellEnd"/>
      <w:r w:rsidR="00C16A60">
        <w:t xml:space="preserve">; </w:t>
      </w:r>
      <w:proofErr w:type="spellStart"/>
      <w:r w:rsidR="00C16A60">
        <w:t>personalised</w:t>
      </w:r>
      <w:proofErr w:type="spellEnd"/>
      <w:r w:rsidR="00C16A60">
        <w:t xml:space="preserve"> learning; adaptive learning; intelligent assessment; teacher professional development; AI ethics; China</w:t>
      </w:r>
    </w:p>
    <w:p w14:paraId="6DA5D0A8" w14:textId="64631638" w:rsidR="00821EFE" w:rsidRPr="00C16A60" w:rsidRDefault="00821EFE">
      <w:pPr>
        <w:rPr>
          <w:rFonts w:ascii="Times New Roman Regular" w:hAnsi="Times New Roman Regular" w:cs="Times New Roman Regular"/>
        </w:rPr>
      </w:pPr>
    </w:p>
    <w:p w14:paraId="0D42AA81" w14:textId="77777777" w:rsidR="00821EFE" w:rsidRPr="00C16A60" w:rsidRDefault="00821EFE">
      <w:pPr>
        <w:rPr>
          <w:rFonts w:ascii="Times New Roman Regular" w:hAnsi="Times New Roman Regular" w:cs="Times New Roman Regular"/>
        </w:rPr>
      </w:pPr>
    </w:p>
    <w:p w14:paraId="5193D8E0" w14:textId="77777777" w:rsidR="00821EFE" w:rsidRPr="00C16A60" w:rsidRDefault="00355686">
      <w:pPr>
        <w:numPr>
          <w:ilvl w:val="0"/>
          <w:numId w:val="1"/>
        </w:numPr>
        <w:rPr>
          <w:rFonts w:ascii="Times New Roman Bold" w:hAnsi="Times New Roman Bold" w:cs="Times New Roman Bold"/>
          <w:b/>
          <w:bCs/>
          <w:sz w:val="24"/>
        </w:rPr>
      </w:pPr>
      <w:r w:rsidRPr="00C16A60">
        <w:rPr>
          <w:rFonts w:ascii="Times New Roman Bold" w:hAnsi="Times New Roman Bold" w:cs="Times New Roman Bold"/>
          <w:b/>
          <w:bCs/>
          <w:sz w:val="24"/>
        </w:rPr>
        <w:t>INTRODUCTION</w:t>
      </w:r>
    </w:p>
    <w:p w14:paraId="2FF3E430" w14:textId="77777777" w:rsidR="00821EFE" w:rsidRPr="00C16A60" w:rsidRDefault="00821EFE">
      <w:pPr>
        <w:rPr>
          <w:rFonts w:ascii="Times New Roman Bold" w:hAnsi="Times New Roman Bold" w:cs="Times New Roman Bold"/>
          <w:b/>
          <w:bCs/>
          <w:sz w:val="24"/>
        </w:rPr>
      </w:pPr>
    </w:p>
    <w:p w14:paraId="3A85E4F9"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Empowering mathematics education through intelligent technologies refers to an educational innovation process that leverages next-generation information technologies—such as artificial intelligence</w:t>
      </w:r>
      <w:r w:rsidRPr="00C16A60">
        <w:rPr>
          <w:rFonts w:ascii="Times New Roman Regular" w:hAnsi="Times New Roman Regular" w:cs="Times New Roman Regular" w:hint="eastAsia"/>
        </w:rPr>
        <w:t xml:space="preserve"> (AI)</w:t>
      </w:r>
      <w:r w:rsidRPr="00C16A60">
        <w:rPr>
          <w:rFonts w:ascii="Times New Roman Regular" w:hAnsi="Times New Roman Regular" w:cs="Times New Roman Regular"/>
        </w:rPr>
        <w:t xml:space="preserve">, big data, and virtual reality—to systematically enhance the precision, interactivity, and effectiveness of mathematics instruction. This is achieved through intelligent resource recommendations, personalised learning path customisation, and data-driven analysis of teaching processes. Amid the global wave of digitalisation and intelligent transformation sweeping education, intelligent technologies not only furnish mathematics education with novel tools and platforms but also drive structural shifts in teaching models, assessment methods, and the role of educators. This holds significant theoretical and practical implications for cultivating core </w:t>
      </w:r>
      <w:r w:rsidRPr="00C16A60">
        <w:rPr>
          <w:rFonts w:ascii="Times New Roman Regular" w:hAnsi="Times New Roman Regular" w:cs="Times New Roman Regular"/>
        </w:rPr>
        <w:lastRenderedPageBreak/>
        <w:t>mathematical competencies and advancing educational modernisation (Cao &amp; Chen, 2024; Liu et al., 2025; Zhao et al., 2024).</w:t>
      </w:r>
      <w:r w:rsidRPr="00C16A60">
        <w:rPr>
          <w:b/>
        </w:rPr>
        <w:t xml:space="preserve"> Recent international reviews similarly indicate that AI-enabled education is frequently examined through personalised tutoring, adaptive learning, intelligent assessment, and learning analytics, supporting the relevance of a focused synthesis for mathematics education (Lubguban &amp; Bauyot, 2025; Wang et al., 2024). Research on large language models has also emphasised their potential for educational content generation, learner-engagement support, and personalised learning, while noting that human oversight and critical evaluation remain necessary for responsible use (Kasneci et al., 2023).</w:t>
      </w:r>
    </w:p>
    <w:p w14:paraId="3DADEEA3" w14:textId="77777777" w:rsidR="00821EFE" w:rsidRPr="00C16A60" w:rsidRDefault="00821EFE">
      <w:pPr>
        <w:rPr>
          <w:rFonts w:ascii="Times New Roman Regular" w:hAnsi="Times New Roman Regular" w:cs="Times New Roman Regular"/>
        </w:rPr>
      </w:pPr>
    </w:p>
    <w:p w14:paraId="54A8B64F" w14:textId="77777777" w:rsidR="00821EFE" w:rsidRPr="00C16A60" w:rsidRDefault="00355686">
      <w:pPr>
        <w:widowControl/>
        <w:jc w:val="left"/>
        <w:rPr>
          <w:rFonts w:ascii="Times New Roman Regular" w:hAnsi="Times New Roman Regular" w:cs="Times New Roman Regular"/>
        </w:rPr>
      </w:pPr>
      <w:r w:rsidRPr="00C16A60">
        <w:rPr>
          <w:rFonts w:ascii="Times New Roman Regular" w:hAnsi="Times New Roman Regular" w:cs="Times New Roman Regular"/>
        </w:rPr>
        <w:t>Currently, the application of intelligent technology in education has evolved from initial exploration to deep integration. As a highly abstract and logically rigorous discipline, mathematics warrants particular attention in the intelligent transformation of its teaching process. In recent years, domestic scholars have conducted multifaceted and multilevel discussions on how intelligent technologies can empower mathematics education, accumulating a wealth of research findings (He, 2025; C. Liu, 2025; Z. Zhang, 2025; Zhou &amp; Huai, 2025). However, no literature has yet systematically organised and integrated these studies, leaving the research trajectory unclear and requiring further clarification of research gaps and future directions.</w:t>
      </w:r>
      <w:r w:rsidRPr="00C16A60">
        <w:rPr>
          <w:b/>
        </w:rPr>
        <w:t xml:space="preserve"> Mathematics-focused reviews further suggest that AI-related mathematics education research remains uneven across educational levels, tools, and methodological designs, indicating the need for context-specific synthesis rather than broad generalisation (Nanda &amp; Pradhan, 2025). Recent scholarship on AI and teacher professionalism also emphasises teacher agency, AI literacy, and ethical reasoning as important conditions for responsible technology integration in classroom practice (Nkopuruk, 2026). Therefore, a review focused on the selected CNKI literature is necessary to distinguish recurring findings from underexplored issues, particularly in relation to application scenarios, research methods, and the evidence base supporting reported outcomes.</w:t>
      </w:r>
    </w:p>
    <w:p w14:paraId="6766DF65" w14:textId="77777777" w:rsidR="00821EFE" w:rsidRPr="00C16A60" w:rsidRDefault="00821EFE">
      <w:pPr>
        <w:rPr>
          <w:rFonts w:ascii="Times New Roman Regular" w:hAnsi="Times New Roman Regular" w:cs="Times New Roman Regular"/>
        </w:rPr>
      </w:pPr>
    </w:p>
    <w:p w14:paraId="709518B4"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Accordingly, this paper aims to clarify the current status and progress of research on intelligent technology empowering mathematics education through a narrative review and content analysis of existing literature, addressing the following three core questions:</w:t>
      </w:r>
    </w:p>
    <w:p w14:paraId="22E1AAA0" w14:textId="77777777" w:rsidR="00821EFE" w:rsidRPr="00C16A60" w:rsidRDefault="00821EFE">
      <w:pPr>
        <w:rPr>
          <w:rFonts w:ascii="Times New Roman Regular" w:hAnsi="Times New Roman Regular" w:cs="Times New Roman Regular"/>
        </w:rPr>
      </w:pPr>
    </w:p>
    <w:p w14:paraId="465B9211" w14:textId="77777777" w:rsidR="00821EFE" w:rsidRPr="00C16A60" w:rsidRDefault="00355686">
      <w:pPr>
        <w:numPr>
          <w:ilvl w:val="0"/>
          <w:numId w:val="2"/>
        </w:numPr>
        <w:rPr>
          <w:rFonts w:ascii="Times New Roman Regular" w:hAnsi="Times New Roman Regular" w:cs="Times New Roman Regular"/>
        </w:rPr>
      </w:pPr>
      <w:r w:rsidRPr="00C16A60">
        <w:rPr>
          <w:rFonts w:ascii="Times New Roman Regular" w:hAnsi="Times New Roman Regular" w:cs="Times New Roman Regular"/>
        </w:rPr>
        <w:t xml:space="preserve">What aspects of intelligent technology-enhanced mathematics education are currently the primary focus of research? </w:t>
      </w:r>
    </w:p>
    <w:p w14:paraId="41FF7D21" w14:textId="77777777" w:rsidR="00821EFE" w:rsidRPr="00C16A60" w:rsidRDefault="00821EFE">
      <w:pPr>
        <w:rPr>
          <w:rFonts w:ascii="Times New Roman Regular" w:hAnsi="Times New Roman Regular" w:cs="Times New Roman Regular"/>
        </w:rPr>
      </w:pPr>
    </w:p>
    <w:p w14:paraId="0170247F" w14:textId="77777777" w:rsidR="00821EFE" w:rsidRPr="00C16A60" w:rsidRDefault="00355686">
      <w:pPr>
        <w:numPr>
          <w:ilvl w:val="0"/>
          <w:numId w:val="2"/>
        </w:numPr>
        <w:rPr>
          <w:rFonts w:ascii="Times New Roman Regular" w:hAnsi="Times New Roman Regular" w:cs="Times New Roman Regular"/>
        </w:rPr>
      </w:pPr>
      <w:r w:rsidRPr="00C16A60">
        <w:rPr>
          <w:rFonts w:ascii="Times New Roman Regular" w:hAnsi="Times New Roman Regular" w:cs="Times New Roman Regular"/>
        </w:rPr>
        <w:t xml:space="preserve">What research methods are predominantly employed? </w:t>
      </w:r>
    </w:p>
    <w:p w14:paraId="4634D6E1" w14:textId="77777777" w:rsidR="00821EFE" w:rsidRPr="00C16A60" w:rsidRDefault="00821EFE">
      <w:pPr>
        <w:rPr>
          <w:rFonts w:ascii="Times New Roman Regular" w:hAnsi="Times New Roman Regular" w:cs="Times New Roman Regular"/>
        </w:rPr>
      </w:pPr>
    </w:p>
    <w:p w14:paraId="74245F29"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(3) What achievements have been made in existing research, and what shortcomings and gaps remain?</w:t>
      </w:r>
    </w:p>
    <w:p w14:paraId="3263A301" w14:textId="77777777" w:rsidR="00821EFE" w:rsidRPr="00C16A60" w:rsidRDefault="00821EFE">
      <w:pPr>
        <w:rPr>
          <w:rFonts w:ascii="Times New Roman Regular" w:hAnsi="Times New Roman Regular" w:cs="Times New Roman Regular"/>
        </w:rPr>
      </w:pPr>
    </w:p>
    <w:p w14:paraId="337121A0"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Through this review, we hope to provide clear academic references for subsequent related research, offer theoretical support for frontline teaching practices, and promote the deep integration and innovative development of intelligent technologies and mathematics education.</w:t>
      </w:r>
    </w:p>
    <w:p w14:paraId="1623BCD0" w14:textId="77777777" w:rsidR="00821EFE" w:rsidRPr="00C16A60" w:rsidRDefault="00821EFE">
      <w:pPr>
        <w:rPr>
          <w:rFonts w:ascii="Times New Roman Bold" w:hAnsi="Times New Roman Bold" w:cs="Times New Roman Bold"/>
          <w:b/>
          <w:bCs/>
          <w:sz w:val="24"/>
        </w:rPr>
      </w:pPr>
    </w:p>
    <w:p w14:paraId="740F2830" w14:textId="77777777" w:rsidR="00821EFE" w:rsidRPr="00C16A60" w:rsidRDefault="00355686">
      <w:pPr>
        <w:rPr>
          <w:rFonts w:ascii="Times New Roman Regular" w:hAnsi="Times New Roman Regular" w:cs="Times New Roman Regular"/>
        </w:rPr>
      </w:pPr>
      <w:r w:rsidRPr="00C16A60">
        <w:rPr>
          <w:rFonts w:ascii="Times New Roman Bold" w:hAnsi="Times New Roman Bold" w:cs="Times New Roman Bold" w:hint="eastAsia"/>
          <w:b/>
          <w:bCs/>
          <w:sz w:val="24"/>
        </w:rPr>
        <w:t>2. METHODS</w:t>
      </w:r>
    </w:p>
    <w:p w14:paraId="0485B539" w14:textId="77777777" w:rsidR="00821EFE" w:rsidRPr="00C16A60" w:rsidRDefault="00821EFE">
      <w:pPr>
        <w:rPr>
          <w:rFonts w:ascii="Times New Roman Bold" w:hAnsi="Times New Roman Bold" w:cs="Times New Roman Bold"/>
          <w:b/>
          <w:bCs/>
        </w:rPr>
      </w:pPr>
    </w:p>
    <w:p w14:paraId="188601E2" w14:textId="77777777" w:rsidR="00821EFE" w:rsidRPr="00C16A60" w:rsidRDefault="00355686">
      <w:pPr>
        <w:rPr>
          <w:rFonts w:ascii="Times New Roman Bold" w:hAnsi="Times New Roman Bold" w:cs="Times New Roman Bold"/>
          <w:b/>
          <w:bCs/>
        </w:rPr>
      </w:pPr>
      <w:r w:rsidRPr="00C16A60">
        <w:rPr>
          <w:rFonts w:ascii="Times New Roman Bold" w:hAnsi="Times New Roman Bold" w:cs="Times New Roman Bold"/>
          <w:b/>
          <w:bCs/>
        </w:rPr>
        <w:t>2.1 Data Sources</w:t>
      </w:r>
    </w:p>
    <w:p w14:paraId="6802FB17" w14:textId="77777777" w:rsidR="00821EFE" w:rsidRPr="00C16A60" w:rsidRDefault="00821EFE">
      <w:pPr>
        <w:rPr>
          <w:rFonts w:ascii="Times New Roman Bold" w:hAnsi="Times New Roman Bold" w:cs="Times New Roman Bold"/>
          <w:b/>
          <w:bCs/>
        </w:rPr>
      </w:pPr>
    </w:p>
    <w:p w14:paraId="55677FD7"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This study selected the China National Knowledge Infrastructure (CNKI) database as its primary source of literature. CNKI is a highly authoritative and comprehensive Chinese academic resource repository, containing diverse academic materials such as journals, doctoral and master's theses, and conference papers. It provides a relatively comprehensive reflection of the current state of domestic research in this field, offering a reliable foundation for this study.</w:t>
      </w:r>
      <w:r w:rsidRPr="00C16A60">
        <w:rPr>
          <w:rFonts w:ascii="Times New Roman Regular" w:hAnsi="Times New Roman Regular" w:cs="Times New Roman Regular" w:hint="eastAsia"/>
        </w:rPr>
        <w:t xml:space="preserve"> To address differences in reference quality and publication type, all included sources were further classified into three categories: academic journal articles, practice-oriented professional articles, and conference proceedings. Academic journal articles were treated as the primary evidence base, while practice-oriented articles and conference proceedings were used mainly as supplementary evidence to capture recent teaching practices, emerging application scenarios, and practical development pathways. Newspaper reports, news items, conference announcements, and non-academic materials were excluded from the final sample.</w:t>
      </w:r>
    </w:p>
    <w:p w14:paraId="7EA036D0" w14:textId="77777777" w:rsidR="00821EFE" w:rsidRPr="00C16A60" w:rsidRDefault="00821EFE">
      <w:pPr>
        <w:rPr>
          <w:rFonts w:ascii="Times New Roman Regular" w:hAnsi="Times New Roman Regular" w:cs="Times New Roman Regular"/>
        </w:rPr>
      </w:pPr>
    </w:p>
    <w:p w14:paraId="6363D65A" w14:textId="77777777" w:rsidR="00821EFE" w:rsidRPr="00C16A60" w:rsidRDefault="00355686">
      <w:pPr>
        <w:rPr>
          <w:rFonts w:ascii="Times New Roman Bold" w:hAnsi="Times New Roman Bold" w:cs="Times New Roman Bold"/>
          <w:b/>
          <w:bCs/>
        </w:rPr>
      </w:pPr>
      <w:r w:rsidRPr="00C16A60">
        <w:rPr>
          <w:rFonts w:ascii="Times New Roman Bold" w:hAnsi="Times New Roman Bold" w:cs="Times New Roman Bold"/>
          <w:b/>
          <w:bCs/>
        </w:rPr>
        <w:t>2.2 Data Collection</w:t>
      </w:r>
    </w:p>
    <w:p w14:paraId="0823203A" w14:textId="77777777" w:rsidR="00821EFE" w:rsidRPr="00C16A60" w:rsidRDefault="00821EFE">
      <w:pPr>
        <w:rPr>
          <w:rFonts w:ascii="Times New Roman Bold" w:hAnsi="Times New Roman Bold" w:cs="Times New Roman Bold"/>
          <w:b/>
          <w:bCs/>
        </w:rPr>
      </w:pPr>
    </w:p>
    <w:p w14:paraId="46980944"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To ensure comprehensiveness and relevance in literature retrieval, a thematic search strategy was employed within CNKI. The retrieval strategy is as follows:</w:t>
      </w:r>
    </w:p>
    <w:p w14:paraId="51A85862" w14:textId="77777777" w:rsidR="00821EFE" w:rsidRPr="00C16A60" w:rsidRDefault="00821EFE">
      <w:pPr>
        <w:rPr>
          <w:rFonts w:ascii="Times New Roman Regular" w:hAnsi="Times New Roman Regular" w:cs="Times New Roman Regular"/>
        </w:rPr>
      </w:pPr>
    </w:p>
    <w:p w14:paraId="425389E8"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Search expression:  </w:t>
      </w:r>
    </w:p>
    <w:p w14:paraId="19DE6F1D"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(Subject="Intelligent Technology" OR Subject="AI Technology" OR Subject="AI") AND (Subject="Empowerment") AND (Subject="Mathematics Education" OR Subject="Mathematics")  </w:t>
      </w:r>
    </w:p>
    <w:p w14:paraId="0559593F" w14:textId="77777777" w:rsidR="00821EFE" w:rsidRPr="00C16A60" w:rsidRDefault="00821EFE">
      <w:pPr>
        <w:rPr>
          <w:rFonts w:ascii="Times New Roman Regular" w:hAnsi="Times New Roman Regular" w:cs="Times New Roman Regular"/>
        </w:rPr>
      </w:pPr>
    </w:p>
    <w:p w14:paraId="4FC171B8"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Time Range: 2020–2025  </w:t>
      </w:r>
    </w:p>
    <w:p w14:paraId="4B3483A6"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Document Type: Journal Articles, Theses, Conference Papers</w:t>
      </w:r>
    </w:p>
    <w:p w14:paraId="38AB4F0C"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hint="eastAsia"/>
        </w:rPr>
        <w:t>The literature search was conducted on November 10, 2025.</w:t>
      </w:r>
    </w:p>
    <w:p w14:paraId="1F044DBD" w14:textId="77777777" w:rsidR="00821EFE" w:rsidRPr="00C16A60" w:rsidRDefault="00821EFE">
      <w:pPr>
        <w:rPr>
          <w:rFonts w:ascii="Times New Roman Regular" w:hAnsi="Times New Roman Regular" w:cs="Times New Roman Regular"/>
        </w:rPr>
      </w:pPr>
    </w:p>
    <w:p w14:paraId="0326FEFD"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The initial search yielded 328 documents. To ensure document quality, manual screening was conducted based on the following inclusion and exclusion criteria:</w:t>
      </w:r>
    </w:p>
    <w:p w14:paraId="0A10F3A6" w14:textId="77777777" w:rsidR="00821EFE" w:rsidRPr="00C16A60" w:rsidRDefault="00821EFE">
      <w:pPr>
        <w:rPr>
          <w:rFonts w:ascii="Times New Roman Regular" w:hAnsi="Times New Roman Regular" w:cs="Times New Roman Regular"/>
        </w:rPr>
      </w:pPr>
    </w:p>
    <w:p w14:paraId="475FE293"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Inclusion Criteria: (1) Research topic is highly relevant to the application of intelligent technology in mathematics education; (2) Research content involves substantive theoretical discussion or empirical analysis; (3) Sources were CNKI-indexed academic journal articles, professional practice-oriented articles, or conference proceedings that contained substantive theoretical discussion, empirical analysis, or classroom-practice evidence.</w:t>
      </w:r>
    </w:p>
    <w:p w14:paraId="448405DF" w14:textId="77777777" w:rsidR="00821EFE" w:rsidRPr="00C16A60" w:rsidRDefault="00821EFE">
      <w:pPr>
        <w:rPr>
          <w:rFonts w:ascii="Times New Roman Regular" w:hAnsi="Times New Roman Regular" w:cs="Times New Roman Regular"/>
        </w:rPr>
      </w:pPr>
    </w:p>
    <w:p w14:paraId="17E21CD2"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Exclusion Criteria: (1) Duplicate publications; (2) </w:t>
      </w:r>
      <w:proofErr w:type="gramStart"/>
      <w:r w:rsidRPr="00C16A60">
        <w:rPr>
          <w:rFonts w:ascii="Times New Roman Regular" w:hAnsi="Times New Roman Regular" w:cs="Times New Roman Regular"/>
        </w:rPr>
        <w:t>Non-academic</w:t>
      </w:r>
      <w:proofErr w:type="gramEnd"/>
      <w:r w:rsidRPr="00C16A60">
        <w:rPr>
          <w:rFonts w:ascii="Times New Roman Regular" w:hAnsi="Times New Roman Regular" w:cs="Times New Roman Regular"/>
        </w:rPr>
        <w:t xml:space="preserve"> materials such as conference announcements or news reports; (3) Content that was overly broad or had low relevance to the theme; (4) Research not specifically targeting mathematics education in primary/secondary schools or general higher education institutions.</w:t>
      </w:r>
    </w:p>
    <w:p w14:paraId="587871D7" w14:textId="77777777" w:rsidR="00821EFE" w:rsidRPr="00C16A60" w:rsidRDefault="00821EFE">
      <w:pPr>
        <w:rPr>
          <w:rFonts w:ascii="Times New Roman Regular" w:hAnsi="Times New Roman Regular" w:cs="Times New Roman Regular"/>
        </w:rPr>
      </w:pPr>
    </w:p>
    <w:p w14:paraId="1FB41EDF"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After screening, </w:t>
      </w:r>
      <w:r w:rsidRPr="00C16A60">
        <w:rPr>
          <w:rFonts w:ascii="Times New Roman Regular" w:hAnsi="Times New Roman Regular" w:cs="Times New Roman Regular" w:hint="eastAsia"/>
        </w:rPr>
        <w:t>30</w:t>
      </w:r>
      <w:r w:rsidRPr="00C16A60">
        <w:rPr>
          <w:rFonts w:ascii="Times New Roman Regular" w:hAnsi="Times New Roman Regular" w:cs="Times New Roman Regular"/>
        </w:rPr>
        <w:t xml:space="preserve"> documents were ultimately selected as the analytical sample for this review.</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lastRenderedPageBreak/>
        <w:t>The literature screening process is summarised in Figure 1.</w:t>
      </w:r>
    </w:p>
    <w:p w14:paraId="5C111BB7" w14:textId="77777777" w:rsidR="00821EFE" w:rsidRPr="00C16A60" w:rsidRDefault="00355686">
      <w:pPr>
        <w:jc w:val="center"/>
        <w:rPr>
          <w:rFonts w:ascii="Times New Roman Bold" w:hAnsi="Times New Roman Bold" w:cs="Times New Roman Bold"/>
          <w:b/>
          <w:bCs/>
        </w:rPr>
      </w:pPr>
      <w:r w:rsidRPr="00C16A60">
        <w:rPr>
          <w:rFonts w:ascii="Times New Roman Bold" w:hAnsi="Times New Roman Bold" w:cs="Times New Roman Bold"/>
          <w:b/>
          <w:bCs/>
        </w:rPr>
        <w:t>Figure 1. Literature screening process</w:t>
      </w:r>
    </w:p>
    <w:p w14:paraId="176118FE"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noProof/>
        </w:rPr>
        <w:drawing>
          <wp:anchor distT="0" distB="0" distL="114300" distR="114300" simplePos="0" relativeHeight="251659264" behindDoc="0" locked="0" layoutInCell="1" allowOverlap="1" wp14:anchorId="1072F16E" wp14:editId="24A4BE9D">
            <wp:simplePos x="0" y="0"/>
            <wp:positionH relativeFrom="column">
              <wp:posOffset>451485</wp:posOffset>
            </wp:positionH>
            <wp:positionV relativeFrom="paragraph">
              <wp:posOffset>-6065520</wp:posOffset>
            </wp:positionV>
            <wp:extent cx="4351655" cy="5440045"/>
            <wp:effectExtent l="0" t="0" r="17145" b="20955"/>
            <wp:wrapTopAndBottom/>
            <wp:docPr id="3" name="图片 3" descr="ChatGPT Image 2026年6月30日 16_27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atGPT Image 2026年6月30日 16_27_22"/>
                    <pic:cNvPicPr>
                      <a:picLocks noChangeAspect="1"/>
                    </pic:cNvPicPr>
                  </pic:nvPicPr>
                  <pic:blipFill>
                    <a:blip r:embed="rId8"/>
                    <a:stretch>
                      <a:fillRect/>
                    </a:stretch>
                  </pic:blipFill>
                  <pic:spPr>
                    <a:xfrm>
                      <a:off x="0" y="0"/>
                      <a:ext cx="4351655" cy="5440045"/>
                    </a:xfrm>
                    <a:prstGeom prst="rect">
                      <a:avLst/>
                    </a:prstGeom>
                  </pic:spPr>
                </pic:pic>
              </a:graphicData>
            </a:graphic>
          </wp:anchor>
        </w:drawing>
      </w:r>
      <w:r w:rsidRPr="00C16A60">
        <w:rPr>
          <w:rFonts w:ascii="Times New Roman Regular" w:hAnsi="Times New Roman Regular" w:cs="Times New Roman Regular"/>
        </w:rPr>
        <w:t>The final included publications were further classified by source type, as shown in Table 1.</w:t>
      </w:r>
    </w:p>
    <w:p w14:paraId="03089621" w14:textId="77777777" w:rsidR="00821EFE" w:rsidRPr="00C16A60" w:rsidRDefault="00821EFE">
      <w:pPr>
        <w:rPr>
          <w:rFonts w:ascii="Times New Roman Regular" w:hAnsi="Times New Roman Regular" w:cs="Times New Roman Regular"/>
        </w:rPr>
      </w:pPr>
    </w:p>
    <w:p w14:paraId="7B7418E5" w14:textId="77777777" w:rsidR="00821EFE" w:rsidRPr="00C16A60" w:rsidRDefault="00355686">
      <w:pPr>
        <w:jc w:val="center"/>
        <w:rPr>
          <w:rFonts w:ascii="Times New Roman Regular" w:hAnsi="Times New Roman Regular" w:cs="Times New Roman Regular"/>
        </w:rPr>
      </w:pPr>
      <w:r w:rsidRPr="00C16A60">
        <w:rPr>
          <w:rFonts w:ascii="Times New Roman Bold" w:hAnsi="Times New Roman Bold" w:cs="Times New Roman Bold" w:hint="eastAsia"/>
          <w:b/>
          <w:bCs/>
        </w:rPr>
        <w:t>Table 1. Classification of the included publications by source type</w:t>
      </w:r>
    </w:p>
    <w:tbl>
      <w:tblPr>
        <w:tblStyle w:val="TableGrid"/>
        <w:tblW w:w="0" w:type="auto"/>
        <w:tblLook w:val="04A0" w:firstRow="1" w:lastRow="0" w:firstColumn="1" w:lastColumn="0" w:noHBand="0" w:noVBand="1"/>
      </w:tblPr>
      <w:tblGrid>
        <w:gridCol w:w="2840"/>
        <w:gridCol w:w="2841"/>
        <w:gridCol w:w="2841"/>
      </w:tblGrid>
      <w:tr w:rsidR="00821EFE" w:rsidRPr="00C16A60" w14:paraId="0EA48142" w14:textId="77777777">
        <w:tc>
          <w:tcPr>
            <w:tcW w:w="2840" w:type="dxa"/>
          </w:tcPr>
          <w:p w14:paraId="2FEC1024"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Source type</w:t>
            </w:r>
          </w:p>
        </w:tc>
        <w:tc>
          <w:tcPr>
            <w:tcW w:w="2841" w:type="dxa"/>
          </w:tcPr>
          <w:p w14:paraId="0E3404BB"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Description</w:t>
            </w:r>
          </w:p>
        </w:tc>
        <w:tc>
          <w:tcPr>
            <w:tcW w:w="2841" w:type="dxa"/>
          </w:tcPr>
          <w:p w14:paraId="7CA630A1"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Role in this review</w:t>
            </w:r>
          </w:p>
        </w:tc>
      </w:tr>
      <w:tr w:rsidR="00821EFE" w:rsidRPr="00C16A60" w14:paraId="4744F9D8" w14:textId="77777777">
        <w:tc>
          <w:tcPr>
            <w:tcW w:w="2840" w:type="dxa"/>
          </w:tcPr>
          <w:p w14:paraId="57FF82B0"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Academic journal articles</w:t>
            </w:r>
          </w:p>
          <w:p w14:paraId="00457F3F" w14:textId="77777777" w:rsidR="00821EFE" w:rsidRPr="00C16A60" w:rsidRDefault="00821EFE">
            <w:pPr>
              <w:jc w:val="center"/>
              <w:rPr>
                <w:rFonts w:ascii="Times New Roman Regular" w:hAnsi="Times New Roman Regular" w:cs="Times New Roman Regular"/>
              </w:rPr>
            </w:pPr>
          </w:p>
        </w:tc>
        <w:tc>
          <w:tcPr>
            <w:tcW w:w="2841" w:type="dxa"/>
          </w:tcPr>
          <w:p w14:paraId="052F372F"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Journal articles containing theoretical discussion, empirical analysis, literature review, or systematic discussion of AI-empowered mathematics education</w:t>
            </w:r>
          </w:p>
        </w:tc>
        <w:tc>
          <w:tcPr>
            <w:tcW w:w="2841" w:type="dxa"/>
          </w:tcPr>
          <w:p w14:paraId="7F64A864"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Primary evidence base</w:t>
            </w:r>
          </w:p>
          <w:p w14:paraId="539CF3E2" w14:textId="77777777" w:rsidR="00821EFE" w:rsidRPr="00C16A60" w:rsidRDefault="00821EFE">
            <w:pPr>
              <w:jc w:val="center"/>
              <w:rPr>
                <w:rFonts w:ascii="Times New Roman Regular" w:hAnsi="Times New Roman Regular" w:cs="Times New Roman Regular"/>
              </w:rPr>
            </w:pPr>
          </w:p>
        </w:tc>
      </w:tr>
      <w:tr w:rsidR="00821EFE" w:rsidRPr="00C16A60" w14:paraId="7E65B346" w14:textId="77777777">
        <w:tc>
          <w:tcPr>
            <w:tcW w:w="2840" w:type="dxa"/>
          </w:tcPr>
          <w:p w14:paraId="3C31BE04"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Practice-oriented professional articles</w:t>
            </w:r>
          </w:p>
          <w:p w14:paraId="5B538488" w14:textId="77777777" w:rsidR="00821EFE" w:rsidRPr="00C16A60" w:rsidRDefault="00821EFE">
            <w:pPr>
              <w:jc w:val="center"/>
              <w:rPr>
                <w:rFonts w:ascii="Times New Roman Regular" w:hAnsi="Times New Roman Regular" w:cs="Times New Roman Regular"/>
              </w:rPr>
            </w:pPr>
          </w:p>
        </w:tc>
        <w:tc>
          <w:tcPr>
            <w:tcW w:w="2841" w:type="dxa"/>
          </w:tcPr>
          <w:p w14:paraId="2E103085"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Articles mainly based on teaching practice, classroom cases, practical exploration, or strategy summaries</w:t>
            </w:r>
          </w:p>
        </w:tc>
        <w:tc>
          <w:tcPr>
            <w:tcW w:w="2841" w:type="dxa"/>
          </w:tcPr>
          <w:p w14:paraId="3E22335C"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Supplementary evidence for application scenarios and teaching pathways</w:t>
            </w:r>
          </w:p>
          <w:p w14:paraId="4119307B" w14:textId="77777777" w:rsidR="00821EFE" w:rsidRPr="00C16A60" w:rsidRDefault="00821EFE">
            <w:pPr>
              <w:jc w:val="center"/>
              <w:rPr>
                <w:rFonts w:ascii="Times New Roman Regular" w:hAnsi="Times New Roman Regular" w:cs="Times New Roman Regular"/>
              </w:rPr>
            </w:pPr>
          </w:p>
        </w:tc>
      </w:tr>
      <w:tr w:rsidR="00821EFE" w:rsidRPr="00C16A60" w14:paraId="3A27E59C" w14:textId="77777777">
        <w:tc>
          <w:tcPr>
            <w:tcW w:w="2840" w:type="dxa"/>
          </w:tcPr>
          <w:p w14:paraId="1E9B8768"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Conference proceedings</w:t>
            </w:r>
          </w:p>
          <w:p w14:paraId="4FA667BD" w14:textId="77777777" w:rsidR="00821EFE" w:rsidRPr="00C16A60" w:rsidRDefault="00821EFE">
            <w:pPr>
              <w:jc w:val="center"/>
              <w:rPr>
                <w:rFonts w:ascii="Times New Roman Regular" w:hAnsi="Times New Roman Regular" w:cs="Times New Roman Regular"/>
              </w:rPr>
            </w:pPr>
          </w:p>
        </w:tc>
        <w:tc>
          <w:tcPr>
            <w:tcW w:w="2841" w:type="dxa"/>
          </w:tcPr>
          <w:p w14:paraId="3DE69806"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Papers published in academic conference proceedings and indexed by CNKI</w:t>
            </w:r>
          </w:p>
        </w:tc>
        <w:tc>
          <w:tcPr>
            <w:tcW w:w="2841" w:type="dxa"/>
          </w:tcPr>
          <w:p w14:paraId="5262FA44"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Supplementary evidence for recent and emerging research trends</w:t>
            </w:r>
          </w:p>
        </w:tc>
      </w:tr>
      <w:tr w:rsidR="00821EFE" w:rsidRPr="00C16A60" w14:paraId="6408D55E" w14:textId="77777777">
        <w:tc>
          <w:tcPr>
            <w:tcW w:w="2840" w:type="dxa"/>
          </w:tcPr>
          <w:p w14:paraId="27A06285"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Newspaper/news reports</w:t>
            </w:r>
          </w:p>
          <w:p w14:paraId="4EF061C8" w14:textId="77777777" w:rsidR="00821EFE" w:rsidRPr="00C16A60" w:rsidRDefault="00821EFE">
            <w:pPr>
              <w:jc w:val="center"/>
              <w:rPr>
                <w:rFonts w:ascii="Times New Roman Regular" w:hAnsi="Times New Roman Regular" w:cs="Times New Roman Regular"/>
              </w:rPr>
            </w:pPr>
          </w:p>
        </w:tc>
        <w:tc>
          <w:tcPr>
            <w:tcW w:w="2841" w:type="dxa"/>
          </w:tcPr>
          <w:p w14:paraId="76E40AD9"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 xml:space="preserve">Newspaper reports, news items, and non-academic </w:t>
            </w:r>
            <w:r w:rsidRPr="00C16A60">
              <w:rPr>
                <w:rFonts w:ascii="Times New Roman Regular" w:hAnsi="Times New Roman Regular" w:cs="Times New Roman Regular"/>
              </w:rPr>
              <w:lastRenderedPageBreak/>
              <w:t>materials</w:t>
            </w:r>
          </w:p>
        </w:tc>
        <w:tc>
          <w:tcPr>
            <w:tcW w:w="2841" w:type="dxa"/>
          </w:tcPr>
          <w:p w14:paraId="258114D4"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lastRenderedPageBreak/>
              <w:t>Excluded from the final sample</w:t>
            </w:r>
          </w:p>
        </w:tc>
      </w:tr>
    </w:tbl>
    <w:p w14:paraId="41EE5482" w14:textId="77777777" w:rsidR="00821EFE" w:rsidRPr="00C16A60" w:rsidRDefault="00821EFE">
      <w:pPr>
        <w:rPr>
          <w:rFonts w:ascii="Times New Roman Regular" w:hAnsi="Times New Roman Regular" w:cs="Times New Roman Regular"/>
        </w:rPr>
      </w:pPr>
    </w:p>
    <w:p w14:paraId="6F2CE580" w14:textId="77777777" w:rsidR="00821EFE" w:rsidRPr="00C16A60" w:rsidRDefault="00355686">
      <w:pPr>
        <w:rPr>
          <w:rFonts w:ascii="Times New Roman Bold" w:hAnsi="Times New Roman Bold" w:cs="Times New Roman Bold"/>
          <w:b/>
          <w:bCs/>
        </w:rPr>
      </w:pPr>
      <w:r w:rsidRPr="00C16A60">
        <w:rPr>
          <w:rFonts w:ascii="Times New Roman Bold" w:hAnsi="Times New Roman Bold" w:cs="Times New Roman Bold"/>
          <w:b/>
          <w:bCs/>
        </w:rPr>
        <w:t>2.3 Data Organisation</w:t>
      </w:r>
    </w:p>
    <w:p w14:paraId="286D5D62" w14:textId="77777777" w:rsidR="00821EFE" w:rsidRPr="00C16A60" w:rsidRDefault="00821EFE">
      <w:pPr>
        <w:rPr>
          <w:rFonts w:ascii="Times New Roman Bold" w:hAnsi="Times New Roman Bold" w:cs="Times New Roman Bold"/>
          <w:b/>
          <w:bCs/>
        </w:rPr>
      </w:pPr>
    </w:p>
    <w:p w14:paraId="06A43213"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This study employed content analysis to systematically organise the </w:t>
      </w:r>
      <w:r w:rsidRPr="00C16A60">
        <w:rPr>
          <w:rFonts w:ascii="Times New Roman Regular" w:hAnsi="Times New Roman Regular" w:cs="Times New Roman Regular" w:hint="eastAsia"/>
        </w:rPr>
        <w:t>30</w:t>
      </w:r>
      <w:r w:rsidRPr="00C16A60">
        <w:rPr>
          <w:rFonts w:ascii="Times New Roman Regular" w:hAnsi="Times New Roman Regular" w:cs="Times New Roman Regular"/>
        </w:rPr>
        <w:t xml:space="preserve"> included documents. Through close reading, information regarding research themes, methodologies, and perspectives was extracted and synthesised. The extracted information was coded and categorised across five dimensions—"Application Scenarios," "Empowerment Outcomes," "Challenges Faced," "Development Pathways," and "Research Methods"—to establish a structured review framework.</w:t>
      </w:r>
    </w:p>
    <w:p w14:paraId="6421C297" w14:textId="77777777" w:rsidR="00821EFE" w:rsidRPr="00C16A60" w:rsidRDefault="00821EFE">
      <w:pPr>
        <w:rPr>
          <w:rFonts w:ascii="Times New Roman Regular" w:hAnsi="Times New Roman Regular" w:cs="Times New Roman Regular"/>
        </w:rPr>
      </w:pPr>
    </w:p>
    <w:p w14:paraId="7E3303D4" w14:textId="77777777" w:rsidR="00821EFE" w:rsidRPr="00C16A60" w:rsidRDefault="00355686">
      <w:pPr>
        <w:numPr>
          <w:ilvl w:val="0"/>
          <w:numId w:val="3"/>
        </w:numPr>
        <w:rPr>
          <w:rFonts w:ascii="Times New Roman Bold" w:hAnsi="Times New Roman Bold" w:cs="Times New Roman Bold"/>
          <w:b/>
          <w:bCs/>
          <w:sz w:val="24"/>
        </w:rPr>
      </w:pPr>
      <w:r w:rsidRPr="00C16A60">
        <w:rPr>
          <w:rFonts w:ascii="Times New Roman Bold" w:hAnsi="Times New Roman Bold" w:cs="Times New Roman Bold"/>
          <w:b/>
          <w:bCs/>
          <w:sz w:val="24"/>
        </w:rPr>
        <w:t>RESULTS</w:t>
      </w:r>
    </w:p>
    <w:p w14:paraId="0626C837" w14:textId="77777777" w:rsidR="00821EFE" w:rsidRPr="00C16A60" w:rsidRDefault="00821EFE">
      <w:pPr>
        <w:rPr>
          <w:rFonts w:ascii="Times New Roman Regular" w:hAnsi="Times New Roman Regular" w:cs="Times New Roman Regular"/>
        </w:rPr>
      </w:pPr>
    </w:p>
    <w:p w14:paraId="18DBA48C"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A synthesis of existing domestic research on "intelligent technology-enabled mathematics teaching" reveals that the primary research content focuses on five dimensions: application scenarios, empowerment effectiveness, challenges faced, development pathways, and research methods. Most studies explore these dimensions individually, while some combine multiple dimensions in their analysis.</w:t>
      </w:r>
    </w:p>
    <w:p w14:paraId="3D445C09" w14:textId="77777777" w:rsidR="00821EFE" w:rsidRPr="00C16A60" w:rsidRDefault="00821EFE">
      <w:pPr>
        <w:rPr>
          <w:rFonts w:ascii="Times New Roman Regular" w:hAnsi="Times New Roman Regular" w:cs="Times New Roman Regular"/>
        </w:rPr>
      </w:pPr>
    </w:p>
    <w:p w14:paraId="028BA28F"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An overview of the research focuses, main issues, and representative sources is presented in Table 2.</w:t>
      </w:r>
    </w:p>
    <w:p w14:paraId="41E800E5" w14:textId="77777777" w:rsidR="00821EFE" w:rsidRPr="00C16A60" w:rsidRDefault="00355686">
      <w:pPr>
        <w:jc w:val="center"/>
        <w:rPr>
          <w:rFonts w:ascii="Times New Roman Bold" w:hAnsi="Times New Roman Bold" w:cs="Times New Roman Bold"/>
          <w:b/>
          <w:bCs/>
        </w:rPr>
      </w:pPr>
      <w:r w:rsidRPr="00C16A60">
        <w:rPr>
          <w:rFonts w:ascii="Times New Roman Bold" w:hAnsi="Times New Roman Bold" w:cs="Times New Roman Bold"/>
          <w:b/>
          <w:bCs/>
        </w:rPr>
        <w:t>Table 2. Summary of research focuses, main issues, and representative sources</w:t>
      </w:r>
    </w:p>
    <w:tbl>
      <w:tblPr>
        <w:tblStyle w:val="TableGrid"/>
        <w:tblW w:w="0" w:type="auto"/>
        <w:tblLook w:val="04A0" w:firstRow="1" w:lastRow="0" w:firstColumn="1" w:lastColumn="0" w:noHBand="0" w:noVBand="1"/>
      </w:tblPr>
      <w:tblGrid>
        <w:gridCol w:w="2840"/>
        <w:gridCol w:w="2841"/>
        <w:gridCol w:w="2841"/>
      </w:tblGrid>
      <w:tr w:rsidR="00821EFE" w:rsidRPr="00C16A60" w14:paraId="4352B3EE" w14:textId="77777777">
        <w:tc>
          <w:tcPr>
            <w:tcW w:w="2840" w:type="dxa"/>
          </w:tcPr>
          <w:p w14:paraId="7C772CD4"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Research focus</w:t>
            </w:r>
          </w:p>
        </w:tc>
        <w:tc>
          <w:tcPr>
            <w:tcW w:w="2841" w:type="dxa"/>
          </w:tcPr>
          <w:p w14:paraId="02FFB77B"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Main issues discussed</w:t>
            </w:r>
          </w:p>
        </w:tc>
        <w:tc>
          <w:tcPr>
            <w:tcW w:w="2841" w:type="dxa"/>
          </w:tcPr>
          <w:p w14:paraId="272EA3E8"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Representative sources</w:t>
            </w:r>
          </w:p>
        </w:tc>
      </w:tr>
      <w:tr w:rsidR="00821EFE" w:rsidRPr="00C16A60" w14:paraId="698C856F" w14:textId="77777777">
        <w:tc>
          <w:tcPr>
            <w:tcW w:w="2840" w:type="dxa"/>
          </w:tcPr>
          <w:p w14:paraId="56CD883A"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Application scenarios</w:t>
            </w:r>
          </w:p>
        </w:tc>
        <w:tc>
          <w:tcPr>
            <w:tcW w:w="2841" w:type="dxa"/>
          </w:tcPr>
          <w:p w14:paraId="25EFFFF3"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Personalised learning, teaching resource innovation, teaching model reform, assessment reform, and teacher professional development</w:t>
            </w:r>
          </w:p>
        </w:tc>
        <w:tc>
          <w:tcPr>
            <w:tcW w:w="2841" w:type="dxa"/>
          </w:tcPr>
          <w:p w14:paraId="033ACFD1"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He, 2025; C. Liu, 2025; Z. Zhang, 2025; Zhou &amp; Huai, 2025</w:t>
            </w:r>
          </w:p>
          <w:p w14:paraId="024343CB" w14:textId="77777777" w:rsidR="00821EFE" w:rsidRPr="00C16A60" w:rsidRDefault="00821EFE">
            <w:pPr>
              <w:jc w:val="center"/>
              <w:rPr>
                <w:rFonts w:ascii="Times New Roman Regular" w:hAnsi="Times New Roman Regular" w:cs="Times New Roman Regular"/>
              </w:rPr>
            </w:pPr>
          </w:p>
        </w:tc>
      </w:tr>
      <w:tr w:rsidR="00821EFE" w:rsidRPr="00C16A60" w14:paraId="445EBF85" w14:textId="77777777">
        <w:tc>
          <w:tcPr>
            <w:tcW w:w="2840" w:type="dxa"/>
          </w:tcPr>
          <w:p w14:paraId="4EE7D720"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Empowerment outcomes</w:t>
            </w:r>
          </w:p>
        </w:tc>
        <w:tc>
          <w:tcPr>
            <w:tcW w:w="2841" w:type="dxa"/>
          </w:tcPr>
          <w:p w14:paraId="2F34B6BA"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Learning motivation, precision teaching, personalised learning, evaluation optimisation, and teacher role transformation</w:t>
            </w:r>
          </w:p>
        </w:tc>
        <w:tc>
          <w:tcPr>
            <w:tcW w:w="2841" w:type="dxa"/>
          </w:tcPr>
          <w:p w14:paraId="1452B7B8"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Bu, 2024; Lai et al., 2025; Yang, 2025; Cao &amp; Chen, 2024</w:t>
            </w:r>
          </w:p>
        </w:tc>
      </w:tr>
      <w:tr w:rsidR="00821EFE" w:rsidRPr="00E22431" w14:paraId="75A406DD" w14:textId="77777777">
        <w:tc>
          <w:tcPr>
            <w:tcW w:w="2840" w:type="dxa"/>
          </w:tcPr>
          <w:p w14:paraId="01E63B92"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Challenges faced</w:t>
            </w:r>
          </w:p>
        </w:tc>
        <w:tc>
          <w:tcPr>
            <w:tcW w:w="2841" w:type="dxa"/>
          </w:tcPr>
          <w:p w14:paraId="7887F2E1"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Technical limitations, teacher digital literacy, student dependency, data privacy, algorithmic bias, and digital divide</w:t>
            </w:r>
          </w:p>
        </w:tc>
        <w:tc>
          <w:tcPr>
            <w:tcW w:w="2841" w:type="dxa"/>
          </w:tcPr>
          <w:p w14:paraId="127D8D57" w14:textId="77777777" w:rsidR="00821EFE" w:rsidRPr="00C253AC" w:rsidRDefault="00355686">
            <w:pPr>
              <w:jc w:val="center"/>
              <w:rPr>
                <w:rFonts w:ascii="Times New Roman Regular" w:hAnsi="Times New Roman Regular" w:cs="Times New Roman Regular"/>
                <w:lang w:val="nl-BE"/>
              </w:rPr>
            </w:pPr>
            <w:r w:rsidRPr="00C253AC">
              <w:rPr>
                <w:rFonts w:ascii="Times New Roman Regular" w:hAnsi="Times New Roman Regular" w:cs="Times New Roman Regular"/>
                <w:lang w:val="nl-BE"/>
              </w:rPr>
              <w:t>C. Yuan, 2025; Jin &amp; Jin, 2025; Hu, 2025; Wu, 2025</w:t>
            </w:r>
          </w:p>
        </w:tc>
      </w:tr>
      <w:tr w:rsidR="00821EFE" w:rsidRPr="00C16A60" w14:paraId="119BEF48" w14:textId="77777777">
        <w:tc>
          <w:tcPr>
            <w:tcW w:w="2840" w:type="dxa"/>
          </w:tcPr>
          <w:p w14:paraId="30A83855"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Development pathways</w:t>
            </w:r>
          </w:p>
        </w:tc>
        <w:tc>
          <w:tcPr>
            <w:tcW w:w="2841" w:type="dxa"/>
          </w:tcPr>
          <w:p w14:paraId="4085EC05"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Human-machine collaboration, teacher training, precision teaching models, data governance, and resource sharing</w:t>
            </w:r>
          </w:p>
        </w:tc>
        <w:tc>
          <w:tcPr>
            <w:tcW w:w="2841" w:type="dxa"/>
          </w:tcPr>
          <w:p w14:paraId="6CBC5F2B"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Deng &amp; Fu, 2025; Lu &amp; Chen, 2025; Su, 2024; Xu, 2025</w:t>
            </w:r>
          </w:p>
        </w:tc>
      </w:tr>
      <w:tr w:rsidR="00821EFE" w:rsidRPr="00E22431" w14:paraId="24D622DC" w14:textId="77777777">
        <w:tc>
          <w:tcPr>
            <w:tcW w:w="2840" w:type="dxa"/>
          </w:tcPr>
          <w:p w14:paraId="26375DF9"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Research methods</w:t>
            </w:r>
          </w:p>
        </w:tc>
        <w:tc>
          <w:tcPr>
            <w:tcW w:w="2841" w:type="dxa"/>
          </w:tcPr>
          <w:p w14:paraId="351CD181" w14:textId="77777777" w:rsidR="00821EFE" w:rsidRPr="00C16A60" w:rsidRDefault="00355686">
            <w:pPr>
              <w:jc w:val="center"/>
              <w:rPr>
                <w:rFonts w:ascii="Times New Roman Regular" w:hAnsi="Times New Roman Regular" w:cs="Times New Roman Regular"/>
              </w:rPr>
            </w:pPr>
            <w:r w:rsidRPr="00C16A60">
              <w:rPr>
                <w:rFonts w:ascii="Times New Roman Regular" w:hAnsi="Times New Roman Regular" w:cs="Times New Roman Regular"/>
              </w:rPr>
              <w:t xml:space="preserve">Case studies, literature reviews, practical explorations, </w:t>
            </w:r>
            <w:r w:rsidRPr="00C16A60">
              <w:rPr>
                <w:rFonts w:ascii="Times New Roman Regular" w:hAnsi="Times New Roman Regular" w:cs="Times New Roman Regular"/>
              </w:rPr>
              <w:lastRenderedPageBreak/>
              <w:t>questionnaire surveys, experimental studies, theoretical analysis, and comparative research</w:t>
            </w:r>
          </w:p>
        </w:tc>
        <w:tc>
          <w:tcPr>
            <w:tcW w:w="2841" w:type="dxa"/>
          </w:tcPr>
          <w:p w14:paraId="2D9E169C" w14:textId="77777777" w:rsidR="00821EFE" w:rsidRPr="00C253AC" w:rsidRDefault="00355686">
            <w:pPr>
              <w:jc w:val="center"/>
              <w:rPr>
                <w:rFonts w:ascii="Times New Roman Regular" w:hAnsi="Times New Roman Regular" w:cs="Times New Roman Regular"/>
                <w:lang w:val="nl-BE"/>
              </w:rPr>
            </w:pPr>
            <w:r w:rsidRPr="00C253AC">
              <w:rPr>
                <w:rFonts w:ascii="Times New Roman Regular" w:hAnsi="Times New Roman Regular" w:cs="Times New Roman Regular"/>
                <w:lang w:val="nl-BE"/>
              </w:rPr>
              <w:lastRenderedPageBreak/>
              <w:t xml:space="preserve">W. Zhang, 2024; Zhou &amp; Huai, 2025; Lai et al., 2025; T. </w:t>
            </w:r>
            <w:r w:rsidRPr="00C253AC">
              <w:rPr>
                <w:rFonts w:ascii="Times New Roman Regular" w:hAnsi="Times New Roman Regular" w:cs="Times New Roman Regular"/>
                <w:lang w:val="nl-BE"/>
              </w:rPr>
              <w:lastRenderedPageBreak/>
              <w:t>Li, 2025</w:t>
            </w:r>
          </w:p>
        </w:tc>
      </w:tr>
    </w:tbl>
    <w:p w14:paraId="460410A3" w14:textId="77777777" w:rsidR="00821EFE" w:rsidRPr="00C253AC" w:rsidRDefault="00821EFE">
      <w:pPr>
        <w:rPr>
          <w:rFonts w:ascii="Times New Roman Regular" w:hAnsi="Times New Roman Regular" w:cs="Times New Roman Regular"/>
          <w:lang w:val="nl-BE"/>
        </w:rPr>
      </w:pPr>
    </w:p>
    <w:p w14:paraId="24FF1854" w14:textId="77777777" w:rsidR="00821EFE" w:rsidRPr="00C16A60" w:rsidRDefault="00355686">
      <w:pPr>
        <w:rPr>
          <w:rFonts w:ascii="Times New Roman Bold" w:hAnsi="Times New Roman Bold" w:cs="Times New Roman Bold"/>
          <w:b/>
          <w:bCs/>
        </w:rPr>
      </w:pPr>
      <w:r w:rsidRPr="00C16A60">
        <w:rPr>
          <w:rFonts w:ascii="Times New Roman Bold" w:hAnsi="Times New Roman Bold" w:cs="Times New Roman Bold"/>
          <w:b/>
          <w:bCs/>
        </w:rPr>
        <w:t>3.1 Research on Application Scenarios of Intelligent Technology Empowering Mathematics Instruction</w:t>
      </w:r>
    </w:p>
    <w:p w14:paraId="6955238F" w14:textId="77777777" w:rsidR="00821EFE" w:rsidRPr="00C16A60" w:rsidRDefault="00821EFE">
      <w:pPr>
        <w:rPr>
          <w:rFonts w:ascii="Times New Roman Bold" w:hAnsi="Times New Roman Bold" w:cs="Times New Roman Bold"/>
          <w:b/>
          <w:bCs/>
        </w:rPr>
      </w:pPr>
    </w:p>
    <w:p w14:paraId="02420503"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Reviewing prior research reveals that existing studies identify four</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primary application areas for intelligent technologies: personalised</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learning, innovation in teaching resources and models, reform of</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teaching evaluation, and teacher professional development.</w:t>
      </w:r>
    </w:p>
    <w:p w14:paraId="39C6F252" w14:textId="77777777" w:rsidR="00821EFE" w:rsidRPr="00C16A60" w:rsidRDefault="00821EFE">
      <w:pPr>
        <w:rPr>
          <w:rFonts w:ascii="Times New Roman Regular" w:hAnsi="Times New Roman Regular" w:cs="Times New Roman Regular"/>
        </w:rPr>
      </w:pPr>
    </w:p>
    <w:p w14:paraId="204B1068"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Regarding personalised learning, studies suggest AI provides precise individualised support through learning diagnostics and adaptive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pathways, thereby fostering students' core competencies. He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2025) posits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that AI can meet differentiated student needs through strategies such as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intelligent learning diagnostics, dynamically generated tiered question</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sets, virtual experiment modelling, and interactive error notebooks, ultimately promoting the development of mathematical core competencies. C. Liu (2025) contends that AI can systematically support</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personalised learning through intelligent teaching platforms, adaptive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learning paths, and data-driven assessment, thereby meeting individual</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student needs and enhancing teaching effectiveness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Z. Zhang (2025) proposes that AI can advance mathematics instruction from uniformity towards individualisation through five practical pathways, including "intelligent diagnosis and tiered instruction," effectively improving</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teaching precision and learning efficacy. Y. Li (2025) contends that generative artificial intelligence (GAI) can customise personalised learning paths for students, offering deeper opportunities to understand and apply mathematical concepts, which may improve student engagement and mathematics performance.</w:t>
      </w:r>
    </w:p>
    <w:p w14:paraId="7AC11D60" w14:textId="77777777" w:rsidR="00821EFE" w:rsidRPr="00C16A60" w:rsidRDefault="00821EFE">
      <w:pPr>
        <w:rPr>
          <w:rFonts w:ascii="Times New Roman Regular" w:hAnsi="Times New Roman Regular" w:cs="Times New Roman Regular"/>
        </w:rPr>
      </w:pPr>
    </w:p>
    <w:p w14:paraId="5D90E389"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Regarding instructional resource and model innovation, scholars widely</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note that intelligent technologies can generate dynamic resources and</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create virtual inquiry scenarios, driving pedagogical model innovation</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 xml:space="preserve">and disciplinary integration. </w:t>
      </w:r>
      <w:r w:rsidRPr="00C16A60">
        <w:rPr>
          <w:rFonts w:ascii="Times New Roman Regular" w:hAnsi="Times New Roman Regular" w:cs="Times New Roman Regular" w:hint="eastAsia"/>
        </w:rPr>
        <w:t>Zhou and Huai (2025)</w:t>
      </w:r>
      <w:r w:rsidRPr="00C16A60">
        <w:rPr>
          <w:rFonts w:ascii="Times New Roman Regular" w:hAnsi="Times New Roman Regular" w:cs="Times New Roman Regular"/>
        </w:rPr>
        <w:t xml:space="preserve"> argue that AIGC tools can</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generate personalised teaching resources, assist instructional design,</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promote deep learning, and provide real-time feedback, thereby</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empowering high school mathematics teaching in multiple dimensions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Zhang </w:t>
      </w:r>
      <w:r w:rsidRPr="00C16A60">
        <w:rPr>
          <w:rFonts w:ascii="Times New Roman Regular" w:hAnsi="Times New Roman Regular" w:cs="Times New Roman Regular" w:hint="eastAsia"/>
        </w:rPr>
        <w:t>and</w:t>
      </w:r>
      <w:r w:rsidRPr="00C16A60">
        <w:rPr>
          <w:rFonts w:ascii="Times New Roman Regular" w:hAnsi="Times New Roman Regular" w:cs="Times New Roman Regular"/>
        </w:rPr>
        <w:t xml:space="preserve"> Wen </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2025) propose that AI, leveraging VR/AR technologies,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can establish virtual laboratories, generate dynamic inquiry scenarios,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and deliver personalised scenario recommendations. This approach reshapes traditional high school mathematics scenario-based teaching models and enhances instructional effectiveness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Du</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(2025)</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contends that AI can construct interdisciplinary integration scenarios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across mathematics and subjects such as physics, biology, and political</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education, breaking disciplinary boundaries to provide support</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for students' cross-disciplinary learning and efficient comprehension</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Wei </w:t>
      </w:r>
      <w:r w:rsidRPr="00C16A60">
        <w:rPr>
          <w:rFonts w:ascii="Times New Roman Regular" w:hAnsi="Times New Roman Regular" w:cs="Times New Roman Regular" w:hint="eastAsia"/>
        </w:rPr>
        <w:t>and</w:t>
      </w:r>
      <w:r w:rsidRPr="00C16A60">
        <w:rPr>
          <w:rFonts w:ascii="Times New Roman Regular" w:hAnsi="Times New Roman Regular" w:cs="Times New Roman Regular"/>
        </w:rPr>
        <w:t xml:space="preserve"> Fan </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2025) propose that AI can empower elementary</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mathematics classroom teaching across five dimensions: learning</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objective decomposition, multimodal resource delivery, adaptive tiered</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design, intelligent feedback and error correction, and VR/AR scenario</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creation with practical experiences, forming a systematic innovation</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support framework</w:t>
      </w:r>
      <w:r w:rsidRPr="00C16A60">
        <w:rPr>
          <w:rFonts w:ascii="Times New Roman Regular" w:hAnsi="Times New Roman Regular" w:cs="Times New Roman Regular" w:hint="eastAsia"/>
        </w:rPr>
        <w:t>.</w:t>
      </w:r>
    </w:p>
    <w:p w14:paraId="1A75DBC2" w14:textId="77777777" w:rsidR="00821EFE" w:rsidRPr="00C16A60" w:rsidRDefault="00821EFE">
      <w:pPr>
        <w:rPr>
          <w:rFonts w:ascii="Times New Roman Regular" w:hAnsi="Times New Roman Regular" w:cs="Times New Roman Regular"/>
        </w:rPr>
      </w:pPr>
    </w:p>
    <w:p w14:paraId="367C64EA"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lastRenderedPageBreak/>
        <w:t>Regarding instructional assessment reform, research confirms that</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intelligent technologies can leverage multimodal data collection and</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analysis to shift evaluation from summative assessment to formative and developmental assessment, building an integrated</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 xml:space="preserve">"teaching-learning-assessment" system. </w:t>
      </w:r>
      <w:r w:rsidRPr="00C16A60">
        <w:rPr>
          <w:rFonts w:ascii="Times New Roman Regular" w:hAnsi="Times New Roman Regular" w:cs="Times New Roman Regular" w:hint="eastAsia"/>
        </w:rPr>
        <w:t>Y. Li (2023)</w:t>
      </w:r>
      <w:r w:rsidRPr="00C16A60">
        <w:rPr>
          <w:rFonts w:ascii="Times New Roman Regular" w:hAnsi="Times New Roman Regular" w:cs="Times New Roman Regular"/>
        </w:rPr>
        <w:t xml:space="preserve"> argues that AI</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technology enables formative evaluation of classroom instruction through</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multimodal data collection and analysis, thereby enhancing the scientific rigour and objectivity of assessment while supporting teacher</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professional development and classroom quality improvement</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Xu (2025)</w:t>
      </w:r>
      <w:r w:rsidRPr="00C16A60">
        <w:rPr>
          <w:rFonts w:ascii="Times New Roman Regular" w:hAnsi="Times New Roman Regular" w:cs="Times New Roman Regular"/>
        </w:rPr>
        <w:t xml:space="preserve"> contends that AI can facilitate the integration of</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"teaching-learning-assessment" in high school mathematics, effectively</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addressing bottlenecks in traditional teaching while enhancing the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systematic nature of evaluation and the timeliness of feedback</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Su (2024)</w:t>
      </w:r>
      <w:r w:rsidRPr="00C16A60">
        <w:rPr>
          <w:rFonts w:ascii="Times New Roman Regular" w:hAnsi="Times New Roman Regular" w:cs="Times New Roman Regular"/>
        </w:rPr>
        <w:t xml:space="preserve"> contends that intelligent technologies can overcome limitations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of traditional assessment by optimising teaching methods, integrating</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high-quality resources, and enabling precise data diagnostics. The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resulting integrated "teaching-learning-assessment" model enhances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instructional quality and student learning efficiency</w:t>
      </w:r>
      <w:r w:rsidRPr="00C16A60">
        <w:rPr>
          <w:rFonts w:ascii="Times New Roman Regular" w:hAnsi="Times New Roman Regular" w:cs="Times New Roman Regular" w:hint="eastAsia"/>
        </w:rPr>
        <w:t>.</w:t>
      </w:r>
    </w:p>
    <w:p w14:paraId="5D382AC4" w14:textId="77777777" w:rsidR="00821EFE" w:rsidRPr="00C16A60" w:rsidRDefault="00821EFE">
      <w:pPr>
        <w:rPr>
          <w:rFonts w:ascii="Times New Roman Regular" w:hAnsi="Times New Roman Regular" w:cs="Times New Roman Regular"/>
        </w:rPr>
      </w:pPr>
    </w:p>
    <w:p w14:paraId="4ECD7F2A"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Regarding teacher professional development, research indicates that</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intelligent technologies enhance digital literacy and facilitate role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 xml:space="preserve">transformation through data-driven teaching research models. </w:t>
      </w:r>
      <w:r w:rsidRPr="00C16A60">
        <w:rPr>
          <w:rFonts w:ascii="Times New Roman Regular" w:hAnsi="Times New Roman Regular" w:cs="Times New Roman Regular" w:hint="eastAsia"/>
        </w:rPr>
        <w:t>Z. Yuan (2025) argues that digital and intelligent technologies</w:t>
      </w:r>
      <w:r w:rsidRPr="00C16A60">
        <w:rPr>
          <w:rFonts w:ascii="Times New Roman Regular" w:hAnsi="Times New Roman Regular" w:cs="Times New Roman Regular"/>
        </w:rPr>
        <w:t xml:space="preserve"> can propel teaching</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research models from experience-driven to data-driven approaches.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Through data-driven practice exploration, they effectively enhance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teachers' professional capabilities and teaching research quality</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Deng and Fu (2025)</w:t>
      </w:r>
      <w:r w:rsidRPr="00C16A60">
        <w:rPr>
          <w:rFonts w:ascii="Times New Roman Regular" w:hAnsi="Times New Roman Regular" w:cs="Times New Roman Regular"/>
        </w:rPr>
        <w:t xml:space="preserve"> contend that AI-empowered elementary</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mathematics classrooms require complementary efforts to enhance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teachers' digital literacy and cultivate AI-specialised teacher</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education talent. This represents one of the key strategies for</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systematically supporting pedagogical transformation and achieving</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classroom quality and efficiency gains</w:t>
      </w:r>
      <w:r w:rsidRPr="00C16A60">
        <w:rPr>
          <w:rFonts w:ascii="Times New Roman Regular" w:hAnsi="Times New Roman Regular" w:cs="Times New Roman Regular" w:hint="eastAsia"/>
        </w:rPr>
        <w:t>.</w:t>
      </w:r>
    </w:p>
    <w:p w14:paraId="3C943F8E" w14:textId="77777777" w:rsidR="00821EFE" w:rsidRPr="00C16A60" w:rsidRDefault="00821EFE">
      <w:pPr>
        <w:rPr>
          <w:rFonts w:ascii="Times New Roman Regular" w:hAnsi="Times New Roman Regular" w:cs="Times New Roman Regular"/>
        </w:rPr>
      </w:pPr>
    </w:p>
    <w:p w14:paraId="1E570780"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In summary, existing research has reached general consensus at the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application level: intelligent technologies are systematically</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integrating into the entire "pre-class, in-class, post-class" process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of mathematics teaching, achieving deep synergy across the four key</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dimensions of learning, teaching, assessment, and research. Overall,</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intelligent technologies do not operate in isolation within any single</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phase. Instead, through the integration of resources, tools, data, and</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processes,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they drive a systematic transformation of mathematics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education towards precision, intelligence, and convergence. This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gradually builds a new ecosystem of smart teaching centred on students,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supported by technology, and oriented towards competency development.</w:t>
      </w:r>
    </w:p>
    <w:p w14:paraId="0BC775F8" w14:textId="77777777" w:rsidR="00821EFE" w:rsidRPr="00C16A60" w:rsidRDefault="00821EFE">
      <w:pPr>
        <w:rPr>
          <w:rFonts w:ascii="Times New Roman Regular" w:hAnsi="Times New Roman Regular" w:cs="Times New Roman Regular"/>
        </w:rPr>
      </w:pPr>
    </w:p>
    <w:p w14:paraId="7E0574F8" w14:textId="77777777" w:rsidR="00821EFE" w:rsidRPr="00C16A60" w:rsidRDefault="00355686">
      <w:pPr>
        <w:rPr>
          <w:rFonts w:ascii="Times New Roman Bold" w:hAnsi="Times New Roman Bold" w:cs="Times New Roman Bold"/>
          <w:b/>
          <w:bCs/>
        </w:rPr>
      </w:pPr>
      <w:r w:rsidRPr="00C16A60">
        <w:rPr>
          <w:rFonts w:ascii="Times New Roman Bold" w:hAnsi="Times New Roman Bold" w:cs="Times New Roman Bold"/>
          <w:b/>
          <w:bCs/>
        </w:rPr>
        <w:t>3.2 Research on the Empowering Effects of Intelligent Technology in Mathematics Education</w:t>
      </w:r>
    </w:p>
    <w:p w14:paraId="3265520B" w14:textId="77777777" w:rsidR="00821EFE" w:rsidRPr="00C16A60" w:rsidRDefault="00821EFE">
      <w:pPr>
        <w:rPr>
          <w:rFonts w:ascii="Times New Roman Bold" w:hAnsi="Times New Roman Bold" w:cs="Times New Roman Bold"/>
          <w:b/>
          <w:bCs/>
        </w:rPr>
      </w:pPr>
    </w:p>
    <w:p w14:paraId="740944E3"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Existing studies generally report that intelligent technologies may have multifaceted positive impacts on mathematics education.</w:t>
      </w:r>
    </w:p>
    <w:p w14:paraId="22A4B0F4" w14:textId="77777777" w:rsidR="00821EFE" w:rsidRPr="00C16A60" w:rsidRDefault="00821EFE">
      <w:pPr>
        <w:rPr>
          <w:rFonts w:ascii="Times New Roman Regular" w:hAnsi="Times New Roman Regular" w:cs="Times New Roman Regular"/>
        </w:rPr>
      </w:pPr>
    </w:p>
    <w:p w14:paraId="2325371E"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In terms of stimulating learning motivation and deepening cognitive development, intelligent technologies may stimulate student interest through contextualisation and visualisation, while promoting the structured development of mathematical thinking. </w:t>
      </w:r>
      <w:r w:rsidRPr="00C16A60">
        <w:rPr>
          <w:rFonts w:ascii="Times New Roman Regular" w:hAnsi="Times New Roman Regular" w:cs="Times New Roman Regular" w:hint="eastAsia"/>
        </w:rPr>
        <w:t>Bu (2024)</w:t>
      </w:r>
      <w:r w:rsidRPr="00C16A60">
        <w:rPr>
          <w:rFonts w:ascii="Times New Roman Regular" w:hAnsi="Times New Roman Regular" w:cs="Times New Roman Regular"/>
        </w:rPr>
        <w:t xml:space="preserve"> argues that AI-empowered teaching functions through "intelligent instruction," "enlightened learning," and "optimised assessment," stimulating student initiative and transforming learning approaches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 xml:space="preserve">Lai </w:t>
      </w:r>
      <w:r w:rsidRPr="00C16A60">
        <w:rPr>
          <w:rFonts w:ascii="Times New Roman Regular" w:hAnsi="Times New Roman Regular" w:cs="Times New Roman Regular" w:hint="eastAsia"/>
        </w:rPr>
        <w:lastRenderedPageBreak/>
        <w:t xml:space="preserve">et al. (2025) </w:t>
      </w:r>
      <w:r w:rsidRPr="00C16A60">
        <w:rPr>
          <w:rFonts w:ascii="Times New Roman Regular" w:hAnsi="Times New Roman Regular" w:cs="Times New Roman Regular"/>
        </w:rPr>
        <w:t>propose that constructing a "Pre-class AI—In-class AI—Post-class AI" teaching model is reported to stimulate student interest and enhance learning efficiency. Experimental research confirms that under this model, students' mid-term and post-test scores significantly outperform pre-test results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W. Zhang (2024) proposes that constructing a six-dimensional strategy framework</w:t>
      </w:r>
      <w:r w:rsidRPr="00C16A60">
        <w:rPr>
          <w:rFonts w:ascii="Times New Roman Regular" w:hAnsi="Times New Roman Regular" w:cs="Times New Roman Regular"/>
        </w:rPr>
        <w:t xml:space="preserve">—"context creation—visualisation of thinking—personalised learning—dynamic experimentation—collaborative support—real-time evaluation"—can make mathematical thinking explicit and structured, </w:t>
      </w:r>
      <w:r w:rsidRPr="00C16A60">
        <w:rPr>
          <w:rFonts w:ascii="Times New Roman Regular" w:hAnsi="Times New Roman Regular" w:cs="Times New Roman Regular" w:hint="eastAsia"/>
        </w:rPr>
        <w:t>thereby reportedly enhancing students' logical reasoning</w:t>
      </w:r>
      <w:r w:rsidRPr="00C16A60">
        <w:rPr>
          <w:rFonts w:ascii="Times New Roman Regular" w:hAnsi="Times New Roman Regular" w:cs="Times New Roman Regular"/>
        </w:rPr>
        <w:t xml:space="preserve"> and strategic decision-making awareness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Zhu (2025) argues that AI can assist cognitive training through methods like designing knowledge map diagrams and interactive mathematics games. This approach not only stimulates learning interest and enriches teaching resources but also effectively enhances students' thinking abilities and teaching quality.</w:t>
      </w:r>
    </w:p>
    <w:p w14:paraId="65C02F65" w14:textId="77777777" w:rsidR="00821EFE" w:rsidRPr="00C16A60" w:rsidRDefault="00821EFE">
      <w:pPr>
        <w:rPr>
          <w:rFonts w:ascii="Times New Roman Regular" w:hAnsi="Times New Roman Regular" w:cs="Times New Roman Regular"/>
        </w:rPr>
      </w:pPr>
    </w:p>
    <w:p w14:paraId="18E72A0F"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In achieving precision teaching and personalised learning, intelligent technologies leverage data-driven approaches and tiered mechanisms to transcend traditional teaching models, enabling targeted instruction and customised learning while improving teaching efficiency. Z. Zhang (2025) argues that AI transforms education through five pathways—intelligent diagnosis and tiered instruction, virtual scenarios and concept visualisation, growth tracking and value-added assessment—effectively enhancing teaching precision and learning effectiveness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Yang (2025)</w:t>
      </w:r>
      <w:r w:rsidRPr="00C16A60">
        <w:rPr>
          <w:rFonts w:ascii="Times New Roman Regular" w:hAnsi="Times New Roman Regular" w:cs="Times New Roman Regular"/>
        </w:rPr>
        <w:t xml:space="preserve"> contends that AI can be used to create personalised teaching resources and plans and to innovate instructional models, thereby reducing teacher workload, optimising educational resource allocation, and enhancing classroom interaction</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Lu and Chen (2025)</w:t>
      </w:r>
      <w:r w:rsidRPr="00C16A60">
        <w:rPr>
          <w:rFonts w:ascii="Times New Roman Regular" w:hAnsi="Times New Roman Regular" w:cs="Times New Roman Regular"/>
        </w:rPr>
        <w:t xml:space="preserve"> propose that their</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six-step precision</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teaching model—"Guide-Create-Activate-Direct-Practice-Discuss"—overcomes the limitations of traditional one-size-fits-all approaches. This model facilitates a shift from experience-driven to data-evidence-based practices and from uniform standards to tiered, adaptive instruction, effectively narrowing student achievement gaps in practice</w:t>
      </w:r>
      <w:r w:rsidRPr="00C16A60">
        <w:rPr>
          <w:rFonts w:ascii="Times New Roman Regular" w:hAnsi="Times New Roman Regular" w:cs="Times New Roman Regular" w:hint="eastAsia"/>
        </w:rPr>
        <w:t>.</w:t>
      </w:r>
    </w:p>
    <w:p w14:paraId="7745384B" w14:textId="77777777" w:rsidR="00821EFE" w:rsidRPr="00C16A60" w:rsidRDefault="00821EFE">
      <w:pPr>
        <w:rPr>
          <w:rFonts w:ascii="Times New Roman Regular" w:hAnsi="Times New Roman Regular" w:cs="Times New Roman Regular"/>
        </w:rPr>
      </w:pPr>
    </w:p>
    <w:p w14:paraId="358D93F3"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Regarding optimising teaching evaluation systems, intelligent technologies drive the shift towards holistic, developmental assessment by establishing an integrated "teaching-learning-evaluation" framework that enhances scientific rigour and timeliness. </w:t>
      </w:r>
      <w:r w:rsidRPr="00C16A60">
        <w:rPr>
          <w:rFonts w:ascii="Times New Roman Regular" w:hAnsi="Times New Roman Regular" w:cs="Times New Roman Regular" w:hint="eastAsia"/>
        </w:rPr>
        <w:t>Y. Li (2023)</w:t>
      </w:r>
      <w:r w:rsidRPr="00C16A60">
        <w:rPr>
          <w:rFonts w:ascii="Times New Roman Regular" w:hAnsi="Times New Roman Regular" w:cs="Times New Roman Regular"/>
        </w:rPr>
        <w:t xml:space="preserve"> contends that AI, through multimodal data collection and analysis, propels teaching evaluation from single outcome-based assessments to comprehensive, developmental processes, thereby achieving scientific and process-oriented classroom evaluation. </w:t>
      </w:r>
      <w:r w:rsidRPr="00C16A60">
        <w:rPr>
          <w:rFonts w:ascii="Times New Roman Regular" w:hAnsi="Times New Roman Regular" w:cs="Times New Roman Regular" w:hint="eastAsia"/>
        </w:rPr>
        <w:t>Xu (2025)</w:t>
      </w:r>
      <w:r w:rsidRPr="00C16A60">
        <w:rPr>
          <w:rFonts w:ascii="Times New Roman Regular" w:hAnsi="Times New Roman Regular" w:cs="Times New Roman Regular"/>
        </w:rPr>
        <w:t xml:space="preserve"> argues</w:t>
      </w:r>
      <w:r w:rsidRPr="00C16A60">
        <w:rPr>
          <w:rFonts w:ascii="Times New Roman Regular" w:hAnsi="Times New Roman Regular" w:cs="Times New Roman Regular" w:hint="eastAsia"/>
        </w:rPr>
        <w:t xml:space="preserve"> </w:t>
      </w:r>
      <w:r w:rsidRPr="00C16A60">
        <w:rPr>
          <w:rFonts w:ascii="Times New Roman Regular" w:hAnsi="Times New Roman Regular" w:cs="Times New Roman Regular"/>
        </w:rPr>
        <w:t>that the integrated "teaching-learning-assessment" system enabled by AI significantly enhances the systematic nature of teaching evaluation and the timeliness of feedback, opening new pathways to overcome traditional teaching bottlenecks</w:t>
      </w:r>
      <w:r w:rsidRPr="00C16A60">
        <w:rPr>
          <w:rFonts w:ascii="Times New Roman Regular" w:hAnsi="Times New Roman Regular" w:cs="Times New Roman Regular" w:hint="eastAsia"/>
        </w:rPr>
        <w:t>.</w:t>
      </w:r>
    </w:p>
    <w:p w14:paraId="1371B11D" w14:textId="77777777" w:rsidR="00821EFE" w:rsidRPr="00C16A60" w:rsidRDefault="00821EFE">
      <w:pPr>
        <w:rPr>
          <w:rFonts w:ascii="Times New Roman Regular" w:hAnsi="Times New Roman Regular" w:cs="Times New Roman Regular"/>
        </w:rPr>
      </w:pPr>
    </w:p>
    <w:p w14:paraId="0BA4653A"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Regarding reducing teacher workload and facilitating role transformation, intelligent technologies alleviate teachers' routine tasks while promoting their transition into learning facilitators and curriculum designers, thereby fostering pedagogical innovation. </w:t>
      </w:r>
      <w:r w:rsidRPr="00C16A60">
        <w:rPr>
          <w:rFonts w:ascii="Times New Roman Regular" w:hAnsi="Times New Roman Regular" w:cs="Times New Roman Regular" w:hint="eastAsia"/>
        </w:rPr>
        <w:t>Yang (2025)</w:t>
      </w:r>
      <w:r w:rsidRPr="00C16A60">
        <w:rPr>
          <w:rFonts w:ascii="Times New Roman Regular" w:hAnsi="Times New Roman Regular" w:cs="Times New Roman Regular"/>
        </w:rPr>
        <w:t xml:space="preserve"> argues that AI applications in personalised resource creation and automated grading significantly reduce teachers' burdens in lesson preparation and assignment correction</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Hu (2025)</w:t>
      </w:r>
      <w:r w:rsidRPr="00C16A60">
        <w:rPr>
          <w:rFonts w:ascii="Times New Roman Regular" w:hAnsi="Times New Roman Regular" w:cs="Times New Roman Regular"/>
        </w:rPr>
        <w:t xml:space="preserve"> contends that AI-empowered teaching drives the transformation of teachers' roles from traditional "knowledge transmitters" to "learning facilitators, curriculum designers, and technology collaborators." </w:t>
      </w:r>
      <w:r w:rsidRPr="00C16A60">
        <w:rPr>
          <w:rFonts w:ascii="Times New Roman Regular" w:hAnsi="Times New Roman Regular" w:cs="Times New Roman Regular" w:hint="eastAsia"/>
        </w:rPr>
        <w:t>Cao and Chen (2024)</w:t>
      </w:r>
      <w:r w:rsidRPr="00C16A60">
        <w:rPr>
          <w:rFonts w:ascii="Times New Roman Regular" w:hAnsi="Times New Roman Regular" w:cs="Times New Roman Regular"/>
        </w:rPr>
        <w:t xml:space="preserve"> argue that with AI assistance, teachers can focus more on pedagogical innovation, emotional care, </w:t>
      </w:r>
      <w:r w:rsidRPr="00C16A60">
        <w:rPr>
          <w:rFonts w:ascii="Times New Roman Regular" w:hAnsi="Times New Roman Regular" w:cs="Times New Roman Regular"/>
        </w:rPr>
        <w:lastRenderedPageBreak/>
        <w:t>and value guidance, with their instructional leadership and humanistic roles remaining irreplaceable</w:t>
      </w:r>
      <w:r w:rsidRPr="00C16A60">
        <w:rPr>
          <w:rFonts w:ascii="Times New Roman Regular" w:hAnsi="Times New Roman Regular" w:cs="Times New Roman Regular" w:hint="eastAsia"/>
        </w:rPr>
        <w:t>.</w:t>
      </w:r>
    </w:p>
    <w:p w14:paraId="3CCC24AF" w14:textId="77777777" w:rsidR="00821EFE" w:rsidRPr="00C16A60" w:rsidRDefault="00821EFE">
      <w:pPr>
        <w:rPr>
          <w:rFonts w:ascii="Times New Roman Regular" w:hAnsi="Times New Roman Regular" w:cs="Times New Roman Regular"/>
        </w:rPr>
      </w:pPr>
    </w:p>
    <w:p w14:paraId="7EA81367"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In summary, intelligent technology-empowered mathematics instruction </w:t>
      </w:r>
      <w:r w:rsidRPr="00C16A60">
        <w:rPr>
          <w:rFonts w:ascii="Times New Roman Regular" w:hAnsi="Times New Roman Regular" w:cs="Times New Roman Regular" w:hint="eastAsia"/>
        </w:rPr>
        <w:t>may not only enhance teaching efficiency and learning outcomes</w:t>
      </w:r>
      <w:r w:rsidRPr="00C16A60">
        <w:rPr>
          <w:rFonts w:ascii="Times New Roman Regular" w:hAnsi="Times New Roman Regular" w:cs="Times New Roman Regular"/>
        </w:rPr>
        <w:t xml:space="preserve"> but also profoundly drive the restructuring of teaching frameworks, the innovation of assessment systems, and the transformation of the teacher's role. Its effectiveness is reflected not merely in superficial data improvements but in the systemic shift of mathematics education towards a new paradigm of intelligent teaching characterised by data-driven approaches, human-machine collaboration, and competency-oriented learning. This suggests that mathematics education is progressively evolving from a traditional experience-driven model towards a modern teaching phase centred on students, supported by technology, and focused on competency development.</w:t>
      </w:r>
    </w:p>
    <w:p w14:paraId="10FD61B6" w14:textId="77777777" w:rsidR="00821EFE" w:rsidRPr="00C16A60" w:rsidRDefault="00821EFE">
      <w:pPr>
        <w:rPr>
          <w:rFonts w:ascii="Times New Roman Regular" w:hAnsi="Times New Roman Regular" w:cs="Times New Roman Regular"/>
        </w:rPr>
      </w:pPr>
    </w:p>
    <w:p w14:paraId="639A505E" w14:textId="77777777" w:rsidR="00821EFE" w:rsidRPr="00C16A60" w:rsidRDefault="00355686">
      <w:pPr>
        <w:rPr>
          <w:rFonts w:ascii="Times New Roman Bold" w:hAnsi="Times New Roman Bold" w:cs="Times New Roman Bold"/>
          <w:b/>
          <w:bCs/>
        </w:rPr>
      </w:pPr>
      <w:r w:rsidRPr="00C16A60">
        <w:rPr>
          <w:rFonts w:ascii="Times New Roman Bold" w:hAnsi="Times New Roman Bold" w:cs="Times New Roman Bold"/>
          <w:b/>
          <w:bCs/>
        </w:rPr>
        <w:t>3.3 Research on Challenges Faced by Intelligent Technology in Empowering Mathematics Instruction</w:t>
      </w:r>
    </w:p>
    <w:p w14:paraId="320A0A67" w14:textId="77777777" w:rsidR="00821EFE" w:rsidRPr="00C16A60" w:rsidRDefault="00821EFE">
      <w:pPr>
        <w:rPr>
          <w:rFonts w:ascii="Times New Roman Bold" w:hAnsi="Times New Roman Bold" w:cs="Times New Roman Bold"/>
          <w:b/>
          <w:bCs/>
        </w:rPr>
      </w:pPr>
    </w:p>
    <w:p w14:paraId="463DEC9B"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A comprehensive analysis of relevant literature reveals that existing research identifies challenges in leveraging intelligent technologies for mathematics education across four dimensions: technical, teacher-related, student-related, and ethical.</w:t>
      </w:r>
    </w:p>
    <w:p w14:paraId="50AAD252" w14:textId="77777777" w:rsidR="00821EFE" w:rsidRPr="00C16A60" w:rsidRDefault="00821EFE">
      <w:pPr>
        <w:rPr>
          <w:rFonts w:ascii="Times New Roman Regular" w:hAnsi="Times New Roman Regular" w:cs="Times New Roman Regular"/>
        </w:rPr>
      </w:pPr>
    </w:p>
    <w:p w14:paraId="44536FBA"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At the technological level, current intelligent tools still exhibit limitations in understanding mathematical logic and supporting higher-order thinking, affecting teaching fluency and effectiveness. </w:t>
      </w:r>
      <w:r w:rsidRPr="00C16A60">
        <w:rPr>
          <w:rFonts w:ascii="Times New Roman Regular" w:hAnsi="Times New Roman Regular" w:cs="Times New Roman Regular" w:hint="eastAsia"/>
        </w:rPr>
        <w:t>C. Yuan (2025)</w:t>
      </w:r>
      <w:r w:rsidRPr="00C16A60">
        <w:rPr>
          <w:rFonts w:ascii="Times New Roman Regular" w:hAnsi="Times New Roman Regular" w:cs="Times New Roman Regular"/>
        </w:rPr>
        <w:t xml:space="preserve"> argues that AI technology faces issues such as inadequate alignment with mathematical teaching objectives, deficiencies in teachers' digital literacy, and incomplete human-machine collaborative teaching mechanisms, hindering the deep integration of technology and pedagogy</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Jin and Jin (2025)</w:t>
      </w:r>
      <w:r w:rsidRPr="00C16A60">
        <w:rPr>
          <w:rFonts w:ascii="Times New Roman Regular" w:hAnsi="Times New Roman Regular" w:cs="Times New Roman Regular"/>
        </w:rPr>
        <w:t xml:space="preserve"> argue that discrepancies exist between AI algorithms' precision and classroom demands, particularly in supporting complex logical reasoning and open-ended problem-solving, creating a dilemma where "technology is easy to use but not always effective." </w:t>
      </w:r>
      <w:r w:rsidRPr="00C16A60">
        <w:rPr>
          <w:rFonts w:ascii="Times New Roman Regular" w:hAnsi="Times New Roman Regular" w:cs="Times New Roman Regular" w:hint="eastAsia"/>
        </w:rPr>
        <w:t>Y. Zhang (2025)</w:t>
      </w:r>
      <w:r w:rsidRPr="00C16A60">
        <w:rPr>
          <w:rFonts w:ascii="Times New Roman Regular" w:hAnsi="Times New Roman Regular" w:cs="Times New Roman Regular"/>
        </w:rPr>
        <w:t xml:space="preserve"> argues that teaching content generated by generative AI may contain factual errors or deviate from the essence of mathematics, requiring teachers to conduct secondary screening. This may in turn increase teachers' hidden workload</w:t>
      </w:r>
      <w:r w:rsidRPr="00C16A60">
        <w:rPr>
          <w:rFonts w:ascii="Times New Roman Regular" w:hAnsi="Times New Roman Regular" w:cs="Times New Roman Regular" w:hint="eastAsia"/>
        </w:rPr>
        <w:t>.</w:t>
      </w:r>
    </w:p>
    <w:p w14:paraId="4FF2078A" w14:textId="77777777" w:rsidR="00821EFE" w:rsidRPr="00C16A60" w:rsidRDefault="00821EFE">
      <w:pPr>
        <w:rPr>
          <w:rFonts w:ascii="Times New Roman Regular" w:hAnsi="Times New Roman Regular" w:cs="Times New Roman Regular"/>
        </w:rPr>
      </w:pPr>
    </w:p>
    <w:p w14:paraId="1318123A"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At the teacher level, most educators have yet to transition into the roles of "learning designers and technology collaborators." Their digital literacy frameworks remain incomplete, and training systems are still underdeveloped. </w:t>
      </w:r>
      <w:r w:rsidRPr="00C16A60">
        <w:rPr>
          <w:rFonts w:ascii="Times New Roman Regular" w:hAnsi="Times New Roman Regular" w:cs="Times New Roman Regular" w:hint="eastAsia"/>
        </w:rPr>
        <w:t>Hu (2025)</w:t>
      </w:r>
      <w:r w:rsidRPr="00C16A60">
        <w:rPr>
          <w:rFonts w:ascii="Times New Roman Regular" w:hAnsi="Times New Roman Regular" w:cs="Times New Roman Regular"/>
        </w:rPr>
        <w:t xml:space="preserve"> observes that many teachers struggle with shifting from "knowledge transmitters" to "learning designers" and "technology integrators," commonly exhibiting insufficient confidence in technology integration and lacking corresponding instructional design capabilities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Deng and Fu (2025)</w:t>
      </w:r>
      <w:r w:rsidRPr="00C16A60">
        <w:rPr>
          <w:rFonts w:ascii="Times New Roman Regular" w:hAnsi="Times New Roman Regular" w:cs="Times New Roman Regular"/>
        </w:rPr>
        <w:t xml:space="preserve"> argue that current primary and secondary mathematics teachers generally exhibit incomplete digital literacy structures and lack knowledge of AI-assisted teaching, with an inadequate systematic training framework to support their development</w:t>
      </w:r>
      <w:r w:rsidRPr="00C16A60">
        <w:rPr>
          <w:rFonts w:ascii="Times New Roman Regular" w:hAnsi="Times New Roman Regular" w:cs="Times New Roman Regular" w:hint="eastAsia"/>
        </w:rPr>
        <w:t>.</w:t>
      </w:r>
    </w:p>
    <w:p w14:paraId="1D7FED6D" w14:textId="77777777" w:rsidR="00821EFE" w:rsidRPr="00C16A60" w:rsidRDefault="00821EFE">
      <w:pPr>
        <w:rPr>
          <w:rFonts w:ascii="Times New Roman Regular" w:hAnsi="Times New Roman Regular" w:cs="Times New Roman Regular"/>
        </w:rPr>
      </w:pPr>
    </w:p>
    <w:p w14:paraId="4FC42478"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At the student level, research reveals that students are prone to developing mental inertia and tool dependency, which impede deep conceptual construction and independent inquiry abilities. </w:t>
      </w:r>
      <w:r w:rsidRPr="00C16A60">
        <w:rPr>
          <w:rFonts w:ascii="Times New Roman Regular" w:eastAsia="Helvetica Neue" w:hAnsi="Times New Roman Regular" w:cs="Times New Roman Regular"/>
          <w:color w:val="0F1115"/>
          <w:szCs w:val="21"/>
        </w:rPr>
        <w:t xml:space="preserve">Cheng </w:t>
      </w:r>
      <w:r w:rsidRPr="00C16A60">
        <w:rPr>
          <w:rFonts w:ascii="Times New Roman Regular" w:eastAsia="Helvetica Neue" w:hAnsi="Times New Roman Regular" w:cs="Times New Roman Regular" w:hint="eastAsia"/>
          <w:color w:val="0F1115"/>
          <w:szCs w:val="21"/>
        </w:rPr>
        <w:lastRenderedPageBreak/>
        <w:t>and</w:t>
      </w:r>
      <w:r w:rsidRPr="00C16A60">
        <w:rPr>
          <w:rFonts w:ascii="Times New Roman Regular" w:eastAsia="Helvetica Neue" w:hAnsi="Times New Roman Regular" w:cs="Times New Roman Regular"/>
          <w:color w:val="0F1115"/>
          <w:szCs w:val="21"/>
        </w:rPr>
        <w:t xml:space="preserve"> Huang</w:t>
      </w:r>
      <w:r w:rsidRPr="00C16A60">
        <w:rPr>
          <w:rFonts w:ascii="Times New Roman Regular" w:hAnsi="Times New Roman Regular" w:cs="Times New Roman Regular" w:hint="eastAsia"/>
        </w:rPr>
        <w:t xml:space="preserve"> (2025)</w:t>
      </w:r>
      <w:r w:rsidRPr="00C16A60">
        <w:rPr>
          <w:rFonts w:ascii="Times New Roman Regular" w:hAnsi="Times New Roman Regular" w:cs="Times New Roman Regular"/>
        </w:rPr>
        <w:t xml:space="preserve"> point out that while AI tools represented by Photomath provide immediate answers and step-by-step solutions, they also raise ethical concerns that "parents and teachers worry about students using them to cheat." The ultimate value of technology depends on whether students genuinely leverage it to advance mathematical reasoning rather than merely obtaining answers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Hu (2025)</w:t>
      </w:r>
      <w:r w:rsidRPr="00C16A60">
        <w:rPr>
          <w:rFonts w:ascii="Times New Roman Regular" w:hAnsi="Times New Roman Regular" w:cs="Times New Roman Regular"/>
        </w:rPr>
        <w:t xml:space="preserve"> further clarifies that some students, during their learning process, "over-rely on the answers and solution steps provided by the system, weakening their capacity for independent thinking, deep inquiry, and problem-solving development." Liu et al.</w:t>
      </w:r>
      <w:r w:rsidRPr="00C16A60">
        <w:rPr>
          <w:rFonts w:ascii="Times New Roman Regular" w:hAnsi="Times New Roman Regular" w:cs="Times New Roman Regular" w:hint="eastAsia"/>
        </w:rPr>
        <w:t xml:space="preserve"> (2025)</w:t>
      </w:r>
      <w:r w:rsidRPr="00C16A60">
        <w:rPr>
          <w:rFonts w:ascii="Times New Roman Regular" w:hAnsi="Times New Roman Regular" w:cs="Times New Roman Regular"/>
        </w:rPr>
        <w:t>, in their review of the International Congress on Mathematical Education, also note that as artificial intelligence becomes widely applied in education, researchers must remain vigilant about the cognitive risks posed by "technology dependence" and strive to balance the conflict between technological rationality and educational humanism</w:t>
      </w:r>
      <w:r w:rsidRPr="00C16A60">
        <w:rPr>
          <w:rFonts w:ascii="Times New Roman Regular" w:hAnsi="Times New Roman Regular" w:cs="Times New Roman Regular" w:hint="eastAsia"/>
        </w:rPr>
        <w:t>.</w:t>
      </w:r>
    </w:p>
    <w:p w14:paraId="32B80070" w14:textId="77777777" w:rsidR="00821EFE" w:rsidRPr="00C16A60" w:rsidRDefault="00821EFE">
      <w:pPr>
        <w:rPr>
          <w:rFonts w:ascii="Times New Roman Regular" w:hAnsi="Times New Roman Regular" w:cs="Times New Roman Regular"/>
        </w:rPr>
      </w:pPr>
    </w:p>
    <w:p w14:paraId="57F5914B"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On the ethical front, issues such as data privacy, algorithmic bias, and the digital divide have become prominent, yet operational management frameworks remain lacking. </w:t>
      </w:r>
      <w:r w:rsidRPr="00C16A60">
        <w:rPr>
          <w:rFonts w:ascii="Times New Roman Regular" w:hAnsi="Times New Roman Regular" w:cs="Times New Roman Regular" w:hint="eastAsia"/>
        </w:rPr>
        <w:t>Zhou and Huai (2025)</w:t>
      </w:r>
      <w:r w:rsidRPr="00C16A60">
        <w:rPr>
          <w:rFonts w:ascii="Times New Roman Regular" w:hAnsi="Times New Roman Regular" w:cs="Times New Roman Regular"/>
        </w:rPr>
        <w:t xml:space="preserve"> argue that AIGC tool usage poses multiple challenges, including potential student data privacy breaches, questionable accuracy of generated content, and algorithmic biases that may exacerbate educational inequality</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Wu (2025)</w:t>
      </w:r>
      <w:r w:rsidRPr="00C16A60">
        <w:rPr>
          <w:rFonts w:ascii="Times New Roman Regular" w:hAnsi="Times New Roman Regular" w:cs="Times New Roman Regular"/>
        </w:rPr>
        <w:t xml:space="preserve"> contends that disparities in technological access across regions, schools, and groups may widen the digital divide, creating new educational imbalances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Cao and Chen (2024)</w:t>
      </w:r>
      <w:r w:rsidRPr="00C16A60">
        <w:rPr>
          <w:rFonts w:ascii="Times New Roman Regular" w:hAnsi="Times New Roman Regular" w:cs="Times New Roman Regular"/>
        </w:rPr>
        <w:t xml:space="preserve"> argue that educational applications of intelligent technologies must prioritise privacy and data protection, yet currently lack concrete, actionable data security standards and usage boundary guidelines</w:t>
      </w:r>
      <w:r w:rsidRPr="00C16A60">
        <w:rPr>
          <w:rFonts w:ascii="Times New Roman Regular" w:hAnsi="Times New Roman Regular" w:cs="Times New Roman Regular" w:hint="eastAsia"/>
        </w:rPr>
        <w:t>.</w:t>
      </w:r>
    </w:p>
    <w:p w14:paraId="02D3C477" w14:textId="77777777" w:rsidR="00821EFE" w:rsidRPr="00C16A60" w:rsidRDefault="00821EFE">
      <w:pPr>
        <w:rPr>
          <w:rFonts w:ascii="Times New Roman Regular" w:hAnsi="Times New Roman Regular" w:cs="Times New Roman Regular"/>
        </w:rPr>
      </w:pPr>
    </w:p>
    <w:p w14:paraId="1124B105"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In summary, the challenges facing AI-enabled mathematics instruction extend beyond mere tool usability to encompass systemic questions of effective implementation. These challenges stem not only from the functional limitations of the technology itself but also involve the cognitive and behavioural adaptation of teachers and students. They further touch upon deep-seated social issues such as data ethics and educational equity. Substantial progress in enabling technology to transition from "useful" to "well-used" requires coordinated advancement across multiple dimensions: technological optimisation, teacher development, student guidance, and institutional regulation.</w:t>
      </w:r>
    </w:p>
    <w:p w14:paraId="47A7D19A" w14:textId="77777777" w:rsidR="00821EFE" w:rsidRPr="00C16A60" w:rsidRDefault="00821EFE">
      <w:pPr>
        <w:rPr>
          <w:rFonts w:ascii="Times New Roman Regular" w:hAnsi="Times New Roman Regular" w:cs="Times New Roman Regular"/>
        </w:rPr>
      </w:pPr>
    </w:p>
    <w:p w14:paraId="0C20E80D" w14:textId="77777777" w:rsidR="00821EFE" w:rsidRPr="00C16A60" w:rsidRDefault="00355686">
      <w:pPr>
        <w:rPr>
          <w:rFonts w:ascii="Times New Roman Regular" w:hAnsi="Times New Roman Regular" w:cs="Times New Roman Regular"/>
        </w:rPr>
      </w:pPr>
      <w:r w:rsidRPr="00C16A60">
        <w:rPr>
          <w:rFonts w:ascii="Times New Roman Bold" w:hAnsi="Times New Roman Bold" w:cs="Times New Roman Bold"/>
          <w:b/>
          <w:bCs/>
        </w:rPr>
        <w:t>3.4 Research on Development Pathways for AI-Empowered Mathematics Instruction</w:t>
      </w:r>
    </w:p>
    <w:p w14:paraId="6572EBCC" w14:textId="77777777" w:rsidR="00821EFE" w:rsidRPr="00C16A60" w:rsidRDefault="00821EFE">
      <w:pPr>
        <w:rPr>
          <w:rFonts w:ascii="Times New Roman Regular" w:hAnsi="Times New Roman Regular" w:cs="Times New Roman Regular"/>
        </w:rPr>
      </w:pPr>
    </w:p>
    <w:p w14:paraId="04CCF057"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Reviewing existing research reveals that the academic community primarily focuses on four aspects regarding the development pathways for intelligent technology to empower mathematics teaching: technology integration, teacher development, teaching practice, and ecosystem construction.</w:t>
      </w:r>
    </w:p>
    <w:p w14:paraId="452CFD6A" w14:textId="77777777" w:rsidR="00821EFE" w:rsidRPr="00C16A60" w:rsidRDefault="00821EFE">
      <w:pPr>
        <w:rPr>
          <w:rFonts w:ascii="Times New Roman Regular" w:hAnsi="Times New Roman Regular" w:cs="Times New Roman Regular"/>
        </w:rPr>
      </w:pPr>
    </w:p>
    <w:p w14:paraId="6A02B41B"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Regarding technological integration, mechanisms for human-machine collaboration should be established and discipline-oriented tools developed to enhance the compatibility of intelligent technologies with mathematics instruction. </w:t>
      </w:r>
      <w:r w:rsidRPr="00C16A60">
        <w:rPr>
          <w:rFonts w:ascii="Times New Roman Regular" w:hAnsi="Times New Roman Regular" w:cs="Times New Roman Regular" w:hint="eastAsia"/>
        </w:rPr>
        <w:t>C. Yuan (2025)</w:t>
      </w:r>
      <w:r w:rsidRPr="00C16A60">
        <w:rPr>
          <w:rFonts w:ascii="Times New Roman Regular" w:hAnsi="Times New Roman Regular" w:cs="Times New Roman Regular"/>
        </w:rPr>
        <w:t xml:space="preserve"> argues that establishing a "teacher-led, AI-assisted" human-machine collaboration mechanism and developing discipline-oriented intelligent tools—such as dynamic geometric modelling and intelligent analysis of function graphs—can improve the alignment between technology and mathematics teaching</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 xml:space="preserve">Zhao et al. </w:t>
      </w:r>
      <w:r w:rsidRPr="00C16A60">
        <w:rPr>
          <w:rFonts w:ascii="Times New Roman Regular" w:hAnsi="Times New Roman Regular" w:cs="Times New Roman Regular" w:hint="eastAsia"/>
        </w:rPr>
        <w:lastRenderedPageBreak/>
        <w:t>(2024)</w:t>
      </w:r>
      <w:r w:rsidRPr="00C16A60">
        <w:rPr>
          <w:rFonts w:ascii="Times New Roman Regular" w:hAnsi="Times New Roman Regular" w:cs="Times New Roman Regular"/>
        </w:rPr>
        <w:t xml:space="preserve"> propose strengthening specialised training and optimisation of AIGC technology in mathematical problem generation, variant practice, and thinking visualisation to enhance its subject-specific reliability and pedagogical utility</w:t>
      </w:r>
      <w:r w:rsidRPr="00C16A60">
        <w:rPr>
          <w:rFonts w:ascii="Times New Roman Regular" w:hAnsi="Times New Roman Regular" w:cs="Times New Roman Regular" w:hint="eastAsia"/>
        </w:rPr>
        <w:t>.</w:t>
      </w:r>
    </w:p>
    <w:p w14:paraId="04C45F88" w14:textId="77777777" w:rsidR="00821EFE" w:rsidRPr="00C16A60" w:rsidRDefault="00821EFE">
      <w:pPr>
        <w:rPr>
          <w:rFonts w:ascii="Times New Roman Regular" w:hAnsi="Times New Roman Regular" w:cs="Times New Roman Regular"/>
        </w:rPr>
      </w:pPr>
    </w:p>
    <w:p w14:paraId="7C919136"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Regarding teacher development, a training system integrating technology, pedagogy, and subject expertise must be established, with data-driven teaching research enhancing teachers' practical skills. </w:t>
      </w:r>
      <w:r w:rsidRPr="00C16A60">
        <w:rPr>
          <w:rFonts w:ascii="Times New Roman Regular" w:hAnsi="Times New Roman Regular" w:cs="Times New Roman Regular" w:hint="eastAsia"/>
        </w:rPr>
        <w:t>Deng and Fu (2025)</w:t>
      </w:r>
      <w:r w:rsidRPr="00C16A60">
        <w:rPr>
          <w:rFonts w:ascii="Times New Roman Regular" w:hAnsi="Times New Roman Regular" w:cs="Times New Roman Regular"/>
        </w:rPr>
        <w:t xml:space="preserve"> propose a three-dimensional training framework encompassing "technological literacy—pedagogical literacy—subject literacy," alongside strengthening AI teacher education to systematically elevate educators' digital teaching capabilities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Z. Yuan (2025) proposes leveraging data-driven lesson case studies</w:t>
      </w:r>
      <w:r w:rsidRPr="00C16A60">
        <w:rPr>
          <w:rFonts w:ascii="Times New Roman Regular" w:hAnsi="Times New Roman Regular" w:cs="Times New Roman Regular"/>
        </w:rPr>
        <w:t>, collaborative lesson planning, and cross-school teaching research to enhance teachers' application and practical skills with intelligent technologies in authentic teaching scenarios</w:t>
      </w:r>
      <w:r w:rsidRPr="00C16A60">
        <w:rPr>
          <w:rFonts w:ascii="Times New Roman Regular" w:hAnsi="Times New Roman Regular" w:cs="Times New Roman Regular" w:hint="eastAsia"/>
        </w:rPr>
        <w:t>.</w:t>
      </w:r>
    </w:p>
    <w:p w14:paraId="777CB648" w14:textId="77777777" w:rsidR="00821EFE" w:rsidRPr="00C16A60" w:rsidRDefault="00821EFE">
      <w:pPr>
        <w:rPr>
          <w:rFonts w:ascii="Times New Roman Regular" w:hAnsi="Times New Roman Regular" w:cs="Times New Roman Regular"/>
        </w:rPr>
      </w:pPr>
    </w:p>
    <w:p w14:paraId="0669D721"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In teaching practice, a data-driven precision teaching model should be established to achieve an integrated teaching loop encompassing instruction, learning, and assessment. </w:t>
      </w:r>
      <w:r w:rsidRPr="00C16A60">
        <w:rPr>
          <w:rFonts w:ascii="Times New Roman Regular" w:hAnsi="Times New Roman Regular" w:cs="Times New Roman Regular" w:hint="eastAsia"/>
        </w:rPr>
        <w:t>Lu and Chen (2025)</w:t>
      </w:r>
      <w:r w:rsidRPr="00C16A60">
        <w:rPr>
          <w:rFonts w:ascii="Times New Roman Regular" w:hAnsi="Times New Roman Regular" w:cs="Times New Roman Regular"/>
        </w:rPr>
        <w:t xml:space="preserve"> propose that constructing a six-step precision teaching model—guiding, creating, motivating, prompting, practicing, and discussing—centred on data-driven learning diagnostics and tiered interventions represents a feasible pathway to transition from a one-size-fits-all approach to tiered adaptation, thereby effectively enhancing teaching relevance</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Su (2024)</w:t>
      </w:r>
      <w:r w:rsidRPr="00C16A60">
        <w:rPr>
          <w:rFonts w:ascii="Times New Roman Regular" w:hAnsi="Times New Roman Regular" w:cs="Times New Roman Regular"/>
        </w:rPr>
        <w:t xml:space="preserve"> contends that building an integrated "teaching-learning-assessment" model supported by intelligent technologies, through embedded assessment scales and real-time feedback mechanisms, can achieve closed-loop optimisation of teaching and assessment while enhancing overall instructional quality</w:t>
      </w:r>
      <w:r w:rsidRPr="00C16A60">
        <w:rPr>
          <w:rFonts w:ascii="Times New Roman Regular" w:hAnsi="Times New Roman Regular" w:cs="Times New Roman Regular" w:hint="eastAsia"/>
        </w:rPr>
        <w:t>.</w:t>
      </w:r>
    </w:p>
    <w:p w14:paraId="256EC0EA" w14:textId="77777777" w:rsidR="00821EFE" w:rsidRPr="00C16A60" w:rsidRDefault="00821EFE">
      <w:pPr>
        <w:rPr>
          <w:rFonts w:ascii="Times New Roman Regular" w:hAnsi="Times New Roman Regular" w:cs="Times New Roman Regular"/>
        </w:rPr>
      </w:pPr>
    </w:p>
    <w:p w14:paraId="24EBA621"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Regarding ecosystem development, data standards and usage boundaries must be established while promoting multi-stakeholder collaboration and resource sharing to ensure application fairness and security. </w:t>
      </w:r>
      <w:r w:rsidRPr="00C16A60">
        <w:rPr>
          <w:rFonts w:ascii="Times New Roman Regular" w:hAnsi="Times New Roman Regular" w:cs="Times New Roman Regular" w:hint="eastAsia"/>
        </w:rPr>
        <w:t>Xu (2025)</w:t>
      </w:r>
      <w:r w:rsidRPr="00C16A60">
        <w:rPr>
          <w:rFonts w:ascii="Times New Roman Regular" w:hAnsi="Times New Roman Regular" w:cs="Times New Roman Regular"/>
        </w:rPr>
        <w:t xml:space="preserve"> advocates for clear regulations on educational data collection and usage, strengthening data privacy defences, and explicitly defining technological boundaries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Cao and Chen (2024)</w:t>
      </w:r>
      <w:r w:rsidRPr="00C16A60">
        <w:rPr>
          <w:rFonts w:ascii="Times New Roman Regular" w:hAnsi="Times New Roman Regular" w:cs="Times New Roman Regular"/>
        </w:rPr>
        <w:t xml:space="preserve"> propose establishing a governance alliance involving multiple stakeholders—including education authorities, schools, enterprises, and parents—to collaboratively oversee the fairness and educational value of technology applications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Wu (2025)</w:t>
      </w:r>
      <w:r w:rsidRPr="00C16A60">
        <w:rPr>
          <w:rFonts w:ascii="Times New Roman Regular" w:hAnsi="Times New Roman Regular" w:cs="Times New Roman Regular"/>
        </w:rPr>
        <w:t xml:space="preserve"> advocates for the joint development and sharing of regional intelligent educational resource platforms to bridge the digital divide and promote equitable access to high-quality educational resources</w:t>
      </w:r>
      <w:r w:rsidRPr="00C16A60">
        <w:rPr>
          <w:rFonts w:ascii="Times New Roman Regular" w:hAnsi="Times New Roman Regular" w:cs="Times New Roman Regular" w:hint="eastAsia"/>
        </w:rPr>
        <w:t>.</w:t>
      </w:r>
    </w:p>
    <w:p w14:paraId="7F5100A6" w14:textId="77777777" w:rsidR="00821EFE" w:rsidRPr="00C16A60" w:rsidRDefault="00821EFE">
      <w:pPr>
        <w:rPr>
          <w:rFonts w:ascii="Times New Roman Regular" w:hAnsi="Times New Roman Regular" w:cs="Times New Roman Regular"/>
        </w:rPr>
      </w:pPr>
    </w:p>
    <w:p w14:paraId="6192D724"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Summarising the above research perspectives, the development pathways proposed for intelligent technology-enabled mathematics education focus on the deep integration of technology and pedagogy, teacher competency enhancement, highly actionable teaching model innovation, and the establishment of data security and ethical norms. This represents a systematic evolution from tool application to ecosystem reconstruction, emphasising the coordinated development of technology, people, pedagogy, and institutional frameworks. The goal is to build a virtuous educational ecosystem supporting personalised, precise, and intelligent teaching.</w:t>
      </w:r>
    </w:p>
    <w:p w14:paraId="59545D36" w14:textId="77777777" w:rsidR="00821EFE" w:rsidRPr="00C16A60" w:rsidRDefault="00821EFE">
      <w:pPr>
        <w:rPr>
          <w:rFonts w:ascii="Times New Roman Regular" w:hAnsi="Times New Roman Regular" w:cs="Times New Roman Regular"/>
        </w:rPr>
      </w:pPr>
    </w:p>
    <w:p w14:paraId="1488D85B" w14:textId="77777777" w:rsidR="00821EFE" w:rsidRPr="00C16A60" w:rsidRDefault="00355686">
      <w:pPr>
        <w:rPr>
          <w:rFonts w:ascii="Times New Roman Bold" w:hAnsi="Times New Roman Bold" w:cs="Times New Roman Bold"/>
          <w:b/>
          <w:bCs/>
        </w:rPr>
      </w:pPr>
      <w:r w:rsidRPr="00C16A60">
        <w:rPr>
          <w:rFonts w:ascii="Times New Roman Bold" w:hAnsi="Times New Roman Bold" w:cs="Times New Roman Bold"/>
          <w:b/>
          <w:bCs/>
        </w:rPr>
        <w:t>3.5 Analysis of Research Methods in Intelligent Technology-Empowered Mathematics Instruction</w:t>
      </w:r>
    </w:p>
    <w:p w14:paraId="60E0D893" w14:textId="77777777" w:rsidR="00821EFE" w:rsidRPr="00C16A60" w:rsidRDefault="00821EFE">
      <w:pPr>
        <w:rPr>
          <w:rFonts w:ascii="Times New Roman Regular" w:hAnsi="Times New Roman Regular" w:cs="Times New Roman Regular"/>
        </w:rPr>
      </w:pPr>
    </w:p>
    <w:p w14:paraId="2CE15E1D"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Statistical analysis of the research methods employed in the included literature reveals seven primary approaches: case studies, literature reviews, practical exploration, questionnaire surveys, experimental studies, theoretical deliberation, and comparative research.</w:t>
      </w:r>
    </w:p>
    <w:p w14:paraId="5CE448CA" w14:textId="77777777" w:rsidR="00821EFE" w:rsidRPr="00C16A60" w:rsidRDefault="00821EFE">
      <w:pPr>
        <w:rPr>
          <w:rFonts w:ascii="Times New Roman Regular" w:hAnsi="Times New Roman Regular" w:cs="Times New Roman Regular"/>
        </w:rPr>
      </w:pPr>
    </w:p>
    <w:p w14:paraId="3CC94772"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Case studies and literature reviews were primarily used to construct strategies and theoretical frameworks for AI-empowered teaching. </w:t>
      </w:r>
      <w:r w:rsidRPr="00C16A60">
        <w:rPr>
          <w:rFonts w:ascii="Times New Roman Regular" w:hAnsi="Times New Roman Regular" w:cs="Times New Roman Regular" w:hint="eastAsia"/>
        </w:rPr>
        <w:t>W. Zhang (2024) employed case studies to develop</w:t>
      </w:r>
      <w:r w:rsidRPr="00C16A60">
        <w:rPr>
          <w:rFonts w:ascii="Times New Roman Regular" w:hAnsi="Times New Roman Regular" w:cs="Times New Roman Regular"/>
        </w:rPr>
        <w:t xml:space="preserve"> a six-dimensional strategy framework—"context creation, visualisation of thinking, personalised learning, dynamic experimentation, collaborative support, and real-time evaluation"—to achieve the explicit and structured development of mathematical thinking</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Y. Zhang (2025)</w:t>
      </w:r>
      <w:r w:rsidRPr="00C16A60">
        <w:rPr>
          <w:rFonts w:ascii="Times New Roman Regular" w:hAnsi="Times New Roman Regular" w:cs="Times New Roman Regular"/>
        </w:rPr>
        <w:t xml:space="preserve"> similarly employed case studies to propose five innovative pathways for generative AI: optimising self-directed previewing, creating real-life contexts, organising structured frameworks, designing project-based activities, and enhancing differentiated assignments—all aimed at improving teaching quality and student core competencies</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Zhou and Huai (2025)</w:t>
      </w:r>
      <w:r w:rsidRPr="00C16A60">
        <w:rPr>
          <w:rFonts w:ascii="Times New Roman Regular" w:hAnsi="Times New Roman Regular" w:cs="Times New Roman Regular"/>
        </w:rPr>
        <w:t xml:space="preserve"> employed a literature review to systematically elaborate on the enabling roles and potential challenges of AIGC tools across five dimensions: generating personalised resources, assisting instructional design, promoting deep learning, providing real-time feedback, and cultivating learning interest</w:t>
      </w:r>
      <w:r w:rsidRPr="00C16A60">
        <w:rPr>
          <w:rFonts w:ascii="Times New Roman Regular" w:hAnsi="Times New Roman Regular" w:cs="Times New Roman Regular" w:hint="eastAsia"/>
        </w:rPr>
        <w:t>.</w:t>
      </w:r>
    </w:p>
    <w:p w14:paraId="10C6C6FE" w14:textId="77777777" w:rsidR="00821EFE" w:rsidRPr="00C16A60" w:rsidRDefault="00821EFE">
      <w:pPr>
        <w:rPr>
          <w:rFonts w:ascii="Times New Roman Regular" w:hAnsi="Times New Roman Regular" w:cs="Times New Roman Regular"/>
        </w:rPr>
      </w:pPr>
    </w:p>
    <w:p w14:paraId="34CCCB4D"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The practice exploration method is primarily used by frontline teachers to summarise and reflect on the application of intelligent technologies. Through this approach, </w:t>
      </w:r>
      <w:r w:rsidRPr="00C16A60">
        <w:rPr>
          <w:rFonts w:ascii="Times New Roman Regular" w:hAnsi="Times New Roman Regular" w:cs="Times New Roman Regular" w:hint="eastAsia"/>
        </w:rPr>
        <w:t>Bu (2024)</w:t>
      </w:r>
      <w:r w:rsidRPr="00C16A60">
        <w:rPr>
          <w:rFonts w:ascii="Times New Roman Regular" w:hAnsi="Times New Roman Regular" w:cs="Times New Roman Regular"/>
        </w:rPr>
        <w:t xml:space="preserve"> proposed an enabling model of "intelligent teaching," "wise learning," and "excellent assessment," forming an integrated pre-class, in-class, and post-class strategy to drive transformation in elementary mathematics education</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w:t>
      </w:r>
      <w:r w:rsidRPr="00C16A60">
        <w:rPr>
          <w:rFonts w:ascii="Times New Roman Regular" w:hAnsi="Times New Roman Regular" w:cs="Times New Roman Regular" w:hint="eastAsia"/>
        </w:rPr>
        <w:t>Yang (2025)</w:t>
      </w:r>
      <w:r w:rsidRPr="00C16A60">
        <w:rPr>
          <w:rFonts w:ascii="Times New Roman Regular" w:hAnsi="Times New Roman Regular" w:cs="Times New Roman Regular"/>
        </w:rPr>
        <w:t xml:space="preserve"> employed the practice summary method to highlight AI's concrete achievements in creating personalised resources, reducing teacher workload, and optimising classroom assessment</w:t>
      </w:r>
      <w:r w:rsidRPr="00C16A60">
        <w:rPr>
          <w:rFonts w:ascii="Times New Roman Regular" w:hAnsi="Times New Roman Regular" w:cs="Times New Roman Regular" w:hint="eastAsia"/>
        </w:rPr>
        <w:t>.</w:t>
      </w:r>
    </w:p>
    <w:p w14:paraId="2FA01853" w14:textId="77777777" w:rsidR="00821EFE" w:rsidRPr="00C16A60" w:rsidRDefault="00821EFE">
      <w:pPr>
        <w:rPr>
          <w:rFonts w:ascii="Times New Roman Regular" w:hAnsi="Times New Roman Regular" w:cs="Times New Roman Regular"/>
        </w:rPr>
      </w:pPr>
    </w:p>
    <w:p w14:paraId="2BD1E957"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Experimental research and questionnaire surveys primarily validate the practical effects of AI-empowered teaching. </w:t>
      </w:r>
      <w:r w:rsidRPr="00C16A60">
        <w:rPr>
          <w:rFonts w:ascii="Times New Roman Regular" w:hAnsi="Times New Roman Regular" w:cs="Times New Roman Regular" w:hint="eastAsia"/>
        </w:rPr>
        <w:t>Lai et al. (2025) employed</w:t>
      </w:r>
      <w:r w:rsidRPr="00C16A60">
        <w:rPr>
          <w:rFonts w:ascii="Times New Roman Regular" w:hAnsi="Times New Roman Regular" w:cs="Times New Roman Regular"/>
        </w:rPr>
        <w:t xml:space="preserve"> experimental research to construct a "Pre-class AI-In-class AI-Post-class AI" model. Through variance analysis of pre- and post-test scores, they confirmed AI-assisted instruction significantly enhanced upper-grade elementary mathematics learning</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Y. Li (2025) conducted an empirical study with experimental and control classes, demonstrating that generative AI-empowered teaching models significantly enhance student engagement and mathematics achievement</w:t>
      </w:r>
      <w:r w:rsidRPr="00C16A60">
        <w:rPr>
          <w:rFonts w:ascii="Times New Roman Regular" w:hAnsi="Times New Roman Regular" w:cs="Times New Roman Regular" w:hint="eastAsia"/>
        </w:rPr>
        <w:t>.</w:t>
      </w:r>
    </w:p>
    <w:p w14:paraId="2EF1897F" w14:textId="77777777" w:rsidR="00821EFE" w:rsidRPr="00C16A60" w:rsidRDefault="00821EFE">
      <w:pPr>
        <w:rPr>
          <w:rFonts w:ascii="Times New Roman Regular" w:hAnsi="Times New Roman Regular" w:cs="Times New Roman Regular"/>
        </w:rPr>
      </w:pPr>
    </w:p>
    <w:p w14:paraId="03348D48"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Theoretical deliberation primarily explores the underlying logic of integrating intelligent technologies with teaching and the evolving role of educators. </w:t>
      </w:r>
      <w:r w:rsidRPr="00C16A60">
        <w:rPr>
          <w:rFonts w:ascii="Times New Roman Regular" w:hAnsi="Times New Roman Regular" w:cs="Times New Roman Regular" w:hint="eastAsia"/>
        </w:rPr>
        <w:t>Cao and Chen (2024) argue through theoretical analysis</w:t>
      </w:r>
      <w:r w:rsidRPr="00C16A60">
        <w:rPr>
          <w:rFonts w:ascii="Times New Roman Regular" w:hAnsi="Times New Roman Regular" w:cs="Times New Roman Regular"/>
        </w:rPr>
        <w:t xml:space="preserve"> that generative AI can empower teaching in four dimensions: content selection, instructional scaffolding, formative assessment implementation, and competency-oriented outcomes. They simultaneously emphasised the irreplaceable role of teachers in instructional design, value guidance, and final judgment</w:t>
      </w:r>
      <w:r w:rsidRPr="00C16A60">
        <w:rPr>
          <w:rFonts w:ascii="Times New Roman Regular" w:hAnsi="Times New Roman Regular" w:cs="Times New Roman Regular" w:hint="eastAsia"/>
        </w:rPr>
        <w:t>.</w:t>
      </w:r>
      <w:r w:rsidRPr="00C16A60">
        <w:rPr>
          <w:rFonts w:ascii="Times New Roman Regular" w:hAnsi="Times New Roman Regular" w:cs="Times New Roman Regular"/>
        </w:rPr>
        <w:t xml:space="preserve"> Through literature review, </w:t>
      </w:r>
      <w:r w:rsidRPr="00C16A60">
        <w:rPr>
          <w:rFonts w:ascii="Times New Roman Regular" w:hAnsi="Times New Roman Regular" w:cs="Times New Roman Regular" w:hint="eastAsia"/>
        </w:rPr>
        <w:t>Sheng and Tang (2023) proposed</w:t>
      </w:r>
      <w:r w:rsidRPr="00C16A60">
        <w:rPr>
          <w:rFonts w:ascii="Times New Roman Regular" w:hAnsi="Times New Roman Regular" w:cs="Times New Roman Regular"/>
        </w:rPr>
        <w:t xml:space="preserve"> that AI empowerment must adhere to three principles: student-centredness, core competency focus, and life-centredness</w:t>
      </w:r>
      <w:r w:rsidRPr="00C16A60">
        <w:rPr>
          <w:rFonts w:ascii="Times New Roman Regular" w:hAnsi="Times New Roman Regular" w:cs="Times New Roman Regular" w:hint="eastAsia"/>
        </w:rPr>
        <w:t>.</w:t>
      </w:r>
    </w:p>
    <w:p w14:paraId="121CA2DB" w14:textId="77777777" w:rsidR="00821EFE" w:rsidRPr="00C16A60" w:rsidRDefault="00821EFE">
      <w:pPr>
        <w:rPr>
          <w:rFonts w:ascii="Times New Roman Regular" w:hAnsi="Times New Roman Regular" w:cs="Times New Roman Regular"/>
        </w:rPr>
      </w:pPr>
    </w:p>
    <w:p w14:paraId="6FA058AA"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Summarising the above research methodologies, studies on intelligent technology-enhanced </w:t>
      </w:r>
      <w:r w:rsidRPr="00C16A60">
        <w:rPr>
          <w:rFonts w:ascii="Times New Roman Regular" w:hAnsi="Times New Roman Regular" w:cs="Times New Roman Regular"/>
        </w:rPr>
        <w:lastRenderedPageBreak/>
        <w:t>mathematics teaching primarily employ case studies, literature reviews, and practical explorations for strategy development and experience summarisation. Concurrently, some research utilises experimental methods and questionnaire surveys for effectiveness validation, while theoretical deliberation is applied to explore the underlying logic of integration.</w:t>
      </w:r>
    </w:p>
    <w:p w14:paraId="75766FEF" w14:textId="77777777" w:rsidR="00821EFE" w:rsidRPr="00C16A60" w:rsidRDefault="00821EFE">
      <w:pPr>
        <w:rPr>
          <w:rFonts w:ascii="Times New Roman Regular" w:hAnsi="Times New Roman Regular" w:cs="Times New Roman Regular"/>
        </w:rPr>
      </w:pPr>
    </w:p>
    <w:p w14:paraId="5BB11F88" w14:textId="77777777" w:rsidR="00821EFE" w:rsidRPr="00C16A60" w:rsidRDefault="00355686">
      <w:pPr>
        <w:numPr>
          <w:ilvl w:val="0"/>
          <w:numId w:val="4"/>
        </w:numPr>
        <w:rPr>
          <w:rFonts w:ascii="Times New Roman Bold" w:hAnsi="Times New Roman Bold" w:cs="Times New Roman Bold"/>
          <w:b/>
          <w:bCs/>
          <w:sz w:val="24"/>
        </w:rPr>
      </w:pPr>
      <w:r w:rsidRPr="00C16A60">
        <w:rPr>
          <w:rFonts w:ascii="Times New Roman Bold" w:hAnsi="Times New Roman Bold" w:cs="Times New Roman Bold"/>
          <w:b/>
          <w:bCs/>
          <w:sz w:val="24"/>
        </w:rPr>
        <w:t>DISCUSSION</w:t>
      </w:r>
    </w:p>
    <w:p w14:paraId="35137A0D" w14:textId="77777777" w:rsidR="00821EFE" w:rsidRPr="00C16A60" w:rsidRDefault="00821EFE">
      <w:pPr>
        <w:rPr>
          <w:rFonts w:ascii="Times New Roman Regular" w:hAnsi="Times New Roman Regular" w:cs="Times New Roman Regular"/>
        </w:rPr>
      </w:pPr>
    </w:p>
    <w:p w14:paraId="473E0FCD"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This study aims to review the current state of research on "intelligent technology-enhanced mathematics education" in China, focusing on the following core questions: (1) What aspects do existing studies primarily address? (2) What research methods have been predominantly employed? (3) What are the current research advances and shortcomings? To address these questions, this paper systematically analysed </w:t>
      </w:r>
      <w:r w:rsidRPr="00C16A60">
        <w:rPr>
          <w:rFonts w:ascii="Times New Roman Regular" w:hAnsi="Times New Roman Regular" w:cs="Times New Roman Regular" w:hint="eastAsia"/>
        </w:rPr>
        <w:t>30</w:t>
      </w:r>
      <w:r w:rsidRPr="00C16A60">
        <w:rPr>
          <w:rFonts w:ascii="Times New Roman Regular" w:hAnsi="Times New Roman Regular" w:cs="Times New Roman Regular"/>
        </w:rPr>
        <w:t xml:space="preserve"> included documents through literature retrieval and content analysis. Reviewing prior research reveals that existing studies can be categorised into five dimensions: application scenarios, empowerment effectiveness, challenges faced, development pathways, and research methodologies.</w:t>
      </w:r>
    </w:p>
    <w:p w14:paraId="32F10576" w14:textId="77777777" w:rsidR="00821EFE" w:rsidRPr="00C16A60" w:rsidRDefault="00821EFE">
      <w:pPr>
        <w:rPr>
          <w:rFonts w:ascii="Times New Roman Regular" w:hAnsi="Times New Roman Regular" w:cs="Times New Roman Regular"/>
        </w:rPr>
      </w:pPr>
    </w:p>
    <w:p w14:paraId="636B5F79"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Overall, existing research has systematically mapped out multidimensional application scenarios. For instance, He (2025), C. Liu (2025), Z. Zhang (2025), Y. Li (2025), and others have explored perspectives such as personalised learning, resource innovation, assessment reform, and teacher development, extensively summarised positive empowerment outcomes (e.g., Bu </w:t>
      </w:r>
      <w:r w:rsidRPr="00C16A60">
        <w:rPr>
          <w:rFonts w:ascii="Times New Roman Regular" w:hAnsi="Times New Roman Regular" w:cs="Times New Roman Regular" w:hint="eastAsia"/>
        </w:rPr>
        <w:t>(2024)</w:t>
      </w:r>
      <w:r w:rsidRPr="00C16A60">
        <w:rPr>
          <w:rFonts w:ascii="Times New Roman Regular" w:hAnsi="Times New Roman Regular" w:cs="Times New Roman Regular"/>
        </w:rPr>
        <w:t xml:space="preserve"> proposed the "Intelligent Teaching, Wise Learning, and Optimal Assessment" model; </w:t>
      </w:r>
      <w:r w:rsidRPr="00C16A60">
        <w:rPr>
          <w:rFonts w:ascii="Times New Roman Regular" w:hAnsi="Times New Roman Regular" w:cs="Times New Roman Regular" w:hint="eastAsia"/>
        </w:rPr>
        <w:t>Lai et al. (2025)</w:t>
      </w:r>
      <w:r w:rsidRPr="00C16A60">
        <w:rPr>
          <w:rFonts w:ascii="Times New Roman Regular" w:hAnsi="Times New Roman Regular" w:cs="Times New Roman Regular"/>
        </w:rPr>
        <w:t xml:space="preserve"> experimentally validated the model's effectiveness; </w:t>
      </w:r>
      <w:r w:rsidRPr="00C16A60">
        <w:rPr>
          <w:rFonts w:ascii="Times New Roman Regular" w:hAnsi="Times New Roman Regular" w:cs="Times New Roman Regular" w:hint="eastAsia"/>
        </w:rPr>
        <w:t>W. Zhang (2024) constructed a six-dimensional strategy framework</w:t>
      </w:r>
      <w:r w:rsidRPr="00C16A60">
        <w:rPr>
          <w:rFonts w:ascii="Times New Roman Regular" w:hAnsi="Times New Roman Regular" w:cs="Times New Roman Regular"/>
        </w:rPr>
        <w:t xml:space="preserve">), comprehensively identified practical challenges (e.g., </w:t>
      </w:r>
      <w:r w:rsidRPr="00C16A60">
        <w:rPr>
          <w:rFonts w:ascii="Times New Roman Regular" w:hAnsi="Times New Roman Regular" w:cs="Times New Roman Regular" w:hint="eastAsia"/>
        </w:rPr>
        <w:t>C. Yuan (2025)</w:t>
      </w:r>
      <w:r w:rsidRPr="00C16A60">
        <w:rPr>
          <w:rFonts w:ascii="Times New Roman Regular" w:hAnsi="Times New Roman Regular" w:cs="Times New Roman Regular"/>
        </w:rPr>
        <w:t xml:space="preserve"> pointed out inadequate human-machine collaboration mechanisms, </w:t>
      </w:r>
      <w:r w:rsidRPr="00C16A60">
        <w:rPr>
          <w:rFonts w:ascii="Times New Roman Regular" w:hAnsi="Times New Roman Regular" w:cs="Times New Roman Regular" w:hint="eastAsia"/>
        </w:rPr>
        <w:t>Jin and Jin (2025)</w:t>
      </w:r>
      <w:r w:rsidRPr="00C16A60">
        <w:rPr>
          <w:rFonts w:ascii="Times New Roman Regular" w:hAnsi="Times New Roman Regular" w:cs="Times New Roman Regular"/>
        </w:rPr>
        <w:t xml:space="preserve"> revealed discrepancies between algorithms and classroom needs, </w:t>
      </w:r>
      <w:r w:rsidRPr="00C16A60">
        <w:rPr>
          <w:rFonts w:ascii="Times New Roman Regular" w:hAnsi="Times New Roman Regular" w:cs="Times New Roman Regular" w:hint="eastAsia"/>
        </w:rPr>
        <w:t>Y. Zhang (2025) proposed</w:t>
      </w:r>
      <w:r w:rsidRPr="00C16A60">
        <w:rPr>
          <w:rFonts w:ascii="Times New Roman Regular" w:hAnsi="Times New Roman Regular" w:cs="Times New Roman Regular"/>
        </w:rPr>
        <w:t xml:space="preserve"> secondary screening for generated content), and preliminarily suggested systematic development pathways (e.g., </w:t>
      </w:r>
      <w:r w:rsidRPr="00C16A60">
        <w:rPr>
          <w:rFonts w:ascii="Times New Roman Regular" w:hAnsi="Times New Roman Regular" w:cs="Times New Roman Regular" w:hint="eastAsia"/>
        </w:rPr>
        <w:t>C. Yuan (2025)</w:t>
      </w:r>
      <w:r w:rsidRPr="00C16A60">
        <w:rPr>
          <w:rFonts w:ascii="Times New Roman Regular" w:hAnsi="Times New Roman Regular" w:cs="Times New Roman Regular"/>
        </w:rPr>
        <w:t xml:space="preserve"> advocates human-machine collaboration and subject-specific tool development, </w:t>
      </w:r>
      <w:r w:rsidRPr="00C16A60">
        <w:rPr>
          <w:rFonts w:ascii="Times New Roman Regular" w:hAnsi="Times New Roman Regular" w:cs="Times New Roman Regular" w:hint="eastAsia"/>
        </w:rPr>
        <w:t>Deng and Fu (2025) constructs</w:t>
      </w:r>
      <w:r w:rsidRPr="00C16A60">
        <w:rPr>
          <w:rFonts w:ascii="Times New Roman Regular" w:hAnsi="Times New Roman Regular" w:cs="Times New Roman Regular"/>
        </w:rPr>
        <w:t xml:space="preserve"> a three-dimensional training system, </w:t>
      </w:r>
      <w:r w:rsidRPr="00C16A60">
        <w:rPr>
          <w:rFonts w:ascii="Times New Roman Regular" w:hAnsi="Times New Roman Regular" w:cs="Times New Roman Regular" w:hint="eastAsia"/>
        </w:rPr>
        <w:t>Lu and Chen (2025) designs</w:t>
      </w:r>
      <w:r w:rsidRPr="00C16A60">
        <w:rPr>
          <w:rFonts w:ascii="Times New Roman Regular" w:hAnsi="Times New Roman Regular" w:cs="Times New Roman Regular"/>
        </w:rPr>
        <w:t xml:space="preserve"> a six-step precision teaching model, etc.). This aligns with the overall trend identified by </w:t>
      </w:r>
      <w:r w:rsidRPr="00C16A60">
        <w:rPr>
          <w:rFonts w:ascii="Times New Roman Regular" w:hAnsi="Times New Roman Regular" w:cs="Times New Roman Regular" w:hint="eastAsia"/>
        </w:rPr>
        <w:t>Liu et al. (2025), where</w:t>
      </w:r>
      <w:r w:rsidRPr="00C16A60">
        <w:rPr>
          <w:rFonts w:ascii="Times New Roman Regular" w:hAnsi="Times New Roman Regular" w:cs="Times New Roman Regular"/>
        </w:rPr>
        <w:t xml:space="preserve"> digital and intelligent technologies drive pedagogical transformation and enhance assessment precision.</w:t>
      </w:r>
    </w:p>
    <w:p w14:paraId="293A9C78" w14:textId="77777777" w:rsidR="00821EFE" w:rsidRPr="00C16A60" w:rsidRDefault="00821EFE">
      <w:pPr>
        <w:rPr>
          <w:rFonts w:ascii="Times New Roman Regular" w:hAnsi="Times New Roman Regular" w:cs="Times New Roman Regular"/>
        </w:rPr>
      </w:pPr>
    </w:p>
    <w:p w14:paraId="48917691"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However, research still exhibits significant shortcomings in deep integration, long-term validation, and practical applicability, as evidenced below:</w:t>
      </w:r>
    </w:p>
    <w:p w14:paraId="0F7E83C0" w14:textId="77777777" w:rsidR="00821EFE" w:rsidRPr="00C16A60" w:rsidRDefault="00821EFE">
      <w:pPr>
        <w:rPr>
          <w:rFonts w:ascii="Times New Roman Regular" w:hAnsi="Times New Roman Regular" w:cs="Times New Roman Regular"/>
        </w:rPr>
      </w:pPr>
    </w:p>
    <w:p w14:paraId="039125E2"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Regarding application scenarios, while studies cover multiple stages and propose specific frameworks (e.g., </w:t>
      </w:r>
      <w:r w:rsidRPr="00C16A60">
        <w:rPr>
          <w:rFonts w:ascii="Times New Roman Regular" w:hAnsi="Times New Roman Regular" w:cs="Times New Roman Regular" w:hint="eastAsia"/>
        </w:rPr>
        <w:t>the six-dimensional framework of W. Zhang (2024) and the five pathways of Z. Zhang (2025)</w:t>
      </w:r>
      <w:r w:rsidRPr="00C16A60">
        <w:rPr>
          <w:rFonts w:ascii="Times New Roman Regular" w:hAnsi="Times New Roman Regular" w:cs="Times New Roman Regular"/>
        </w:rPr>
        <w:t xml:space="preserve">), most focus on single scenarios or stages. Research on deep integration across the entire "pre-class—in-class—post-class" process remains scarce, and only Lai et al. (2025) constructed a three-stage model. Discussions on innovative models like interdisciplinary integration remain weak, with limited literature (e.g., Du </w:t>
      </w:r>
      <w:r w:rsidRPr="00C16A60">
        <w:rPr>
          <w:rFonts w:ascii="Times New Roman Regular" w:hAnsi="Times New Roman Regular" w:cs="Times New Roman Regular" w:hint="eastAsia"/>
        </w:rPr>
        <w:t>(2025)</w:t>
      </w:r>
      <w:r w:rsidRPr="00C16A60">
        <w:rPr>
          <w:rFonts w:ascii="Times New Roman Regular" w:hAnsi="Times New Roman Regular" w:cs="Times New Roman Regular"/>
        </w:rPr>
        <w:t xml:space="preserve">). Meanwhile, </w:t>
      </w:r>
      <w:r w:rsidRPr="00C16A60">
        <w:rPr>
          <w:rFonts w:ascii="Times New Roman Regular" w:hAnsi="Times New Roman Regular" w:cs="Times New Roman Regular" w:hint="eastAsia"/>
        </w:rPr>
        <w:t>Cao and Chen (2024)</w:t>
      </w:r>
      <w:r w:rsidRPr="00C16A60">
        <w:rPr>
          <w:rFonts w:ascii="Times New Roman Regular" w:hAnsi="Times New Roman Regular" w:cs="Times New Roman Regular"/>
        </w:rPr>
        <w:t xml:space="preserve"> noted that "AI has shortcomings in mathematical logic and problem-solving methods," reflecting the inherent limitations of technology in achieving deep integration across the entire process.</w:t>
      </w:r>
    </w:p>
    <w:p w14:paraId="72670D5D" w14:textId="77777777" w:rsidR="00821EFE" w:rsidRPr="00C16A60" w:rsidRDefault="00821EFE">
      <w:pPr>
        <w:rPr>
          <w:rFonts w:ascii="Times New Roman Regular" w:hAnsi="Times New Roman Regular" w:cs="Times New Roman Regular"/>
        </w:rPr>
      </w:pPr>
    </w:p>
    <w:p w14:paraId="7678A6D0"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Regarding empowerment outcomes, while studies have affirmed technology's positive value across multiple dimensions and accumulated some empirical evidence (e.g., </w:t>
      </w:r>
      <w:r w:rsidRPr="00C16A60">
        <w:rPr>
          <w:rFonts w:ascii="Times New Roman Regular" w:hAnsi="Times New Roman Regular" w:cs="Times New Roman Regular" w:hint="eastAsia"/>
        </w:rPr>
        <w:t>Lai et al. (2025)</w:t>
      </w:r>
      <w:r w:rsidRPr="00C16A60">
        <w:rPr>
          <w:rFonts w:ascii="Times New Roman Regular" w:hAnsi="Times New Roman Regular" w:cs="Times New Roman Regular"/>
        </w:rPr>
        <w:t xml:space="preserve">'s experiments and </w:t>
      </w:r>
      <w:r w:rsidRPr="00C16A60">
        <w:rPr>
          <w:rFonts w:ascii="Times New Roman Regular" w:hAnsi="Times New Roman Regular" w:cs="Times New Roman Regular" w:hint="eastAsia"/>
        </w:rPr>
        <w:t>Su (2024)</w:t>
      </w:r>
      <w:r w:rsidRPr="00C16A60">
        <w:rPr>
          <w:rFonts w:ascii="Times New Roman Regular" w:hAnsi="Times New Roman Regular" w:cs="Times New Roman Regular"/>
        </w:rPr>
        <w:t xml:space="preserve">'s practice data), conclusions largely stem from short-term experiments or anecdotal summaries. Large-scale, long-term empirical studies using standardised measurement tools are lacking, and insufficient attention has been given to exploring the underlying mechanisms driving effectiveness </w:t>
      </w:r>
      <w:r w:rsidRPr="00C16A60">
        <w:rPr>
          <w:rFonts w:ascii="Times New Roman Regular" w:hAnsi="Times New Roman Regular" w:cs="Times New Roman Regular" w:hint="eastAsia"/>
        </w:rPr>
        <w:t>(Cao &amp; Chen, 2024)</w:t>
      </w:r>
      <w:r w:rsidRPr="00C16A60">
        <w:rPr>
          <w:rFonts w:ascii="Times New Roman Regular" w:hAnsi="Times New Roman Regular" w:cs="Times New Roman Regular"/>
        </w:rPr>
        <w:t xml:space="preserve">. Concurrently, tracking research on potential negative impacts of technology remains notably scarce, with only a few studies—such as </w:t>
      </w:r>
      <w:r w:rsidRPr="00C16A60">
        <w:rPr>
          <w:rFonts w:ascii="Times New Roman Regular" w:hAnsi="Times New Roman Regular" w:cs="Times New Roman Regular" w:hint="eastAsia"/>
        </w:rPr>
        <w:t>Xu (2025) and Y. Li (2025)</w:t>
      </w:r>
      <w:r w:rsidRPr="00C16A60">
        <w:rPr>
          <w:rFonts w:ascii="Times New Roman Regular" w:hAnsi="Times New Roman Regular" w:cs="Times New Roman Regular"/>
        </w:rPr>
        <w:t>—warning of risks like cognitive inertia and tool dependency among students.</w:t>
      </w:r>
    </w:p>
    <w:p w14:paraId="0DA4677C" w14:textId="77777777" w:rsidR="00821EFE" w:rsidRPr="00C16A60" w:rsidRDefault="00821EFE">
      <w:pPr>
        <w:rPr>
          <w:rFonts w:ascii="Times New Roman Regular" w:hAnsi="Times New Roman Regular" w:cs="Times New Roman Regular"/>
        </w:rPr>
      </w:pPr>
    </w:p>
    <w:p w14:paraId="7722C581"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Regarding challenges, while research comprehensively identifies obstacles at the technological, teacher, student, and ethical levels, discussions remain largely descriptive. In-depth analysis of underlying causes—such as the evaluation incentive mechanisms driving teachers' reluctance to adopt technology—remains insufficient. Discussions on ethical issues also largely remain at the level of principles (e.g., Zhou &amp; Huai, 2025; Wu, 2025; Cao &amp; Chen, 2024), lacking concrete, actionable data security standards, usage boundaries, and governance frameworks, resulting in limited practical guidance.</w:t>
      </w:r>
    </w:p>
    <w:p w14:paraId="0BFFCE51" w14:textId="77777777" w:rsidR="00821EFE" w:rsidRPr="00C16A60" w:rsidRDefault="00821EFE">
      <w:pPr>
        <w:rPr>
          <w:rFonts w:ascii="Times New Roman Regular" w:hAnsi="Times New Roman Regular" w:cs="Times New Roman Regular"/>
        </w:rPr>
      </w:pPr>
    </w:p>
    <w:p w14:paraId="6F9AB4FE"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 xml:space="preserve">Regarding development pathways, while studies propose systematic recommendations across dimensions like technology, teachers, models, and ecosystems, most suggestions remain fragmented and general. For instance, the precision teaching model by </w:t>
      </w:r>
      <w:r w:rsidRPr="00C16A60">
        <w:rPr>
          <w:rFonts w:ascii="Times New Roman Regular" w:hAnsi="Times New Roman Regular" w:cs="Times New Roman Regular" w:hint="eastAsia"/>
        </w:rPr>
        <w:t>Lu and Chen (2025) and</w:t>
      </w:r>
      <w:r w:rsidRPr="00C16A60">
        <w:rPr>
          <w:rFonts w:ascii="Times New Roman Regular" w:hAnsi="Times New Roman Regular" w:cs="Times New Roman Regular"/>
        </w:rPr>
        <w:t xml:space="preserve"> the integrated solution by Su </w:t>
      </w:r>
      <w:r w:rsidRPr="00C16A60">
        <w:rPr>
          <w:rFonts w:ascii="Times New Roman Regular" w:hAnsi="Times New Roman Regular" w:cs="Times New Roman Regular" w:hint="eastAsia"/>
        </w:rPr>
        <w:t>(2024)</w:t>
      </w:r>
      <w:r w:rsidRPr="00C16A60">
        <w:rPr>
          <w:rFonts w:ascii="Times New Roman Regular" w:hAnsi="Times New Roman Regular" w:cs="Times New Roman Regular"/>
        </w:rPr>
        <w:t xml:space="preserve"> have yet to be fully validated for applicability and transferability across different school types. The ethical governance propositions put forward by </w:t>
      </w:r>
      <w:r w:rsidRPr="00C16A60">
        <w:rPr>
          <w:rFonts w:ascii="Times New Roman Regular" w:hAnsi="Times New Roman Regular" w:cs="Times New Roman Regular" w:hint="eastAsia"/>
        </w:rPr>
        <w:t>Xu (2025)</w:t>
      </w:r>
      <w:r w:rsidRPr="00C16A60">
        <w:rPr>
          <w:rFonts w:ascii="Times New Roman Regular" w:hAnsi="Times New Roman Regular" w:cs="Times New Roman Regular"/>
        </w:rPr>
        <w:t xml:space="preserve"> and </w:t>
      </w:r>
      <w:r w:rsidRPr="00C16A60">
        <w:rPr>
          <w:rFonts w:ascii="Times New Roman Regular" w:hAnsi="Times New Roman Regular" w:cs="Times New Roman Regular" w:hint="eastAsia"/>
        </w:rPr>
        <w:t>Cao and Chen (2024) are</w:t>
      </w:r>
      <w:r w:rsidRPr="00C16A60">
        <w:rPr>
          <w:rFonts w:ascii="Times New Roman Regular" w:hAnsi="Times New Roman Regular" w:cs="Times New Roman Regular"/>
        </w:rPr>
        <w:t xml:space="preserve"> mostly framework-based suggestions, lacking corresponding operational details and supervision mechanisms.</w:t>
      </w:r>
    </w:p>
    <w:p w14:paraId="1D1E5DA0" w14:textId="77777777" w:rsidR="00821EFE" w:rsidRPr="00C16A60" w:rsidRDefault="00821EFE">
      <w:pPr>
        <w:rPr>
          <w:rFonts w:ascii="Times New Roman Regular" w:hAnsi="Times New Roman Regular" w:cs="Times New Roman Regular"/>
        </w:rPr>
      </w:pPr>
    </w:p>
    <w:p w14:paraId="30FA8596"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Regarding research methodologies, while studies employ multiple approaches including case studies, literature reviews, practice-based analysis, and experiments, they predominantly rely on case descriptions and experiential summaries (e.g., Bu, 2024; Yang, 2025). Rigorous large-sample, long-term empirical studies remain scarce, and reflections on implementation failures and technological applicability boundaries are insufficient (Cao &amp; Chen, 2024), limiting the universality and depth of conclusions.</w:t>
      </w:r>
    </w:p>
    <w:p w14:paraId="15E3A9C1" w14:textId="77777777" w:rsidR="00821EFE" w:rsidRPr="00C16A60" w:rsidRDefault="00821EFE">
      <w:pPr>
        <w:rPr>
          <w:rFonts w:ascii="Times New Roman Regular" w:hAnsi="Times New Roman Regular" w:cs="Times New Roman Regular"/>
        </w:rPr>
      </w:pPr>
    </w:p>
    <w:p w14:paraId="59F417EB" w14:textId="77777777" w:rsidR="00821EFE" w:rsidRPr="00C16A60" w:rsidRDefault="00355686">
      <w:pPr>
        <w:numPr>
          <w:ilvl w:val="0"/>
          <w:numId w:val="4"/>
        </w:numPr>
        <w:rPr>
          <w:rFonts w:ascii="Times New Roman Bold" w:hAnsi="Times New Roman Bold" w:cs="Times New Roman Bold"/>
          <w:b/>
          <w:bCs/>
          <w:sz w:val="24"/>
        </w:rPr>
      </w:pPr>
      <w:r w:rsidRPr="00C16A60">
        <w:rPr>
          <w:rFonts w:ascii="Times New Roman Bold" w:hAnsi="Times New Roman Bold" w:cs="Times New Roman Bold"/>
          <w:b/>
          <w:bCs/>
          <w:sz w:val="24"/>
        </w:rPr>
        <w:t>CONCLUSIONS</w:t>
      </w:r>
    </w:p>
    <w:p w14:paraId="0446852A" w14:textId="77777777" w:rsidR="00821EFE" w:rsidRPr="00C16A60" w:rsidRDefault="00821EFE">
      <w:pPr>
        <w:rPr>
          <w:rFonts w:ascii="Times New Roman Regular" w:hAnsi="Times New Roman Regular" w:cs="Times New Roman Regular"/>
        </w:rPr>
      </w:pPr>
    </w:p>
    <w:p w14:paraId="206F5A3A"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This study reviewed 30 CNKI-indexed publications on intelligent technology empowering mathematics education in China from 2020 to 2025. Through literature retrieval and content analysis, the study found that current research mainly focuses on five dimensions: application scenarios, empowerment outcomes, challenges, development pathways, and research methods. Existing studies suggest that intelligent technologies have been applied to personalised learning, teaching resource generation, classroom interaction, teaching evaluation, and teacher professional development. These applications provide useful support for improving teaching precision, enriching learning experiences, and promoting the transformation of mathematics instruction.</w:t>
      </w:r>
    </w:p>
    <w:p w14:paraId="6AE51EDC" w14:textId="77777777" w:rsidR="00821EFE" w:rsidRPr="00C16A60" w:rsidRDefault="00821EFE">
      <w:pPr>
        <w:rPr>
          <w:rFonts w:ascii="Times New Roman Regular" w:hAnsi="Times New Roman Regular" w:cs="Times New Roman Regular"/>
        </w:rPr>
      </w:pPr>
    </w:p>
    <w:p w14:paraId="72DDDC2C"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However, the review also shows that current research remains limited in several respects. First, many studies are still descriptive or practice-oriented, with insufficient large-scale, long-term empirical evidence. Second, the mechanisms through which intelligent technologies influence mathematical learning, reasoning, and core competency development have not been fully explained. Third, existing development pathways are often presented at a general level and require more concrete, subject-specific, and operational guidance. Fourth, issues such as data privacy, algorithmic bias, technology dependence, and educational equity require further theoretical and practical attention.</w:t>
      </w:r>
    </w:p>
    <w:p w14:paraId="445486BC" w14:textId="77777777" w:rsidR="00821EFE" w:rsidRPr="00C16A60" w:rsidRDefault="00821EFE">
      <w:pPr>
        <w:rPr>
          <w:rFonts w:ascii="Times New Roman Regular" w:hAnsi="Times New Roman Regular" w:cs="Times New Roman Regular"/>
        </w:rPr>
      </w:pPr>
    </w:p>
    <w:p w14:paraId="79C1B2C9" w14:textId="77777777" w:rsidR="00821EFE" w:rsidRPr="00C16A60" w:rsidRDefault="00355686">
      <w:pPr>
        <w:rPr>
          <w:rFonts w:ascii="Times New Roman Regular" w:hAnsi="Times New Roman Regular" w:cs="Times New Roman Regular"/>
        </w:rPr>
      </w:pPr>
      <w:r w:rsidRPr="00C16A60">
        <w:rPr>
          <w:rFonts w:ascii="Times New Roman Regular" w:hAnsi="Times New Roman Regular" w:cs="Times New Roman Regular"/>
        </w:rPr>
        <w:t>Overall, intelligent technology has significant potential to promote the transformation of mathematics education, but its effective use depends on the coordinated development of technology, pedagogy, teacher competence, student guidance, and institutional governance. Future research should strengthen empirical validation, refine mathematics-specific application models, explore the learning mechanisms behind technology-enhanced instruction, and establish clearer ethical and governance frameworks for the use of intelligent technologies in mathematics education.</w:t>
      </w:r>
    </w:p>
    <w:p w14:paraId="16F4B6B8" w14:textId="77777777" w:rsidR="00821EFE" w:rsidRPr="00C16A60" w:rsidRDefault="00821EFE">
      <w:pPr>
        <w:rPr>
          <w:rFonts w:ascii="Times New Roman Regular" w:hAnsi="Times New Roman Regular" w:cs="Times New Roman Regular"/>
        </w:rPr>
      </w:pPr>
    </w:p>
    <w:p w14:paraId="45126153" w14:textId="77777777" w:rsidR="00821EFE" w:rsidRPr="00C16A60" w:rsidRDefault="00355686" w:rsidP="00CD6C41">
      <w:pPr>
        <w:widowControl/>
        <w:spacing w:before="100" w:beforeAutospacing="1" w:after="100" w:afterAutospacing="1"/>
        <w:rPr>
          <w:rFonts w:ascii="Times New Roman" w:eastAsia="Times New Roman" w:hAnsi="Times New Roman" w:cs="Times New Roman"/>
          <w:kern w:val="0"/>
          <w:sz w:val="24"/>
          <w:lang w:eastAsia="en-US"/>
        </w:rPr>
      </w:pPr>
      <w:r w:rsidRPr="00C16A60">
        <w:rPr>
          <w:rFonts w:ascii="Times New Roman" w:eastAsia="Times New Roman" w:hAnsi="Times New Roman" w:cs="Times New Roman"/>
          <w:b/>
          <w:bCs/>
          <w:kern w:val="0"/>
          <w:sz w:val="24"/>
          <w:lang w:eastAsia="en-US"/>
        </w:rPr>
        <w:t>Limitations</w:t>
      </w:r>
    </w:p>
    <w:p w14:paraId="4910347E" w14:textId="77777777" w:rsidR="00CB6509" w:rsidRDefault="00CB6509" w:rsidP="00CD6C41">
      <w:pPr>
        <w:pStyle w:val="pdq2pgselectionanchorcontainer"/>
        <w:jc w:val="both"/>
      </w:pPr>
      <w:r>
        <w:t>This review is limited to 30 CNKI-indexed publications from 2020 to 2025; therefore, the findings mainly reflect Chinese research trends. The study used narrative content analysis rather than meta-analysis, and the classification of themes involves interpretive judgement. Because several included publications are practice-oriented articles or conference papers, the strength of evidence varies across sources.</w:t>
      </w:r>
    </w:p>
    <w:p w14:paraId="12ACFBD5" w14:textId="77777777" w:rsidR="00CB6509" w:rsidRDefault="00CB6509" w:rsidP="00004F42">
      <w:pPr>
        <w:widowControl/>
        <w:spacing w:after="160" w:line="276" w:lineRule="auto"/>
        <w:jc w:val="left"/>
        <w:rPr>
          <w:rFonts w:ascii="Calibri" w:eastAsia="Calibri" w:hAnsi="Calibri" w:cs="Times New Roman"/>
          <w:b/>
          <w:bCs/>
          <w:sz w:val="24"/>
          <w:lang w:eastAsia="en-US"/>
          <w14:ligatures w14:val="standardContextual"/>
        </w:rPr>
      </w:pPr>
    </w:p>
    <w:p w14:paraId="5D834FA1" w14:textId="7E3D59DA" w:rsidR="00004F42" w:rsidRPr="00C16A60" w:rsidRDefault="00004F42" w:rsidP="00004F42">
      <w:pPr>
        <w:widowControl/>
        <w:spacing w:after="160" w:line="276" w:lineRule="auto"/>
        <w:jc w:val="left"/>
        <w:rPr>
          <w:rFonts w:ascii="Calibri" w:eastAsia="Calibri" w:hAnsi="Calibri" w:cs="Times New Roman"/>
          <w:b/>
          <w:bCs/>
          <w:sz w:val="24"/>
          <w:lang w:eastAsia="en-US"/>
          <w14:ligatures w14:val="standardContextual"/>
        </w:rPr>
      </w:pPr>
      <w:r w:rsidRPr="00C16A60">
        <w:rPr>
          <w:rFonts w:ascii="Calibri" w:eastAsia="Calibri" w:hAnsi="Calibri" w:cs="Times New Roman"/>
          <w:b/>
          <w:bCs/>
          <w:sz w:val="24"/>
          <w:lang w:eastAsia="en-US"/>
          <w14:ligatures w14:val="standardContextual"/>
        </w:rPr>
        <w:t>Declaration of AI Use</w:t>
      </w:r>
    </w:p>
    <w:p w14:paraId="1192B92B" w14:textId="77777777" w:rsidR="00004F42" w:rsidRPr="00C16A60" w:rsidRDefault="00004F42" w:rsidP="00004F42">
      <w:pPr>
        <w:widowControl/>
        <w:spacing w:after="160" w:line="276" w:lineRule="auto"/>
        <w:rPr>
          <w:rFonts w:ascii="Calibri" w:eastAsia="Calibri" w:hAnsi="Calibri" w:cs="Times New Roman"/>
          <w:sz w:val="24"/>
          <w:lang w:eastAsia="en-US"/>
          <w14:ligatures w14:val="standardContextual"/>
        </w:rPr>
      </w:pPr>
      <w:r w:rsidRPr="00C16A60">
        <w:rPr>
          <w:rFonts w:ascii="Calibri" w:eastAsia="Calibri" w:hAnsi="Calibri" w:cs="Times New Roman"/>
          <w:sz w:val="24"/>
          <w:lang w:eastAsia="en-US"/>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4D66CC1" w14:textId="77777777" w:rsidR="00004F42" w:rsidRPr="00C16A60" w:rsidRDefault="00004F42">
      <w:pPr>
        <w:widowControl/>
        <w:spacing w:before="100" w:beforeAutospacing="1" w:after="100" w:afterAutospacing="1"/>
        <w:jc w:val="left"/>
        <w:rPr>
          <w:rFonts w:ascii="Times New Roman" w:eastAsia="Times New Roman" w:hAnsi="Times New Roman" w:cs="Times New Roman"/>
          <w:kern w:val="0"/>
          <w:sz w:val="24"/>
          <w:lang w:eastAsia="en-US"/>
        </w:rPr>
      </w:pPr>
    </w:p>
    <w:p w14:paraId="7117028D" w14:textId="77777777" w:rsidR="00821EFE" w:rsidRPr="00C16A60" w:rsidRDefault="00821EFE">
      <w:pPr>
        <w:rPr>
          <w:rFonts w:ascii="Times New Roman Regular" w:hAnsi="Times New Roman Regular" w:cs="Times New Roman Regular"/>
        </w:rPr>
      </w:pPr>
    </w:p>
    <w:p w14:paraId="1AC9BE48" w14:textId="77777777" w:rsidR="00821EFE" w:rsidRPr="00C16A60" w:rsidRDefault="00355686">
      <w:pPr>
        <w:numPr>
          <w:ilvl w:val="0"/>
          <w:numId w:val="4"/>
        </w:numPr>
        <w:rPr>
          <w:rFonts w:ascii="Times New Roman Bold" w:hAnsi="Times New Roman Bold" w:cs="Times New Roman Bold"/>
          <w:b/>
          <w:bCs/>
          <w:sz w:val="24"/>
        </w:rPr>
      </w:pPr>
      <w:r w:rsidRPr="00C16A60">
        <w:rPr>
          <w:rFonts w:ascii="Times New Roman Bold" w:hAnsi="Times New Roman Bold" w:cs="Times New Roman Bold"/>
          <w:b/>
          <w:bCs/>
          <w:sz w:val="24"/>
        </w:rPr>
        <w:lastRenderedPageBreak/>
        <w:t>REFERENCES</w:t>
      </w:r>
    </w:p>
    <w:p w14:paraId="678466E2" w14:textId="77777777" w:rsidR="00821EFE" w:rsidRDefault="00821EFE">
      <w:pPr>
        <w:pStyle w:val="NormalWeb"/>
        <w:widowControl/>
        <w:spacing w:before="320"/>
        <w:ind w:left="480" w:hangingChars="200" w:hanging="480"/>
        <w:rPr>
          <w:rFonts w:ascii="Times New Roman Regular" w:hAnsi="Times New Roman Regular" w:cs="Times New Roman Regular"/>
          <w:szCs w:val="21"/>
        </w:rPr>
      </w:pPr>
    </w:p>
    <w:p w14:paraId="2B2A57B2" w14:textId="7ECA02F4"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Bu, J. (2024). “Intelligent teaching, wise learning”: Artificial intelligence empowering primary mathematics teaching transformation. </w:t>
      </w:r>
      <w:r w:rsidRPr="00E22431">
        <w:rPr>
          <w:rFonts w:ascii="Times New Roman" w:eastAsia="Times New Roman" w:hAnsi="Times New Roman" w:cs="Times New Roman"/>
          <w:i/>
          <w:iCs/>
          <w:kern w:val="0"/>
          <w:sz w:val="24"/>
          <w:highlight w:val="yellow"/>
          <w:lang w:eastAsia="en-US"/>
        </w:rPr>
        <w:t>Primary Mathematics Education</w:t>
      </w:r>
      <w:r w:rsidRPr="00E22431">
        <w:rPr>
          <w:rFonts w:ascii="Times New Roman" w:eastAsia="Times New Roman" w:hAnsi="Times New Roman" w:cs="Times New Roman"/>
          <w:kern w:val="0"/>
          <w:sz w:val="24"/>
          <w:highlight w:val="yellow"/>
          <w:lang w:eastAsia="en-US"/>
        </w:rPr>
        <w:t xml:space="preserve">, (Z4), 48–50. Available from CNKI database. </w:t>
      </w:r>
    </w:p>
    <w:p w14:paraId="12731B5D" w14:textId="4FC8FB0A"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Cao, Y., &amp; Chen, S. (2024). Artificial intelligence empowering reform in basic education mathematics teaching. </w:t>
      </w:r>
      <w:r w:rsidRPr="00E22431">
        <w:rPr>
          <w:rFonts w:ascii="Times New Roman" w:eastAsia="Times New Roman" w:hAnsi="Times New Roman" w:cs="Times New Roman"/>
          <w:i/>
          <w:iCs/>
          <w:kern w:val="0"/>
          <w:sz w:val="24"/>
          <w:highlight w:val="yellow"/>
          <w:lang w:eastAsia="en-US"/>
        </w:rPr>
        <w:t>Reference for Secondary School Mathematics Teaching</w:t>
      </w:r>
      <w:r w:rsidRPr="00E22431">
        <w:rPr>
          <w:rFonts w:ascii="Times New Roman" w:eastAsia="Times New Roman" w:hAnsi="Times New Roman" w:cs="Times New Roman"/>
          <w:kern w:val="0"/>
          <w:sz w:val="24"/>
          <w:highlight w:val="yellow"/>
          <w:lang w:eastAsia="en-US"/>
        </w:rPr>
        <w:t xml:space="preserve">, (31), 2–4, 11. Available from CNKI database. </w:t>
      </w:r>
    </w:p>
    <w:p w14:paraId="64ED6E23" w14:textId="6C539BBA"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Cheng, J., &amp; Huang, X. (2025). Artificial intelligence technology empowers mathematics teaching. </w:t>
      </w:r>
      <w:r w:rsidRPr="00E22431">
        <w:rPr>
          <w:rFonts w:ascii="Times New Roman" w:eastAsia="Times New Roman" w:hAnsi="Times New Roman" w:cs="Times New Roman"/>
          <w:i/>
          <w:iCs/>
          <w:kern w:val="0"/>
          <w:sz w:val="24"/>
          <w:highlight w:val="yellow"/>
          <w:lang w:eastAsia="en-US"/>
        </w:rPr>
        <w:t>Shanghai Education</w:t>
      </w:r>
      <w:r w:rsidRPr="00E22431">
        <w:rPr>
          <w:rFonts w:ascii="Times New Roman" w:eastAsia="Times New Roman" w:hAnsi="Times New Roman" w:cs="Times New Roman"/>
          <w:kern w:val="0"/>
          <w:sz w:val="24"/>
          <w:highlight w:val="yellow"/>
          <w:lang w:eastAsia="en-US"/>
        </w:rPr>
        <w:t xml:space="preserve">, (8), 46–48. Available from CNKI database. </w:t>
      </w:r>
    </w:p>
    <w:p w14:paraId="03A72D21" w14:textId="5E8A1A64"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Deng, J., &amp; Fu, S. (2025). Research on AI-empowered strategies for primary school mathematics classroom teaching in the context of educational digitalization. </w:t>
      </w:r>
      <w:r w:rsidRPr="00E22431">
        <w:rPr>
          <w:rFonts w:ascii="Times New Roman" w:eastAsia="Times New Roman" w:hAnsi="Times New Roman" w:cs="Times New Roman"/>
          <w:i/>
          <w:iCs/>
          <w:kern w:val="0"/>
          <w:sz w:val="24"/>
          <w:highlight w:val="yellow"/>
          <w:lang w:eastAsia="en-US"/>
        </w:rPr>
        <w:t>Information and Computers</w:t>
      </w:r>
      <w:r w:rsidRPr="00E22431">
        <w:rPr>
          <w:rFonts w:ascii="Times New Roman" w:eastAsia="Times New Roman" w:hAnsi="Times New Roman" w:cs="Times New Roman"/>
          <w:kern w:val="0"/>
          <w:sz w:val="24"/>
          <w:highlight w:val="yellow"/>
          <w:lang w:eastAsia="en-US"/>
        </w:rPr>
        <w:t xml:space="preserve">, </w:t>
      </w:r>
      <w:r w:rsidRPr="00E22431">
        <w:rPr>
          <w:rFonts w:ascii="Times New Roman" w:eastAsia="Times New Roman" w:hAnsi="Times New Roman" w:cs="Times New Roman"/>
          <w:i/>
          <w:iCs/>
          <w:kern w:val="0"/>
          <w:sz w:val="24"/>
          <w:highlight w:val="yellow"/>
          <w:lang w:eastAsia="en-US"/>
        </w:rPr>
        <w:t>37</w:t>
      </w:r>
      <w:r w:rsidRPr="00E22431">
        <w:rPr>
          <w:rFonts w:ascii="Times New Roman" w:eastAsia="Times New Roman" w:hAnsi="Times New Roman" w:cs="Times New Roman"/>
          <w:kern w:val="0"/>
          <w:sz w:val="24"/>
          <w:highlight w:val="yellow"/>
          <w:lang w:eastAsia="en-US"/>
        </w:rPr>
        <w:t xml:space="preserve">(18), 167–169. Available from CNKI database. </w:t>
      </w:r>
    </w:p>
    <w:p w14:paraId="3F7AFA7E" w14:textId="732356DA"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highlight w:val="yellow"/>
          <w:lang w:eastAsia="en-US"/>
        </w:rPr>
        <w:t xml:space="preserve">Du, P. (2025). Research on AI-empowered interdisciplinary teaching scenario design in high school mathematics. </w:t>
      </w:r>
      <w:r w:rsidRPr="00E22431">
        <w:rPr>
          <w:rFonts w:ascii="Times New Roman" w:eastAsia="Times New Roman" w:hAnsi="Times New Roman" w:cs="Times New Roman"/>
          <w:i/>
          <w:iCs/>
          <w:kern w:val="0"/>
          <w:sz w:val="24"/>
          <w:highlight w:val="yellow"/>
          <w:lang w:eastAsia="en-US"/>
        </w:rPr>
        <w:t>Mathematical World (Late Edition)</w:t>
      </w:r>
      <w:r w:rsidRPr="00E22431">
        <w:rPr>
          <w:rFonts w:ascii="Times New Roman" w:eastAsia="Times New Roman" w:hAnsi="Times New Roman" w:cs="Times New Roman"/>
          <w:kern w:val="0"/>
          <w:sz w:val="24"/>
          <w:highlight w:val="yellow"/>
          <w:lang w:eastAsia="en-US"/>
        </w:rPr>
        <w:t>, (8), 3–5. Available from CNKI database.</w:t>
      </w:r>
      <w:r w:rsidRPr="00E22431">
        <w:rPr>
          <w:rFonts w:ascii="Times New Roman" w:eastAsia="Times New Roman" w:hAnsi="Times New Roman" w:cs="Times New Roman"/>
          <w:kern w:val="0"/>
          <w:sz w:val="24"/>
          <w:lang w:eastAsia="en-US"/>
        </w:rPr>
        <w:t xml:space="preserve"> </w:t>
      </w:r>
    </w:p>
    <w:p w14:paraId="6BE893C1"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lang w:eastAsia="en-US"/>
        </w:rPr>
        <w:t xml:space="preserve">He, X. (2025). Analysis of strategies for AI-empowered junior high school mathematics classroom teaching based on core competency development. In China Cultural Information Association (Ed.), </w:t>
      </w:r>
      <w:r w:rsidRPr="00E22431">
        <w:rPr>
          <w:rFonts w:ascii="Times New Roman" w:eastAsia="Times New Roman" w:hAnsi="Times New Roman" w:cs="Times New Roman"/>
          <w:i/>
          <w:iCs/>
          <w:kern w:val="0"/>
          <w:sz w:val="24"/>
          <w:lang w:eastAsia="en-US"/>
        </w:rPr>
        <w:t>Proceedings of the Second Academic Symposium on Cultural Information and Educational Development 2025</w:t>
      </w:r>
      <w:r w:rsidRPr="00E22431">
        <w:rPr>
          <w:rFonts w:ascii="Times New Roman" w:eastAsia="Times New Roman" w:hAnsi="Times New Roman" w:cs="Times New Roman"/>
          <w:kern w:val="0"/>
          <w:sz w:val="24"/>
          <w:lang w:eastAsia="en-US"/>
        </w:rPr>
        <w:t xml:space="preserve"> (pp. 224–226). Baofeng Middle School. https://doi.org/10.26914/c.cnkihy.2025.055116</w:t>
      </w:r>
    </w:p>
    <w:p w14:paraId="5479471A" w14:textId="2DC7D1F2"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highlight w:val="yellow"/>
          <w:lang w:eastAsia="en-US"/>
        </w:rPr>
        <w:t xml:space="preserve">Hu, D. (2025). Innovative research on AI-empowered secondary mathematics instruction. </w:t>
      </w:r>
      <w:r w:rsidRPr="00E22431">
        <w:rPr>
          <w:rFonts w:ascii="Times New Roman" w:eastAsia="Times New Roman" w:hAnsi="Times New Roman" w:cs="Times New Roman"/>
          <w:i/>
          <w:iCs/>
          <w:kern w:val="0"/>
          <w:sz w:val="24"/>
          <w:highlight w:val="yellow"/>
          <w:lang w:eastAsia="en-US"/>
        </w:rPr>
        <w:t>Jiangxi Education</w:t>
      </w:r>
      <w:r w:rsidRPr="00E22431">
        <w:rPr>
          <w:rFonts w:ascii="Times New Roman" w:eastAsia="Times New Roman" w:hAnsi="Times New Roman" w:cs="Times New Roman"/>
          <w:kern w:val="0"/>
          <w:sz w:val="24"/>
          <w:highlight w:val="yellow"/>
          <w:lang w:eastAsia="en-US"/>
        </w:rPr>
        <w:t>, (40), 8–9. Available from CNKI database.</w:t>
      </w:r>
      <w:r w:rsidRPr="00E22431">
        <w:rPr>
          <w:rFonts w:ascii="Times New Roman" w:eastAsia="Times New Roman" w:hAnsi="Times New Roman" w:cs="Times New Roman"/>
          <w:kern w:val="0"/>
          <w:sz w:val="24"/>
          <w:lang w:eastAsia="en-US"/>
        </w:rPr>
        <w:t xml:space="preserve"> </w:t>
      </w:r>
    </w:p>
    <w:p w14:paraId="4BA9912D" w14:textId="65CE085A"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highlight w:val="yellow"/>
          <w:lang w:eastAsia="en-US"/>
        </w:rPr>
        <w:t xml:space="preserve">Jin, Y., &amp; Jin, Y. (2025). Preliminary exploration of strategies for building efficient high school mathematics classrooms empowered by artificial intelligence technology. </w:t>
      </w:r>
      <w:r w:rsidRPr="00E22431">
        <w:rPr>
          <w:rFonts w:ascii="Times New Roman" w:eastAsia="Times New Roman" w:hAnsi="Times New Roman" w:cs="Times New Roman"/>
          <w:i/>
          <w:iCs/>
          <w:kern w:val="0"/>
          <w:sz w:val="24"/>
          <w:highlight w:val="yellow"/>
          <w:lang w:eastAsia="en-US"/>
        </w:rPr>
        <w:t>Yunnan Education (Perspective &amp; Current Affairs Edition)</w:t>
      </w:r>
      <w:r w:rsidRPr="00E22431">
        <w:rPr>
          <w:rFonts w:ascii="Times New Roman" w:eastAsia="Times New Roman" w:hAnsi="Times New Roman" w:cs="Times New Roman"/>
          <w:kern w:val="0"/>
          <w:sz w:val="24"/>
          <w:highlight w:val="yellow"/>
          <w:lang w:eastAsia="en-US"/>
        </w:rPr>
        <w:t>, (Z2), 15–16. Available from CNKI database.</w:t>
      </w:r>
      <w:r w:rsidRPr="00E22431">
        <w:rPr>
          <w:rFonts w:ascii="Times New Roman" w:eastAsia="Times New Roman" w:hAnsi="Times New Roman" w:cs="Times New Roman"/>
          <w:kern w:val="0"/>
          <w:sz w:val="24"/>
          <w:lang w:eastAsia="en-US"/>
        </w:rPr>
        <w:t xml:space="preserve"> </w:t>
      </w:r>
    </w:p>
    <w:p w14:paraId="4333584B"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proofErr w:type="spellStart"/>
      <w:r w:rsidRPr="00E22431">
        <w:rPr>
          <w:rFonts w:ascii="Times New Roman" w:eastAsia="Times New Roman" w:hAnsi="Times New Roman" w:cs="Times New Roman"/>
          <w:kern w:val="0"/>
          <w:sz w:val="24"/>
          <w:lang w:eastAsia="en-US"/>
        </w:rPr>
        <w:t>Kasneci</w:t>
      </w:r>
      <w:proofErr w:type="spellEnd"/>
      <w:r w:rsidRPr="00E22431">
        <w:rPr>
          <w:rFonts w:ascii="Times New Roman" w:eastAsia="Times New Roman" w:hAnsi="Times New Roman" w:cs="Times New Roman"/>
          <w:kern w:val="0"/>
          <w:sz w:val="24"/>
          <w:lang w:eastAsia="en-US"/>
        </w:rPr>
        <w:t xml:space="preserve">, E., Sessler, K., </w:t>
      </w:r>
      <w:proofErr w:type="spellStart"/>
      <w:r w:rsidRPr="00E22431">
        <w:rPr>
          <w:rFonts w:ascii="Times New Roman" w:eastAsia="Times New Roman" w:hAnsi="Times New Roman" w:cs="Times New Roman"/>
          <w:kern w:val="0"/>
          <w:sz w:val="24"/>
          <w:lang w:eastAsia="en-US"/>
        </w:rPr>
        <w:t>Küchemann</w:t>
      </w:r>
      <w:proofErr w:type="spellEnd"/>
      <w:r w:rsidRPr="00E22431">
        <w:rPr>
          <w:rFonts w:ascii="Times New Roman" w:eastAsia="Times New Roman" w:hAnsi="Times New Roman" w:cs="Times New Roman"/>
          <w:kern w:val="0"/>
          <w:sz w:val="24"/>
          <w:lang w:eastAsia="en-US"/>
        </w:rPr>
        <w:t xml:space="preserve">, S., Bannert, M., Dementieva, D., Fischer, F., Gasser, U., Groh, G., Günnemann, S., </w:t>
      </w:r>
      <w:proofErr w:type="spellStart"/>
      <w:r w:rsidRPr="00E22431">
        <w:rPr>
          <w:rFonts w:ascii="Times New Roman" w:eastAsia="Times New Roman" w:hAnsi="Times New Roman" w:cs="Times New Roman"/>
          <w:kern w:val="0"/>
          <w:sz w:val="24"/>
          <w:lang w:eastAsia="en-US"/>
        </w:rPr>
        <w:t>Hüllermeier</w:t>
      </w:r>
      <w:proofErr w:type="spellEnd"/>
      <w:r w:rsidRPr="00E22431">
        <w:rPr>
          <w:rFonts w:ascii="Times New Roman" w:eastAsia="Times New Roman" w:hAnsi="Times New Roman" w:cs="Times New Roman"/>
          <w:kern w:val="0"/>
          <w:sz w:val="24"/>
          <w:lang w:eastAsia="en-US"/>
        </w:rPr>
        <w:t xml:space="preserve">, E., </w:t>
      </w:r>
      <w:proofErr w:type="spellStart"/>
      <w:r w:rsidRPr="00E22431">
        <w:rPr>
          <w:rFonts w:ascii="Times New Roman" w:eastAsia="Times New Roman" w:hAnsi="Times New Roman" w:cs="Times New Roman"/>
          <w:kern w:val="0"/>
          <w:sz w:val="24"/>
          <w:lang w:eastAsia="en-US"/>
        </w:rPr>
        <w:t>Krusche</w:t>
      </w:r>
      <w:proofErr w:type="spellEnd"/>
      <w:r w:rsidRPr="00E22431">
        <w:rPr>
          <w:rFonts w:ascii="Times New Roman" w:eastAsia="Times New Roman" w:hAnsi="Times New Roman" w:cs="Times New Roman"/>
          <w:kern w:val="0"/>
          <w:sz w:val="24"/>
          <w:lang w:eastAsia="en-US"/>
        </w:rPr>
        <w:t xml:space="preserve">, S., </w:t>
      </w:r>
      <w:proofErr w:type="spellStart"/>
      <w:r w:rsidRPr="00E22431">
        <w:rPr>
          <w:rFonts w:ascii="Times New Roman" w:eastAsia="Times New Roman" w:hAnsi="Times New Roman" w:cs="Times New Roman"/>
          <w:kern w:val="0"/>
          <w:sz w:val="24"/>
          <w:lang w:eastAsia="en-US"/>
        </w:rPr>
        <w:t>Kutyniok</w:t>
      </w:r>
      <w:proofErr w:type="spellEnd"/>
      <w:r w:rsidRPr="00E22431">
        <w:rPr>
          <w:rFonts w:ascii="Times New Roman" w:eastAsia="Times New Roman" w:hAnsi="Times New Roman" w:cs="Times New Roman"/>
          <w:kern w:val="0"/>
          <w:sz w:val="24"/>
          <w:lang w:eastAsia="en-US"/>
        </w:rPr>
        <w:t xml:space="preserve">, G., Michaeli, T., </w:t>
      </w:r>
      <w:proofErr w:type="spellStart"/>
      <w:r w:rsidRPr="00E22431">
        <w:rPr>
          <w:rFonts w:ascii="Times New Roman" w:eastAsia="Times New Roman" w:hAnsi="Times New Roman" w:cs="Times New Roman"/>
          <w:kern w:val="0"/>
          <w:sz w:val="24"/>
          <w:lang w:eastAsia="en-US"/>
        </w:rPr>
        <w:t>Nerdel</w:t>
      </w:r>
      <w:proofErr w:type="spellEnd"/>
      <w:r w:rsidRPr="00E22431">
        <w:rPr>
          <w:rFonts w:ascii="Times New Roman" w:eastAsia="Times New Roman" w:hAnsi="Times New Roman" w:cs="Times New Roman"/>
          <w:kern w:val="0"/>
          <w:sz w:val="24"/>
          <w:lang w:eastAsia="en-US"/>
        </w:rPr>
        <w:t xml:space="preserve">, C., Pfeffer, J., </w:t>
      </w:r>
      <w:proofErr w:type="spellStart"/>
      <w:r w:rsidRPr="00E22431">
        <w:rPr>
          <w:rFonts w:ascii="Times New Roman" w:eastAsia="Times New Roman" w:hAnsi="Times New Roman" w:cs="Times New Roman"/>
          <w:kern w:val="0"/>
          <w:sz w:val="24"/>
          <w:lang w:eastAsia="en-US"/>
        </w:rPr>
        <w:t>Poquet</w:t>
      </w:r>
      <w:proofErr w:type="spellEnd"/>
      <w:r w:rsidRPr="00E22431">
        <w:rPr>
          <w:rFonts w:ascii="Times New Roman" w:eastAsia="Times New Roman" w:hAnsi="Times New Roman" w:cs="Times New Roman"/>
          <w:kern w:val="0"/>
          <w:sz w:val="24"/>
          <w:lang w:eastAsia="en-US"/>
        </w:rPr>
        <w:t xml:space="preserve">, O., Sailer, M., Schmidt, A., Seidel, T., ... </w:t>
      </w:r>
      <w:proofErr w:type="spellStart"/>
      <w:r w:rsidRPr="00E22431">
        <w:rPr>
          <w:rFonts w:ascii="Times New Roman" w:eastAsia="Times New Roman" w:hAnsi="Times New Roman" w:cs="Times New Roman"/>
          <w:kern w:val="0"/>
          <w:sz w:val="24"/>
          <w:lang w:eastAsia="en-US"/>
        </w:rPr>
        <w:t>Kasneci</w:t>
      </w:r>
      <w:proofErr w:type="spellEnd"/>
      <w:r w:rsidRPr="00E22431">
        <w:rPr>
          <w:rFonts w:ascii="Times New Roman" w:eastAsia="Times New Roman" w:hAnsi="Times New Roman" w:cs="Times New Roman"/>
          <w:kern w:val="0"/>
          <w:sz w:val="24"/>
          <w:lang w:eastAsia="en-US"/>
        </w:rPr>
        <w:t xml:space="preserve">, G. (2023). ChatGPT for good? On opportunities and challenges of large language models for education. </w:t>
      </w:r>
      <w:r w:rsidRPr="00E22431">
        <w:rPr>
          <w:rFonts w:ascii="Times New Roman" w:eastAsia="Times New Roman" w:hAnsi="Times New Roman" w:cs="Times New Roman"/>
          <w:i/>
          <w:iCs/>
          <w:kern w:val="0"/>
          <w:sz w:val="24"/>
          <w:lang w:eastAsia="en-US"/>
        </w:rPr>
        <w:t>Learning and Individual Differences</w:t>
      </w:r>
      <w:r w:rsidRPr="00E22431">
        <w:rPr>
          <w:rFonts w:ascii="Times New Roman" w:eastAsia="Times New Roman" w:hAnsi="Times New Roman" w:cs="Times New Roman"/>
          <w:kern w:val="0"/>
          <w:sz w:val="24"/>
          <w:lang w:eastAsia="en-US"/>
        </w:rPr>
        <w:t xml:space="preserve">, </w:t>
      </w:r>
      <w:r w:rsidRPr="00E22431">
        <w:rPr>
          <w:rFonts w:ascii="Times New Roman" w:eastAsia="Times New Roman" w:hAnsi="Times New Roman" w:cs="Times New Roman"/>
          <w:i/>
          <w:iCs/>
          <w:kern w:val="0"/>
          <w:sz w:val="24"/>
          <w:lang w:eastAsia="en-US"/>
        </w:rPr>
        <w:t>103</w:t>
      </w:r>
      <w:r w:rsidRPr="00E22431">
        <w:rPr>
          <w:rFonts w:ascii="Times New Roman" w:eastAsia="Times New Roman" w:hAnsi="Times New Roman" w:cs="Times New Roman"/>
          <w:kern w:val="0"/>
          <w:sz w:val="24"/>
          <w:lang w:eastAsia="en-US"/>
        </w:rPr>
        <w:t xml:space="preserve">, 102274. </w:t>
      </w:r>
      <w:hyperlink r:id="rId9" w:tgtFrame="_new" w:history="1">
        <w:r w:rsidRPr="00E22431">
          <w:rPr>
            <w:rFonts w:ascii="Times New Roman" w:eastAsia="Times New Roman" w:hAnsi="Times New Roman" w:cs="Times New Roman"/>
            <w:color w:val="0000FF"/>
            <w:kern w:val="0"/>
            <w:sz w:val="24"/>
            <w:u w:val="single"/>
            <w:lang w:eastAsia="en-US"/>
          </w:rPr>
          <w:t>https://doi.org/10.1016/j.lindif.2023.102274</w:t>
        </w:r>
      </w:hyperlink>
    </w:p>
    <w:p w14:paraId="23CF1322" w14:textId="2C2363ED"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highlight w:val="yellow"/>
          <w:lang w:eastAsia="en-US"/>
        </w:rPr>
        <w:lastRenderedPageBreak/>
        <w:t xml:space="preserve">Lai, X., Wang, W., &amp; Lin, W. (2025). Empirical study on AI-empowered mathematics instruction in upper primary grades. </w:t>
      </w:r>
      <w:r w:rsidRPr="00E22431">
        <w:rPr>
          <w:rFonts w:ascii="Times New Roman" w:eastAsia="Times New Roman" w:hAnsi="Times New Roman" w:cs="Times New Roman"/>
          <w:i/>
          <w:iCs/>
          <w:kern w:val="0"/>
          <w:sz w:val="24"/>
          <w:highlight w:val="yellow"/>
          <w:lang w:eastAsia="en-US"/>
        </w:rPr>
        <w:t>Educational Information Technology</w:t>
      </w:r>
      <w:r w:rsidRPr="00E22431">
        <w:rPr>
          <w:rFonts w:ascii="Times New Roman" w:eastAsia="Times New Roman" w:hAnsi="Times New Roman" w:cs="Times New Roman"/>
          <w:kern w:val="0"/>
          <w:sz w:val="24"/>
          <w:highlight w:val="yellow"/>
          <w:lang w:eastAsia="en-US"/>
        </w:rPr>
        <w:t>, (Z2), 140–143. Available from CNKI database.</w:t>
      </w:r>
      <w:r w:rsidRPr="00E22431">
        <w:rPr>
          <w:rFonts w:ascii="Times New Roman" w:eastAsia="Times New Roman" w:hAnsi="Times New Roman" w:cs="Times New Roman"/>
          <w:kern w:val="0"/>
          <w:sz w:val="24"/>
          <w:lang w:eastAsia="en-US"/>
        </w:rPr>
        <w:t xml:space="preserve"> </w:t>
      </w:r>
    </w:p>
    <w:p w14:paraId="5A1DC9AE"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lang w:eastAsia="en-US"/>
        </w:rPr>
        <w:t xml:space="preserve">Li, T. (2025). Intelligent AI empowering high school mathematics classroom instruction. In China Association for Popular Literature and Art, &amp; Professional Committee of Education Culture Theory, China Association for Popular Literature and Art (Eds.), </w:t>
      </w:r>
      <w:r w:rsidRPr="00E22431">
        <w:rPr>
          <w:rFonts w:ascii="Times New Roman" w:eastAsia="Times New Roman" w:hAnsi="Times New Roman" w:cs="Times New Roman"/>
          <w:i/>
          <w:iCs/>
          <w:kern w:val="0"/>
          <w:sz w:val="24"/>
          <w:lang w:eastAsia="en-US"/>
        </w:rPr>
        <w:t>Inheriting Chinese Culture, Integrating Innovation in Education Symposium and 2025 Academic Conference on Education Theory and Management Proceedings (I)</w:t>
      </w:r>
      <w:r w:rsidRPr="00E22431">
        <w:rPr>
          <w:rFonts w:ascii="Times New Roman" w:eastAsia="Times New Roman" w:hAnsi="Times New Roman" w:cs="Times New Roman"/>
          <w:kern w:val="0"/>
          <w:sz w:val="24"/>
          <w:lang w:eastAsia="en-US"/>
        </w:rPr>
        <w:t xml:space="preserve"> (pp. 169–172). </w:t>
      </w:r>
      <w:proofErr w:type="spellStart"/>
      <w:r w:rsidRPr="00E22431">
        <w:rPr>
          <w:rFonts w:ascii="Times New Roman" w:eastAsia="Times New Roman" w:hAnsi="Times New Roman" w:cs="Times New Roman"/>
          <w:kern w:val="0"/>
          <w:sz w:val="24"/>
          <w:lang w:eastAsia="en-US"/>
        </w:rPr>
        <w:t>Wujin</w:t>
      </w:r>
      <w:proofErr w:type="spellEnd"/>
      <w:r w:rsidRPr="00E22431">
        <w:rPr>
          <w:rFonts w:ascii="Times New Roman" w:eastAsia="Times New Roman" w:hAnsi="Times New Roman" w:cs="Times New Roman"/>
          <w:kern w:val="0"/>
          <w:sz w:val="24"/>
          <w:lang w:eastAsia="en-US"/>
        </w:rPr>
        <w:t xml:space="preserve"> District Huali Senior High School. https://doi.org/10.26914/c.cnkihy.2025.035791</w:t>
      </w:r>
    </w:p>
    <w:p w14:paraId="43CEF93E" w14:textId="64BD3EE8"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Li, Y. (2023). Practical exploration of AI-empowered classroom teaching evaluation in primary school mathematics. </w:t>
      </w:r>
      <w:r w:rsidRPr="00E22431">
        <w:rPr>
          <w:rFonts w:ascii="Times New Roman" w:eastAsia="Times New Roman" w:hAnsi="Times New Roman" w:cs="Times New Roman"/>
          <w:i/>
          <w:iCs/>
          <w:kern w:val="0"/>
          <w:sz w:val="24"/>
          <w:highlight w:val="yellow"/>
          <w:lang w:eastAsia="en-US"/>
        </w:rPr>
        <w:t>Information Technology Education in Primary and Secondary Schools</w:t>
      </w:r>
      <w:r w:rsidRPr="00E22431">
        <w:rPr>
          <w:rFonts w:ascii="Times New Roman" w:eastAsia="Times New Roman" w:hAnsi="Times New Roman" w:cs="Times New Roman"/>
          <w:kern w:val="0"/>
          <w:sz w:val="24"/>
          <w:highlight w:val="yellow"/>
          <w:lang w:eastAsia="en-US"/>
        </w:rPr>
        <w:t xml:space="preserve">, (9), 70–71. Available from CNKI database. </w:t>
      </w:r>
    </w:p>
    <w:p w14:paraId="763CA1FA" w14:textId="4B2332E1"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Li, Y. (2025). Application of generative artificial intelligence technology in junior high school mathematics teaching: Taking “Solving Right Triangles and Their Applications” as an example. </w:t>
      </w:r>
      <w:r w:rsidRPr="00E22431">
        <w:rPr>
          <w:rFonts w:ascii="Times New Roman" w:eastAsia="Times New Roman" w:hAnsi="Times New Roman" w:cs="Times New Roman"/>
          <w:i/>
          <w:iCs/>
          <w:kern w:val="0"/>
          <w:sz w:val="24"/>
          <w:highlight w:val="yellow"/>
          <w:lang w:eastAsia="en-US"/>
        </w:rPr>
        <w:t>Shanghai Middle School Mathematics</w:t>
      </w:r>
      <w:r w:rsidRPr="00E22431">
        <w:rPr>
          <w:rFonts w:ascii="Times New Roman" w:eastAsia="Times New Roman" w:hAnsi="Times New Roman" w:cs="Times New Roman"/>
          <w:kern w:val="0"/>
          <w:sz w:val="24"/>
          <w:highlight w:val="yellow"/>
          <w:lang w:eastAsia="en-US"/>
        </w:rPr>
        <w:t xml:space="preserve">, (Z1), 1–6, 12. Available from CNKI database. </w:t>
      </w:r>
    </w:p>
    <w:p w14:paraId="0F1EE796" w14:textId="2063D175"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Liu, C. (2025). Application pathways for AI-empowered primary mathematics instruction. </w:t>
      </w:r>
      <w:proofErr w:type="spellStart"/>
      <w:r w:rsidRPr="00E22431">
        <w:rPr>
          <w:rFonts w:ascii="Times New Roman" w:eastAsia="Times New Roman" w:hAnsi="Times New Roman" w:cs="Times New Roman"/>
          <w:i/>
          <w:iCs/>
          <w:kern w:val="0"/>
          <w:sz w:val="24"/>
          <w:highlight w:val="yellow"/>
          <w:lang w:eastAsia="en-US"/>
        </w:rPr>
        <w:t>Students·Parents·Society</w:t>
      </w:r>
      <w:proofErr w:type="spellEnd"/>
      <w:r w:rsidRPr="00E22431">
        <w:rPr>
          <w:rFonts w:ascii="Times New Roman" w:eastAsia="Times New Roman" w:hAnsi="Times New Roman" w:cs="Times New Roman"/>
          <w:kern w:val="0"/>
          <w:sz w:val="24"/>
          <w:highlight w:val="yellow"/>
          <w:lang w:eastAsia="en-US"/>
        </w:rPr>
        <w:t xml:space="preserve">, (14), 81–83. Available from CNKI database. </w:t>
      </w:r>
    </w:p>
    <w:p w14:paraId="2FA73165" w14:textId="306748AD"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val="nl-BE" w:eastAsia="en-US"/>
        </w:rPr>
        <w:t xml:space="preserve">Liu, M., Shen, Z., &amp; Zou, J. (2025). </w:t>
      </w:r>
      <w:r w:rsidRPr="00E22431">
        <w:rPr>
          <w:rFonts w:ascii="Times New Roman" w:eastAsia="Times New Roman" w:hAnsi="Times New Roman" w:cs="Times New Roman"/>
          <w:kern w:val="0"/>
          <w:sz w:val="24"/>
          <w:highlight w:val="yellow"/>
          <w:lang w:eastAsia="en-US"/>
        </w:rPr>
        <w:t xml:space="preserve">A review of specialized research on integrating information technology into mathematics teaching at ICME-15. </w:t>
      </w:r>
      <w:r w:rsidRPr="00E22431">
        <w:rPr>
          <w:rFonts w:ascii="Times New Roman" w:eastAsia="Times New Roman" w:hAnsi="Times New Roman" w:cs="Times New Roman"/>
          <w:i/>
          <w:iCs/>
          <w:kern w:val="0"/>
          <w:sz w:val="24"/>
          <w:highlight w:val="yellow"/>
          <w:lang w:eastAsia="en-US"/>
        </w:rPr>
        <w:t>Journal of Mathematics Education</w:t>
      </w:r>
      <w:r w:rsidRPr="00E22431">
        <w:rPr>
          <w:rFonts w:ascii="Times New Roman" w:eastAsia="Times New Roman" w:hAnsi="Times New Roman" w:cs="Times New Roman"/>
          <w:kern w:val="0"/>
          <w:sz w:val="24"/>
          <w:highlight w:val="yellow"/>
          <w:lang w:eastAsia="en-US"/>
        </w:rPr>
        <w:t xml:space="preserve">, </w:t>
      </w:r>
      <w:r w:rsidRPr="00E22431">
        <w:rPr>
          <w:rFonts w:ascii="Times New Roman" w:eastAsia="Times New Roman" w:hAnsi="Times New Roman" w:cs="Times New Roman"/>
          <w:i/>
          <w:iCs/>
          <w:kern w:val="0"/>
          <w:sz w:val="24"/>
          <w:highlight w:val="yellow"/>
          <w:lang w:eastAsia="en-US"/>
        </w:rPr>
        <w:t>34</w:t>
      </w:r>
      <w:r w:rsidRPr="00E22431">
        <w:rPr>
          <w:rFonts w:ascii="Times New Roman" w:eastAsia="Times New Roman" w:hAnsi="Times New Roman" w:cs="Times New Roman"/>
          <w:kern w:val="0"/>
          <w:sz w:val="24"/>
          <w:highlight w:val="yellow"/>
          <w:lang w:eastAsia="en-US"/>
        </w:rPr>
        <w:t xml:space="preserve">(5), 96–102. Available from CNKI database. </w:t>
      </w:r>
    </w:p>
    <w:p w14:paraId="3C1EC99B" w14:textId="055BE028"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highlight w:val="yellow"/>
          <w:lang w:eastAsia="en-US"/>
        </w:rPr>
        <w:t xml:space="preserve">Lu, Y., &amp; Chen, J. (2025). Exploration of precision teaching in junior high school mathematics empowered by intelligent technology. </w:t>
      </w:r>
      <w:r w:rsidRPr="00E22431">
        <w:rPr>
          <w:rFonts w:ascii="Times New Roman" w:eastAsia="Times New Roman" w:hAnsi="Times New Roman" w:cs="Times New Roman"/>
          <w:i/>
          <w:iCs/>
          <w:kern w:val="0"/>
          <w:sz w:val="24"/>
          <w:highlight w:val="yellow"/>
          <w:lang w:eastAsia="en-US"/>
        </w:rPr>
        <w:t>Guangxi Education</w:t>
      </w:r>
      <w:r w:rsidRPr="00E22431">
        <w:rPr>
          <w:rFonts w:ascii="Times New Roman" w:eastAsia="Times New Roman" w:hAnsi="Times New Roman" w:cs="Times New Roman"/>
          <w:kern w:val="0"/>
          <w:sz w:val="24"/>
          <w:highlight w:val="yellow"/>
          <w:lang w:eastAsia="en-US"/>
        </w:rPr>
        <w:t>, (22), 48–52. Available from CNKI database.</w:t>
      </w:r>
      <w:r w:rsidRPr="00E22431">
        <w:rPr>
          <w:rFonts w:ascii="Times New Roman" w:eastAsia="Times New Roman" w:hAnsi="Times New Roman" w:cs="Times New Roman"/>
          <w:kern w:val="0"/>
          <w:sz w:val="24"/>
          <w:lang w:eastAsia="en-US"/>
        </w:rPr>
        <w:t xml:space="preserve"> </w:t>
      </w:r>
    </w:p>
    <w:p w14:paraId="042917F4"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proofErr w:type="spellStart"/>
      <w:r w:rsidRPr="00E22431">
        <w:rPr>
          <w:rFonts w:ascii="Times New Roman" w:eastAsia="Times New Roman" w:hAnsi="Times New Roman" w:cs="Times New Roman"/>
          <w:kern w:val="0"/>
          <w:sz w:val="24"/>
          <w:lang w:eastAsia="en-US"/>
        </w:rPr>
        <w:t>Lubguban</w:t>
      </w:r>
      <w:proofErr w:type="spellEnd"/>
      <w:r w:rsidRPr="00E22431">
        <w:rPr>
          <w:rFonts w:ascii="Times New Roman" w:eastAsia="Times New Roman" w:hAnsi="Times New Roman" w:cs="Times New Roman"/>
          <w:kern w:val="0"/>
          <w:sz w:val="24"/>
          <w:lang w:eastAsia="en-US"/>
        </w:rPr>
        <w:t xml:space="preserve">, N. S., Jr., &amp; </w:t>
      </w:r>
      <w:proofErr w:type="spellStart"/>
      <w:r w:rsidRPr="00E22431">
        <w:rPr>
          <w:rFonts w:ascii="Times New Roman" w:eastAsia="Times New Roman" w:hAnsi="Times New Roman" w:cs="Times New Roman"/>
          <w:kern w:val="0"/>
          <w:sz w:val="24"/>
          <w:lang w:eastAsia="en-US"/>
        </w:rPr>
        <w:t>Bauyot</w:t>
      </w:r>
      <w:proofErr w:type="spellEnd"/>
      <w:r w:rsidRPr="00E22431">
        <w:rPr>
          <w:rFonts w:ascii="Times New Roman" w:eastAsia="Times New Roman" w:hAnsi="Times New Roman" w:cs="Times New Roman"/>
          <w:kern w:val="0"/>
          <w:sz w:val="24"/>
          <w:lang w:eastAsia="en-US"/>
        </w:rPr>
        <w:t xml:space="preserve">, M. M. (2025). Utilizing artificial intelligence for Education 4.0 and beyond: A systematic review. </w:t>
      </w:r>
      <w:r w:rsidRPr="00E22431">
        <w:rPr>
          <w:rFonts w:ascii="Times New Roman" w:eastAsia="Times New Roman" w:hAnsi="Times New Roman" w:cs="Times New Roman"/>
          <w:i/>
          <w:iCs/>
          <w:kern w:val="0"/>
          <w:sz w:val="24"/>
          <w:lang w:eastAsia="en-US"/>
        </w:rPr>
        <w:t>Asian Journal of Education and Social Studies</w:t>
      </w:r>
      <w:r w:rsidRPr="00E22431">
        <w:rPr>
          <w:rFonts w:ascii="Times New Roman" w:eastAsia="Times New Roman" w:hAnsi="Times New Roman" w:cs="Times New Roman"/>
          <w:kern w:val="0"/>
          <w:sz w:val="24"/>
          <w:lang w:eastAsia="en-US"/>
        </w:rPr>
        <w:t xml:space="preserve">, </w:t>
      </w:r>
      <w:r w:rsidRPr="00E22431">
        <w:rPr>
          <w:rFonts w:ascii="Times New Roman" w:eastAsia="Times New Roman" w:hAnsi="Times New Roman" w:cs="Times New Roman"/>
          <w:i/>
          <w:iCs/>
          <w:kern w:val="0"/>
          <w:sz w:val="24"/>
          <w:lang w:eastAsia="en-US"/>
        </w:rPr>
        <w:t>51</w:t>
      </w:r>
      <w:r w:rsidRPr="00E22431">
        <w:rPr>
          <w:rFonts w:ascii="Times New Roman" w:eastAsia="Times New Roman" w:hAnsi="Times New Roman" w:cs="Times New Roman"/>
          <w:kern w:val="0"/>
          <w:sz w:val="24"/>
          <w:lang w:eastAsia="en-US"/>
        </w:rPr>
        <w:t xml:space="preserve">(6), 162–183. </w:t>
      </w:r>
      <w:hyperlink r:id="rId10" w:tgtFrame="_new" w:history="1">
        <w:r w:rsidRPr="00E22431">
          <w:rPr>
            <w:rFonts w:ascii="Times New Roman" w:eastAsia="Times New Roman" w:hAnsi="Times New Roman" w:cs="Times New Roman"/>
            <w:color w:val="0000FF"/>
            <w:kern w:val="0"/>
            <w:sz w:val="24"/>
            <w:u w:val="single"/>
            <w:lang w:eastAsia="en-US"/>
          </w:rPr>
          <w:t>https://doi.org/10.9734/ajess/2025/v51i61985</w:t>
        </w:r>
      </w:hyperlink>
    </w:p>
    <w:p w14:paraId="37889A8C"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lang w:eastAsia="en-US"/>
        </w:rPr>
        <w:t xml:space="preserve">Nanda, S. B., &amp; Pradhan, D. K. (2025). Artificial intelligence in mathematics education: A systematic review of global trends and emerging themes. </w:t>
      </w:r>
      <w:r w:rsidRPr="00E22431">
        <w:rPr>
          <w:rFonts w:ascii="Times New Roman" w:eastAsia="Times New Roman" w:hAnsi="Times New Roman" w:cs="Times New Roman"/>
          <w:i/>
          <w:iCs/>
          <w:kern w:val="0"/>
          <w:sz w:val="24"/>
          <w:lang w:eastAsia="en-US"/>
        </w:rPr>
        <w:t>Journal of Mathematics, Science and Technology Education</w:t>
      </w:r>
      <w:r w:rsidRPr="00E22431">
        <w:rPr>
          <w:rFonts w:ascii="Times New Roman" w:eastAsia="Times New Roman" w:hAnsi="Times New Roman" w:cs="Times New Roman"/>
          <w:kern w:val="0"/>
          <w:sz w:val="24"/>
          <w:lang w:eastAsia="en-US"/>
        </w:rPr>
        <w:t xml:space="preserve">, </w:t>
      </w:r>
      <w:r w:rsidRPr="00E22431">
        <w:rPr>
          <w:rFonts w:ascii="Times New Roman" w:eastAsia="Times New Roman" w:hAnsi="Times New Roman" w:cs="Times New Roman"/>
          <w:i/>
          <w:iCs/>
          <w:kern w:val="0"/>
          <w:sz w:val="24"/>
          <w:lang w:eastAsia="en-US"/>
        </w:rPr>
        <w:t>2</w:t>
      </w:r>
      <w:r w:rsidRPr="00E22431">
        <w:rPr>
          <w:rFonts w:ascii="Times New Roman" w:eastAsia="Times New Roman" w:hAnsi="Times New Roman" w:cs="Times New Roman"/>
          <w:kern w:val="0"/>
          <w:sz w:val="24"/>
          <w:lang w:eastAsia="en-US"/>
        </w:rPr>
        <w:t xml:space="preserve">(2), 153–175. </w:t>
      </w:r>
      <w:hyperlink r:id="rId11" w:tgtFrame="_new" w:history="1">
        <w:r w:rsidRPr="00E22431">
          <w:rPr>
            <w:rFonts w:ascii="Times New Roman" w:eastAsia="Times New Roman" w:hAnsi="Times New Roman" w:cs="Times New Roman"/>
            <w:color w:val="0000FF"/>
            <w:kern w:val="0"/>
            <w:sz w:val="24"/>
            <w:u w:val="single"/>
            <w:lang w:eastAsia="en-US"/>
          </w:rPr>
          <w:t>https://doi.org/10.12973/jmste.2.2.153</w:t>
        </w:r>
      </w:hyperlink>
    </w:p>
    <w:p w14:paraId="0E9DBB76"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proofErr w:type="spellStart"/>
      <w:r w:rsidRPr="00E22431">
        <w:rPr>
          <w:rFonts w:ascii="Times New Roman" w:eastAsia="Times New Roman" w:hAnsi="Times New Roman" w:cs="Times New Roman"/>
          <w:kern w:val="0"/>
          <w:sz w:val="24"/>
          <w:lang w:eastAsia="en-US"/>
        </w:rPr>
        <w:t>Nkopuruk</w:t>
      </w:r>
      <w:proofErr w:type="spellEnd"/>
      <w:r w:rsidRPr="00E22431">
        <w:rPr>
          <w:rFonts w:ascii="Times New Roman" w:eastAsia="Times New Roman" w:hAnsi="Times New Roman" w:cs="Times New Roman"/>
          <w:kern w:val="0"/>
          <w:sz w:val="24"/>
          <w:lang w:eastAsia="en-US"/>
        </w:rPr>
        <w:t xml:space="preserve">, I. N. (2026). Artificial intelligence and the future of teacher professionalism: Rethinking teacher education. </w:t>
      </w:r>
      <w:r w:rsidRPr="00E22431">
        <w:rPr>
          <w:rFonts w:ascii="Times New Roman" w:eastAsia="Times New Roman" w:hAnsi="Times New Roman" w:cs="Times New Roman"/>
          <w:i/>
          <w:iCs/>
          <w:kern w:val="0"/>
          <w:sz w:val="24"/>
          <w:lang w:eastAsia="en-US"/>
        </w:rPr>
        <w:t xml:space="preserve">Asian Journal of Arts, </w:t>
      </w:r>
      <w:r w:rsidRPr="00E22431">
        <w:rPr>
          <w:rFonts w:ascii="Times New Roman" w:eastAsia="Times New Roman" w:hAnsi="Times New Roman" w:cs="Times New Roman"/>
          <w:i/>
          <w:iCs/>
          <w:kern w:val="0"/>
          <w:sz w:val="24"/>
          <w:lang w:eastAsia="en-US"/>
        </w:rPr>
        <w:lastRenderedPageBreak/>
        <w:t>Humanities and Social Studies</w:t>
      </w:r>
      <w:r w:rsidRPr="00E22431">
        <w:rPr>
          <w:rFonts w:ascii="Times New Roman" w:eastAsia="Times New Roman" w:hAnsi="Times New Roman" w:cs="Times New Roman"/>
          <w:kern w:val="0"/>
          <w:sz w:val="24"/>
          <w:lang w:eastAsia="en-US"/>
        </w:rPr>
        <w:t xml:space="preserve">, </w:t>
      </w:r>
      <w:r w:rsidRPr="00E22431">
        <w:rPr>
          <w:rFonts w:ascii="Times New Roman" w:eastAsia="Times New Roman" w:hAnsi="Times New Roman" w:cs="Times New Roman"/>
          <w:i/>
          <w:iCs/>
          <w:kern w:val="0"/>
          <w:sz w:val="24"/>
          <w:lang w:eastAsia="en-US"/>
        </w:rPr>
        <w:t>9</w:t>
      </w:r>
      <w:r w:rsidRPr="00E22431">
        <w:rPr>
          <w:rFonts w:ascii="Times New Roman" w:eastAsia="Times New Roman" w:hAnsi="Times New Roman" w:cs="Times New Roman"/>
          <w:kern w:val="0"/>
          <w:sz w:val="24"/>
          <w:lang w:eastAsia="en-US"/>
        </w:rPr>
        <w:t xml:space="preserve">(1), 42–54. </w:t>
      </w:r>
      <w:hyperlink r:id="rId12" w:tgtFrame="_new" w:history="1">
        <w:r w:rsidRPr="00E22431">
          <w:rPr>
            <w:rFonts w:ascii="Times New Roman" w:eastAsia="Times New Roman" w:hAnsi="Times New Roman" w:cs="Times New Roman"/>
            <w:color w:val="0000FF"/>
            <w:kern w:val="0"/>
            <w:sz w:val="24"/>
            <w:u w:val="single"/>
            <w:lang w:eastAsia="en-US"/>
          </w:rPr>
          <w:t>https://doi.org/10.56557/ajahss/2026/v9i197</w:t>
        </w:r>
      </w:hyperlink>
    </w:p>
    <w:p w14:paraId="542D6619"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lang w:eastAsia="en-US"/>
        </w:rPr>
        <w:t xml:space="preserve">Sheng, H., &amp; Tang, B. (2023). Practical exploration of AI-empowered transformation in primary school mathematics teaching. </w:t>
      </w:r>
      <w:r w:rsidRPr="00E22431">
        <w:rPr>
          <w:rFonts w:ascii="Times New Roman" w:eastAsia="Times New Roman" w:hAnsi="Times New Roman" w:cs="Times New Roman"/>
          <w:i/>
          <w:iCs/>
          <w:kern w:val="0"/>
          <w:sz w:val="24"/>
          <w:lang w:eastAsia="en-US"/>
        </w:rPr>
        <w:t>Education Practice and Research (A)</w:t>
      </w:r>
      <w:r w:rsidRPr="00E22431">
        <w:rPr>
          <w:rFonts w:ascii="Times New Roman" w:eastAsia="Times New Roman" w:hAnsi="Times New Roman" w:cs="Times New Roman"/>
          <w:kern w:val="0"/>
          <w:sz w:val="24"/>
          <w:lang w:eastAsia="en-US"/>
        </w:rPr>
        <w:t>, (9), 31–34. https://doi.org/10.14160/j.cnki.13-1259/g4-a.2023.09.012</w:t>
      </w:r>
    </w:p>
    <w:p w14:paraId="6CB2AAD1" w14:textId="30B300B3"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highlight w:val="yellow"/>
          <w:lang w:eastAsia="en-US"/>
        </w:rPr>
        <w:t xml:space="preserve">Su, G. (2024). Strategies for empowering integrated “teaching-learning-assessment” in junior high school mathematics with intelligent technologies. </w:t>
      </w:r>
      <w:r w:rsidRPr="00E22431">
        <w:rPr>
          <w:rFonts w:ascii="Times New Roman" w:eastAsia="Times New Roman" w:hAnsi="Times New Roman" w:cs="Times New Roman"/>
          <w:i/>
          <w:iCs/>
          <w:kern w:val="0"/>
          <w:sz w:val="24"/>
          <w:highlight w:val="yellow"/>
          <w:lang w:eastAsia="en-US"/>
        </w:rPr>
        <w:t>Education Communication and Technology</w:t>
      </w:r>
      <w:r w:rsidRPr="00E22431">
        <w:rPr>
          <w:rFonts w:ascii="Times New Roman" w:eastAsia="Times New Roman" w:hAnsi="Times New Roman" w:cs="Times New Roman"/>
          <w:kern w:val="0"/>
          <w:sz w:val="24"/>
          <w:highlight w:val="yellow"/>
          <w:lang w:eastAsia="en-US"/>
        </w:rPr>
        <w:t>, (2), 73–79. Available from CNKI database.</w:t>
      </w:r>
      <w:r w:rsidRPr="00E22431">
        <w:rPr>
          <w:rFonts w:ascii="Times New Roman" w:eastAsia="Times New Roman" w:hAnsi="Times New Roman" w:cs="Times New Roman"/>
          <w:kern w:val="0"/>
          <w:sz w:val="24"/>
          <w:lang w:eastAsia="en-US"/>
        </w:rPr>
        <w:t xml:space="preserve"> </w:t>
      </w:r>
    </w:p>
    <w:p w14:paraId="1D4FF6AF"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lang w:val="nl-BE" w:eastAsia="en-US"/>
        </w:rPr>
        <w:t xml:space="preserve">Wang, S., Wang, F., Zhu, Z., Wang, J., Tran, T., &amp; Du, Z. (2024). </w:t>
      </w:r>
      <w:r w:rsidRPr="00E22431">
        <w:rPr>
          <w:rFonts w:ascii="Times New Roman" w:eastAsia="Times New Roman" w:hAnsi="Times New Roman" w:cs="Times New Roman"/>
          <w:kern w:val="0"/>
          <w:sz w:val="24"/>
          <w:lang w:eastAsia="en-US"/>
        </w:rPr>
        <w:t xml:space="preserve">Artificial intelligence in education: A systematic literature review. </w:t>
      </w:r>
      <w:r w:rsidRPr="00E22431">
        <w:rPr>
          <w:rFonts w:ascii="Times New Roman" w:eastAsia="Times New Roman" w:hAnsi="Times New Roman" w:cs="Times New Roman"/>
          <w:i/>
          <w:iCs/>
          <w:kern w:val="0"/>
          <w:sz w:val="24"/>
          <w:lang w:eastAsia="en-US"/>
        </w:rPr>
        <w:t>Expert Systems with Applications</w:t>
      </w:r>
      <w:r w:rsidRPr="00E22431">
        <w:rPr>
          <w:rFonts w:ascii="Times New Roman" w:eastAsia="Times New Roman" w:hAnsi="Times New Roman" w:cs="Times New Roman"/>
          <w:kern w:val="0"/>
          <w:sz w:val="24"/>
          <w:lang w:eastAsia="en-US"/>
        </w:rPr>
        <w:t xml:space="preserve">, </w:t>
      </w:r>
      <w:r w:rsidRPr="00E22431">
        <w:rPr>
          <w:rFonts w:ascii="Times New Roman" w:eastAsia="Times New Roman" w:hAnsi="Times New Roman" w:cs="Times New Roman"/>
          <w:i/>
          <w:iCs/>
          <w:kern w:val="0"/>
          <w:sz w:val="24"/>
          <w:lang w:eastAsia="en-US"/>
        </w:rPr>
        <w:t>252</w:t>
      </w:r>
      <w:r w:rsidRPr="00E22431">
        <w:rPr>
          <w:rFonts w:ascii="Times New Roman" w:eastAsia="Times New Roman" w:hAnsi="Times New Roman" w:cs="Times New Roman"/>
          <w:kern w:val="0"/>
          <w:sz w:val="24"/>
          <w:lang w:eastAsia="en-US"/>
        </w:rPr>
        <w:t xml:space="preserve">, 124167. </w:t>
      </w:r>
      <w:hyperlink r:id="rId13" w:tgtFrame="_new" w:history="1">
        <w:r w:rsidRPr="00E22431">
          <w:rPr>
            <w:rFonts w:ascii="Times New Roman" w:eastAsia="Times New Roman" w:hAnsi="Times New Roman" w:cs="Times New Roman"/>
            <w:color w:val="0000FF"/>
            <w:kern w:val="0"/>
            <w:sz w:val="24"/>
            <w:u w:val="single"/>
            <w:lang w:eastAsia="en-US"/>
          </w:rPr>
          <w:t>https://doi.org/10.1016/j.eswa.2024.124167</w:t>
        </w:r>
      </w:hyperlink>
    </w:p>
    <w:p w14:paraId="1FB75AA3" w14:textId="5E2EA645"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Wei, L., &amp; Fan, R. (2025). Pathways to enhancing elementary mathematics classroom teaching effectiveness with AI empowerment: A case study of “Introducing Fractions” instruction. </w:t>
      </w:r>
      <w:r w:rsidRPr="00E22431">
        <w:rPr>
          <w:rFonts w:ascii="Times New Roman" w:eastAsia="Times New Roman" w:hAnsi="Times New Roman" w:cs="Times New Roman"/>
          <w:i/>
          <w:iCs/>
          <w:kern w:val="0"/>
          <w:sz w:val="24"/>
          <w:highlight w:val="yellow"/>
          <w:lang w:eastAsia="en-US"/>
        </w:rPr>
        <w:t>Mathematics Friend</w:t>
      </w:r>
      <w:r w:rsidRPr="00E22431">
        <w:rPr>
          <w:rFonts w:ascii="Times New Roman" w:eastAsia="Times New Roman" w:hAnsi="Times New Roman" w:cs="Times New Roman"/>
          <w:kern w:val="0"/>
          <w:sz w:val="24"/>
          <w:highlight w:val="yellow"/>
          <w:lang w:eastAsia="en-US"/>
        </w:rPr>
        <w:t xml:space="preserve">, (16), 90–91. Available from CNKI database. </w:t>
      </w:r>
    </w:p>
    <w:p w14:paraId="581CE87E" w14:textId="3EAD9DB4"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highlight w:val="yellow"/>
          <w:lang w:eastAsia="en-US"/>
        </w:rPr>
        <w:t xml:space="preserve">Wu, J. (2025). Exploring cross-boundary integration in junior high school mathematics teaching supported by AI intelligent technology. </w:t>
      </w:r>
      <w:r w:rsidRPr="00E22431">
        <w:rPr>
          <w:rFonts w:ascii="Times New Roman" w:eastAsia="Times New Roman" w:hAnsi="Times New Roman" w:cs="Times New Roman"/>
          <w:i/>
          <w:iCs/>
          <w:kern w:val="0"/>
          <w:sz w:val="24"/>
          <w:highlight w:val="yellow"/>
          <w:lang w:eastAsia="en-US"/>
        </w:rPr>
        <w:t>Mathematical World (Junior High School Edition)</w:t>
      </w:r>
      <w:r w:rsidRPr="00E22431">
        <w:rPr>
          <w:rFonts w:ascii="Times New Roman" w:eastAsia="Times New Roman" w:hAnsi="Times New Roman" w:cs="Times New Roman"/>
          <w:kern w:val="0"/>
          <w:sz w:val="24"/>
          <w:highlight w:val="yellow"/>
          <w:lang w:eastAsia="en-US"/>
        </w:rPr>
        <w:t>, (15), 174–177. Available from CNKI database.</w:t>
      </w:r>
      <w:r w:rsidRPr="00E22431">
        <w:rPr>
          <w:rFonts w:ascii="Times New Roman" w:eastAsia="Times New Roman" w:hAnsi="Times New Roman" w:cs="Times New Roman"/>
          <w:kern w:val="0"/>
          <w:sz w:val="24"/>
          <w:lang w:eastAsia="en-US"/>
        </w:rPr>
        <w:t xml:space="preserve"> </w:t>
      </w:r>
    </w:p>
    <w:p w14:paraId="68101C56"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val="nl-BE" w:eastAsia="en-US"/>
        </w:rPr>
      </w:pPr>
      <w:r w:rsidRPr="00E22431">
        <w:rPr>
          <w:rFonts w:ascii="Times New Roman" w:eastAsia="Times New Roman" w:hAnsi="Times New Roman" w:cs="Times New Roman"/>
          <w:kern w:val="0"/>
          <w:sz w:val="24"/>
          <w:lang w:eastAsia="en-US"/>
        </w:rPr>
        <w:t xml:space="preserve">Xu, C. (2025). Strategies for integrating teaching, learning, and assessment in high school mathematics with AI empowerment. In Lifelong Learning Professional Committee of China University-Affiliated Enterprises Association (Ed.), </w:t>
      </w:r>
      <w:r w:rsidRPr="00E22431">
        <w:rPr>
          <w:rFonts w:ascii="Times New Roman" w:eastAsia="Times New Roman" w:hAnsi="Times New Roman" w:cs="Times New Roman"/>
          <w:i/>
          <w:iCs/>
          <w:kern w:val="0"/>
          <w:sz w:val="24"/>
          <w:lang w:eastAsia="en-US"/>
        </w:rPr>
        <w:t>Proceedings of the Sixth Academic Symposium on Innovation and Development in Educational Information Technology</w:t>
      </w:r>
      <w:r w:rsidRPr="00E22431">
        <w:rPr>
          <w:rFonts w:ascii="Times New Roman" w:eastAsia="Times New Roman" w:hAnsi="Times New Roman" w:cs="Times New Roman"/>
          <w:kern w:val="0"/>
          <w:sz w:val="24"/>
          <w:lang w:eastAsia="en-US"/>
        </w:rPr>
        <w:t xml:space="preserve"> (pp. 999–1001). </w:t>
      </w:r>
      <w:r w:rsidRPr="00E22431">
        <w:rPr>
          <w:rFonts w:ascii="Times New Roman" w:eastAsia="Times New Roman" w:hAnsi="Times New Roman" w:cs="Times New Roman"/>
          <w:kern w:val="0"/>
          <w:sz w:val="24"/>
          <w:lang w:val="nl-BE" w:eastAsia="en-US"/>
        </w:rPr>
        <w:t>Xingwen Middle School. https://doi.org/10.26914/c.cnkihy.2025.057106</w:t>
      </w:r>
    </w:p>
    <w:p w14:paraId="4D1C0507" w14:textId="62727584"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val="nl-BE" w:eastAsia="en-US"/>
        </w:rPr>
        <w:t xml:space="preserve">Yang, H. (2025). </w:t>
      </w:r>
      <w:r w:rsidRPr="00E22431">
        <w:rPr>
          <w:rFonts w:ascii="Times New Roman" w:eastAsia="Times New Roman" w:hAnsi="Times New Roman" w:cs="Times New Roman"/>
          <w:kern w:val="0"/>
          <w:sz w:val="24"/>
          <w:highlight w:val="yellow"/>
          <w:lang w:eastAsia="en-US"/>
        </w:rPr>
        <w:t xml:space="preserve">Practical exploration of AI-empowered quality improvement and efficiency enhancement in elementary mathematics instruction. </w:t>
      </w:r>
      <w:proofErr w:type="spellStart"/>
      <w:r w:rsidRPr="00E22431">
        <w:rPr>
          <w:rFonts w:ascii="Times New Roman" w:eastAsia="Times New Roman" w:hAnsi="Times New Roman" w:cs="Times New Roman"/>
          <w:i/>
          <w:iCs/>
          <w:kern w:val="0"/>
          <w:sz w:val="24"/>
          <w:highlight w:val="yellow"/>
          <w:lang w:eastAsia="en-US"/>
        </w:rPr>
        <w:t>Students·Parents·Society</w:t>
      </w:r>
      <w:proofErr w:type="spellEnd"/>
      <w:r w:rsidRPr="00E22431">
        <w:rPr>
          <w:rFonts w:ascii="Times New Roman" w:eastAsia="Times New Roman" w:hAnsi="Times New Roman" w:cs="Times New Roman"/>
          <w:kern w:val="0"/>
          <w:sz w:val="24"/>
          <w:highlight w:val="yellow"/>
          <w:lang w:eastAsia="en-US"/>
        </w:rPr>
        <w:t xml:space="preserve">, (27), 65–67. Available from CNKI database. </w:t>
      </w:r>
    </w:p>
    <w:p w14:paraId="46F9CC10"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lang w:eastAsia="en-US"/>
        </w:rPr>
        <w:t xml:space="preserve">Yuan, C. (2025). Innovative practices in integrating AI technology with high school mathematics instruction. In Jiangxi Provincial Education Society Community Education Professional Committee (Ed.), </w:t>
      </w:r>
      <w:r w:rsidRPr="00E22431">
        <w:rPr>
          <w:rFonts w:ascii="Times New Roman" w:eastAsia="Times New Roman" w:hAnsi="Times New Roman" w:cs="Times New Roman"/>
          <w:i/>
          <w:iCs/>
          <w:kern w:val="0"/>
          <w:sz w:val="24"/>
          <w:lang w:eastAsia="en-US"/>
        </w:rPr>
        <w:t>Proceedings of the 2025 AI-Empowered Education Science Symposium in the Context of Lifelong Learning for All</w:t>
      </w:r>
      <w:r w:rsidRPr="00E22431">
        <w:rPr>
          <w:rFonts w:ascii="Times New Roman" w:eastAsia="Times New Roman" w:hAnsi="Times New Roman" w:cs="Times New Roman"/>
          <w:kern w:val="0"/>
          <w:sz w:val="24"/>
          <w:lang w:eastAsia="en-US"/>
        </w:rPr>
        <w:t xml:space="preserve"> (pp. 982–986). </w:t>
      </w:r>
      <w:proofErr w:type="spellStart"/>
      <w:r w:rsidRPr="00E22431">
        <w:rPr>
          <w:rFonts w:ascii="Times New Roman" w:eastAsia="Times New Roman" w:hAnsi="Times New Roman" w:cs="Times New Roman"/>
          <w:kern w:val="0"/>
          <w:sz w:val="24"/>
          <w:lang w:eastAsia="en-US"/>
        </w:rPr>
        <w:t>Yidu</w:t>
      </w:r>
      <w:proofErr w:type="spellEnd"/>
      <w:r w:rsidRPr="00E22431">
        <w:rPr>
          <w:rFonts w:ascii="Times New Roman" w:eastAsia="Times New Roman" w:hAnsi="Times New Roman" w:cs="Times New Roman"/>
          <w:kern w:val="0"/>
          <w:sz w:val="24"/>
          <w:lang w:eastAsia="en-US"/>
        </w:rPr>
        <w:t xml:space="preserve"> No. 1 Middle School. </w:t>
      </w:r>
      <w:hyperlink r:id="rId14" w:tgtFrame="_new" w:history="1">
        <w:r w:rsidRPr="00E22431">
          <w:rPr>
            <w:rFonts w:ascii="Times New Roman" w:eastAsia="Times New Roman" w:hAnsi="Times New Roman" w:cs="Times New Roman"/>
            <w:color w:val="0000FF"/>
            <w:kern w:val="0"/>
            <w:sz w:val="24"/>
            <w:u w:val="single"/>
            <w:lang w:eastAsia="en-US"/>
          </w:rPr>
          <w:t>https://doi.org/10.26914/c.cnkihy.2025.042292</w:t>
        </w:r>
      </w:hyperlink>
    </w:p>
    <w:p w14:paraId="78165894" w14:textId="5C13304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Yuan, Z. (2025). Practical exploration of deep teaching and research in primary mathematics empowered by digital intelligence technologies. </w:t>
      </w:r>
      <w:r w:rsidRPr="00E22431">
        <w:rPr>
          <w:rFonts w:ascii="Times New Roman" w:eastAsia="Times New Roman" w:hAnsi="Times New Roman" w:cs="Times New Roman"/>
          <w:i/>
          <w:iCs/>
          <w:kern w:val="0"/>
          <w:sz w:val="24"/>
          <w:highlight w:val="yellow"/>
          <w:lang w:eastAsia="en-US"/>
        </w:rPr>
        <w:t>Modern Teaching</w:t>
      </w:r>
      <w:r w:rsidRPr="00E22431">
        <w:rPr>
          <w:rFonts w:ascii="Times New Roman" w:eastAsia="Times New Roman" w:hAnsi="Times New Roman" w:cs="Times New Roman"/>
          <w:kern w:val="0"/>
          <w:sz w:val="24"/>
          <w:highlight w:val="yellow"/>
          <w:lang w:eastAsia="en-US"/>
        </w:rPr>
        <w:t xml:space="preserve">, (Z3), 76–78. Available from CNKI database. </w:t>
      </w:r>
    </w:p>
    <w:p w14:paraId="0C510CA5" w14:textId="18047A06"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lastRenderedPageBreak/>
        <w:t xml:space="preserve">Zhang, W. (2024). Technology empowerment, thinking made visible: AI-assisted teaching strategies in elementary mathematics classrooms. </w:t>
      </w:r>
      <w:r w:rsidRPr="00E22431">
        <w:rPr>
          <w:rFonts w:ascii="Times New Roman" w:eastAsia="Times New Roman" w:hAnsi="Times New Roman" w:cs="Times New Roman"/>
          <w:i/>
          <w:iCs/>
          <w:kern w:val="0"/>
          <w:sz w:val="24"/>
          <w:highlight w:val="yellow"/>
          <w:lang w:eastAsia="en-US"/>
        </w:rPr>
        <w:t>Contemporary Family Education</w:t>
      </w:r>
      <w:r w:rsidRPr="00E22431">
        <w:rPr>
          <w:rFonts w:ascii="Times New Roman" w:eastAsia="Times New Roman" w:hAnsi="Times New Roman" w:cs="Times New Roman"/>
          <w:kern w:val="0"/>
          <w:sz w:val="24"/>
          <w:highlight w:val="yellow"/>
          <w:lang w:eastAsia="en-US"/>
        </w:rPr>
        <w:t xml:space="preserve">, (22), 178–181. Available from CNKI database. </w:t>
      </w:r>
    </w:p>
    <w:p w14:paraId="1C5ED88E" w14:textId="67300023"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Zhang, X., &amp; Wen, B. (2025). AI-empowered contextual teaching in high school mathematics: Model construction and empirical research. </w:t>
      </w:r>
      <w:r w:rsidRPr="00E22431">
        <w:rPr>
          <w:rFonts w:ascii="Times New Roman" w:eastAsia="Times New Roman" w:hAnsi="Times New Roman" w:cs="Times New Roman"/>
          <w:i/>
          <w:iCs/>
          <w:kern w:val="0"/>
          <w:sz w:val="24"/>
          <w:highlight w:val="yellow"/>
          <w:lang w:eastAsia="en-US"/>
        </w:rPr>
        <w:t>Success</w:t>
      </w:r>
      <w:r w:rsidRPr="00E22431">
        <w:rPr>
          <w:rFonts w:ascii="Times New Roman" w:eastAsia="Times New Roman" w:hAnsi="Times New Roman" w:cs="Times New Roman"/>
          <w:kern w:val="0"/>
          <w:sz w:val="24"/>
          <w:highlight w:val="yellow"/>
          <w:lang w:eastAsia="en-US"/>
        </w:rPr>
        <w:t xml:space="preserve">, (19), 7–9. Available from CNKI database. </w:t>
      </w:r>
    </w:p>
    <w:p w14:paraId="7DA6856A" w14:textId="37823195"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highlight w:val="yellow"/>
          <w:lang w:eastAsia="en-US"/>
        </w:rPr>
        <w:t xml:space="preserve">Zhang, Y. (2025). Innovative pathways for generative AI-empowered elementary mathematics instruction. </w:t>
      </w:r>
      <w:r w:rsidRPr="00E22431">
        <w:rPr>
          <w:rFonts w:ascii="Times New Roman" w:eastAsia="Times New Roman" w:hAnsi="Times New Roman" w:cs="Times New Roman"/>
          <w:i/>
          <w:iCs/>
          <w:kern w:val="0"/>
          <w:sz w:val="24"/>
          <w:highlight w:val="yellow"/>
          <w:lang w:eastAsia="en-US"/>
        </w:rPr>
        <w:t>Parents</w:t>
      </w:r>
      <w:r w:rsidRPr="00E22431">
        <w:rPr>
          <w:rFonts w:ascii="Times New Roman" w:eastAsia="Times New Roman" w:hAnsi="Times New Roman" w:cs="Times New Roman"/>
          <w:kern w:val="0"/>
          <w:sz w:val="24"/>
          <w:highlight w:val="yellow"/>
          <w:lang w:eastAsia="en-US"/>
        </w:rPr>
        <w:t>, (29), 56–58. Available from CNKI database.</w:t>
      </w:r>
      <w:r w:rsidRPr="00E22431">
        <w:rPr>
          <w:rFonts w:ascii="Times New Roman" w:eastAsia="Times New Roman" w:hAnsi="Times New Roman" w:cs="Times New Roman"/>
          <w:kern w:val="0"/>
          <w:sz w:val="24"/>
          <w:lang w:eastAsia="en-US"/>
        </w:rPr>
        <w:t xml:space="preserve"> </w:t>
      </w:r>
    </w:p>
    <w:p w14:paraId="78593ECC" w14:textId="77777777"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lang w:eastAsia="en-US"/>
        </w:rPr>
        <w:t xml:space="preserve">Zhang, Z. (2025). Smart teaching, intelligent learning: Technology empowerment—Practical transformation of primary mathematics instruction in the context of AI empowerment. In Guangdong Education Society (Ed.), </w:t>
      </w:r>
      <w:r w:rsidRPr="00E22431">
        <w:rPr>
          <w:rFonts w:ascii="Times New Roman" w:eastAsia="Times New Roman" w:hAnsi="Times New Roman" w:cs="Times New Roman"/>
          <w:i/>
          <w:iCs/>
          <w:kern w:val="0"/>
          <w:sz w:val="24"/>
          <w:lang w:eastAsia="en-US"/>
        </w:rPr>
        <w:t>Proceedings of the 2025 Annual Academic Conference of the Guangdong Education Society (I)</w:t>
      </w:r>
      <w:r w:rsidRPr="00E22431">
        <w:rPr>
          <w:rFonts w:ascii="Times New Roman" w:eastAsia="Times New Roman" w:hAnsi="Times New Roman" w:cs="Times New Roman"/>
          <w:kern w:val="0"/>
          <w:sz w:val="24"/>
          <w:lang w:eastAsia="en-US"/>
        </w:rPr>
        <w:t xml:space="preserve"> (pp. 1747–1750). Jingyuan County </w:t>
      </w:r>
      <w:proofErr w:type="spellStart"/>
      <w:r w:rsidRPr="00E22431">
        <w:rPr>
          <w:rFonts w:ascii="Times New Roman" w:eastAsia="Times New Roman" w:hAnsi="Times New Roman" w:cs="Times New Roman"/>
          <w:kern w:val="0"/>
          <w:sz w:val="24"/>
          <w:lang w:eastAsia="en-US"/>
        </w:rPr>
        <w:t>Liuchuan</w:t>
      </w:r>
      <w:proofErr w:type="spellEnd"/>
      <w:r w:rsidRPr="00E22431">
        <w:rPr>
          <w:rFonts w:ascii="Times New Roman" w:eastAsia="Times New Roman" w:hAnsi="Times New Roman" w:cs="Times New Roman"/>
          <w:kern w:val="0"/>
          <w:sz w:val="24"/>
          <w:lang w:eastAsia="en-US"/>
        </w:rPr>
        <w:t xml:space="preserve"> Town Education Management Center. https://doi.org/10.26914/c.cnkihy.2025.009493</w:t>
      </w:r>
    </w:p>
    <w:p w14:paraId="12CB0BBA" w14:textId="18B4E611"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Zhao, C., Peng, Z., &amp; Dai, X. (2024). Innovation in mathematics teaching empowered by AIGC. </w:t>
      </w:r>
      <w:r w:rsidRPr="00E22431">
        <w:rPr>
          <w:rFonts w:ascii="Times New Roman" w:eastAsia="Times New Roman" w:hAnsi="Times New Roman" w:cs="Times New Roman"/>
          <w:i/>
          <w:iCs/>
          <w:kern w:val="0"/>
          <w:sz w:val="24"/>
          <w:highlight w:val="yellow"/>
          <w:lang w:eastAsia="en-US"/>
        </w:rPr>
        <w:t>New Curriculum Research</w:t>
      </w:r>
      <w:r w:rsidRPr="00E22431">
        <w:rPr>
          <w:rFonts w:ascii="Times New Roman" w:eastAsia="Times New Roman" w:hAnsi="Times New Roman" w:cs="Times New Roman"/>
          <w:kern w:val="0"/>
          <w:sz w:val="24"/>
          <w:highlight w:val="yellow"/>
          <w:lang w:eastAsia="en-US"/>
        </w:rPr>
        <w:t xml:space="preserve">, (33), 53–56. Available from CNKI database. </w:t>
      </w:r>
    </w:p>
    <w:p w14:paraId="128D9C8A" w14:textId="6EEAD1D8"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highlight w:val="yellow"/>
          <w:lang w:eastAsia="en-US"/>
        </w:rPr>
      </w:pPr>
      <w:r w:rsidRPr="00E22431">
        <w:rPr>
          <w:rFonts w:ascii="Times New Roman" w:eastAsia="Times New Roman" w:hAnsi="Times New Roman" w:cs="Times New Roman"/>
          <w:kern w:val="0"/>
          <w:sz w:val="24"/>
          <w:highlight w:val="yellow"/>
          <w:lang w:eastAsia="en-US"/>
        </w:rPr>
        <w:t xml:space="preserve">Zhou, L., &amp; Huai, Z. (2025). Investigating how AIGC tools empower high school mathematics instruction. </w:t>
      </w:r>
      <w:r w:rsidRPr="00E22431">
        <w:rPr>
          <w:rFonts w:ascii="Times New Roman" w:eastAsia="Times New Roman" w:hAnsi="Times New Roman" w:cs="Times New Roman"/>
          <w:i/>
          <w:iCs/>
          <w:kern w:val="0"/>
          <w:sz w:val="24"/>
          <w:highlight w:val="yellow"/>
          <w:lang w:eastAsia="en-US"/>
        </w:rPr>
        <w:t>Anhui Education Research</w:t>
      </w:r>
      <w:r w:rsidRPr="00E22431">
        <w:rPr>
          <w:rFonts w:ascii="Times New Roman" w:eastAsia="Times New Roman" w:hAnsi="Times New Roman" w:cs="Times New Roman"/>
          <w:kern w:val="0"/>
          <w:sz w:val="24"/>
          <w:highlight w:val="yellow"/>
          <w:lang w:eastAsia="en-US"/>
        </w:rPr>
        <w:t xml:space="preserve">, (21), 90–92. Available from CNKI database. </w:t>
      </w:r>
    </w:p>
    <w:p w14:paraId="5DBB15ED" w14:textId="41814A19" w:rsidR="00E22431" w:rsidRPr="00E22431" w:rsidRDefault="00E22431" w:rsidP="00E22431">
      <w:pPr>
        <w:widowControl/>
        <w:spacing w:before="100" w:beforeAutospacing="1" w:after="100" w:afterAutospacing="1"/>
        <w:ind w:left="540" w:hanging="540"/>
        <w:rPr>
          <w:rFonts w:ascii="Times New Roman" w:eastAsia="Times New Roman" w:hAnsi="Times New Roman" w:cs="Times New Roman"/>
          <w:kern w:val="0"/>
          <w:sz w:val="24"/>
          <w:lang w:eastAsia="en-US"/>
        </w:rPr>
      </w:pPr>
      <w:r w:rsidRPr="00E22431">
        <w:rPr>
          <w:rFonts w:ascii="Times New Roman" w:eastAsia="Times New Roman" w:hAnsi="Times New Roman" w:cs="Times New Roman"/>
          <w:kern w:val="0"/>
          <w:sz w:val="24"/>
          <w:highlight w:val="yellow"/>
          <w:lang w:eastAsia="en-US"/>
        </w:rPr>
        <w:t xml:space="preserve">Zhu, L. (2025). Technology empowerment, thinking visibility: Research on AI-assisted teaching strategies in elementary mathematics classrooms. </w:t>
      </w:r>
      <w:r w:rsidRPr="00E22431">
        <w:rPr>
          <w:rFonts w:ascii="Times New Roman" w:eastAsia="Times New Roman" w:hAnsi="Times New Roman" w:cs="Times New Roman"/>
          <w:i/>
          <w:iCs/>
          <w:kern w:val="0"/>
          <w:sz w:val="24"/>
          <w:highlight w:val="yellow"/>
          <w:lang w:eastAsia="en-US"/>
        </w:rPr>
        <w:t>Intelligence</w:t>
      </w:r>
      <w:r w:rsidRPr="00E22431">
        <w:rPr>
          <w:rFonts w:ascii="Times New Roman" w:eastAsia="Times New Roman" w:hAnsi="Times New Roman" w:cs="Times New Roman"/>
          <w:kern w:val="0"/>
          <w:sz w:val="24"/>
          <w:highlight w:val="yellow"/>
          <w:lang w:eastAsia="en-US"/>
        </w:rPr>
        <w:t>, (26), 60–63. Available from CNKI database.</w:t>
      </w:r>
      <w:r w:rsidRPr="00E22431">
        <w:rPr>
          <w:rFonts w:ascii="Times New Roman" w:eastAsia="Times New Roman" w:hAnsi="Times New Roman" w:cs="Times New Roman"/>
          <w:kern w:val="0"/>
          <w:sz w:val="24"/>
          <w:lang w:eastAsia="en-US"/>
        </w:rPr>
        <w:t xml:space="preserve"> </w:t>
      </w:r>
    </w:p>
    <w:p w14:paraId="6D44FCFC" w14:textId="77777777" w:rsidR="00E22431" w:rsidRPr="00E22431" w:rsidRDefault="00E22431" w:rsidP="00E22431">
      <w:pPr>
        <w:widowControl/>
        <w:spacing w:after="200" w:line="276" w:lineRule="auto"/>
        <w:ind w:left="540" w:hanging="540"/>
        <w:rPr>
          <w:rFonts w:ascii="Calibri" w:eastAsia="Calibri" w:hAnsi="Calibri" w:cs="Times New Roman"/>
          <w:sz w:val="22"/>
          <w:szCs w:val="22"/>
          <w:lang w:eastAsia="en-US"/>
          <w14:ligatures w14:val="standardContextual"/>
        </w:rPr>
      </w:pPr>
    </w:p>
    <w:p w14:paraId="10AB70B8" w14:textId="77777777" w:rsidR="00AA3FEC" w:rsidRPr="00AA3FEC" w:rsidRDefault="00AA3FEC" w:rsidP="00AA3FEC">
      <w:pPr>
        <w:pStyle w:val="ListParagraph"/>
        <w:widowControl/>
        <w:spacing w:before="100" w:beforeAutospacing="1" w:after="100" w:afterAutospacing="1"/>
        <w:rPr>
          <w:rFonts w:ascii="Times New Roman" w:eastAsia="Times New Roman" w:hAnsi="Times New Roman" w:cs="Times New Roman"/>
          <w:kern w:val="0"/>
          <w:sz w:val="24"/>
          <w:lang w:eastAsia="en-US"/>
        </w:rPr>
      </w:pPr>
    </w:p>
    <w:sectPr w:rsidR="00AA3FEC" w:rsidRPr="00AA3FEC">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8FCB2" w14:textId="77777777" w:rsidR="00DD1DC5" w:rsidRDefault="00DD1DC5">
      <w:r>
        <w:separator/>
      </w:r>
    </w:p>
  </w:endnote>
  <w:endnote w:type="continuationSeparator" w:id="0">
    <w:p w14:paraId="1C13F51F" w14:textId="77777777" w:rsidR="00DD1DC5" w:rsidRDefault="00DD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Times New Roman Regular">
    <w:altName w:val="Times New Roman"/>
    <w:charset w:val="00"/>
    <w:family w:val="auto"/>
    <w:pitch w:val="default"/>
    <w:sig w:usb0="E0000AFF" w:usb1="00007843" w:usb2="00000001" w:usb3="00000000" w:csb0="400001BF" w:csb1="DFF70000"/>
  </w:font>
  <w:font w:name="Helvetica Neue">
    <w:altName w:val="SimSun"/>
    <w:charset w:val="00"/>
    <w:family w:val="auto"/>
    <w:pitch w:val="default"/>
    <w:sig w:usb0="E50002FF" w:usb1="500079DB" w:usb2="0000001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CC4C" w14:textId="77777777" w:rsidR="00821EFE" w:rsidRDefault="00821E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88E6" w14:textId="77777777" w:rsidR="00821EFE" w:rsidRDefault="00821E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8245" w14:textId="77777777" w:rsidR="00821EFE" w:rsidRDefault="00821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6AA97" w14:textId="77777777" w:rsidR="00DD1DC5" w:rsidRDefault="00DD1DC5">
      <w:r>
        <w:separator/>
      </w:r>
    </w:p>
  </w:footnote>
  <w:footnote w:type="continuationSeparator" w:id="0">
    <w:p w14:paraId="22CB494E" w14:textId="77777777" w:rsidR="00DD1DC5" w:rsidRDefault="00DD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8830" w14:textId="77777777" w:rsidR="00821EFE" w:rsidRDefault="00000000">
    <w:pPr>
      <w:pStyle w:val="Header"/>
    </w:pPr>
    <w:r>
      <w:pict w14:anchorId="298515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6" o:spid="_x0000_s1026" type="#_x0000_t136" style="position:absolute;left:0;text-align:left;margin-left:0;margin-top:0;width:493.05pt;height:92.45pt;rotation:315;z-index:-251655168;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172A" w14:textId="77777777" w:rsidR="00821EFE" w:rsidRDefault="00000000">
    <w:pPr>
      <w:pStyle w:val="Header"/>
    </w:pPr>
    <w:r>
      <w:pict w14:anchorId="71843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7" o:spid="_x0000_s1027" type="#_x0000_t136" style="position:absolute;left:0;text-align:left;margin-left:0;margin-top:0;width:493.05pt;height:92.45pt;rotation:315;z-index:-251654144;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5415" w14:textId="77777777" w:rsidR="00821EFE" w:rsidRDefault="00000000">
    <w:pPr>
      <w:pStyle w:val="Header"/>
    </w:pPr>
    <w:r>
      <w:pict w14:anchorId="7791BE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5" o:spid="_x0000_s1025" type="#_x0000_t136" style="position:absolute;left:0;text-align:left;margin-left:0;margin-top:0;width:493.05pt;height:92.45pt;rotation:315;z-index:-251656192;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6366F"/>
    <w:multiLevelType w:val="singleLevel"/>
    <w:tmpl w:val="9D36366F"/>
    <w:lvl w:ilvl="0">
      <w:start w:val="1"/>
      <w:numFmt w:val="decimal"/>
      <w:suff w:val="space"/>
      <w:lvlText w:val="%1."/>
      <w:lvlJc w:val="left"/>
    </w:lvl>
  </w:abstractNum>
  <w:abstractNum w:abstractNumId="1" w15:restartNumberingAfterBreak="0">
    <w:nsid w:val="BEDC5442"/>
    <w:multiLevelType w:val="singleLevel"/>
    <w:tmpl w:val="BEDC5442"/>
    <w:lvl w:ilvl="0">
      <w:start w:val="1"/>
      <w:numFmt w:val="decimal"/>
      <w:suff w:val="space"/>
      <w:lvlText w:val="(%1)"/>
      <w:lvlJc w:val="left"/>
    </w:lvl>
  </w:abstractNum>
  <w:abstractNum w:abstractNumId="2" w15:restartNumberingAfterBreak="0">
    <w:nsid w:val="11AC1EEA"/>
    <w:multiLevelType w:val="hybridMultilevel"/>
    <w:tmpl w:val="549A2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7C932"/>
    <w:multiLevelType w:val="singleLevel"/>
    <w:tmpl w:val="26B7C932"/>
    <w:lvl w:ilvl="0">
      <w:start w:val="4"/>
      <w:numFmt w:val="decimal"/>
      <w:suff w:val="space"/>
      <w:lvlText w:val="%1."/>
      <w:lvlJc w:val="left"/>
    </w:lvl>
  </w:abstractNum>
  <w:abstractNum w:abstractNumId="4" w15:restartNumberingAfterBreak="0">
    <w:nsid w:val="7FD55681"/>
    <w:multiLevelType w:val="singleLevel"/>
    <w:tmpl w:val="7FD55681"/>
    <w:lvl w:ilvl="0">
      <w:start w:val="3"/>
      <w:numFmt w:val="decimal"/>
      <w:suff w:val="space"/>
      <w:lvlText w:val="%1."/>
      <w:lvlJc w:val="left"/>
    </w:lvl>
  </w:abstractNum>
  <w:num w:numId="1" w16cid:durableId="940453345">
    <w:abstractNumId w:val="0"/>
  </w:num>
  <w:num w:numId="2" w16cid:durableId="451872240">
    <w:abstractNumId w:val="1"/>
  </w:num>
  <w:num w:numId="3" w16cid:durableId="1969970119">
    <w:abstractNumId w:val="4"/>
  </w:num>
  <w:num w:numId="4" w16cid:durableId="946697831">
    <w:abstractNumId w:val="3"/>
  </w:num>
  <w:num w:numId="5" w16cid:durableId="1586763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420"/>
  <w:drawingGridVerticalSpacing w:val="156"/>
  <w:noPunctuationKerning/>
  <w:characterSpacingControl w:val="compressPunctuation"/>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xNTEyMbY0tDSysLBQ0lEKTi0uzszPAykwqgUAGGCMgiwAAAA="/>
  </w:docVars>
  <w:rsids>
    <w:rsidRoot w:val="F2FFAB47"/>
    <w:rsid w:val="00004F42"/>
    <w:rsid w:val="000972AD"/>
    <w:rsid w:val="000F6D9A"/>
    <w:rsid w:val="001144E7"/>
    <w:rsid w:val="00143E2A"/>
    <w:rsid w:val="00170F96"/>
    <w:rsid w:val="00225DE5"/>
    <w:rsid w:val="0030236C"/>
    <w:rsid w:val="00355686"/>
    <w:rsid w:val="004E49BA"/>
    <w:rsid w:val="00501AC7"/>
    <w:rsid w:val="0065318A"/>
    <w:rsid w:val="00692516"/>
    <w:rsid w:val="006B7143"/>
    <w:rsid w:val="006D636E"/>
    <w:rsid w:val="00821EFE"/>
    <w:rsid w:val="008E49AC"/>
    <w:rsid w:val="00950250"/>
    <w:rsid w:val="00A60876"/>
    <w:rsid w:val="00AA3FEC"/>
    <w:rsid w:val="00C16A60"/>
    <w:rsid w:val="00C253AC"/>
    <w:rsid w:val="00CA60D8"/>
    <w:rsid w:val="00CB6509"/>
    <w:rsid w:val="00CB7B48"/>
    <w:rsid w:val="00CD6C41"/>
    <w:rsid w:val="00D33B06"/>
    <w:rsid w:val="00DD1DC5"/>
    <w:rsid w:val="00E22431"/>
    <w:rsid w:val="00E87E0D"/>
    <w:rsid w:val="00F3415F"/>
    <w:rsid w:val="00FC3C61"/>
    <w:rsid w:val="00FD3F1E"/>
    <w:rsid w:val="0BD72085"/>
    <w:rsid w:val="0FBFA041"/>
    <w:rsid w:val="11FB141B"/>
    <w:rsid w:val="1BD6F37B"/>
    <w:rsid w:val="1E5BD68E"/>
    <w:rsid w:val="227E2AA2"/>
    <w:rsid w:val="2BE6A349"/>
    <w:rsid w:val="369C981F"/>
    <w:rsid w:val="3AFE3DA9"/>
    <w:rsid w:val="3BEF74B9"/>
    <w:rsid w:val="3BFB728B"/>
    <w:rsid w:val="3BFD2AB6"/>
    <w:rsid w:val="3D7340B1"/>
    <w:rsid w:val="3DDD4151"/>
    <w:rsid w:val="3DDFF234"/>
    <w:rsid w:val="3DFBDD9C"/>
    <w:rsid w:val="3EFF51D8"/>
    <w:rsid w:val="3FAFA23C"/>
    <w:rsid w:val="3FAFA273"/>
    <w:rsid w:val="3FF989F1"/>
    <w:rsid w:val="3FFDE418"/>
    <w:rsid w:val="3FFEDE34"/>
    <w:rsid w:val="47BE8BBD"/>
    <w:rsid w:val="4BFD911E"/>
    <w:rsid w:val="55FC1B45"/>
    <w:rsid w:val="5A2B6099"/>
    <w:rsid w:val="5D763123"/>
    <w:rsid w:val="5D7F1E7B"/>
    <w:rsid w:val="5DD1321E"/>
    <w:rsid w:val="5DFF4207"/>
    <w:rsid w:val="5E14EDE1"/>
    <w:rsid w:val="5F5F32D5"/>
    <w:rsid w:val="5F63C0E5"/>
    <w:rsid w:val="5F7735C2"/>
    <w:rsid w:val="5F7FD2A5"/>
    <w:rsid w:val="5F87AABC"/>
    <w:rsid w:val="5FD52D0A"/>
    <w:rsid w:val="5FFA28E3"/>
    <w:rsid w:val="5FFF8EE4"/>
    <w:rsid w:val="5FFFBE82"/>
    <w:rsid w:val="62FFDCDD"/>
    <w:rsid w:val="665FE1B5"/>
    <w:rsid w:val="66DF34DA"/>
    <w:rsid w:val="67BFB294"/>
    <w:rsid w:val="6A7F1BAA"/>
    <w:rsid w:val="6AFB5B6F"/>
    <w:rsid w:val="6BDC662D"/>
    <w:rsid w:val="6BF303E0"/>
    <w:rsid w:val="6DE7C241"/>
    <w:rsid w:val="6ED64494"/>
    <w:rsid w:val="6EFAD74E"/>
    <w:rsid w:val="6F7783F8"/>
    <w:rsid w:val="6FBF8CBF"/>
    <w:rsid w:val="6FEF3CFD"/>
    <w:rsid w:val="6FF413ED"/>
    <w:rsid w:val="6FF93BF0"/>
    <w:rsid w:val="6FFFE140"/>
    <w:rsid w:val="73EF0C9D"/>
    <w:rsid w:val="757DEBCB"/>
    <w:rsid w:val="757E8BDF"/>
    <w:rsid w:val="75FFC873"/>
    <w:rsid w:val="76BF6CED"/>
    <w:rsid w:val="76DF946F"/>
    <w:rsid w:val="76FCF0B6"/>
    <w:rsid w:val="77795636"/>
    <w:rsid w:val="777FDB9A"/>
    <w:rsid w:val="77BE4866"/>
    <w:rsid w:val="7A3E219E"/>
    <w:rsid w:val="7B5F8D8E"/>
    <w:rsid w:val="7B7399BD"/>
    <w:rsid w:val="7B94260E"/>
    <w:rsid w:val="7BFFA06D"/>
    <w:rsid w:val="7C390921"/>
    <w:rsid w:val="7C672431"/>
    <w:rsid w:val="7C7ECAD5"/>
    <w:rsid w:val="7CD7EEAF"/>
    <w:rsid w:val="7DFDE741"/>
    <w:rsid w:val="7E7D6720"/>
    <w:rsid w:val="7ECD7508"/>
    <w:rsid w:val="7ED617D0"/>
    <w:rsid w:val="7EFFA140"/>
    <w:rsid w:val="7F229D3A"/>
    <w:rsid w:val="7F284DBB"/>
    <w:rsid w:val="7F4FE985"/>
    <w:rsid w:val="7F6D0610"/>
    <w:rsid w:val="7FA8C63B"/>
    <w:rsid w:val="7FB9170D"/>
    <w:rsid w:val="7FE6A874"/>
    <w:rsid w:val="7FEAE7E8"/>
    <w:rsid w:val="7FF2F418"/>
    <w:rsid w:val="7FF729F8"/>
    <w:rsid w:val="7FF7AC4B"/>
    <w:rsid w:val="7FFD6844"/>
    <w:rsid w:val="8AF20B34"/>
    <w:rsid w:val="8DB70161"/>
    <w:rsid w:val="9BBF2303"/>
    <w:rsid w:val="9EFBD70D"/>
    <w:rsid w:val="9FCF9844"/>
    <w:rsid w:val="9FF70771"/>
    <w:rsid w:val="A9BF52B7"/>
    <w:rsid w:val="B27F6BA7"/>
    <w:rsid w:val="B37F6A11"/>
    <w:rsid w:val="B5F9C90A"/>
    <w:rsid w:val="B76E0F2E"/>
    <w:rsid w:val="B797D9EE"/>
    <w:rsid w:val="BBFD8C85"/>
    <w:rsid w:val="BDFCEC4D"/>
    <w:rsid w:val="BDFE8E81"/>
    <w:rsid w:val="BE2FFFF3"/>
    <w:rsid w:val="BECBE872"/>
    <w:rsid w:val="BEDDCDAF"/>
    <w:rsid w:val="BF2D271C"/>
    <w:rsid w:val="BF4FB50A"/>
    <w:rsid w:val="BF77C1C9"/>
    <w:rsid w:val="BFB6E7B7"/>
    <w:rsid w:val="BFFBE161"/>
    <w:rsid w:val="C7FFF118"/>
    <w:rsid w:val="C9B8DF7E"/>
    <w:rsid w:val="CABD1F50"/>
    <w:rsid w:val="CBFD4BD2"/>
    <w:rsid w:val="CDED93CE"/>
    <w:rsid w:val="CDFF1EED"/>
    <w:rsid w:val="CEDDEED3"/>
    <w:rsid w:val="CFE23E30"/>
    <w:rsid w:val="D19F3F0D"/>
    <w:rsid w:val="D6FDFC27"/>
    <w:rsid w:val="D7F1EB3C"/>
    <w:rsid w:val="D7FDE833"/>
    <w:rsid w:val="D7FF3742"/>
    <w:rsid w:val="DB7B6414"/>
    <w:rsid w:val="DCDF3D78"/>
    <w:rsid w:val="DDDD82EE"/>
    <w:rsid w:val="DED1AE33"/>
    <w:rsid w:val="DEE7C5E3"/>
    <w:rsid w:val="DFE11186"/>
    <w:rsid w:val="E6BF591D"/>
    <w:rsid w:val="EBFFF0D7"/>
    <w:rsid w:val="ED7FD559"/>
    <w:rsid w:val="EFEE1C1C"/>
    <w:rsid w:val="F297A66F"/>
    <w:rsid w:val="F2AE4883"/>
    <w:rsid w:val="F2FFAB47"/>
    <w:rsid w:val="F37B8910"/>
    <w:rsid w:val="F3FFF75B"/>
    <w:rsid w:val="F4767AE3"/>
    <w:rsid w:val="F6BB2D7E"/>
    <w:rsid w:val="F7D94FD6"/>
    <w:rsid w:val="F8B73102"/>
    <w:rsid w:val="F9C38E28"/>
    <w:rsid w:val="F9FA93D9"/>
    <w:rsid w:val="FA814D1C"/>
    <w:rsid w:val="FBBB6C57"/>
    <w:rsid w:val="FBED786E"/>
    <w:rsid w:val="FBEEF911"/>
    <w:rsid w:val="FBFB9608"/>
    <w:rsid w:val="FDBBC8E4"/>
    <w:rsid w:val="FE7FCE29"/>
    <w:rsid w:val="FEAE3AB3"/>
    <w:rsid w:val="FEEFF503"/>
    <w:rsid w:val="FEFF1E10"/>
    <w:rsid w:val="FF28F438"/>
    <w:rsid w:val="FF3FDC3C"/>
    <w:rsid w:val="FF4F3D52"/>
    <w:rsid w:val="FFAF35E7"/>
    <w:rsid w:val="FFAFA354"/>
    <w:rsid w:val="FFCCE37C"/>
    <w:rsid w:val="FFD79D30"/>
    <w:rsid w:val="FFD92CBC"/>
    <w:rsid w:val="FFE5F5A2"/>
    <w:rsid w:val="FFE9E78C"/>
    <w:rsid w:val="FFEFE562"/>
    <w:rsid w:val="FFEFECE0"/>
    <w:rsid w:val="FFFB3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54028CF"/>
  <w15:docId w15:val="{E528CDA1-5520-40AB-931E-A6C56CD9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paragraph" w:styleId="Heading1">
    <w:name w:val="heading 1"/>
    <w:basedOn w:val="Normal"/>
    <w:next w:val="Normal"/>
    <w:link w:val="Heading1Char"/>
    <w:qFormat/>
    <w:pPr>
      <w:keepNext/>
      <w:keepLines/>
      <w:spacing w:before="340" w:after="330" w:line="576" w:lineRule="auto"/>
      <w:jc w:val="left"/>
      <w:outlineLvl w:val="0"/>
    </w:pPr>
    <w:rPr>
      <w:rFonts w:eastAsia="Times New Roman"/>
      <w:b/>
      <w:kern w:val="44"/>
      <w:sz w:val="24"/>
    </w:rPr>
  </w:style>
  <w:style w:type="paragraph" w:styleId="Heading2">
    <w:name w:val="heading 2"/>
    <w:basedOn w:val="Normal"/>
    <w:next w:val="Normal"/>
    <w:link w:val="Heading2Char"/>
    <w:semiHidden/>
    <w:unhideWhenUsed/>
    <w:qFormat/>
    <w:pPr>
      <w:spacing w:beforeAutospacing="1" w:afterAutospacing="1"/>
      <w:jc w:val="left"/>
      <w:outlineLvl w:val="1"/>
    </w:pPr>
    <w:rPr>
      <w:rFonts w:ascii="SimSun" w:eastAsia="SimSun" w:hAnsi="SimSun" w:cs="Times New Roman" w:hint="eastAsia"/>
      <w:b/>
      <w:bCs/>
      <w:kern w:val="0"/>
      <w:sz w:val="24"/>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13"/>
        <w:tab w:val="right" w:pos="9026"/>
      </w:tabs>
    </w:pPr>
  </w:style>
  <w:style w:type="paragraph" w:styleId="Header">
    <w:name w:val="header"/>
    <w:basedOn w:val="Normal"/>
    <w:link w:val="HeaderChar"/>
    <w:pPr>
      <w:tabs>
        <w:tab w:val="center" w:pos="4513"/>
        <w:tab w:val="right" w:pos="9026"/>
      </w:tabs>
    </w:pPr>
  </w:style>
  <w:style w:type="paragraph" w:styleId="NormalWeb">
    <w:name w:val="Normal (Web)"/>
    <w:basedOn w:val="Normal"/>
    <w:pPr>
      <w:spacing w:beforeAutospacing="1" w:afterAutospacing="1"/>
      <w:jc w:val="left"/>
    </w:pPr>
    <w:rPr>
      <w:rFonts w:cs="Times New Roman"/>
      <w:kern w:val="0"/>
      <w:sz w:val="24"/>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character" w:styleId="Emphasis">
    <w:name w:val="Emphasis"/>
    <w:basedOn w:val="DefaultParagraphFont"/>
    <w:qFormat/>
    <w:rPr>
      <w:i/>
    </w:rPr>
  </w:style>
  <w:style w:type="character" w:styleId="Hyperlink">
    <w:name w:val="Hyperlink"/>
    <w:basedOn w:val="DefaultParagraphFont"/>
    <w:rPr>
      <w:color w:val="0000FF"/>
      <w:u w:val="single"/>
    </w:rPr>
  </w:style>
  <w:style w:type="character" w:customStyle="1" w:styleId="Heading2Char">
    <w:name w:val="Heading 2 Char"/>
    <w:link w:val="Heading2"/>
    <w:rPr>
      <w:rFonts w:ascii="SimSun" w:eastAsia="SimSun" w:hAnsi="SimSun" w:cs="SimSun" w:hint="eastAsia"/>
      <w:b/>
      <w:bCs/>
      <w:kern w:val="0"/>
      <w:sz w:val="24"/>
      <w:szCs w:val="36"/>
      <w:lang w:val="en-US" w:eastAsia="zh-CN" w:bidi="ar"/>
    </w:rPr>
  </w:style>
  <w:style w:type="character" w:customStyle="1" w:styleId="Heading1Char">
    <w:name w:val="Heading 1 Char"/>
    <w:link w:val="Heading1"/>
    <w:rPr>
      <w:rFonts w:asciiTheme="minorHAnsi" w:eastAsia="Times New Roman" w:hAnsiTheme="minorHAnsi"/>
      <w:b/>
      <w:kern w:val="44"/>
      <w:sz w:val="24"/>
    </w:rPr>
  </w:style>
  <w:style w:type="character" w:customStyle="1" w:styleId="HeaderChar">
    <w:name w:val="Header Char"/>
    <w:basedOn w:val="DefaultParagraphFont"/>
    <w:link w:val="Header"/>
    <w:rPr>
      <w:rFonts w:asciiTheme="minorHAnsi" w:eastAsiaTheme="minorEastAsia" w:hAnsiTheme="minorHAnsi" w:cstheme="minorBidi"/>
      <w:kern w:val="2"/>
      <w:sz w:val="21"/>
      <w:szCs w:val="24"/>
      <w:lang w:val="en-US" w:eastAsia="zh-CN"/>
    </w:rPr>
  </w:style>
  <w:style w:type="character" w:customStyle="1" w:styleId="FooterChar">
    <w:name w:val="Footer Char"/>
    <w:basedOn w:val="DefaultParagraphFont"/>
    <w:link w:val="Footer"/>
    <w:rPr>
      <w:rFonts w:asciiTheme="minorHAnsi" w:eastAsiaTheme="minorEastAsia" w:hAnsiTheme="minorHAnsi" w:cstheme="minorBidi"/>
      <w:kern w:val="2"/>
      <w:sz w:val="21"/>
      <w:szCs w:val="24"/>
      <w:lang w:val="en-US" w:eastAsia="zh-CN"/>
    </w:rPr>
  </w:style>
  <w:style w:type="paragraph" w:customStyle="1" w:styleId="pdq2pgselectionanchorcontainer">
    <w:name w:val="pdq2pg_selectionanchorcontainer"/>
    <w:basedOn w:val="Normal"/>
    <w:rsid w:val="00C16A60"/>
    <w:pPr>
      <w:widowControl/>
      <w:spacing w:before="100" w:beforeAutospacing="1" w:after="100" w:afterAutospacing="1"/>
      <w:jc w:val="left"/>
    </w:pPr>
    <w:rPr>
      <w:rFonts w:ascii="Times New Roman" w:eastAsia="Times New Roman" w:hAnsi="Times New Roman" w:cs="Times New Roman"/>
      <w:kern w:val="0"/>
      <w:sz w:val="24"/>
      <w:lang w:eastAsia="en-US"/>
    </w:rPr>
  </w:style>
  <w:style w:type="paragraph" w:styleId="ListParagraph">
    <w:name w:val="List Paragraph"/>
    <w:basedOn w:val="Normal"/>
    <w:uiPriority w:val="99"/>
    <w:unhideWhenUsed/>
    <w:rsid w:val="00C253AC"/>
    <w:pPr>
      <w:ind w:left="720"/>
      <w:contextualSpacing/>
    </w:pPr>
  </w:style>
  <w:style w:type="character" w:styleId="UnresolvedMention">
    <w:name w:val="Unresolved Mention"/>
    <w:basedOn w:val="DefaultParagraphFont"/>
    <w:uiPriority w:val="99"/>
    <w:semiHidden/>
    <w:unhideWhenUsed/>
    <w:rsid w:val="00AA3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eswa.2024.124167"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56557/ajahss/2026/v9i19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973/jmste.2.2.15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9734/ajess/2025/v51i6198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1016/j.lindif.2023.102274" TargetMode="External"/><Relationship Id="rId14" Type="http://schemas.openxmlformats.org/officeDocument/2006/relationships/hyperlink" Target="https://doi.org/10.26914/c.cnkihy.2025.042292" TargetMode="External"/><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7985</Words>
  <Characters>45515</Characters>
  <Application>Microsoft Office Word</Application>
  <DocSecurity>0</DocSecurity>
  <Lines>379</Lines>
  <Paragraphs>106</Paragraphs>
  <ScaleCrop>false</ScaleCrop>
  <Company/>
  <LinksUpToDate>false</LinksUpToDate>
  <CharactersWithSpaces>53394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刘老师儿</dc:creator>
  <cp:lastModifiedBy>Editor-90</cp:lastModifiedBy>
  <cp:revision>17</cp:revision>
  <dcterms:created xsi:type="dcterms:W3CDTF">2025-12-24T03:06:00Z</dcterms:created>
  <dcterms:modified xsi:type="dcterms:W3CDTF">2026-07-03T08:32:00Z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02296C3791371082DE4A436A635454BD_43</vt:lpwstr>
  </property>
</Properties>
</file>