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2B2CE" w14:textId="639AD4CD" w:rsidR="00C308DD" w:rsidRPr="00261A77" w:rsidRDefault="00000000">
      <w:pPr>
        <w:rPr>
          <w:rFonts w:ascii="Arial" w:hAnsi="Arial" w:cs="Arial"/>
          <w:b/>
          <w:bCs/>
          <w:sz w:val="22"/>
          <w:lang w:val="en-GB"/>
        </w:rPr>
      </w:pPr>
      <w:r w:rsidRPr="00261A77">
        <w:rPr>
          <w:rFonts w:ascii="Arial" w:hAnsi="Arial" w:cs="Arial"/>
          <w:b/>
          <w:bCs/>
          <w:sz w:val="22"/>
          <w:lang w:val="en-GB"/>
        </w:rPr>
        <w:t xml:space="preserve">Diversity and Composition of Anuran Amphibian Communities in Agroecosystems in the Village of Nebo </w:t>
      </w:r>
      <w:r w:rsidR="001F3DF0">
        <w:rPr>
          <w:rFonts w:ascii="Arial" w:hAnsi="Arial" w:cs="Arial"/>
          <w:b/>
          <w:bCs/>
          <w:sz w:val="22"/>
          <w:lang w:val="en-GB"/>
        </w:rPr>
        <w:t xml:space="preserve">, </w:t>
      </w:r>
      <w:r w:rsidRPr="00261A77">
        <w:rPr>
          <w:rFonts w:ascii="Arial" w:hAnsi="Arial" w:cs="Arial"/>
          <w:b/>
          <w:bCs/>
          <w:sz w:val="22"/>
          <w:lang w:val="en-GB"/>
        </w:rPr>
        <w:t>Lôh-Djiboua Region, Southwestern Côte d’Ivoire</w:t>
      </w:r>
    </w:p>
    <w:p w14:paraId="3CE27FAC" w14:textId="77777777" w:rsidR="00C308DD" w:rsidRPr="00261A77" w:rsidRDefault="00C308DD">
      <w:pPr>
        <w:rPr>
          <w:rFonts w:ascii="Arial" w:hAnsi="Arial" w:cs="Arial"/>
          <w:b/>
          <w:bCs/>
          <w:sz w:val="22"/>
          <w:lang w:val="en-GB"/>
        </w:rPr>
      </w:pPr>
    </w:p>
    <w:p w14:paraId="5848C678" w14:textId="77777777" w:rsidR="00C308DD" w:rsidRPr="00261A77" w:rsidRDefault="00000000">
      <w:pPr>
        <w:pStyle w:val="Heading1"/>
        <w:rPr>
          <w:lang w:val="en-GB"/>
        </w:rPr>
      </w:pPr>
      <w:r w:rsidRPr="00261A77">
        <w:rPr>
          <w:lang w:val="en-GB"/>
        </w:rPr>
        <w:t>Abstract</w:t>
      </w:r>
    </w:p>
    <w:p w14:paraId="7AF2D364" w14:textId="77777777" w:rsidR="00C308DD" w:rsidRPr="00261A77" w:rsidRDefault="00000000">
      <w:r w:rsidRPr="00261A77">
        <w:rPr>
          <w:rFonts w:ascii="Arial" w:hAnsi="Arial" w:cs="Arial"/>
          <w:sz w:val="22"/>
          <w:lang w:val="en-GB"/>
        </w:rPr>
        <w:t xml:space="preserve">The expansion of agroecosystems is one of the main causes of habitat change for amphibians in West Africa. This study assessed the diversity, structure, and distribution of anuran amphibian communities in four agroecosystem types (a rice field, an oil palm plantation, a cocoa plantation, and a rubber plantation) in the village of Nebo, Côte d’Ivoire. Surveys were conducted using visual and acoustic methods, and communities were compared using the Shannon and Simpson diversity indices, Pielou’s evenness index, and Sørensen’s similarity index. A total of 1,030 individuals belonging to 25 species, 10 genera, and 8 families were recorded. The families Phrynobatrachidae, Hyperoliidae, and Ptychadenidae were the most diverse. The rice field (21 species) and oil palm plantation (18 species) exhibited the highest species richness, diversity indices, and abundance, whereas the cocoa plantation (8 species) and rubber plantation (5 species) supported fewer species. The species </w:t>
      </w:r>
      <w:r w:rsidRPr="00261A77">
        <w:rPr>
          <w:rFonts w:ascii="Arial" w:hAnsi="Arial" w:cs="Arial"/>
          <w:i/>
          <w:iCs/>
          <w:sz w:val="22"/>
          <w:lang w:val="en-GB"/>
        </w:rPr>
        <w:t>Amnirana albolabris</w:t>
      </w:r>
      <w:r w:rsidRPr="00261A77">
        <w:rPr>
          <w:rFonts w:ascii="Arial" w:hAnsi="Arial" w:cs="Arial"/>
          <w:sz w:val="22"/>
          <w:lang w:val="en-GB"/>
        </w:rPr>
        <w:t xml:space="preserve">, </w:t>
      </w:r>
      <w:r w:rsidRPr="00261A77">
        <w:rPr>
          <w:rFonts w:ascii="Arial" w:hAnsi="Arial" w:cs="Arial"/>
          <w:i/>
          <w:iCs/>
          <w:sz w:val="22"/>
          <w:lang w:val="en-GB"/>
        </w:rPr>
        <w:t>Hyperolius concolor</w:t>
      </w:r>
      <w:r w:rsidRPr="00261A77">
        <w:rPr>
          <w:rFonts w:ascii="Arial" w:hAnsi="Arial" w:cs="Arial"/>
          <w:sz w:val="22"/>
          <w:lang w:val="en-GB"/>
        </w:rPr>
        <w:t xml:space="preserve">, and </w:t>
      </w:r>
      <w:r w:rsidRPr="00261A77">
        <w:rPr>
          <w:rFonts w:ascii="Arial" w:hAnsi="Arial" w:cs="Arial"/>
          <w:i/>
          <w:iCs/>
          <w:sz w:val="22"/>
          <w:lang w:val="en-GB"/>
        </w:rPr>
        <w:t>Leptopelis viridis</w:t>
      </w:r>
      <w:r w:rsidRPr="00261A77">
        <w:rPr>
          <w:rFonts w:ascii="Arial" w:hAnsi="Arial" w:cs="Arial"/>
          <w:sz w:val="22"/>
          <w:lang w:val="en-GB"/>
        </w:rPr>
        <w:t xml:space="preserve"> were present in all agroecosystems, while several species were exclusive to certain habitats. The communities in the rice field and oil palm plantation were highly similar (Cs = 0.821), whereas similarity was lower among the other agroecosystem pairs. Species distribution was primarily associated with water availability, humidity, and vegetation cover. These results indicate that the rice field and oil palm plantation are important habitats for anuran amphibians in the agricultural landscapes of Nebo. Maintaining a mosaic of agroecosystems that incorporates wetlands and patches of natural vegetation appears to be important for preserving amphibian diversity in West African agroecosystems.</w:t>
      </w:r>
    </w:p>
    <w:p w14:paraId="50A48F73" w14:textId="4E775EE8" w:rsidR="00C308DD" w:rsidRPr="00261A77" w:rsidRDefault="00000000">
      <w:pPr>
        <w:pStyle w:val="NormalWeb"/>
      </w:pPr>
      <w:r w:rsidRPr="00261A77">
        <w:rPr>
          <w:rFonts w:ascii="Arial" w:hAnsi="Arial" w:cs="Arial"/>
          <w:sz w:val="22"/>
          <w:szCs w:val="22"/>
          <w:lang w:val="en-GB"/>
        </w:rPr>
        <w:t xml:space="preserve">Keywords: </w:t>
      </w:r>
      <w:r w:rsidR="00314606">
        <w:t>Anura; amphibian diversity; agroecosystems; agricultural landscapes; community composition; habitat heterogeneity; species richness; wetland habitats; conservation.</w:t>
      </w:r>
    </w:p>
    <w:p w14:paraId="54200CD0" w14:textId="77777777" w:rsidR="00C308DD" w:rsidRPr="00261A77" w:rsidRDefault="00000000">
      <w:pPr>
        <w:pStyle w:val="Heading1"/>
        <w:numPr>
          <w:ilvl w:val="0"/>
          <w:numId w:val="8"/>
        </w:numPr>
        <w:spacing w:line="276" w:lineRule="auto"/>
        <w:rPr>
          <w:sz w:val="22"/>
          <w:szCs w:val="22"/>
        </w:rPr>
      </w:pPr>
      <w:r w:rsidRPr="00261A77">
        <w:rPr>
          <w:sz w:val="22"/>
          <w:szCs w:val="22"/>
        </w:rPr>
        <w:t xml:space="preserve">Introduction </w:t>
      </w:r>
    </w:p>
    <w:p w14:paraId="6C985FD3" w14:textId="77777777" w:rsidR="00C308DD" w:rsidRPr="00261A77" w:rsidRDefault="00000000">
      <w:pPr>
        <w:pStyle w:val="NormalWeb"/>
        <w:spacing w:line="276" w:lineRule="auto"/>
        <w:jc w:val="both"/>
        <w:rPr>
          <w:bCs/>
        </w:rPr>
      </w:pPr>
      <w:r w:rsidRPr="00261A77">
        <w:rPr>
          <w:rFonts w:ascii="Arial" w:hAnsi="Arial" w:cs="Arial"/>
          <w:sz w:val="22"/>
          <w:lang w:val="en-GB"/>
        </w:rPr>
        <w:t>Global biodiversity is severely affected by habitat destruction, the intensification of human activities, pollution, and climate change (Baillie et al., 2010). Amphibians are among the most threatened vertebrate groups, with more than 40% of species declining or threatened with extinction (International Union for Conservation of Nature [IUCN], 2023). Because of their high sensitivity to environmental changes, they are considered excellent bioindicators of ecosystem health (Lamotte &amp; Roy, 2003; Mohneke et al., 2010; Wells, 2007). West Africa is home to a rich diversity of amphibians, particularly in the Guineo-Congolese rainforests (Penner et al., 2011; Rödel, 2000). However, this biodiversity is under increasing pressure due to the conversion of natural habitats into agricultural land and deforestation (Newbold et al., 2015). A recent synthesis similarly identifies</w:t>
      </w:r>
      <w:r w:rsidRPr="00261A77">
        <w:rPr>
          <w:rFonts w:ascii="Arial" w:hAnsi="Arial"/>
          <w:bCs/>
          <w:sz w:val="22"/>
        </w:rPr>
        <w:t xml:space="preserve"> habitat destruction, climate change, disease, overexploitation, and chemical contamination as interacting pressures on amphibian populations, reinforcing the importance of habitat protection and systematic monitoring (Shelly &amp; Singh, 2024).</w:t>
      </w:r>
    </w:p>
    <w:p w14:paraId="2CA120CF" w14:textId="77777777" w:rsidR="00C308DD" w:rsidRPr="00261A77" w:rsidRDefault="00000000">
      <w:pPr>
        <w:pStyle w:val="NormalWeb"/>
        <w:spacing w:line="276" w:lineRule="auto"/>
        <w:jc w:val="both"/>
      </w:pPr>
      <w:r w:rsidRPr="00261A77">
        <w:rPr>
          <w:rFonts w:ascii="Arial" w:hAnsi="Arial" w:cs="Arial"/>
          <w:sz w:val="22"/>
          <w:lang w:val="en-GB"/>
        </w:rPr>
        <w:lastRenderedPageBreak/>
        <w:t>In Côte d’Ivoire, the sharp decline in forest cover has led to habitat fragmentation and changes in animal communities, particularly among forest amphibians (Hillers et al., 2008). Agroecosystems now play a significant role in Ivorian landscapes, which are dominated by cocoa, coffee, rubber, and oil palm plantations (Jagoret et al., 2014). Although less favourable than natural habitats, these environments can serve as alternative habitats for certain amphibian species (Boissinot et al., 2019; Kwatrina et al., 2018). Their ability to support biodiversity depends particularly on vegetation structure, water availability, and the intensity of agricultural practices (Nowakowski et al., 2018; Tscharntke et al., 2012).</w:t>
      </w:r>
      <w:r w:rsidRPr="00261A77">
        <w:rPr>
          <w:rFonts w:ascii="Arial" w:hAnsi="Arial"/>
          <w:sz w:val="22"/>
        </w:rPr>
        <w:t xml:space="preserve"> Comparative research across rice fields, marshlands, and built-up habitats has also indicated that habitat heterogeneity and structural complexity can shape amphibian diversity and community composition (Adhikary &amp; Boro, 2022). Recent evidence further indicates that agroforestry systems generally support lower amphibian diversity than native forests, although structurally complex agricultural matrices may retain important assemblages (Cervantes-López &amp; Morante-Filho, 2024). Maintaining heterogeneous landscape mosaics and less intensive, shaded agroforestry systems may therefore support multiple dimensions of amphibian diversity in managed landscapes (Pinzón et al., 2025). Field-based research in tropical agricultural landscapes has also shown that pesticide exposure can markedly reduce amphibian occurrence, underscoring the relevance of agricultural management intensity (Wanger et al., 2023).</w:t>
      </w:r>
    </w:p>
    <w:p w14:paraId="3C74621E" w14:textId="77777777" w:rsidR="00C308DD" w:rsidRPr="00261A77" w:rsidRDefault="00000000">
      <w:pPr>
        <w:pStyle w:val="NormalWeb"/>
        <w:spacing w:line="276" w:lineRule="auto"/>
        <w:jc w:val="both"/>
      </w:pPr>
      <w:r w:rsidRPr="00261A77">
        <w:rPr>
          <w:rFonts w:ascii="Arial" w:hAnsi="Arial" w:cs="Arial"/>
          <w:sz w:val="22"/>
          <w:lang w:val="en-GB"/>
        </w:rPr>
        <w:t>Despite their ecological importance, amphibians in Ivorian agricultural environments remain understudied. Research has focused primarily on protected areas and tropical forests, while the agroecosystems of the southwest, particularly those in the village of Nebo, remain insufficiently documented (Kanga et al., 2021; N’Guessan et al., 2025; Oussou et al., 2022). However, a better understanding of these communities is important for assessing the effects of human activity and guiding conservation efforts. This study aims to survey and identify the anuran amphibian species present, to estimate the species richness and relative abundance of these communities, and to characterise and compare the distribution of species across different agricultural habitats.</w:t>
      </w:r>
    </w:p>
    <w:p w14:paraId="57E4E639" w14:textId="77777777" w:rsidR="00C308DD" w:rsidRPr="00261A77" w:rsidRDefault="00000000">
      <w:pPr>
        <w:pStyle w:val="Heading1"/>
        <w:numPr>
          <w:ilvl w:val="0"/>
          <w:numId w:val="8"/>
        </w:numPr>
        <w:spacing w:line="276" w:lineRule="auto"/>
        <w:rPr>
          <w:sz w:val="22"/>
          <w:szCs w:val="22"/>
          <w:shd w:val="clear" w:color="auto" w:fill="FFFFFF"/>
        </w:rPr>
      </w:pPr>
      <w:r w:rsidRPr="00261A77">
        <w:rPr>
          <w:sz w:val="22"/>
          <w:szCs w:val="22"/>
          <w:shd w:val="clear" w:color="auto" w:fill="FFFFFF"/>
        </w:rPr>
        <w:t>Methods</w:t>
      </w:r>
    </w:p>
    <w:p w14:paraId="036103EF" w14:textId="77777777" w:rsidR="00C308DD" w:rsidRPr="00261A77" w:rsidRDefault="00000000">
      <w:pPr>
        <w:pStyle w:val="Heading2"/>
      </w:pPr>
      <w:r w:rsidRPr="00261A77">
        <w:t xml:space="preserve">2.1. Study site </w:t>
      </w:r>
    </w:p>
    <w:p w14:paraId="3BE09887" w14:textId="77777777" w:rsidR="00C308DD" w:rsidRPr="00261A77" w:rsidRDefault="00000000">
      <w:pPr>
        <w:spacing w:after="0"/>
      </w:pPr>
      <w:r w:rsidRPr="00261A77">
        <w:rPr>
          <w:rFonts w:ascii="Arial" w:hAnsi="Arial" w:cs="Arial"/>
          <w:sz w:val="22"/>
          <w:lang w:val="en-GB"/>
        </w:rPr>
        <w:t>The study was conducted in the agroecosystems of the village of Nebo, located in the Divo Subprefecture (capital of the Lôh-Djiboua region) in southwestern Côte d’Ivoire (Figure 1). This area is one of the country’s main agricultural basins and lies between latitudes 5°30' and 6°15' N and longitudes 5°00' and 5°45' W. The region is characterised by a humid subequatorial climate marked by two rainy seasons and two dry seasons, with annual precipitation ranging from 1,200 to 1,800 mm and average temperatures varying between 25 and 28 °C. The terrain is relatively flat with gentle undulations (Brou et al., 2005).</w:t>
      </w:r>
    </w:p>
    <w:p w14:paraId="32484F6E" w14:textId="77777777" w:rsidR="00C308DD" w:rsidRPr="00261A77" w:rsidRDefault="00000000">
      <w:pPr>
        <w:spacing w:after="0"/>
      </w:pPr>
      <w:r w:rsidRPr="00261A77">
        <w:rPr>
          <w:rFonts w:ascii="Arial" w:hAnsi="Arial" w:cs="Arial"/>
          <w:sz w:val="22"/>
          <w:lang w:val="en-GB"/>
        </w:rPr>
        <w:t xml:space="preserve">The natural vegetation consists of dense, humid, semi-deciduous forest. However, the expansion of agricultural activities has led to a significant decline in forest cover, with natural vegetation being replaced by plantations of cacao, rubber trees, oil palms, and food crops (Jagoret et al., 2014). </w:t>
      </w:r>
    </w:p>
    <w:p w14:paraId="1B1C0761" w14:textId="77777777" w:rsidR="00C308DD" w:rsidRPr="00261A77" w:rsidRDefault="00000000">
      <w:pPr>
        <w:spacing w:after="0"/>
        <w:rPr>
          <w:rFonts w:ascii="Arial" w:hAnsi="Arial" w:cs="Arial"/>
          <w:sz w:val="22"/>
          <w:lang w:val="en-GB"/>
        </w:rPr>
      </w:pPr>
      <w:r w:rsidRPr="00261A77">
        <w:rPr>
          <w:rFonts w:ascii="Arial" w:hAnsi="Arial" w:cs="Arial"/>
          <w:sz w:val="22"/>
          <w:lang w:val="en-GB"/>
        </w:rPr>
        <w:t>The department is also crisscrossed by several watercourses and wetlands that provide suitable habitats for amphibians</w:t>
      </w:r>
      <w:r w:rsidRPr="00261A77">
        <w:rPr>
          <w:lang w:val="en-GB"/>
        </w:rPr>
        <w:t xml:space="preserve"> </w:t>
      </w:r>
      <w:r w:rsidRPr="00261A77">
        <w:rPr>
          <w:rFonts w:ascii="Arial" w:hAnsi="Arial" w:cs="Arial"/>
          <w:sz w:val="22"/>
          <w:lang w:val="en-GB"/>
        </w:rPr>
        <w:t xml:space="preserve">(Houlahan &amp; Findlay, 2003; Knutson et al., 1999). The village of Nebo was selected as the study site due to the significance of its agricultural activities, the diversity of its agroecosystems, and the lack of scientific data on the amphibian </w:t>
      </w:r>
      <w:r w:rsidRPr="00261A77">
        <w:rPr>
          <w:rFonts w:ascii="Arial" w:hAnsi="Arial" w:cs="Arial"/>
          <w:sz w:val="22"/>
          <w:lang w:val="en-GB"/>
        </w:rPr>
        <w:lastRenderedPageBreak/>
        <w:t>communities associated with these anthropogenically altered environments</w:t>
      </w:r>
      <w:r w:rsidRPr="00261A77">
        <w:rPr>
          <w:lang w:val="en-GB"/>
        </w:rPr>
        <w:t xml:space="preserve"> </w:t>
      </w:r>
      <w:r w:rsidRPr="00261A77">
        <w:rPr>
          <w:rFonts w:ascii="Arial" w:hAnsi="Arial" w:cs="Arial"/>
          <w:sz w:val="22"/>
          <w:lang w:val="en-GB"/>
        </w:rPr>
        <w:t xml:space="preserve">(Kouamé et al., 2007; Rödel, 2000). </w:t>
      </w:r>
    </w:p>
    <w:p w14:paraId="1D53D49B" w14:textId="77777777" w:rsidR="00C308DD" w:rsidRPr="00261A77" w:rsidRDefault="00C308DD">
      <w:pPr>
        <w:spacing w:after="0"/>
        <w:rPr>
          <w:rFonts w:ascii="Arial" w:hAnsi="Arial" w:cs="Arial"/>
          <w:sz w:val="22"/>
          <w:lang w:val="en-GB"/>
        </w:rPr>
      </w:pPr>
    </w:p>
    <w:p w14:paraId="340FF2E9" w14:textId="77777777" w:rsidR="00C308DD" w:rsidRPr="00261A77" w:rsidRDefault="00C308DD">
      <w:pPr>
        <w:spacing w:after="0"/>
        <w:rPr>
          <w:rFonts w:ascii="Arial" w:hAnsi="Arial" w:cs="Arial"/>
          <w:sz w:val="22"/>
          <w:lang w:val="en-GB"/>
        </w:rPr>
      </w:pPr>
    </w:p>
    <w:p w14:paraId="62E69BC0" w14:textId="77777777" w:rsidR="00C308DD" w:rsidRPr="00261A77" w:rsidRDefault="00C308DD">
      <w:pPr>
        <w:spacing w:after="0"/>
        <w:rPr>
          <w:rFonts w:ascii="Arial" w:hAnsi="Arial" w:cs="Arial"/>
          <w:sz w:val="22"/>
          <w:lang w:val="en-GB"/>
        </w:rPr>
      </w:pPr>
    </w:p>
    <w:p w14:paraId="43F1FD0D" w14:textId="77777777" w:rsidR="00C308DD" w:rsidRPr="00261A77" w:rsidRDefault="001F3DF0">
      <w:pPr>
        <w:spacing w:after="0"/>
        <w:rPr>
          <w:rFonts w:ascii="Arial" w:hAnsi="Arial" w:cs="Arial"/>
          <w:sz w:val="22"/>
        </w:rPr>
      </w:pPr>
      <w:r>
        <w:rPr>
          <w:noProof/>
        </w:rPr>
        <w:pict w14:anchorId="326F8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407.25pt;height:501.1pt;visibility:visible;mso-wrap-style:square">
            <v:imagedata r:id="rId7" o:title="" croptop="-1f" cropbottom="-1f" cropleft="-1f" cropright="-1f"/>
          </v:shape>
        </w:pict>
      </w:r>
    </w:p>
    <w:p w14:paraId="3585AF92" w14:textId="77777777" w:rsidR="00C308DD" w:rsidRPr="00261A77" w:rsidRDefault="00C308DD">
      <w:pPr>
        <w:spacing w:after="0"/>
        <w:rPr>
          <w:rFonts w:ascii="Arial" w:hAnsi="Arial" w:cs="Arial"/>
          <w:sz w:val="22"/>
        </w:rPr>
      </w:pPr>
    </w:p>
    <w:p w14:paraId="64AD3154" w14:textId="77777777" w:rsidR="00C308DD" w:rsidRPr="00261A77" w:rsidRDefault="00000000">
      <w:pPr>
        <w:spacing w:after="15"/>
        <w:ind w:left="1134" w:hanging="1139"/>
      </w:pPr>
      <w:r w:rsidRPr="00261A77">
        <w:rPr>
          <w:rFonts w:ascii="Arial" w:hAnsi="Arial" w:cs="Arial"/>
          <w:b/>
          <w:iCs/>
          <w:color w:val="000000"/>
          <w:sz w:val="22"/>
          <w:shd w:val="clear" w:color="auto" w:fill="FFFFFF"/>
          <w:lang w:val="en-GB"/>
        </w:rPr>
        <w:t xml:space="preserve">Figure </w:t>
      </w:r>
      <w:proofErr w:type="gramStart"/>
      <w:r w:rsidRPr="00261A77">
        <w:rPr>
          <w:rFonts w:ascii="Arial" w:hAnsi="Arial" w:cs="Arial"/>
          <w:b/>
          <w:iCs/>
          <w:color w:val="000000"/>
          <w:sz w:val="22"/>
          <w:shd w:val="clear" w:color="auto" w:fill="FFFFFF"/>
          <w:lang w:val="en-GB"/>
        </w:rPr>
        <w:t>1 .</w:t>
      </w:r>
      <w:proofErr w:type="gramEnd"/>
      <w:r w:rsidRPr="00261A77">
        <w:rPr>
          <w:rFonts w:ascii="Arial" w:hAnsi="Arial" w:cs="Arial"/>
          <w:b/>
          <w:iCs/>
          <w:color w:val="000000"/>
          <w:sz w:val="22"/>
          <w:shd w:val="clear" w:color="auto" w:fill="FFFFFF"/>
          <w:lang w:val="en-GB"/>
        </w:rPr>
        <w:t xml:space="preserve"> </w:t>
      </w:r>
      <w:r w:rsidRPr="00261A77">
        <w:rPr>
          <w:rFonts w:ascii="Arial" w:hAnsi="Arial" w:cs="Arial"/>
          <w:bCs/>
          <w:iCs/>
          <w:color w:val="000000"/>
          <w:sz w:val="22"/>
          <w:shd w:val="clear" w:color="auto" w:fill="FFFFFF"/>
          <w:lang w:val="en-GB"/>
        </w:rPr>
        <w:t>Location of the village of Nebo in the Lôh-Djiboua region, in southwestern Côte d'Ivoire. (Source: ANSTAT, 2024).</w:t>
      </w:r>
    </w:p>
    <w:p w14:paraId="634A53AE" w14:textId="77777777" w:rsidR="00C308DD" w:rsidRPr="00261A77" w:rsidRDefault="00C308DD">
      <w:pPr>
        <w:spacing w:after="15"/>
        <w:ind w:left="-5"/>
        <w:rPr>
          <w:rFonts w:ascii="Arial" w:hAnsi="Arial" w:cs="Arial"/>
          <w:bCs/>
          <w:iCs/>
          <w:color w:val="000000"/>
          <w:sz w:val="22"/>
          <w:shd w:val="clear" w:color="auto" w:fill="FFFFFF"/>
          <w:lang w:val="en-GB"/>
        </w:rPr>
      </w:pPr>
    </w:p>
    <w:p w14:paraId="35793731" w14:textId="77777777" w:rsidR="00C308DD" w:rsidRPr="00261A77" w:rsidRDefault="00C308DD">
      <w:pPr>
        <w:spacing w:after="15"/>
        <w:ind w:left="-5"/>
        <w:rPr>
          <w:rFonts w:ascii="Arial" w:hAnsi="Arial" w:cs="Arial"/>
          <w:b/>
          <w:bCs/>
          <w:i/>
          <w:iCs/>
          <w:color w:val="000000"/>
          <w:sz w:val="22"/>
          <w:shd w:val="clear" w:color="auto" w:fill="FFFFFF"/>
          <w:lang w:val="en-GB"/>
        </w:rPr>
      </w:pPr>
    </w:p>
    <w:p w14:paraId="06472BBF" w14:textId="77777777" w:rsidR="00C308DD" w:rsidRPr="00261A77" w:rsidRDefault="00000000">
      <w:pPr>
        <w:pStyle w:val="Heading2"/>
        <w:rPr>
          <w:lang w:val="en-GB"/>
        </w:rPr>
      </w:pPr>
      <w:r w:rsidRPr="00261A77">
        <w:rPr>
          <w:lang w:val="en-GB"/>
        </w:rPr>
        <w:lastRenderedPageBreak/>
        <w:t xml:space="preserve">2.2. Data collection </w:t>
      </w:r>
    </w:p>
    <w:p w14:paraId="7365E2CD" w14:textId="77777777" w:rsidR="00C308DD" w:rsidRPr="00261A77" w:rsidRDefault="00000000">
      <w:pPr>
        <w:spacing w:before="240" w:after="0"/>
      </w:pPr>
      <w:r w:rsidRPr="00261A77">
        <w:rPr>
          <w:rFonts w:ascii="Arial" w:eastAsia="Times New Roman" w:hAnsi="Arial" w:cs="Arial"/>
          <w:sz w:val="22"/>
          <w:szCs w:val="24"/>
          <w:lang w:val="en-GB" w:eastAsia="fr-FR"/>
        </w:rPr>
        <w:t>Surveys were conducted in four dominant agroecosystems in Nebo village: a cocoa plantation, a rubber plantation, an oil palm plantation, and a rice field, whose characteristics are presented in Table 1. Rectangular transects 200 m long by 100 m wide were delineated within each agroecosystem. Sampling campaigns were carried out during the rainy season, from April to September 2025, a period particularly favourable to amphibian activity.</w:t>
      </w:r>
    </w:p>
    <w:p w14:paraId="26BAB6F4" w14:textId="77777777" w:rsidR="00C308DD" w:rsidRPr="00261A77" w:rsidRDefault="00000000">
      <w:pPr>
        <w:spacing w:before="240" w:after="0"/>
      </w:pPr>
      <w:r w:rsidRPr="00261A77">
        <w:rPr>
          <w:rFonts w:ascii="Arial" w:eastAsia="Times New Roman" w:hAnsi="Arial" w:cs="Arial"/>
          <w:sz w:val="22"/>
          <w:szCs w:val="24"/>
          <w:lang w:val="en-GB" w:eastAsia="fr-FR"/>
        </w:rPr>
        <w:t xml:space="preserve">Each habitat was visited twice (totalling 32 days) with a constant sampling intensity of 9 hours per visit (5 hours and 30 minutes during the day, from 6:30 AM to 11:00 AM, and 3 hours and 30 minutes at night, from 6:30 PM to 9:00 PM GMT). The agroecosystems were always surveyed by three people (equivalent to 27 person-hours per day), representing a total search effort of 864 person-hours of sampling </w:t>
      </w:r>
      <w:r w:rsidRPr="00261A77">
        <w:rPr>
          <w:rFonts w:ascii="Arial" w:hAnsi="Arial" w:cs="Arial"/>
          <w:bCs/>
          <w:sz w:val="22"/>
          <w:lang w:val="en-GB"/>
        </w:rPr>
        <w:t>(Figure 2)</w:t>
      </w:r>
      <w:r w:rsidRPr="00261A77">
        <w:rPr>
          <w:rFonts w:ascii="Arial" w:eastAsia="Times New Roman" w:hAnsi="Arial" w:cs="Arial"/>
          <w:sz w:val="22"/>
          <w:szCs w:val="24"/>
          <w:lang w:val="en-GB" w:eastAsia="fr-FR"/>
        </w:rPr>
        <w:t>.</w:t>
      </w:r>
    </w:p>
    <w:p w14:paraId="64097871" w14:textId="77777777" w:rsidR="00C308DD" w:rsidRPr="00261A77" w:rsidRDefault="00000000">
      <w:pPr>
        <w:spacing w:before="240" w:after="0"/>
      </w:pPr>
      <w:r w:rsidRPr="00261A77">
        <w:rPr>
          <w:rFonts w:ascii="Arial" w:eastAsia="Times New Roman" w:hAnsi="Arial" w:cs="Arial"/>
          <w:sz w:val="22"/>
          <w:szCs w:val="24"/>
          <w:lang w:val="en-GB" w:eastAsia="fr-FR"/>
        </w:rPr>
        <w:t>Anurans were located using visual and acoustic searches across all habitats (Heyer et al., 1994; Rödel &amp; Ernst, 2004). The visual survey consisted of active and systematic searches within various microhabitats likely to shelter amphibians. Observed individuals were captured by hand or with a dip net. During nocturnal surveys, flashlights were used to locate specimens. Directing light towards the heads of individuals caused temporary disorientation, thereby facilitating their capture.</w:t>
      </w:r>
    </w:p>
    <w:p w14:paraId="5A5E8408" w14:textId="77777777" w:rsidR="00C308DD" w:rsidRPr="00261A77" w:rsidRDefault="00000000">
      <w:pPr>
        <w:spacing w:before="240" w:after="0"/>
      </w:pPr>
      <w:r w:rsidRPr="00261A77">
        <w:rPr>
          <w:rFonts w:ascii="Arial" w:eastAsia="Times New Roman" w:hAnsi="Arial" w:cs="Arial"/>
          <w:sz w:val="22"/>
          <w:szCs w:val="24"/>
          <w:lang w:val="en-GB" w:eastAsia="fr-FR"/>
        </w:rPr>
        <w:t>Captured specimens were photographed and then identified using the guides and identification keys of Rödel and Spieler (2000), Frost (2024), and Madalozzo et al. (2017). After identification using the keys of Rödel and Spieler (2000) and Channing and Rödel (2019), the tip of one toe was clipped from each individual to prevent capture-recapture bias, and the specimen was subsequently released at its capture site.</w:t>
      </w:r>
    </w:p>
    <w:p w14:paraId="76FBFFD8" w14:textId="77777777" w:rsidR="00C308DD" w:rsidRPr="00261A77" w:rsidRDefault="00000000">
      <w:pPr>
        <w:spacing w:before="240" w:after="0"/>
        <w:rPr>
          <w:rFonts w:ascii="Arial" w:eastAsia="Times New Roman" w:hAnsi="Arial" w:cs="Arial"/>
          <w:sz w:val="22"/>
          <w:szCs w:val="24"/>
          <w:lang w:val="en-GB" w:eastAsia="fr-FR"/>
        </w:rPr>
      </w:pPr>
      <w:r w:rsidRPr="00261A77">
        <w:rPr>
          <w:rFonts w:ascii="Arial" w:eastAsia="Times New Roman" w:hAnsi="Arial" w:cs="Arial"/>
          <w:sz w:val="22"/>
          <w:szCs w:val="24"/>
          <w:lang w:val="en-GB" w:eastAsia="fr-FR"/>
        </w:rPr>
        <w:t>Concurrently, the acoustic technique allowed for the detection of species that are difficult to observe visually, particularly males engaged in reproductive activities. In anuran amphibians, vocalisations exhibit species-specific characteristics while remaining relatively constant among individuals of the same species (Köhler et al., 2017; Rödel, 2000). Advertisement calls were recorded using a voice recorder. At the end of the data collection, all recordings were compared with those obtained by Rödel (2000) regarding West African savanna amphibians to identify the species.</w:t>
      </w:r>
    </w:p>
    <w:p w14:paraId="3C92F29C" w14:textId="77777777" w:rsidR="00C308DD" w:rsidRPr="00261A77" w:rsidRDefault="00000000">
      <w:pPr>
        <w:spacing w:before="240"/>
        <w:rPr>
          <w:rFonts w:ascii="Arial" w:hAnsi="Arial" w:cs="Arial"/>
          <w:sz w:val="22"/>
          <w:lang w:val="en-GB"/>
        </w:rPr>
      </w:pPr>
      <w:r w:rsidRPr="00261A77">
        <w:rPr>
          <w:rFonts w:ascii="Arial" w:hAnsi="Arial" w:cs="Arial"/>
          <w:sz w:val="22"/>
          <w:lang w:val="en-GB"/>
        </w:rPr>
        <w:t>Table 1. Characteristics of the Various Agroecosystems in the Village of Nebo</w:t>
      </w:r>
    </w:p>
    <w:tbl>
      <w:tblPr>
        <w:tblW w:w="9464" w:type="dxa"/>
        <w:tblLayout w:type="fixed"/>
        <w:tblLook w:val="04A0" w:firstRow="1" w:lastRow="0" w:firstColumn="1" w:lastColumn="0" w:noHBand="0" w:noVBand="1"/>
      </w:tblPr>
      <w:tblGrid>
        <w:gridCol w:w="1951"/>
        <w:gridCol w:w="3969"/>
        <w:gridCol w:w="1418"/>
        <w:gridCol w:w="1134"/>
        <w:gridCol w:w="992"/>
      </w:tblGrid>
      <w:tr w:rsidR="00C308DD" w:rsidRPr="00261A77" w14:paraId="5846A31B" w14:textId="77777777">
        <w:trPr>
          <w:trHeight w:val="547"/>
        </w:trPr>
        <w:tc>
          <w:tcPr>
            <w:tcW w:w="1951" w:type="dxa"/>
            <w:tcBorders>
              <w:top w:val="single" w:sz="4" w:space="0" w:color="000000"/>
              <w:left w:val="single" w:sz="4" w:space="0" w:color="000000"/>
              <w:bottom w:val="single" w:sz="4" w:space="0" w:color="000000"/>
              <w:right w:val="single" w:sz="4" w:space="0" w:color="000000"/>
            </w:tcBorders>
          </w:tcPr>
          <w:p w14:paraId="6C722F4C"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Agroecosystems</w:t>
            </w:r>
          </w:p>
        </w:tc>
        <w:tc>
          <w:tcPr>
            <w:tcW w:w="3969" w:type="dxa"/>
            <w:tcBorders>
              <w:top w:val="single" w:sz="4" w:space="0" w:color="000000"/>
              <w:left w:val="single" w:sz="4" w:space="0" w:color="000000"/>
              <w:bottom w:val="single" w:sz="4" w:space="0" w:color="000000"/>
              <w:right w:val="single" w:sz="4" w:space="0" w:color="000000"/>
            </w:tcBorders>
          </w:tcPr>
          <w:p w14:paraId="738D74A3"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Vegetation Structure</w:t>
            </w:r>
          </w:p>
        </w:tc>
        <w:tc>
          <w:tcPr>
            <w:tcW w:w="1418" w:type="dxa"/>
            <w:tcBorders>
              <w:top w:val="single" w:sz="4" w:space="0" w:color="000000"/>
              <w:left w:val="single" w:sz="4" w:space="0" w:color="000000"/>
              <w:bottom w:val="single" w:sz="4" w:space="0" w:color="000000"/>
              <w:right w:val="single" w:sz="4" w:space="0" w:color="000000"/>
            </w:tcBorders>
          </w:tcPr>
          <w:p w14:paraId="14C07F23"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Watercourse</w:t>
            </w:r>
          </w:p>
        </w:tc>
        <w:tc>
          <w:tcPr>
            <w:tcW w:w="1134" w:type="dxa"/>
            <w:tcBorders>
              <w:top w:val="single" w:sz="4" w:space="0" w:color="000000"/>
              <w:left w:val="single" w:sz="4" w:space="0" w:color="000000"/>
              <w:bottom w:val="single" w:sz="4" w:space="0" w:color="000000"/>
              <w:right w:val="single" w:sz="4" w:space="0" w:color="000000"/>
            </w:tcBorders>
          </w:tcPr>
          <w:p w14:paraId="37DA272D"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 xml:space="preserve">Relief </w:t>
            </w:r>
          </w:p>
        </w:tc>
        <w:tc>
          <w:tcPr>
            <w:tcW w:w="992" w:type="dxa"/>
            <w:tcBorders>
              <w:top w:val="single" w:sz="4" w:space="0" w:color="000000"/>
              <w:left w:val="single" w:sz="4" w:space="0" w:color="000000"/>
              <w:bottom w:val="single" w:sz="4" w:space="0" w:color="000000"/>
              <w:right w:val="single" w:sz="4" w:space="0" w:color="000000"/>
            </w:tcBorders>
          </w:tcPr>
          <w:p w14:paraId="471DAB6F" w14:textId="77777777" w:rsidR="00C308DD" w:rsidRPr="00261A77" w:rsidRDefault="00000000">
            <w:pPr>
              <w:pStyle w:val="NormalWeb"/>
              <w:spacing w:after="0" w:line="276" w:lineRule="auto"/>
              <w:jc w:val="both"/>
            </w:pPr>
            <w:r w:rsidRPr="00261A77">
              <w:rPr>
                <w:rFonts w:ascii="Arial" w:hAnsi="Arial" w:cs="Arial"/>
                <w:sz w:val="20"/>
                <w:szCs w:val="20"/>
              </w:rPr>
              <w:t>Age</w:t>
            </w:r>
          </w:p>
        </w:tc>
      </w:tr>
      <w:tr w:rsidR="00C308DD" w:rsidRPr="00261A77" w14:paraId="3360E198" w14:textId="77777777">
        <w:trPr>
          <w:trHeight w:val="719"/>
        </w:trPr>
        <w:tc>
          <w:tcPr>
            <w:tcW w:w="1951" w:type="dxa"/>
            <w:tcBorders>
              <w:top w:val="single" w:sz="4" w:space="0" w:color="000000"/>
              <w:left w:val="single" w:sz="4" w:space="0" w:color="000000"/>
              <w:bottom w:val="single" w:sz="4" w:space="0" w:color="000000"/>
              <w:right w:val="single" w:sz="4" w:space="0" w:color="000000"/>
            </w:tcBorders>
          </w:tcPr>
          <w:p w14:paraId="28EC1E39"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Oil Palm Plantation</w:t>
            </w:r>
          </w:p>
        </w:tc>
        <w:tc>
          <w:tcPr>
            <w:tcW w:w="3969" w:type="dxa"/>
            <w:tcBorders>
              <w:top w:val="single" w:sz="4" w:space="0" w:color="000000"/>
              <w:left w:val="single" w:sz="4" w:space="0" w:color="000000"/>
              <w:bottom w:val="single" w:sz="4" w:space="0" w:color="000000"/>
              <w:right w:val="single" w:sz="4" w:space="0" w:color="000000"/>
            </w:tcBorders>
          </w:tcPr>
          <w:p w14:paraId="05503B44" w14:textId="77777777" w:rsidR="00C308DD" w:rsidRPr="00261A77" w:rsidRDefault="00000000">
            <w:pPr>
              <w:pStyle w:val="NormalWeb"/>
              <w:spacing w:before="0" w:after="0"/>
            </w:pPr>
            <w:r w:rsidRPr="00261A77">
              <w:rPr>
                <w:rFonts w:ascii="Arial" w:hAnsi="Arial" w:cs="Arial"/>
                <w:sz w:val="20"/>
                <w:szCs w:val="20"/>
                <w:lang w:val="en-GB"/>
              </w:rPr>
              <w:t>- Herbaceous understory consisting of grasses, Cyperaceae, and ruderal plants;</w:t>
            </w:r>
          </w:p>
          <w:p w14:paraId="71FE48E9" w14:textId="77777777" w:rsidR="00C308DD" w:rsidRPr="00261A77" w:rsidRDefault="00000000">
            <w:pPr>
              <w:pStyle w:val="NormalWeb"/>
              <w:spacing w:before="0" w:after="0" w:line="276" w:lineRule="auto"/>
              <w:jc w:val="both"/>
              <w:rPr>
                <w:rFonts w:ascii="Arial" w:hAnsi="Arial" w:cs="Arial"/>
                <w:sz w:val="20"/>
                <w:szCs w:val="20"/>
                <w:lang w:val="en-GB"/>
              </w:rPr>
            </w:pPr>
            <w:r w:rsidRPr="00261A77">
              <w:rPr>
                <w:rFonts w:ascii="Arial" w:hAnsi="Arial" w:cs="Arial"/>
                <w:sz w:val="20"/>
                <w:szCs w:val="20"/>
                <w:lang w:val="en-GB"/>
              </w:rPr>
              <w:t>- Thick litter between the rows.</w:t>
            </w:r>
          </w:p>
        </w:tc>
        <w:tc>
          <w:tcPr>
            <w:tcW w:w="1418" w:type="dxa"/>
            <w:tcBorders>
              <w:top w:val="single" w:sz="4" w:space="0" w:color="000000"/>
              <w:left w:val="single" w:sz="4" w:space="0" w:color="000000"/>
              <w:bottom w:val="single" w:sz="4" w:space="0" w:color="000000"/>
              <w:right w:val="single" w:sz="4" w:space="0" w:color="000000"/>
            </w:tcBorders>
          </w:tcPr>
          <w:p w14:paraId="43400F1A"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Seasonal River</w:t>
            </w:r>
          </w:p>
        </w:tc>
        <w:tc>
          <w:tcPr>
            <w:tcW w:w="1134" w:type="dxa"/>
            <w:tcBorders>
              <w:top w:val="single" w:sz="4" w:space="0" w:color="000000"/>
              <w:left w:val="single" w:sz="4" w:space="0" w:color="000000"/>
              <w:bottom w:val="single" w:sz="4" w:space="0" w:color="000000"/>
              <w:right w:val="single" w:sz="4" w:space="0" w:color="000000"/>
            </w:tcBorders>
          </w:tcPr>
          <w:p w14:paraId="0B90270C"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Plain (lowland)</w:t>
            </w:r>
          </w:p>
        </w:tc>
        <w:tc>
          <w:tcPr>
            <w:tcW w:w="992" w:type="dxa"/>
            <w:tcBorders>
              <w:top w:val="single" w:sz="4" w:space="0" w:color="000000"/>
              <w:left w:val="single" w:sz="4" w:space="0" w:color="000000"/>
              <w:bottom w:val="single" w:sz="4" w:space="0" w:color="000000"/>
              <w:right w:val="single" w:sz="4" w:space="0" w:color="000000"/>
            </w:tcBorders>
          </w:tcPr>
          <w:p w14:paraId="3436BF97"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15 years</w:t>
            </w:r>
          </w:p>
        </w:tc>
      </w:tr>
      <w:tr w:rsidR="00C308DD" w:rsidRPr="00261A77" w14:paraId="0F7B6B03" w14:textId="77777777">
        <w:trPr>
          <w:trHeight w:val="1127"/>
        </w:trPr>
        <w:tc>
          <w:tcPr>
            <w:tcW w:w="1951" w:type="dxa"/>
            <w:tcBorders>
              <w:top w:val="single" w:sz="4" w:space="0" w:color="000000"/>
              <w:left w:val="single" w:sz="4" w:space="0" w:color="000000"/>
              <w:bottom w:val="single" w:sz="4" w:space="0" w:color="000000"/>
              <w:right w:val="single" w:sz="4" w:space="0" w:color="000000"/>
            </w:tcBorders>
          </w:tcPr>
          <w:p w14:paraId="26BB409D"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Rubber Plantation</w:t>
            </w:r>
          </w:p>
        </w:tc>
        <w:tc>
          <w:tcPr>
            <w:tcW w:w="3969" w:type="dxa"/>
            <w:tcBorders>
              <w:top w:val="single" w:sz="4" w:space="0" w:color="000000"/>
              <w:left w:val="single" w:sz="4" w:space="0" w:color="000000"/>
              <w:bottom w:val="single" w:sz="4" w:space="0" w:color="000000"/>
              <w:right w:val="single" w:sz="4" w:space="0" w:color="000000"/>
            </w:tcBorders>
          </w:tcPr>
          <w:p w14:paraId="78AA89F1" w14:textId="77777777" w:rsidR="00C308DD" w:rsidRPr="00261A77" w:rsidRDefault="00000000">
            <w:pPr>
              <w:pStyle w:val="NormalWeb"/>
              <w:spacing w:before="0" w:after="0" w:line="276" w:lineRule="auto"/>
              <w:jc w:val="both"/>
              <w:rPr>
                <w:rFonts w:ascii="Arial" w:hAnsi="Arial" w:cs="Arial"/>
                <w:sz w:val="20"/>
                <w:szCs w:val="20"/>
                <w:lang w:val="en-GB"/>
              </w:rPr>
            </w:pPr>
            <w:r w:rsidRPr="00261A77">
              <w:rPr>
                <w:rFonts w:ascii="Arial" w:hAnsi="Arial" w:cs="Arial"/>
                <w:sz w:val="20"/>
                <w:szCs w:val="20"/>
                <w:lang w:val="en-GB"/>
              </w:rPr>
              <w:t xml:space="preserve">- </w:t>
            </w:r>
            <w:proofErr w:type="gramStart"/>
            <w:r w:rsidRPr="00261A77">
              <w:rPr>
                <w:rFonts w:ascii="Arial" w:hAnsi="Arial" w:cs="Arial"/>
                <w:sz w:val="20"/>
                <w:szCs w:val="20"/>
                <w:lang w:val="en-GB"/>
              </w:rPr>
              <w:t>A</w:t>
            </w:r>
            <w:proofErr w:type="gramEnd"/>
            <w:r w:rsidRPr="00261A77">
              <w:rPr>
                <w:rFonts w:ascii="Arial" w:hAnsi="Arial" w:cs="Arial"/>
                <w:sz w:val="20"/>
                <w:szCs w:val="20"/>
                <w:lang w:val="en-GB"/>
              </w:rPr>
              <w:t xml:space="preserve"> herbaceous layer consisting of grasses, ferns, and </w:t>
            </w:r>
            <w:proofErr w:type="gramStart"/>
            <w:r w:rsidRPr="00261A77">
              <w:rPr>
                <w:rFonts w:ascii="Arial" w:hAnsi="Arial" w:cs="Arial"/>
                <w:sz w:val="20"/>
                <w:szCs w:val="20"/>
                <w:lang w:val="en-GB"/>
              </w:rPr>
              <w:t>weeds ;</w:t>
            </w:r>
            <w:proofErr w:type="gramEnd"/>
          </w:p>
          <w:p w14:paraId="417AEA9F" w14:textId="77777777" w:rsidR="00C308DD" w:rsidRPr="00261A77" w:rsidRDefault="00000000">
            <w:pPr>
              <w:pStyle w:val="NormalWeb"/>
              <w:spacing w:before="0" w:after="0" w:line="276" w:lineRule="auto"/>
              <w:jc w:val="both"/>
              <w:rPr>
                <w:rFonts w:ascii="Arial" w:hAnsi="Arial" w:cs="Arial"/>
                <w:sz w:val="20"/>
                <w:szCs w:val="20"/>
                <w:lang w:val="en-GB"/>
              </w:rPr>
            </w:pPr>
            <w:r w:rsidRPr="00261A77">
              <w:rPr>
                <w:rFonts w:ascii="Arial" w:hAnsi="Arial" w:cs="Arial"/>
                <w:sz w:val="20"/>
                <w:szCs w:val="20"/>
                <w:lang w:val="en-GB"/>
              </w:rPr>
              <w:t>- A more or less abundant layer of rubber tree leaves.</w:t>
            </w:r>
          </w:p>
        </w:tc>
        <w:tc>
          <w:tcPr>
            <w:tcW w:w="1418" w:type="dxa"/>
            <w:tcBorders>
              <w:top w:val="single" w:sz="4" w:space="0" w:color="000000"/>
              <w:left w:val="single" w:sz="4" w:space="0" w:color="000000"/>
              <w:bottom w:val="single" w:sz="4" w:space="0" w:color="000000"/>
              <w:right w:val="single" w:sz="4" w:space="0" w:color="000000"/>
            </w:tcBorders>
          </w:tcPr>
          <w:p w14:paraId="2387AA35"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Seasonal Stream</w:t>
            </w:r>
          </w:p>
        </w:tc>
        <w:tc>
          <w:tcPr>
            <w:tcW w:w="1134" w:type="dxa"/>
            <w:tcBorders>
              <w:top w:val="single" w:sz="4" w:space="0" w:color="000000"/>
              <w:left w:val="single" w:sz="4" w:space="0" w:color="000000"/>
              <w:bottom w:val="single" w:sz="4" w:space="0" w:color="000000"/>
              <w:right w:val="single" w:sz="4" w:space="0" w:color="000000"/>
            </w:tcBorders>
          </w:tcPr>
          <w:p w14:paraId="269981EE"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Plateau</w:t>
            </w:r>
          </w:p>
        </w:tc>
        <w:tc>
          <w:tcPr>
            <w:tcW w:w="992" w:type="dxa"/>
            <w:tcBorders>
              <w:top w:val="single" w:sz="4" w:space="0" w:color="000000"/>
              <w:left w:val="single" w:sz="4" w:space="0" w:color="000000"/>
              <w:bottom w:val="single" w:sz="4" w:space="0" w:color="000000"/>
              <w:right w:val="single" w:sz="4" w:space="0" w:color="000000"/>
            </w:tcBorders>
          </w:tcPr>
          <w:p w14:paraId="6A1A56A8"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15 years</w:t>
            </w:r>
          </w:p>
        </w:tc>
      </w:tr>
      <w:tr w:rsidR="00C308DD" w:rsidRPr="00261A77" w14:paraId="615AA066" w14:textId="77777777">
        <w:trPr>
          <w:trHeight w:val="614"/>
        </w:trPr>
        <w:tc>
          <w:tcPr>
            <w:tcW w:w="1951" w:type="dxa"/>
            <w:tcBorders>
              <w:top w:val="single" w:sz="4" w:space="0" w:color="000000"/>
              <w:left w:val="single" w:sz="4" w:space="0" w:color="000000"/>
              <w:bottom w:val="single" w:sz="4" w:space="0" w:color="000000"/>
              <w:right w:val="single" w:sz="4" w:space="0" w:color="000000"/>
            </w:tcBorders>
          </w:tcPr>
          <w:p w14:paraId="0CC50EDC"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Cocoa plantation</w:t>
            </w:r>
          </w:p>
          <w:p w14:paraId="7ED7CD4F" w14:textId="77777777" w:rsidR="00C308DD" w:rsidRPr="00261A77" w:rsidRDefault="00C308DD">
            <w:pPr>
              <w:pStyle w:val="NormalWeb"/>
              <w:spacing w:after="0" w:line="276" w:lineRule="auto"/>
              <w:jc w:val="both"/>
              <w:rPr>
                <w:rFonts w:ascii="Arial" w:hAnsi="Arial"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37EC432A" w14:textId="77777777" w:rsidR="00C308DD" w:rsidRPr="00261A77" w:rsidRDefault="00000000">
            <w:pPr>
              <w:pStyle w:val="NormalWeb"/>
              <w:spacing w:before="0" w:after="0"/>
              <w:jc w:val="both"/>
              <w:rPr>
                <w:rFonts w:ascii="Arial" w:hAnsi="Arial" w:cs="Arial"/>
                <w:sz w:val="20"/>
                <w:szCs w:val="20"/>
                <w:lang w:val="en-GB"/>
              </w:rPr>
            </w:pPr>
            <w:r w:rsidRPr="00261A77">
              <w:rPr>
                <w:rFonts w:ascii="Arial" w:hAnsi="Arial" w:cs="Arial"/>
                <w:sz w:val="20"/>
                <w:szCs w:val="20"/>
                <w:lang w:val="en-GB"/>
              </w:rPr>
              <w:lastRenderedPageBreak/>
              <w:t>- Upper tree layer: existing or planted shade trees;</w:t>
            </w:r>
          </w:p>
          <w:p w14:paraId="7DD978A6" w14:textId="77777777" w:rsidR="00C308DD" w:rsidRPr="00261A77" w:rsidRDefault="00000000">
            <w:pPr>
              <w:pStyle w:val="NormalWeb"/>
              <w:spacing w:before="0" w:after="0"/>
              <w:jc w:val="both"/>
              <w:rPr>
                <w:rFonts w:ascii="Arial" w:hAnsi="Arial" w:cs="Arial"/>
                <w:sz w:val="20"/>
                <w:szCs w:val="20"/>
                <w:lang w:val="en-GB"/>
              </w:rPr>
            </w:pPr>
            <w:r w:rsidRPr="00261A77">
              <w:rPr>
                <w:rFonts w:ascii="Arial" w:hAnsi="Arial" w:cs="Arial"/>
                <w:sz w:val="20"/>
                <w:szCs w:val="20"/>
                <w:lang w:val="en-GB"/>
              </w:rPr>
              <w:t xml:space="preserve">- Herbaceous layer: grasses, ferns and </w:t>
            </w:r>
            <w:r w:rsidRPr="00261A77">
              <w:rPr>
                <w:rFonts w:ascii="Arial" w:hAnsi="Arial" w:cs="Arial"/>
                <w:sz w:val="20"/>
                <w:szCs w:val="20"/>
                <w:lang w:val="en-GB"/>
              </w:rPr>
              <w:lastRenderedPageBreak/>
              <w:t xml:space="preserve">creeping plants; </w:t>
            </w:r>
          </w:p>
          <w:p w14:paraId="1AF662B5" w14:textId="77777777" w:rsidR="00C308DD" w:rsidRPr="00261A77" w:rsidRDefault="00000000">
            <w:pPr>
              <w:pStyle w:val="NormalWeb"/>
              <w:spacing w:before="0" w:after="0"/>
              <w:jc w:val="both"/>
              <w:rPr>
                <w:rFonts w:ascii="Arial" w:hAnsi="Arial" w:cs="Arial"/>
                <w:sz w:val="20"/>
                <w:szCs w:val="20"/>
                <w:lang w:val="en-GB"/>
              </w:rPr>
            </w:pPr>
            <w:r w:rsidRPr="00261A77">
              <w:rPr>
                <w:rFonts w:ascii="Arial" w:hAnsi="Arial" w:cs="Arial"/>
                <w:sz w:val="20"/>
                <w:szCs w:val="20"/>
                <w:lang w:val="en-GB"/>
              </w:rPr>
              <w:t>- Abundant litter: dead leaves, pods and plant debris.</w:t>
            </w:r>
          </w:p>
        </w:tc>
        <w:tc>
          <w:tcPr>
            <w:tcW w:w="1418" w:type="dxa"/>
            <w:tcBorders>
              <w:top w:val="single" w:sz="4" w:space="0" w:color="000000"/>
              <w:left w:val="single" w:sz="4" w:space="0" w:color="000000"/>
              <w:bottom w:val="single" w:sz="4" w:space="0" w:color="000000"/>
              <w:right w:val="single" w:sz="4" w:space="0" w:color="000000"/>
            </w:tcBorders>
          </w:tcPr>
          <w:p w14:paraId="79356A87"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lastRenderedPageBreak/>
              <w:t xml:space="preserve">Seasonal </w:t>
            </w:r>
            <w:r w:rsidRPr="00261A77">
              <w:rPr>
                <w:rFonts w:ascii="Arial" w:hAnsi="Arial" w:cs="Arial"/>
                <w:sz w:val="20"/>
                <w:szCs w:val="20"/>
              </w:rPr>
              <w:lastRenderedPageBreak/>
              <w:t>Stream</w:t>
            </w:r>
          </w:p>
          <w:p w14:paraId="1144C6C4" w14:textId="77777777" w:rsidR="00C308DD" w:rsidRPr="00261A77" w:rsidRDefault="00C308DD">
            <w:pPr>
              <w:pStyle w:val="NormalWeb"/>
              <w:spacing w:after="0" w:line="276" w:lineRule="auto"/>
              <w:jc w:val="both"/>
              <w:rPr>
                <w:rFonts w:ascii="Arial" w:hAnsi="Arial" w:cs="Arial"/>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689FB49"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lastRenderedPageBreak/>
              <w:t>Plateau</w:t>
            </w:r>
          </w:p>
        </w:tc>
        <w:tc>
          <w:tcPr>
            <w:tcW w:w="992" w:type="dxa"/>
            <w:tcBorders>
              <w:top w:val="single" w:sz="4" w:space="0" w:color="000000"/>
              <w:left w:val="single" w:sz="4" w:space="0" w:color="000000"/>
              <w:bottom w:val="single" w:sz="4" w:space="0" w:color="000000"/>
              <w:right w:val="single" w:sz="4" w:space="0" w:color="000000"/>
            </w:tcBorders>
          </w:tcPr>
          <w:p w14:paraId="4679EE32" w14:textId="77777777" w:rsidR="00C308DD" w:rsidRPr="00261A77" w:rsidRDefault="00000000">
            <w:pPr>
              <w:pStyle w:val="NormalWeb"/>
              <w:spacing w:before="0" w:line="276" w:lineRule="auto"/>
              <w:jc w:val="both"/>
              <w:rPr>
                <w:rFonts w:ascii="Arial" w:hAnsi="Arial" w:cs="Arial"/>
                <w:sz w:val="20"/>
                <w:szCs w:val="20"/>
              </w:rPr>
            </w:pPr>
            <w:r w:rsidRPr="00261A77">
              <w:rPr>
                <w:rFonts w:ascii="Arial" w:hAnsi="Arial" w:cs="Arial"/>
                <w:sz w:val="20"/>
                <w:szCs w:val="20"/>
              </w:rPr>
              <w:t>15 years</w:t>
            </w:r>
          </w:p>
          <w:p w14:paraId="4EB3C35D" w14:textId="77777777" w:rsidR="00C308DD" w:rsidRPr="00261A77" w:rsidRDefault="00C308DD">
            <w:pPr>
              <w:pStyle w:val="NormalWeb"/>
              <w:spacing w:after="0" w:line="276" w:lineRule="auto"/>
              <w:jc w:val="both"/>
              <w:rPr>
                <w:rFonts w:ascii="Arial" w:hAnsi="Arial" w:cs="Arial"/>
                <w:sz w:val="20"/>
                <w:szCs w:val="20"/>
              </w:rPr>
            </w:pPr>
          </w:p>
        </w:tc>
      </w:tr>
      <w:tr w:rsidR="00C308DD" w:rsidRPr="00261A77" w14:paraId="6A03627F" w14:textId="77777777">
        <w:trPr>
          <w:trHeight w:val="624"/>
        </w:trPr>
        <w:tc>
          <w:tcPr>
            <w:tcW w:w="1951" w:type="dxa"/>
            <w:tcBorders>
              <w:top w:val="single" w:sz="4" w:space="0" w:color="000000"/>
              <w:left w:val="single" w:sz="4" w:space="0" w:color="000000"/>
              <w:bottom w:val="single" w:sz="4" w:space="0" w:color="000000"/>
              <w:right w:val="single" w:sz="4" w:space="0" w:color="000000"/>
            </w:tcBorders>
          </w:tcPr>
          <w:p w14:paraId="6CC84C2F"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lastRenderedPageBreak/>
              <w:t>Rice fields</w:t>
            </w:r>
          </w:p>
        </w:tc>
        <w:tc>
          <w:tcPr>
            <w:tcW w:w="3969" w:type="dxa"/>
            <w:tcBorders>
              <w:top w:val="single" w:sz="4" w:space="0" w:color="000000"/>
              <w:left w:val="single" w:sz="4" w:space="0" w:color="000000"/>
              <w:bottom w:val="single" w:sz="4" w:space="0" w:color="000000"/>
              <w:right w:val="single" w:sz="4" w:space="0" w:color="000000"/>
            </w:tcBorders>
          </w:tcPr>
          <w:p w14:paraId="5B1F8CD3" w14:textId="77777777" w:rsidR="00C308DD" w:rsidRPr="00261A77" w:rsidRDefault="00000000">
            <w:pPr>
              <w:pStyle w:val="NormalWeb"/>
              <w:spacing w:before="0" w:after="0"/>
              <w:jc w:val="both"/>
              <w:rPr>
                <w:rFonts w:ascii="Arial" w:hAnsi="Arial" w:cs="Arial"/>
                <w:sz w:val="20"/>
                <w:szCs w:val="20"/>
                <w:lang w:val="en-GB"/>
              </w:rPr>
            </w:pPr>
            <w:r w:rsidRPr="00261A77">
              <w:rPr>
                <w:rFonts w:ascii="Arial" w:hAnsi="Arial" w:cs="Arial"/>
                <w:sz w:val="20"/>
                <w:szCs w:val="20"/>
                <w:lang w:val="en-GB"/>
              </w:rPr>
              <w:t>- Aquatic and semi-aquatic plants</w:t>
            </w:r>
          </w:p>
          <w:p w14:paraId="646A6E44" w14:textId="77777777" w:rsidR="00C308DD" w:rsidRPr="00261A77" w:rsidRDefault="00000000">
            <w:pPr>
              <w:pStyle w:val="NormalWeb"/>
              <w:spacing w:before="0" w:after="0"/>
              <w:jc w:val="both"/>
              <w:rPr>
                <w:rFonts w:ascii="Arial" w:hAnsi="Arial" w:cs="Arial"/>
                <w:sz w:val="20"/>
                <w:szCs w:val="20"/>
                <w:lang w:val="en-GB"/>
              </w:rPr>
            </w:pPr>
            <w:r w:rsidRPr="00261A77">
              <w:rPr>
                <w:rFonts w:ascii="Arial" w:hAnsi="Arial" w:cs="Arial"/>
                <w:sz w:val="20"/>
                <w:szCs w:val="20"/>
                <w:lang w:val="en-GB"/>
              </w:rPr>
              <w:t xml:space="preserve">- Vegetation on embankments and along the banks: herbaceous plants, grasses and small shrubs. </w:t>
            </w:r>
          </w:p>
        </w:tc>
        <w:tc>
          <w:tcPr>
            <w:tcW w:w="1418" w:type="dxa"/>
            <w:tcBorders>
              <w:top w:val="single" w:sz="4" w:space="0" w:color="000000"/>
              <w:left w:val="single" w:sz="4" w:space="0" w:color="000000"/>
              <w:bottom w:val="single" w:sz="4" w:space="0" w:color="000000"/>
              <w:right w:val="single" w:sz="4" w:space="0" w:color="000000"/>
            </w:tcBorders>
          </w:tcPr>
          <w:p w14:paraId="62150AF5"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Permanent river</w:t>
            </w:r>
          </w:p>
        </w:tc>
        <w:tc>
          <w:tcPr>
            <w:tcW w:w="1134" w:type="dxa"/>
            <w:tcBorders>
              <w:top w:val="single" w:sz="4" w:space="0" w:color="000000"/>
              <w:left w:val="single" w:sz="4" w:space="0" w:color="000000"/>
              <w:bottom w:val="single" w:sz="4" w:space="0" w:color="000000"/>
              <w:right w:val="single" w:sz="4" w:space="0" w:color="000000"/>
            </w:tcBorders>
          </w:tcPr>
          <w:p w14:paraId="5C523431"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Plain (lowland)</w:t>
            </w:r>
          </w:p>
        </w:tc>
        <w:tc>
          <w:tcPr>
            <w:tcW w:w="992" w:type="dxa"/>
            <w:tcBorders>
              <w:top w:val="single" w:sz="4" w:space="0" w:color="000000"/>
              <w:left w:val="single" w:sz="4" w:space="0" w:color="000000"/>
              <w:bottom w:val="single" w:sz="4" w:space="0" w:color="000000"/>
              <w:right w:val="single" w:sz="4" w:space="0" w:color="000000"/>
            </w:tcBorders>
          </w:tcPr>
          <w:p w14:paraId="58A917D0" w14:textId="77777777" w:rsidR="00C308DD" w:rsidRPr="00261A77" w:rsidRDefault="00000000">
            <w:pPr>
              <w:pStyle w:val="NormalWeb"/>
              <w:spacing w:after="0" w:line="276" w:lineRule="auto"/>
              <w:jc w:val="both"/>
              <w:rPr>
                <w:rFonts w:ascii="Arial" w:hAnsi="Arial" w:cs="Arial"/>
                <w:sz w:val="20"/>
                <w:szCs w:val="20"/>
              </w:rPr>
            </w:pPr>
            <w:r w:rsidRPr="00261A77">
              <w:rPr>
                <w:rFonts w:ascii="Arial" w:hAnsi="Arial" w:cs="Arial"/>
                <w:sz w:val="20"/>
                <w:szCs w:val="20"/>
              </w:rPr>
              <w:t>6 months</w:t>
            </w:r>
          </w:p>
        </w:tc>
      </w:tr>
    </w:tbl>
    <w:p w14:paraId="1EE69D79" w14:textId="77777777" w:rsidR="00C308DD" w:rsidRPr="00261A77" w:rsidRDefault="00C308DD">
      <w:pPr>
        <w:pStyle w:val="NormalWeb"/>
        <w:spacing w:before="0" w:line="276" w:lineRule="auto"/>
        <w:jc w:val="both"/>
        <w:rPr>
          <w:rFonts w:ascii="Arial" w:hAnsi="Arial" w:cs="Arial"/>
          <w:sz w:val="22"/>
          <w:szCs w:val="22"/>
          <w:lang w:val="en-GB"/>
        </w:rPr>
      </w:pPr>
    </w:p>
    <w:p w14:paraId="1033DDB0" w14:textId="77777777" w:rsidR="00C308DD" w:rsidRPr="00261A77" w:rsidRDefault="001F3DF0">
      <w:pPr>
        <w:pStyle w:val="NormalWeb"/>
        <w:spacing w:before="0" w:line="276" w:lineRule="auto"/>
        <w:jc w:val="center"/>
        <w:rPr>
          <w:rFonts w:ascii="Arial" w:hAnsi="Arial" w:cs="Arial"/>
          <w:sz w:val="22"/>
          <w:szCs w:val="22"/>
          <w:lang w:val="en-GB"/>
        </w:rPr>
      </w:pPr>
      <w:r>
        <w:rPr>
          <w:noProof/>
        </w:rPr>
        <w:pict w14:anchorId="025C2F28">
          <v:shape id="Image2" o:spid="_x0000_i1026" type="#_x0000_t75" style="width:399.15pt;height:283.95pt;visibility:visible;mso-wrap-style:square">
            <v:imagedata r:id="rId8" o:title="" croptop="-4f" cropbottom="-4f" cropleft="-3f" cropright="-3f"/>
          </v:shape>
        </w:pict>
      </w:r>
    </w:p>
    <w:p w14:paraId="30CC5B4A" w14:textId="77777777" w:rsidR="00C308DD" w:rsidRPr="00261A77" w:rsidRDefault="00000000">
      <w:pPr>
        <w:pStyle w:val="NormalWeb"/>
        <w:spacing w:before="0" w:line="276" w:lineRule="auto"/>
        <w:jc w:val="both"/>
        <w:rPr>
          <w:rFonts w:ascii="Arial" w:hAnsi="Arial" w:cs="Arial"/>
          <w:sz w:val="22"/>
          <w:szCs w:val="22"/>
          <w:lang w:val="en-GB"/>
        </w:rPr>
      </w:pPr>
      <w:r w:rsidRPr="00261A77">
        <w:rPr>
          <w:rFonts w:ascii="Arial" w:hAnsi="Arial" w:cs="Arial"/>
          <w:sz w:val="22"/>
          <w:szCs w:val="22"/>
          <w:lang w:val="en-GB"/>
        </w:rPr>
        <w:t xml:space="preserve">Figure 2. Species accumulation and estimated amphibian species richness (Chao 2, and Jack-knife 1) of </w:t>
      </w:r>
      <w:r w:rsidRPr="00261A77">
        <w:rPr>
          <w:rFonts w:ascii="Arial" w:hAnsi="Arial" w:cs="Arial"/>
          <w:bCs/>
          <w:iCs/>
          <w:color w:val="000000"/>
          <w:sz w:val="22"/>
          <w:shd w:val="clear" w:color="auto" w:fill="FFFFFF"/>
          <w:lang w:val="en-GB"/>
        </w:rPr>
        <w:t>the village of Nebo</w:t>
      </w:r>
    </w:p>
    <w:p w14:paraId="2AD7021F" w14:textId="77777777" w:rsidR="00C308DD" w:rsidRPr="00261A77" w:rsidRDefault="00000000">
      <w:pPr>
        <w:pStyle w:val="Heading2"/>
      </w:pPr>
      <w:r w:rsidRPr="00261A77">
        <w:rPr>
          <w:lang w:val="en-GB" w:eastAsia="fr-FR"/>
        </w:rPr>
        <w:t>2.3. Measurement of Habitat and Environmental Variables Influencing Anuran Communities</w:t>
      </w:r>
    </w:p>
    <w:p w14:paraId="157929BE" w14:textId="77777777" w:rsidR="00C308DD" w:rsidRPr="00261A77" w:rsidRDefault="00000000">
      <w:pPr>
        <w:spacing w:before="240" w:after="0"/>
      </w:pPr>
      <w:r w:rsidRPr="00261A77">
        <w:rPr>
          <w:rFonts w:ascii="Arial" w:eastAsia="Times New Roman" w:hAnsi="Arial" w:cs="Arial"/>
          <w:sz w:val="22"/>
          <w:szCs w:val="24"/>
          <w:lang w:val="en-GB" w:eastAsia="fr-FR"/>
        </w:rPr>
        <w:t>The environmental variables were selected because of their recognised role in shaping amphibian communities. The parameters measured included relative air humidity (%), air temperature (°C), vegetation cover (%), litter depth (cm) and the number of available breeding sites, all of which influence the distribution, abundance and reproductive success of anurans (Dodd, 2010; Wells, 2007). Relative humidity and temperature were measured in situ using a digital thermo-hygrometer positioned approximately 1 m above the ground. Vegetation cover was estimated using a forest densitometer, litter depth was determined from several random measurements per transect, and potential breeding sites (pools, temporary puddles, ditches and streams) were recorded in each transect.</w:t>
      </w:r>
    </w:p>
    <w:p w14:paraId="644326A1" w14:textId="77777777" w:rsidR="00C308DD" w:rsidRPr="00261A77" w:rsidRDefault="00000000">
      <w:pPr>
        <w:spacing w:before="240" w:after="0"/>
        <w:rPr>
          <w:rFonts w:ascii="Arial" w:eastAsia="Times New Roman" w:hAnsi="Arial" w:cs="Arial"/>
          <w:sz w:val="22"/>
          <w:szCs w:val="24"/>
          <w:lang w:val="en-GB" w:eastAsia="fr-FR"/>
        </w:rPr>
      </w:pPr>
      <w:r w:rsidRPr="00261A77">
        <w:rPr>
          <w:rFonts w:ascii="Arial" w:eastAsia="Times New Roman" w:hAnsi="Arial" w:cs="Arial"/>
          <w:sz w:val="22"/>
          <w:szCs w:val="24"/>
          <w:lang w:val="en-GB" w:eastAsia="fr-FR"/>
        </w:rPr>
        <w:t xml:space="preserve">These variables were selected because they determine the microclimatic conditions and the availability of habitats necessary for the survival and reproduction of amphibians. They are </w:t>
      </w:r>
      <w:r w:rsidRPr="00261A77">
        <w:rPr>
          <w:rFonts w:ascii="Arial" w:eastAsia="Times New Roman" w:hAnsi="Arial" w:cs="Arial"/>
          <w:sz w:val="22"/>
          <w:szCs w:val="24"/>
          <w:lang w:val="en-GB" w:eastAsia="fr-FR"/>
        </w:rPr>
        <w:lastRenderedPageBreak/>
        <w:t>widely used to analyse the relationships between amphibian communities and their habitat characteristics (Dodd, 2010; Ernst &amp; Rödel, 2005; Wells, 2007).</w:t>
      </w:r>
    </w:p>
    <w:p w14:paraId="7F2DC8B3" w14:textId="77777777" w:rsidR="00C308DD" w:rsidRPr="00261A77" w:rsidRDefault="00C308DD">
      <w:pPr>
        <w:pStyle w:val="NormalWeb"/>
        <w:spacing w:before="0" w:after="0" w:line="276" w:lineRule="auto"/>
        <w:jc w:val="both"/>
        <w:rPr>
          <w:rFonts w:ascii="Arial" w:hAnsi="Arial" w:cs="Arial"/>
          <w:sz w:val="22"/>
          <w:szCs w:val="22"/>
          <w:lang w:val="en-GB" w:eastAsia="fr-FR"/>
        </w:rPr>
      </w:pPr>
    </w:p>
    <w:p w14:paraId="1A796F8B" w14:textId="77777777" w:rsidR="00C308DD" w:rsidRPr="00261A77" w:rsidRDefault="00000000">
      <w:pPr>
        <w:pStyle w:val="Heading2"/>
        <w:rPr>
          <w:sz w:val="22"/>
          <w:lang w:eastAsia="fr-FR"/>
        </w:rPr>
      </w:pPr>
      <w:r w:rsidRPr="00261A77">
        <w:t xml:space="preserve">2.4. </w:t>
      </w:r>
      <w:r w:rsidRPr="00261A77">
        <w:rPr>
          <w:sz w:val="22"/>
        </w:rPr>
        <w:t>Data analysis methods</w:t>
      </w:r>
    </w:p>
    <w:p w14:paraId="3FB8EC5B" w14:textId="77777777" w:rsidR="00C308DD" w:rsidRPr="00261A77" w:rsidRDefault="00000000">
      <w:pPr>
        <w:numPr>
          <w:ilvl w:val="0"/>
          <w:numId w:val="5"/>
        </w:numPr>
        <w:spacing w:before="60" w:after="60"/>
        <w:ind w:left="1417" w:hanging="357"/>
        <w:rPr>
          <w:sz w:val="22"/>
        </w:rPr>
      </w:pPr>
      <w:r w:rsidRPr="00261A77">
        <w:rPr>
          <w:sz w:val="22"/>
        </w:rPr>
        <w:t>Observed species richness</w:t>
      </w:r>
    </w:p>
    <w:p w14:paraId="34503620" w14:textId="77777777" w:rsidR="00C308DD" w:rsidRPr="00261A77" w:rsidRDefault="00000000">
      <w:pPr>
        <w:pStyle w:val="NormalWeb"/>
        <w:spacing w:before="0" w:line="276" w:lineRule="auto"/>
        <w:jc w:val="both"/>
        <w:rPr>
          <w:rFonts w:ascii="Arial" w:hAnsi="Arial" w:cs="Arial"/>
          <w:sz w:val="22"/>
          <w:szCs w:val="22"/>
          <w:lang w:val="en-GB"/>
        </w:rPr>
      </w:pPr>
      <w:r w:rsidRPr="00261A77">
        <w:rPr>
          <w:rFonts w:ascii="Arial" w:eastAsia="Calibri" w:hAnsi="Arial" w:cs="Arial"/>
          <w:bCs/>
          <w:sz w:val="22"/>
          <w:szCs w:val="22"/>
          <w:lang w:val="en-GB" w:eastAsia="en-US"/>
        </w:rPr>
        <w:t>Two complementary techniques, visual sampling with capture and acoustic sampling, were used to estimate the abundance and species richness of amphibians in different habitats (Assemian et al., 2006). Species richness, a key indicator of biodiversity, corresponds to the number of species recorded and depends on the sampling effort.</w:t>
      </w:r>
    </w:p>
    <w:p w14:paraId="04394604" w14:textId="77777777" w:rsidR="00C308DD" w:rsidRPr="00261A77" w:rsidRDefault="00000000">
      <w:pPr>
        <w:numPr>
          <w:ilvl w:val="0"/>
          <w:numId w:val="6"/>
        </w:numPr>
        <w:spacing w:before="60" w:after="60"/>
        <w:ind w:left="1134" w:hanging="74"/>
        <w:rPr>
          <w:rFonts w:ascii="Arial" w:eastAsia="Times New Roman" w:hAnsi="Arial" w:cs="Arial"/>
          <w:bCs/>
          <w:iCs/>
          <w:sz w:val="22"/>
        </w:rPr>
      </w:pPr>
      <w:r w:rsidRPr="00261A77">
        <w:rPr>
          <w:rFonts w:ascii="Arial" w:eastAsia="Times New Roman" w:hAnsi="Arial" w:cs="Arial"/>
          <w:bCs/>
          <w:iCs/>
          <w:sz w:val="22"/>
        </w:rPr>
        <w:t>Sørensen’s Index</w:t>
      </w:r>
    </w:p>
    <w:p w14:paraId="243FB982" w14:textId="77777777" w:rsidR="00C308DD" w:rsidRPr="00261A77" w:rsidRDefault="00000000">
      <w:pPr>
        <w:spacing w:after="0"/>
        <w:ind w:left="142"/>
      </w:pPr>
      <w:r w:rsidRPr="00261A77">
        <w:rPr>
          <w:rFonts w:ascii="Arial" w:eastAsia="Times New Roman" w:hAnsi="Arial" w:cs="Arial"/>
          <w:bCs/>
          <w:iCs/>
          <w:sz w:val="22"/>
          <w:lang w:val="en-GB"/>
        </w:rPr>
        <w:t>This index measures the similarity in species between two habitats. It is calculated using the following formula: Cs = (2C) / (A + B); C represents the number of species common to both habitats. A represents the number of species in habitat 1. B represents the number of species in habitat 2. The index ranges from 0, when there are no species in common between the two habitats, to 1, when all species found in habitat 1 are also present in habitat 2.</w:t>
      </w:r>
    </w:p>
    <w:p w14:paraId="3BBC7097" w14:textId="77777777" w:rsidR="00C308DD" w:rsidRPr="00261A77" w:rsidRDefault="00000000">
      <w:pPr>
        <w:numPr>
          <w:ilvl w:val="0"/>
          <w:numId w:val="6"/>
        </w:numPr>
        <w:spacing w:before="60" w:after="60"/>
        <w:ind w:left="1417" w:hanging="357"/>
        <w:rPr>
          <w:rFonts w:ascii="Arial" w:eastAsia="Times New Roman" w:hAnsi="Arial" w:cs="Arial"/>
          <w:bCs/>
          <w:iCs/>
          <w:sz w:val="22"/>
        </w:rPr>
      </w:pPr>
      <w:r w:rsidRPr="00261A77">
        <w:rPr>
          <w:rFonts w:ascii="Arial" w:eastAsia="Times New Roman" w:hAnsi="Arial" w:cs="Arial"/>
          <w:bCs/>
          <w:iCs/>
          <w:sz w:val="22"/>
        </w:rPr>
        <w:t xml:space="preserve">Frequency of occurrence </w:t>
      </w:r>
    </w:p>
    <w:p w14:paraId="47382BD1" w14:textId="77777777" w:rsidR="00C308DD" w:rsidRPr="00261A77" w:rsidRDefault="00000000">
      <w:pPr>
        <w:spacing w:after="0"/>
        <w:ind w:left="142"/>
        <w:rPr>
          <w:rFonts w:ascii="Arial" w:eastAsia="Times New Roman" w:hAnsi="Arial" w:cs="Arial"/>
          <w:bCs/>
          <w:iCs/>
          <w:sz w:val="22"/>
          <w:lang w:val="en-GB"/>
        </w:rPr>
      </w:pPr>
      <w:r w:rsidRPr="00261A77">
        <w:rPr>
          <w:rFonts w:ascii="Arial" w:eastAsia="Times New Roman" w:hAnsi="Arial" w:cs="Arial"/>
          <w:bCs/>
          <w:iCs/>
          <w:sz w:val="22"/>
          <w:lang w:val="en-GB"/>
        </w:rPr>
        <w:t>This method is used to determine the habitat preferences of a given species. It involves counting the number of times species i appears in the samples (Dajoz, 2000). This number is expressed as a percentage of the total number of surveys and provides information on the species frequently encountered in a habitat. It is calculated as follows (3): F = (Fi × 100) / Ft: Fi = number of surveys containing species i; Ft = total number of surveys carried out. Depending on the value of F, three (3) groups of species are distinguished: constant species (F &gt; 50%); accessory species (25% &lt; F &lt; 50%); and accidental species (F &lt; 25%).</w:t>
      </w:r>
    </w:p>
    <w:p w14:paraId="50F5DE65" w14:textId="77777777" w:rsidR="00C308DD" w:rsidRPr="00261A77" w:rsidRDefault="00C308DD">
      <w:pPr>
        <w:spacing w:after="0"/>
        <w:ind w:left="142"/>
        <w:rPr>
          <w:rFonts w:ascii="Arial" w:eastAsia="Times New Roman" w:hAnsi="Arial" w:cs="Arial"/>
          <w:bCs/>
          <w:iCs/>
          <w:sz w:val="22"/>
          <w:lang w:val="en-GB"/>
        </w:rPr>
      </w:pPr>
    </w:p>
    <w:p w14:paraId="0361B0FF" w14:textId="77777777" w:rsidR="00C308DD" w:rsidRPr="00261A77" w:rsidRDefault="00C308DD">
      <w:pPr>
        <w:spacing w:after="0"/>
        <w:ind w:left="142"/>
        <w:rPr>
          <w:rFonts w:ascii="Arial" w:eastAsia="Times New Roman" w:hAnsi="Arial" w:cs="Arial"/>
          <w:bCs/>
          <w:iCs/>
          <w:sz w:val="22"/>
          <w:lang w:val="en-GB"/>
        </w:rPr>
      </w:pPr>
    </w:p>
    <w:p w14:paraId="55CFD41E" w14:textId="77777777" w:rsidR="00C308DD" w:rsidRPr="00261A77" w:rsidRDefault="00000000">
      <w:pPr>
        <w:numPr>
          <w:ilvl w:val="0"/>
          <w:numId w:val="6"/>
        </w:numPr>
        <w:spacing w:before="60" w:after="0"/>
        <w:ind w:left="1417" w:hanging="357"/>
        <w:rPr>
          <w:rFonts w:ascii="Arial" w:eastAsia="Times New Roman" w:hAnsi="Arial" w:cs="Arial"/>
          <w:bCs/>
          <w:iCs/>
          <w:sz w:val="22"/>
        </w:rPr>
      </w:pPr>
      <w:r w:rsidRPr="00261A77">
        <w:rPr>
          <w:rFonts w:ascii="Arial" w:eastAsia="Times New Roman" w:hAnsi="Arial" w:cs="Arial"/>
          <w:bCs/>
          <w:iCs/>
          <w:sz w:val="22"/>
        </w:rPr>
        <w:t>Shannon index</w:t>
      </w:r>
    </w:p>
    <w:p w14:paraId="2109668E" w14:textId="77777777" w:rsidR="00C308DD" w:rsidRPr="00261A77" w:rsidRDefault="00000000">
      <w:pPr>
        <w:pStyle w:val="NormalWeb"/>
        <w:spacing w:before="0" w:line="276" w:lineRule="auto"/>
        <w:jc w:val="both"/>
      </w:pPr>
      <w:r w:rsidRPr="00261A77">
        <w:rPr>
          <w:rFonts w:ascii="Arial" w:hAnsi="Arial" w:cs="Arial"/>
          <w:bCs/>
          <w:iCs/>
          <w:sz w:val="22"/>
          <w:szCs w:val="22"/>
          <w:lang w:val="en-GB" w:eastAsia="en-US"/>
        </w:rPr>
        <w:t>According to Amanieu and Lasserre (1982), this index measures the degree of organisation of</w:t>
      </w:r>
      <w:r w:rsidRPr="00261A77">
        <w:rPr>
          <w:rFonts w:ascii="Arial" w:hAnsi="Arial" w:cs="Arial"/>
          <w:sz w:val="22"/>
          <w:szCs w:val="22"/>
          <w:lang w:val="en-GB"/>
        </w:rPr>
        <w:t xml:space="preserve"> </w:t>
      </w:r>
      <w:r w:rsidRPr="00261A77">
        <w:rPr>
          <w:rFonts w:ascii="Arial" w:hAnsi="Arial" w:cs="Arial"/>
          <w:bCs/>
          <w:iCs/>
          <w:sz w:val="22"/>
          <w:szCs w:val="22"/>
          <w:lang w:val="en-GB" w:eastAsia="en-US"/>
        </w:rPr>
        <w:t>the stand. The Shannon and Weaver (1963) species diversity index is used to highlight the overall diversity of the stand. High values of the Shannon index correspond to a high level of diversity in the stand under study (Chao &amp; Shen, 2003). The formula is as follows:</w:t>
      </w:r>
    </w:p>
    <w:p w14:paraId="00B01F65" w14:textId="77777777" w:rsidR="00C308DD" w:rsidRPr="00261A77" w:rsidRDefault="001F3DF0">
      <w:r>
        <w:rPr>
          <w:rFonts w:ascii="Arial" w:hAnsi="Arial" w:cs="Arial"/>
          <w:noProof/>
          <w:sz w:val="22"/>
          <w:lang w:val="en-US" w:eastAsia="en-US"/>
        </w:rPr>
        <w:pict w14:anchorId="6BFDBBFF">
          <v:shape id="Image4" o:spid="_x0000_i1027" type="#_x0000_t75" style="width:96.2pt;height:30.55pt;visibility:visible;mso-wrap-style:square">
            <v:imagedata r:id="rId9" o:title="" croptop="-45f" cropbottom="-45f" cropleft="-20f" cropright="-20f"/>
          </v:shape>
        </w:pict>
      </w:r>
      <w:r w:rsidR="0059143D" w:rsidRPr="00261A77">
        <w:rPr>
          <w:rFonts w:ascii="Arial" w:hAnsi="Arial" w:cs="Arial"/>
          <w:sz w:val="22"/>
          <w:lang w:val="en-GB" w:eastAsia="en-US"/>
        </w:rPr>
        <w:tab/>
      </w:r>
      <w:r w:rsidR="0059143D" w:rsidRPr="00261A77">
        <w:rPr>
          <w:rFonts w:ascii="Arial" w:hAnsi="Arial" w:cs="Arial"/>
          <w:sz w:val="22"/>
          <w:lang w:val="en-GB" w:eastAsia="en-US"/>
        </w:rPr>
        <w:tab/>
      </w:r>
      <w:r w:rsidR="0059143D" w:rsidRPr="00261A77">
        <w:rPr>
          <w:rFonts w:ascii="Arial" w:hAnsi="Arial" w:cs="Arial"/>
          <w:bCs/>
          <w:sz w:val="22"/>
          <w:lang w:val="en-GB"/>
        </w:rPr>
        <w:t xml:space="preserve">S_(obs) = total number of species observed across all samples; </w:t>
      </w:r>
      <w:r w:rsidR="0059143D" w:rsidRPr="00261A77">
        <w:rPr>
          <w:rFonts w:ascii="Arial" w:hAnsi="Arial" w:cs="Arial"/>
          <w:bCs/>
          <w:i/>
          <w:iCs/>
          <w:sz w:val="22"/>
          <w:lang w:val="en-GB"/>
        </w:rPr>
        <w:t>pi = ni / ∑ n</w:t>
      </w:r>
      <w:r w:rsidR="0059143D" w:rsidRPr="00261A77">
        <w:rPr>
          <w:rFonts w:ascii="Arial" w:hAnsi="Arial" w:cs="Arial"/>
          <w:b/>
          <w:i/>
          <w:iCs/>
          <w:sz w:val="22"/>
          <w:lang w:val="en-GB"/>
        </w:rPr>
        <w:t>i</w:t>
      </w:r>
      <w:r w:rsidR="0059143D" w:rsidRPr="00261A77">
        <w:rPr>
          <w:rFonts w:ascii="Arial" w:hAnsi="Arial" w:cs="Arial"/>
          <w:bCs/>
          <w:sz w:val="22"/>
          <w:lang w:val="en-GB"/>
        </w:rPr>
        <w:t xml:space="preserve"> = relative frequency of species i in the </w:t>
      </w:r>
      <w:proofErr w:type="gramStart"/>
      <w:r w:rsidR="0059143D" w:rsidRPr="00261A77">
        <w:rPr>
          <w:rFonts w:ascii="Arial" w:hAnsi="Arial" w:cs="Arial"/>
          <w:bCs/>
          <w:sz w:val="22"/>
          <w:lang w:val="en-GB"/>
        </w:rPr>
        <w:t>stand ;</w:t>
      </w:r>
      <w:proofErr w:type="gramEnd"/>
      <w:r w:rsidR="0059143D" w:rsidRPr="00261A77">
        <w:rPr>
          <w:rFonts w:ascii="Arial" w:hAnsi="Arial" w:cs="Arial"/>
          <w:bCs/>
          <w:sz w:val="22"/>
          <w:lang w:val="en-GB"/>
        </w:rPr>
        <w:t xml:space="preserve"> </w:t>
      </w:r>
      <w:r w:rsidR="0059143D" w:rsidRPr="00261A77">
        <w:rPr>
          <w:rFonts w:ascii="Arial" w:hAnsi="Arial" w:cs="Arial"/>
          <w:bCs/>
          <w:i/>
          <w:iCs/>
          <w:sz w:val="22"/>
          <w:lang w:val="en-GB"/>
        </w:rPr>
        <w:t>N = ∑ ni</w:t>
      </w:r>
      <w:r w:rsidR="0059143D" w:rsidRPr="00261A77">
        <w:rPr>
          <w:rFonts w:ascii="Arial" w:hAnsi="Arial" w:cs="Arial"/>
          <w:b/>
          <w:i/>
          <w:iCs/>
          <w:sz w:val="22"/>
          <w:lang w:val="en-GB"/>
        </w:rPr>
        <w:t xml:space="preserve"> </w:t>
      </w:r>
      <w:r w:rsidR="0059143D" w:rsidRPr="00261A77">
        <w:rPr>
          <w:rFonts w:ascii="Arial" w:hAnsi="Arial" w:cs="Arial"/>
          <w:bCs/>
          <w:sz w:val="22"/>
          <w:lang w:val="en-GB"/>
        </w:rPr>
        <w:t>= total number of individuals.</w:t>
      </w:r>
    </w:p>
    <w:p w14:paraId="7FB115F1" w14:textId="77777777" w:rsidR="00C308DD" w:rsidRPr="00261A77" w:rsidRDefault="00000000">
      <w:pPr>
        <w:numPr>
          <w:ilvl w:val="0"/>
          <w:numId w:val="6"/>
        </w:numPr>
        <w:spacing w:after="0"/>
        <w:ind w:left="1418"/>
        <w:rPr>
          <w:rFonts w:ascii="Arial" w:eastAsia="Times New Roman" w:hAnsi="Arial" w:cs="Arial"/>
          <w:bCs/>
          <w:iCs/>
          <w:sz w:val="22"/>
        </w:rPr>
      </w:pPr>
      <w:r w:rsidRPr="00261A77">
        <w:rPr>
          <w:rFonts w:ascii="Arial" w:eastAsia="Times New Roman" w:hAnsi="Arial" w:cs="Arial"/>
          <w:bCs/>
          <w:iCs/>
          <w:sz w:val="22"/>
        </w:rPr>
        <w:t>Equitability</w:t>
      </w:r>
    </w:p>
    <w:p w14:paraId="47A3BDDB" w14:textId="77777777" w:rsidR="00C308DD" w:rsidRPr="00261A77" w:rsidRDefault="00000000">
      <w:pPr>
        <w:pStyle w:val="NormalWeb"/>
        <w:spacing w:line="276" w:lineRule="auto"/>
        <w:jc w:val="both"/>
      </w:pPr>
      <w:r w:rsidRPr="00261A77">
        <w:rPr>
          <w:rFonts w:ascii="Arial" w:hAnsi="Arial" w:cs="Arial"/>
          <w:sz w:val="22"/>
          <w:szCs w:val="22"/>
          <w:lang w:val="en-GB"/>
        </w:rPr>
        <w:t xml:space="preserve">Pielou’s (1969) evenness index enables the evenness of species distribution to be studied and the diversity of two stands with different species richness (SR) to be compared (Dajoz, 2000). The calculation of the species diversity index must always be accompanied by that of the evenness index, as two stands with different physiognomies may have the same </w:t>
      </w:r>
      <w:r w:rsidRPr="00261A77">
        <w:rPr>
          <w:rFonts w:ascii="Arial" w:hAnsi="Arial" w:cs="Arial"/>
          <w:sz w:val="22"/>
          <w:szCs w:val="22"/>
          <w:lang w:val="en-GB"/>
        </w:rPr>
        <w:lastRenderedPageBreak/>
        <w:t>diversity. Evenness is obtained by relating the observed diversity to the stand’s maximum theoretical diversity:</w:t>
      </w:r>
    </w:p>
    <w:p w14:paraId="6FB750F3" w14:textId="77777777" w:rsidR="00C308DD" w:rsidRPr="00261A77" w:rsidRDefault="001F3DF0">
      <w:pPr>
        <w:pStyle w:val="NormalWeb"/>
        <w:spacing w:line="276" w:lineRule="auto"/>
        <w:jc w:val="both"/>
      </w:pPr>
      <w:r>
        <w:rPr>
          <w:rFonts w:ascii="Arial" w:hAnsi="Arial" w:cs="Arial"/>
          <w:noProof/>
          <w:sz w:val="22"/>
          <w:szCs w:val="22"/>
          <w:lang w:val="en-US" w:eastAsia="en-US"/>
        </w:rPr>
        <w:pict w14:anchorId="2A913426">
          <v:shape id="Image5" o:spid="_x0000_i1028" type="#_x0000_t75" style="width:64.5pt;height:29.95pt;visibility:visible;mso-wrap-style:square">
            <v:imagedata r:id="rId10" o:title="" croptop="-62f" cropbottom="-62f" cropleft="-29f" cropright="-29f"/>
          </v:shape>
        </w:pict>
      </w:r>
      <w:r w:rsidR="0059143D" w:rsidRPr="00261A77">
        <w:rPr>
          <w:rFonts w:ascii="Arial" w:eastAsia="Arial" w:hAnsi="Arial" w:cs="Arial"/>
          <w:sz w:val="22"/>
          <w:szCs w:val="22"/>
          <w:lang w:val="en-GB" w:eastAsia="en-US"/>
        </w:rPr>
        <w:t xml:space="preserve"> </w:t>
      </w:r>
      <w:r w:rsidR="0059143D" w:rsidRPr="00261A77">
        <w:rPr>
          <w:rFonts w:ascii="Arial" w:hAnsi="Arial" w:cs="Arial"/>
          <w:sz w:val="22"/>
          <w:szCs w:val="22"/>
          <w:lang w:val="en-GB" w:eastAsia="en-US"/>
        </w:rPr>
        <w:tab/>
      </w:r>
      <w:r w:rsidR="0059143D" w:rsidRPr="00261A77">
        <w:rPr>
          <w:rFonts w:ascii="Arial" w:hAnsi="Arial" w:cs="Arial"/>
          <w:sz w:val="22"/>
          <w:szCs w:val="22"/>
          <w:lang w:val="en-GB" w:eastAsia="en-US"/>
        </w:rPr>
        <w:tab/>
      </w:r>
      <w:r w:rsidR="0059143D" w:rsidRPr="00261A77">
        <w:rPr>
          <w:rFonts w:ascii="Arial" w:hAnsi="Arial" w:cs="Arial"/>
          <w:sz w:val="22"/>
          <w:szCs w:val="22"/>
          <w:lang w:val="en-GB"/>
        </w:rPr>
        <w:t>H’ = Shannon diversity index; log2 (SR) = Hmax (diversity achieved when all species have the same abundance); SR = species richness. Equitability varies between 0 and 1 and reflects the degree of homogeneity in the distribution of abundances amongst species.</w:t>
      </w:r>
    </w:p>
    <w:p w14:paraId="66A964AC" w14:textId="77777777" w:rsidR="00C308DD" w:rsidRPr="00261A77" w:rsidRDefault="00000000">
      <w:pPr>
        <w:pStyle w:val="Heading2"/>
      </w:pPr>
      <w:r w:rsidRPr="00261A77">
        <w:rPr>
          <w:sz w:val="22"/>
          <w:lang w:val="en-GB"/>
        </w:rPr>
        <w:t xml:space="preserve">2.5. Statistical analysis </w:t>
      </w:r>
    </w:p>
    <w:p w14:paraId="0B8817FE" w14:textId="77777777" w:rsidR="00C308DD" w:rsidRPr="00261A77" w:rsidRDefault="00000000">
      <w:pPr>
        <w:pStyle w:val="NormalWeb"/>
        <w:spacing w:line="276" w:lineRule="auto"/>
        <w:jc w:val="both"/>
        <w:rPr>
          <w:rFonts w:ascii="Arial" w:hAnsi="Arial" w:cs="Arial"/>
          <w:sz w:val="22"/>
          <w:szCs w:val="22"/>
          <w:lang w:val="en-GB"/>
        </w:rPr>
      </w:pPr>
      <w:r w:rsidRPr="00261A77">
        <w:rPr>
          <w:rFonts w:ascii="Arial" w:hAnsi="Arial" w:cs="Arial"/>
          <w:sz w:val="22"/>
          <w:szCs w:val="22"/>
          <w:lang w:val="en-GB"/>
        </w:rPr>
        <w:t>PAST software (version 4.13) was used to analyse the data on diversity (H’) and evenness (E) indices across the different agroecosystems. The estimated species richness, and thus the sampling efficiency, were calculated with the Jackknife 1 and Chao 2 estimators using EstimateS software (Version 9.1.0; Colwell, 2013). The Kruskal-</w:t>
      </w:r>
      <w:proofErr w:type="gramStart"/>
      <w:r w:rsidRPr="00261A77">
        <w:rPr>
          <w:rFonts w:ascii="Arial" w:hAnsi="Arial" w:cs="Arial"/>
          <w:sz w:val="22"/>
          <w:szCs w:val="22"/>
          <w:lang w:val="en-GB"/>
        </w:rPr>
        <w:t>Wallis</w:t>
      </w:r>
      <w:proofErr w:type="gramEnd"/>
      <w:r w:rsidRPr="00261A77">
        <w:rPr>
          <w:rFonts w:ascii="Arial" w:hAnsi="Arial" w:cs="Arial"/>
          <w:sz w:val="22"/>
          <w:szCs w:val="22"/>
          <w:lang w:val="en-GB"/>
        </w:rPr>
        <w:t xml:space="preserve"> test is a non-parametric alternative to analysis of variance (ANOVA). It was used to compare the mean abundances across the agroecosystems. This test was carried out using STATISTICA 7.1 software (StatSoft, 2005).</w:t>
      </w:r>
    </w:p>
    <w:p w14:paraId="7F0D2843" w14:textId="77777777" w:rsidR="00C308DD" w:rsidRPr="00261A77" w:rsidRDefault="00000000">
      <w:pPr>
        <w:pStyle w:val="Heading1"/>
        <w:rPr>
          <w:lang w:val="en-GB"/>
        </w:rPr>
      </w:pPr>
      <w:r w:rsidRPr="00261A77">
        <w:rPr>
          <w:lang w:val="en-GB"/>
        </w:rPr>
        <w:t>3. Results</w:t>
      </w:r>
    </w:p>
    <w:p w14:paraId="36CE8D00" w14:textId="77777777" w:rsidR="00C308DD" w:rsidRPr="00261A77" w:rsidRDefault="00000000">
      <w:pPr>
        <w:pStyle w:val="Heading2"/>
        <w:rPr>
          <w:lang w:val="en-GB"/>
        </w:rPr>
      </w:pPr>
      <w:r w:rsidRPr="00261A77">
        <w:rPr>
          <w:lang w:val="en-GB"/>
        </w:rPr>
        <w:t>3.1. Species composition of the anuran amphibian community</w:t>
      </w:r>
    </w:p>
    <w:p w14:paraId="2D03F9D1" w14:textId="77777777" w:rsidR="00C308DD" w:rsidRPr="00261A77" w:rsidRDefault="00000000">
      <w:pPr>
        <w:spacing w:after="15"/>
        <w:ind w:left="-5"/>
        <w:rPr>
          <w:rFonts w:ascii="Arial" w:hAnsi="Arial" w:cs="Arial"/>
          <w:bCs/>
          <w:iCs/>
          <w:sz w:val="22"/>
          <w:shd w:val="clear" w:color="auto" w:fill="FFFFFF"/>
          <w:lang w:val="en-GB"/>
        </w:rPr>
      </w:pPr>
      <w:r w:rsidRPr="00261A77">
        <w:rPr>
          <w:rFonts w:ascii="Arial" w:hAnsi="Arial" w:cs="Arial"/>
          <w:bCs/>
          <w:iCs/>
          <w:sz w:val="22"/>
          <w:shd w:val="clear" w:color="auto" w:fill="FFFFFF"/>
          <w:lang w:val="en-GB"/>
        </w:rPr>
        <w:t>During this study, 25 species of anuran amphibians were collected from the four (4) agroecosystems in the village of Nebo. These species were classified into ten (10) genera and eight (8) families (Table 2). Of the eight (8) families, the Phrynobatrachidae (6 species), Hyperoliidae (5 species) and Ptychadenidae (5 species) were the most diverse. These were followed by the Arthroleptidae (3 species) and the Bufonidae (2 species). In contrast, the monospecific families were the Ranidae, Dicroglossidae, Pipidae and Hemisotidae. Figure 3 shows photographs of one example of a species from each family.</w:t>
      </w:r>
    </w:p>
    <w:p w14:paraId="0C937EFA" w14:textId="77777777" w:rsidR="00C308DD" w:rsidRPr="00261A77" w:rsidRDefault="00000000">
      <w:pPr>
        <w:spacing w:before="240" w:after="15"/>
        <w:ind w:left="-5"/>
        <w:rPr>
          <w:rFonts w:ascii="Arial" w:hAnsi="Arial" w:cs="Arial"/>
          <w:bCs/>
          <w:iCs/>
          <w:sz w:val="22"/>
          <w:shd w:val="clear" w:color="auto" w:fill="FFFFFF"/>
          <w:lang w:val="en-GB"/>
        </w:rPr>
      </w:pPr>
      <w:r w:rsidRPr="00261A77">
        <w:rPr>
          <w:rFonts w:ascii="Arial" w:hAnsi="Arial" w:cs="Arial"/>
          <w:bCs/>
          <w:iCs/>
          <w:sz w:val="22"/>
          <w:shd w:val="clear" w:color="auto" w:fill="FFFFFF"/>
          <w:lang w:val="en-GB"/>
        </w:rPr>
        <w:t>Table 2. Diversity of the anuran amphibian community in the village of Nebo</w:t>
      </w:r>
    </w:p>
    <w:p w14:paraId="117AEB34" w14:textId="77777777" w:rsidR="00C308DD" w:rsidRPr="00261A77" w:rsidRDefault="00C308DD">
      <w:pPr>
        <w:spacing w:before="240" w:after="15"/>
        <w:ind w:left="-5"/>
        <w:rPr>
          <w:rFonts w:ascii="Arial" w:hAnsi="Arial" w:cs="Arial"/>
          <w:bCs/>
          <w:iCs/>
          <w:sz w:val="22"/>
          <w:shd w:val="clear" w:color="auto" w:fill="FFFFFF"/>
          <w:lang w:val="en-GB"/>
        </w:rPr>
      </w:pPr>
    </w:p>
    <w:tbl>
      <w:tblPr>
        <w:tblW w:w="8859" w:type="dxa"/>
        <w:tblLayout w:type="fixed"/>
        <w:tblCellMar>
          <w:left w:w="70" w:type="dxa"/>
          <w:right w:w="70" w:type="dxa"/>
        </w:tblCellMar>
        <w:tblLook w:val="04A0" w:firstRow="1" w:lastRow="0" w:firstColumn="1" w:lastColumn="0" w:noHBand="0" w:noVBand="1"/>
      </w:tblPr>
      <w:tblGrid>
        <w:gridCol w:w="2055"/>
        <w:gridCol w:w="2141"/>
        <w:gridCol w:w="2735"/>
        <w:gridCol w:w="1928"/>
      </w:tblGrid>
      <w:tr w:rsidR="00C308DD" w:rsidRPr="00261A77" w14:paraId="392275CD" w14:textId="77777777">
        <w:trPr>
          <w:trHeight w:val="88"/>
        </w:trPr>
        <w:tc>
          <w:tcPr>
            <w:tcW w:w="2055" w:type="dxa"/>
            <w:tcBorders>
              <w:top w:val="single" w:sz="4" w:space="0" w:color="000000"/>
              <w:bottom w:val="single" w:sz="4" w:space="0" w:color="000000"/>
            </w:tcBorders>
            <w:shd w:val="clear" w:color="auto" w:fill="FFFFFF"/>
            <w:vAlign w:val="center"/>
          </w:tcPr>
          <w:p w14:paraId="339DEE14"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Families</w:t>
            </w:r>
          </w:p>
        </w:tc>
        <w:tc>
          <w:tcPr>
            <w:tcW w:w="2141" w:type="dxa"/>
            <w:tcBorders>
              <w:top w:val="single" w:sz="4" w:space="0" w:color="000000"/>
              <w:bottom w:val="single" w:sz="4" w:space="0" w:color="000000"/>
            </w:tcBorders>
            <w:shd w:val="clear" w:color="auto" w:fill="FFFFFF"/>
            <w:vAlign w:val="center"/>
          </w:tcPr>
          <w:p w14:paraId="4CC333FB"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Genera</w:t>
            </w:r>
          </w:p>
        </w:tc>
        <w:tc>
          <w:tcPr>
            <w:tcW w:w="2735" w:type="dxa"/>
            <w:tcBorders>
              <w:top w:val="single" w:sz="4" w:space="0" w:color="000000"/>
              <w:bottom w:val="single" w:sz="4" w:space="0" w:color="000000"/>
            </w:tcBorders>
            <w:shd w:val="clear" w:color="auto" w:fill="FFFFFF"/>
            <w:vAlign w:val="center"/>
          </w:tcPr>
          <w:p w14:paraId="77ADFF4B"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Species</w:t>
            </w:r>
          </w:p>
        </w:tc>
        <w:tc>
          <w:tcPr>
            <w:tcW w:w="1928" w:type="dxa"/>
            <w:tcBorders>
              <w:top w:val="single" w:sz="4" w:space="0" w:color="000000"/>
              <w:bottom w:val="single" w:sz="4" w:space="0" w:color="000000"/>
            </w:tcBorders>
            <w:shd w:val="clear" w:color="auto" w:fill="FFFFFF"/>
          </w:tcPr>
          <w:p w14:paraId="6927DBA7"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Species richness</w:t>
            </w:r>
          </w:p>
        </w:tc>
      </w:tr>
      <w:tr w:rsidR="00C308DD" w:rsidRPr="00261A77" w14:paraId="276EE91F" w14:textId="77777777">
        <w:trPr>
          <w:trHeight w:val="331"/>
        </w:trPr>
        <w:tc>
          <w:tcPr>
            <w:tcW w:w="2055" w:type="dxa"/>
            <w:vMerge w:val="restart"/>
            <w:tcBorders>
              <w:top w:val="single" w:sz="4" w:space="0" w:color="000000"/>
              <w:bottom w:val="single" w:sz="12" w:space="0" w:color="000000"/>
            </w:tcBorders>
            <w:shd w:val="clear" w:color="auto" w:fill="FFFFFF"/>
            <w:vAlign w:val="center"/>
          </w:tcPr>
          <w:p w14:paraId="7A0E1508"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Arthroleptidae</w:t>
            </w:r>
          </w:p>
        </w:tc>
        <w:tc>
          <w:tcPr>
            <w:tcW w:w="2141" w:type="dxa"/>
            <w:tcBorders>
              <w:top w:val="single" w:sz="4" w:space="0" w:color="000000"/>
              <w:bottom w:val="single" w:sz="4" w:space="0" w:color="000000"/>
            </w:tcBorders>
            <w:shd w:val="clear" w:color="auto" w:fill="FFFFFF"/>
            <w:vAlign w:val="center"/>
          </w:tcPr>
          <w:p w14:paraId="0949D2C3"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Arthroleptis</w:t>
            </w:r>
          </w:p>
        </w:tc>
        <w:tc>
          <w:tcPr>
            <w:tcW w:w="2735" w:type="dxa"/>
            <w:tcBorders>
              <w:top w:val="single" w:sz="4" w:space="0" w:color="000000"/>
              <w:bottom w:val="single" w:sz="4" w:space="0" w:color="000000"/>
            </w:tcBorders>
            <w:shd w:val="clear" w:color="auto" w:fill="FFFFFF"/>
            <w:vAlign w:val="center"/>
          </w:tcPr>
          <w:p w14:paraId="70274A3E"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Arthroleptis poecilonotus</w:t>
            </w:r>
          </w:p>
        </w:tc>
        <w:tc>
          <w:tcPr>
            <w:tcW w:w="1928" w:type="dxa"/>
            <w:vMerge w:val="restart"/>
            <w:tcBorders>
              <w:top w:val="single" w:sz="4" w:space="0" w:color="000000"/>
            </w:tcBorders>
            <w:shd w:val="clear" w:color="auto" w:fill="FFFFFF"/>
          </w:tcPr>
          <w:p w14:paraId="2E5830B3"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p w14:paraId="08510664"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3</w:t>
            </w:r>
          </w:p>
        </w:tc>
      </w:tr>
      <w:tr w:rsidR="00C308DD" w:rsidRPr="00261A77" w14:paraId="0E380B97" w14:textId="77777777">
        <w:trPr>
          <w:trHeight w:val="242"/>
        </w:trPr>
        <w:tc>
          <w:tcPr>
            <w:tcW w:w="2055" w:type="dxa"/>
            <w:vMerge/>
            <w:tcBorders>
              <w:top w:val="single" w:sz="4" w:space="0" w:color="000000"/>
              <w:bottom w:val="single" w:sz="12" w:space="0" w:color="000000"/>
            </w:tcBorders>
            <w:shd w:val="clear" w:color="auto" w:fill="FFFFFF"/>
            <w:vAlign w:val="center"/>
          </w:tcPr>
          <w:p w14:paraId="64F205FA"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val="restart"/>
            <w:tcBorders>
              <w:top w:val="single" w:sz="4" w:space="0" w:color="000000"/>
              <w:bottom w:val="single" w:sz="12" w:space="0" w:color="000000"/>
            </w:tcBorders>
            <w:shd w:val="clear" w:color="auto" w:fill="FFFFFF"/>
            <w:vAlign w:val="center"/>
          </w:tcPr>
          <w:p w14:paraId="33DC3F1B"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Leptopelis</w:t>
            </w:r>
          </w:p>
        </w:tc>
        <w:tc>
          <w:tcPr>
            <w:tcW w:w="2735" w:type="dxa"/>
            <w:tcBorders>
              <w:top w:val="single" w:sz="4" w:space="0" w:color="000000"/>
            </w:tcBorders>
            <w:shd w:val="clear" w:color="auto" w:fill="FFFFFF"/>
            <w:vAlign w:val="center"/>
          </w:tcPr>
          <w:p w14:paraId="236DCF3E"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Leptopelis spiritusnoctis</w:t>
            </w:r>
          </w:p>
        </w:tc>
        <w:tc>
          <w:tcPr>
            <w:tcW w:w="1928" w:type="dxa"/>
            <w:vMerge/>
            <w:tcBorders>
              <w:top w:val="single" w:sz="4" w:space="0" w:color="000000"/>
            </w:tcBorders>
            <w:shd w:val="clear" w:color="auto" w:fill="FFFFFF"/>
          </w:tcPr>
          <w:p w14:paraId="46B44E99"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59460DFF" w14:textId="77777777">
        <w:trPr>
          <w:trHeight w:val="270"/>
        </w:trPr>
        <w:tc>
          <w:tcPr>
            <w:tcW w:w="2055" w:type="dxa"/>
            <w:vMerge/>
            <w:tcBorders>
              <w:top w:val="single" w:sz="4" w:space="0" w:color="000000"/>
              <w:bottom w:val="single" w:sz="12" w:space="0" w:color="000000"/>
            </w:tcBorders>
            <w:shd w:val="clear" w:color="auto" w:fill="FFFFFF"/>
            <w:vAlign w:val="center"/>
          </w:tcPr>
          <w:p w14:paraId="172168B0"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77B9F0B1"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tcBorders>
              <w:bottom w:val="single" w:sz="4" w:space="0" w:color="000000"/>
            </w:tcBorders>
            <w:shd w:val="clear" w:color="auto" w:fill="FFFFFF"/>
            <w:vAlign w:val="center"/>
          </w:tcPr>
          <w:p w14:paraId="33539E74"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Leptopelis viridis</w:t>
            </w:r>
          </w:p>
        </w:tc>
        <w:tc>
          <w:tcPr>
            <w:tcW w:w="1928" w:type="dxa"/>
            <w:vMerge/>
            <w:tcBorders>
              <w:top w:val="single" w:sz="4" w:space="0" w:color="000000"/>
            </w:tcBorders>
            <w:shd w:val="clear" w:color="auto" w:fill="FFFFFF"/>
          </w:tcPr>
          <w:p w14:paraId="29F28E33"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2621A122" w14:textId="77777777">
        <w:trPr>
          <w:trHeight w:val="169"/>
        </w:trPr>
        <w:tc>
          <w:tcPr>
            <w:tcW w:w="2055" w:type="dxa"/>
            <w:vMerge w:val="restart"/>
            <w:tcBorders>
              <w:top w:val="single" w:sz="4" w:space="0" w:color="000000"/>
            </w:tcBorders>
            <w:shd w:val="clear" w:color="auto" w:fill="FFFFFF"/>
            <w:vAlign w:val="center"/>
          </w:tcPr>
          <w:p w14:paraId="6F93D6CF"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Bufonidae</w:t>
            </w:r>
          </w:p>
        </w:tc>
        <w:tc>
          <w:tcPr>
            <w:tcW w:w="2141" w:type="dxa"/>
            <w:vMerge w:val="restart"/>
            <w:tcBorders>
              <w:top w:val="single" w:sz="4" w:space="0" w:color="000000"/>
            </w:tcBorders>
            <w:shd w:val="clear" w:color="auto" w:fill="FFFFFF"/>
            <w:vAlign w:val="center"/>
          </w:tcPr>
          <w:p w14:paraId="15A4C7FA"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Sclerophrys</w:t>
            </w:r>
          </w:p>
        </w:tc>
        <w:tc>
          <w:tcPr>
            <w:tcW w:w="2735" w:type="dxa"/>
            <w:tcBorders>
              <w:top w:val="single" w:sz="4" w:space="0" w:color="000000"/>
              <w:bottom w:val="single" w:sz="4" w:space="0" w:color="000000"/>
            </w:tcBorders>
            <w:shd w:val="clear" w:color="auto" w:fill="FFFFFF"/>
            <w:vAlign w:val="center"/>
          </w:tcPr>
          <w:p w14:paraId="6D987033"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Sclerophrys maculata</w:t>
            </w:r>
          </w:p>
        </w:tc>
        <w:tc>
          <w:tcPr>
            <w:tcW w:w="1928" w:type="dxa"/>
            <w:vMerge w:val="restart"/>
            <w:tcBorders>
              <w:top w:val="single" w:sz="4" w:space="0" w:color="000000"/>
            </w:tcBorders>
            <w:shd w:val="clear" w:color="auto" w:fill="FFFFFF"/>
          </w:tcPr>
          <w:p w14:paraId="0C153F14"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2</w:t>
            </w:r>
          </w:p>
        </w:tc>
      </w:tr>
      <w:tr w:rsidR="00C308DD" w:rsidRPr="00261A77" w14:paraId="44902172" w14:textId="77777777">
        <w:trPr>
          <w:trHeight w:val="169"/>
        </w:trPr>
        <w:tc>
          <w:tcPr>
            <w:tcW w:w="2055" w:type="dxa"/>
            <w:vMerge/>
            <w:tcBorders>
              <w:top w:val="single" w:sz="4" w:space="0" w:color="000000"/>
            </w:tcBorders>
            <w:shd w:val="clear" w:color="auto" w:fill="FFFFFF"/>
            <w:vAlign w:val="center"/>
          </w:tcPr>
          <w:p w14:paraId="732F5809"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tcBorders>
            <w:shd w:val="clear" w:color="auto" w:fill="FFFFFF"/>
            <w:vAlign w:val="center"/>
          </w:tcPr>
          <w:p w14:paraId="7A51446E"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tcBorders>
              <w:top w:val="single" w:sz="4" w:space="0" w:color="000000"/>
              <w:bottom w:val="single" w:sz="4" w:space="0" w:color="000000"/>
            </w:tcBorders>
            <w:shd w:val="clear" w:color="auto" w:fill="FFFFFF"/>
            <w:vAlign w:val="center"/>
          </w:tcPr>
          <w:p w14:paraId="1ABB3736"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Sclerophrys regularis</w:t>
            </w:r>
          </w:p>
        </w:tc>
        <w:tc>
          <w:tcPr>
            <w:tcW w:w="1928" w:type="dxa"/>
            <w:vMerge/>
            <w:tcBorders>
              <w:top w:val="single" w:sz="4" w:space="0" w:color="000000"/>
            </w:tcBorders>
            <w:shd w:val="clear" w:color="auto" w:fill="FFFFFF"/>
          </w:tcPr>
          <w:p w14:paraId="1B41C0DA"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28FE55C7" w14:textId="77777777">
        <w:trPr>
          <w:trHeight w:val="250"/>
        </w:trPr>
        <w:tc>
          <w:tcPr>
            <w:tcW w:w="2055" w:type="dxa"/>
            <w:tcBorders>
              <w:top w:val="single" w:sz="4" w:space="0" w:color="000000"/>
              <w:bottom w:val="single" w:sz="4" w:space="0" w:color="000000"/>
            </w:tcBorders>
            <w:shd w:val="clear" w:color="auto" w:fill="FFFFFF"/>
            <w:vAlign w:val="center"/>
          </w:tcPr>
          <w:p w14:paraId="685FD95E"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Dicroglossidae</w:t>
            </w:r>
          </w:p>
        </w:tc>
        <w:tc>
          <w:tcPr>
            <w:tcW w:w="2141" w:type="dxa"/>
            <w:tcBorders>
              <w:top w:val="single" w:sz="4" w:space="0" w:color="000000"/>
              <w:bottom w:val="single" w:sz="4" w:space="0" w:color="000000"/>
            </w:tcBorders>
            <w:shd w:val="clear" w:color="auto" w:fill="FFFFFF"/>
            <w:vAlign w:val="center"/>
          </w:tcPr>
          <w:p w14:paraId="4022EBE0"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Hoplobatrachus</w:t>
            </w:r>
          </w:p>
        </w:tc>
        <w:tc>
          <w:tcPr>
            <w:tcW w:w="2735" w:type="dxa"/>
            <w:tcBorders>
              <w:top w:val="single" w:sz="4" w:space="0" w:color="000000"/>
              <w:bottom w:val="single" w:sz="4" w:space="0" w:color="000000"/>
            </w:tcBorders>
            <w:shd w:val="clear" w:color="auto" w:fill="FFFFFF"/>
            <w:vAlign w:val="center"/>
          </w:tcPr>
          <w:p w14:paraId="16BFCC77"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Hoplobatrachus occipitalis</w:t>
            </w:r>
          </w:p>
        </w:tc>
        <w:tc>
          <w:tcPr>
            <w:tcW w:w="1928" w:type="dxa"/>
            <w:tcBorders>
              <w:top w:val="single" w:sz="4" w:space="0" w:color="000000"/>
              <w:bottom w:val="single" w:sz="4" w:space="0" w:color="000000"/>
            </w:tcBorders>
            <w:shd w:val="clear" w:color="auto" w:fill="FFFFFF"/>
          </w:tcPr>
          <w:p w14:paraId="5713ADC5"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1</w:t>
            </w:r>
          </w:p>
        </w:tc>
      </w:tr>
      <w:tr w:rsidR="00C308DD" w:rsidRPr="00261A77" w14:paraId="1D69009D" w14:textId="77777777">
        <w:trPr>
          <w:trHeight w:val="250"/>
        </w:trPr>
        <w:tc>
          <w:tcPr>
            <w:tcW w:w="2055" w:type="dxa"/>
            <w:tcBorders>
              <w:top w:val="single" w:sz="4" w:space="0" w:color="000000"/>
              <w:bottom w:val="single" w:sz="4" w:space="0" w:color="000000"/>
            </w:tcBorders>
            <w:shd w:val="clear" w:color="auto" w:fill="FFFFFF"/>
            <w:vAlign w:val="center"/>
          </w:tcPr>
          <w:p w14:paraId="402D8CC2"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Hemisotidae</w:t>
            </w:r>
          </w:p>
        </w:tc>
        <w:tc>
          <w:tcPr>
            <w:tcW w:w="2141" w:type="dxa"/>
            <w:tcBorders>
              <w:top w:val="single" w:sz="4" w:space="0" w:color="000000"/>
              <w:bottom w:val="single" w:sz="4" w:space="0" w:color="000000"/>
            </w:tcBorders>
            <w:shd w:val="clear" w:color="auto" w:fill="FFFFFF"/>
            <w:vAlign w:val="center"/>
          </w:tcPr>
          <w:p w14:paraId="2E7DC3AC"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Hemisus</w:t>
            </w:r>
          </w:p>
        </w:tc>
        <w:tc>
          <w:tcPr>
            <w:tcW w:w="2735" w:type="dxa"/>
            <w:tcBorders>
              <w:top w:val="single" w:sz="4" w:space="0" w:color="000000"/>
              <w:bottom w:val="single" w:sz="4" w:space="0" w:color="000000"/>
            </w:tcBorders>
            <w:shd w:val="clear" w:color="auto" w:fill="FFFFFF"/>
            <w:vAlign w:val="center"/>
          </w:tcPr>
          <w:p w14:paraId="29C8651E"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Hemisus marmoratus</w:t>
            </w:r>
          </w:p>
        </w:tc>
        <w:tc>
          <w:tcPr>
            <w:tcW w:w="1928" w:type="dxa"/>
            <w:tcBorders>
              <w:top w:val="single" w:sz="4" w:space="0" w:color="000000"/>
              <w:bottom w:val="single" w:sz="4" w:space="0" w:color="000000"/>
            </w:tcBorders>
            <w:shd w:val="clear" w:color="auto" w:fill="FFFFFF"/>
          </w:tcPr>
          <w:p w14:paraId="07DBFC41"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1</w:t>
            </w:r>
          </w:p>
        </w:tc>
      </w:tr>
      <w:tr w:rsidR="00C308DD" w:rsidRPr="00261A77" w14:paraId="2F59D8A0" w14:textId="77777777">
        <w:trPr>
          <w:trHeight w:val="169"/>
        </w:trPr>
        <w:tc>
          <w:tcPr>
            <w:tcW w:w="2055" w:type="dxa"/>
            <w:vMerge w:val="restart"/>
            <w:tcBorders>
              <w:top w:val="single" w:sz="4" w:space="0" w:color="000000"/>
            </w:tcBorders>
            <w:shd w:val="clear" w:color="auto" w:fill="FFFFFF"/>
            <w:vAlign w:val="center"/>
          </w:tcPr>
          <w:p w14:paraId="604946F3"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Hyperoliidae</w:t>
            </w:r>
          </w:p>
        </w:tc>
        <w:tc>
          <w:tcPr>
            <w:tcW w:w="2141" w:type="dxa"/>
            <w:tcBorders>
              <w:top w:val="single" w:sz="4" w:space="0" w:color="000000"/>
              <w:bottom w:val="single" w:sz="4" w:space="0" w:color="000000"/>
            </w:tcBorders>
            <w:shd w:val="clear" w:color="auto" w:fill="FFFFFF"/>
            <w:vAlign w:val="center"/>
          </w:tcPr>
          <w:p w14:paraId="7633AFCA"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Afrixalus</w:t>
            </w:r>
          </w:p>
        </w:tc>
        <w:tc>
          <w:tcPr>
            <w:tcW w:w="2735" w:type="dxa"/>
            <w:tcBorders>
              <w:top w:val="single" w:sz="4" w:space="0" w:color="000000"/>
              <w:bottom w:val="single" w:sz="4" w:space="0" w:color="000000"/>
            </w:tcBorders>
            <w:shd w:val="clear" w:color="auto" w:fill="FFFFFF"/>
            <w:vAlign w:val="center"/>
          </w:tcPr>
          <w:p w14:paraId="37EBDE95"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
                <w:iCs/>
                <w:sz w:val="22"/>
                <w:shd w:val="clear" w:color="auto" w:fill="FFFFFF"/>
              </w:rPr>
              <w:t>Afrixalus</w:t>
            </w:r>
            <w:r w:rsidRPr="00261A77">
              <w:rPr>
                <w:rFonts w:ascii="Arial" w:hAnsi="Arial" w:cs="Arial"/>
                <w:bCs/>
                <w:iCs/>
                <w:sz w:val="22"/>
                <w:shd w:val="clear" w:color="auto" w:fill="FFFFFF"/>
              </w:rPr>
              <w:t xml:space="preserve"> </w:t>
            </w:r>
            <w:r w:rsidRPr="00261A77">
              <w:rPr>
                <w:rFonts w:ascii="Arial" w:hAnsi="Arial" w:cs="Arial"/>
                <w:bCs/>
                <w:i/>
                <w:iCs/>
                <w:sz w:val="22"/>
                <w:shd w:val="clear" w:color="auto" w:fill="FFFFFF"/>
              </w:rPr>
              <w:t>dorsalis</w:t>
            </w:r>
          </w:p>
        </w:tc>
        <w:tc>
          <w:tcPr>
            <w:tcW w:w="1928" w:type="dxa"/>
            <w:vMerge w:val="restart"/>
            <w:tcBorders>
              <w:top w:val="single" w:sz="4" w:space="0" w:color="000000"/>
            </w:tcBorders>
            <w:shd w:val="clear" w:color="auto" w:fill="FFFFFF"/>
          </w:tcPr>
          <w:p w14:paraId="6EC6B9E4" w14:textId="77777777" w:rsidR="00C308DD" w:rsidRPr="00261A77" w:rsidRDefault="00C308DD">
            <w:pPr>
              <w:snapToGrid w:val="0"/>
              <w:spacing w:after="15" w:line="240" w:lineRule="auto"/>
              <w:ind w:left="-5"/>
              <w:jc w:val="center"/>
              <w:rPr>
                <w:rFonts w:ascii="Arial" w:hAnsi="Arial" w:cs="Arial"/>
                <w:bCs/>
                <w:iCs/>
                <w:sz w:val="22"/>
                <w:shd w:val="clear" w:color="auto" w:fill="FFFFFF"/>
              </w:rPr>
            </w:pPr>
          </w:p>
          <w:p w14:paraId="58D64FC5" w14:textId="77777777" w:rsidR="00C308DD" w:rsidRPr="00261A77" w:rsidRDefault="00C308DD">
            <w:pPr>
              <w:spacing w:after="15" w:line="240" w:lineRule="auto"/>
              <w:ind w:left="-5"/>
              <w:jc w:val="center"/>
              <w:rPr>
                <w:rFonts w:ascii="Arial" w:hAnsi="Arial" w:cs="Arial"/>
                <w:bCs/>
                <w:sz w:val="22"/>
                <w:shd w:val="clear" w:color="auto" w:fill="FFFFFF"/>
              </w:rPr>
            </w:pPr>
          </w:p>
          <w:p w14:paraId="30BF20CB"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5</w:t>
            </w:r>
          </w:p>
        </w:tc>
      </w:tr>
      <w:tr w:rsidR="00C308DD" w:rsidRPr="00261A77" w14:paraId="6D08720E" w14:textId="77777777">
        <w:trPr>
          <w:trHeight w:val="161"/>
        </w:trPr>
        <w:tc>
          <w:tcPr>
            <w:tcW w:w="2055" w:type="dxa"/>
            <w:vMerge/>
            <w:tcBorders>
              <w:top w:val="single" w:sz="4" w:space="0" w:color="000000"/>
            </w:tcBorders>
            <w:shd w:val="clear" w:color="auto" w:fill="FFFFFF"/>
            <w:vAlign w:val="center"/>
          </w:tcPr>
          <w:p w14:paraId="24D8338A"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val="restart"/>
            <w:tcBorders>
              <w:top w:val="single" w:sz="4" w:space="0" w:color="000000"/>
            </w:tcBorders>
            <w:shd w:val="clear" w:color="auto" w:fill="FFFFFF"/>
            <w:vAlign w:val="center"/>
          </w:tcPr>
          <w:p w14:paraId="153DFE91" w14:textId="77777777" w:rsidR="00C308DD" w:rsidRPr="00261A77" w:rsidRDefault="00000000">
            <w:pPr>
              <w:spacing w:after="15" w:line="240" w:lineRule="auto"/>
              <w:ind w:left="-5"/>
            </w:pPr>
            <w:r w:rsidRPr="00261A77">
              <w:rPr>
                <w:rFonts w:ascii="Arial" w:hAnsi="Arial" w:cs="Arial"/>
                <w:bCs/>
                <w:i/>
                <w:iCs/>
                <w:sz w:val="22"/>
                <w:shd w:val="clear" w:color="auto" w:fill="FFFFFF"/>
              </w:rPr>
              <w:t>Hyperolius</w:t>
            </w:r>
          </w:p>
        </w:tc>
        <w:tc>
          <w:tcPr>
            <w:tcW w:w="2735" w:type="dxa"/>
            <w:tcBorders>
              <w:top w:val="single" w:sz="4" w:space="0" w:color="000000"/>
            </w:tcBorders>
            <w:shd w:val="clear" w:color="auto" w:fill="FFFFFF"/>
            <w:vAlign w:val="center"/>
          </w:tcPr>
          <w:p w14:paraId="065BB475"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Hyperolius concolor</w:t>
            </w:r>
          </w:p>
        </w:tc>
        <w:tc>
          <w:tcPr>
            <w:tcW w:w="1928" w:type="dxa"/>
            <w:vMerge/>
            <w:tcBorders>
              <w:top w:val="single" w:sz="4" w:space="0" w:color="000000"/>
            </w:tcBorders>
            <w:shd w:val="clear" w:color="auto" w:fill="FFFFFF"/>
          </w:tcPr>
          <w:p w14:paraId="07268D54"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19131B31" w14:textId="77777777">
        <w:trPr>
          <w:trHeight w:val="161"/>
        </w:trPr>
        <w:tc>
          <w:tcPr>
            <w:tcW w:w="2055" w:type="dxa"/>
            <w:vMerge/>
            <w:tcBorders>
              <w:top w:val="single" w:sz="4" w:space="0" w:color="000000"/>
            </w:tcBorders>
            <w:shd w:val="clear" w:color="auto" w:fill="FFFFFF"/>
            <w:vAlign w:val="center"/>
          </w:tcPr>
          <w:p w14:paraId="780C792B"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tcBorders>
            <w:shd w:val="clear" w:color="auto" w:fill="FFFFFF"/>
            <w:vAlign w:val="center"/>
          </w:tcPr>
          <w:p w14:paraId="11917104"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13A96CD0"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Hyperolius guttulatus</w:t>
            </w:r>
          </w:p>
        </w:tc>
        <w:tc>
          <w:tcPr>
            <w:tcW w:w="1928" w:type="dxa"/>
            <w:vMerge/>
            <w:tcBorders>
              <w:top w:val="single" w:sz="4" w:space="0" w:color="000000"/>
            </w:tcBorders>
            <w:shd w:val="clear" w:color="auto" w:fill="FFFFFF"/>
          </w:tcPr>
          <w:p w14:paraId="65C0308A"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3203388D" w14:textId="77777777">
        <w:trPr>
          <w:trHeight w:val="166"/>
        </w:trPr>
        <w:tc>
          <w:tcPr>
            <w:tcW w:w="2055" w:type="dxa"/>
            <w:vMerge/>
            <w:tcBorders>
              <w:top w:val="single" w:sz="4" w:space="0" w:color="000000"/>
            </w:tcBorders>
            <w:shd w:val="clear" w:color="auto" w:fill="FFFFFF"/>
            <w:vAlign w:val="center"/>
          </w:tcPr>
          <w:p w14:paraId="0D06E059"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tcBorders>
            <w:shd w:val="clear" w:color="auto" w:fill="FFFFFF"/>
            <w:vAlign w:val="center"/>
          </w:tcPr>
          <w:p w14:paraId="5BD97CFD"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419CDAC4"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Hyperolius picturatus</w:t>
            </w:r>
          </w:p>
        </w:tc>
        <w:tc>
          <w:tcPr>
            <w:tcW w:w="1928" w:type="dxa"/>
            <w:vMerge/>
            <w:tcBorders>
              <w:top w:val="single" w:sz="4" w:space="0" w:color="000000"/>
            </w:tcBorders>
            <w:shd w:val="clear" w:color="auto" w:fill="FFFFFF"/>
          </w:tcPr>
          <w:p w14:paraId="39815769"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59ECA3B9" w14:textId="77777777">
        <w:trPr>
          <w:trHeight w:val="166"/>
        </w:trPr>
        <w:tc>
          <w:tcPr>
            <w:tcW w:w="2055" w:type="dxa"/>
            <w:vMerge/>
            <w:tcBorders>
              <w:top w:val="single" w:sz="4" w:space="0" w:color="000000"/>
            </w:tcBorders>
            <w:shd w:val="clear" w:color="auto" w:fill="FFFFFF"/>
            <w:vAlign w:val="center"/>
          </w:tcPr>
          <w:p w14:paraId="409D5828"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tcBorders>
            <w:shd w:val="clear" w:color="auto" w:fill="FFFFFF"/>
            <w:vAlign w:val="center"/>
          </w:tcPr>
          <w:p w14:paraId="6F4BD5B0"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tcBorders>
              <w:bottom w:val="single" w:sz="4" w:space="0" w:color="000000"/>
            </w:tcBorders>
            <w:shd w:val="clear" w:color="auto" w:fill="FFFFFF"/>
            <w:vAlign w:val="center"/>
          </w:tcPr>
          <w:p w14:paraId="4B51B500"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Hyperolius fusciventris lamtoensis</w:t>
            </w:r>
          </w:p>
        </w:tc>
        <w:tc>
          <w:tcPr>
            <w:tcW w:w="1928" w:type="dxa"/>
            <w:vMerge/>
            <w:tcBorders>
              <w:top w:val="single" w:sz="4" w:space="0" w:color="000000"/>
            </w:tcBorders>
            <w:shd w:val="clear" w:color="auto" w:fill="FFFFFF"/>
          </w:tcPr>
          <w:p w14:paraId="1899A8C7"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25FAD012" w14:textId="77777777">
        <w:trPr>
          <w:trHeight w:val="246"/>
        </w:trPr>
        <w:tc>
          <w:tcPr>
            <w:tcW w:w="2055" w:type="dxa"/>
            <w:vMerge w:val="restart"/>
            <w:tcBorders>
              <w:top w:val="single" w:sz="4" w:space="0" w:color="000000"/>
              <w:bottom w:val="single" w:sz="12" w:space="0" w:color="000000"/>
            </w:tcBorders>
            <w:shd w:val="clear" w:color="auto" w:fill="FFFFFF"/>
            <w:vAlign w:val="center"/>
          </w:tcPr>
          <w:p w14:paraId="6651CA58"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Phrynobatrachidae</w:t>
            </w:r>
          </w:p>
        </w:tc>
        <w:tc>
          <w:tcPr>
            <w:tcW w:w="2141" w:type="dxa"/>
            <w:vMerge w:val="restart"/>
            <w:tcBorders>
              <w:top w:val="single" w:sz="4" w:space="0" w:color="000000"/>
              <w:bottom w:val="single" w:sz="12" w:space="0" w:color="000000"/>
            </w:tcBorders>
            <w:shd w:val="clear" w:color="auto" w:fill="FFFFFF"/>
            <w:vAlign w:val="center"/>
          </w:tcPr>
          <w:p w14:paraId="6ACC7F83"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w:t>
            </w:r>
          </w:p>
        </w:tc>
        <w:tc>
          <w:tcPr>
            <w:tcW w:w="2735" w:type="dxa"/>
            <w:tcBorders>
              <w:top w:val="single" w:sz="4" w:space="0" w:color="000000"/>
            </w:tcBorders>
            <w:shd w:val="clear" w:color="auto" w:fill="FFFFFF"/>
            <w:vAlign w:val="center"/>
          </w:tcPr>
          <w:p w14:paraId="4244B3DC"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alleni</w:t>
            </w:r>
          </w:p>
        </w:tc>
        <w:tc>
          <w:tcPr>
            <w:tcW w:w="1928" w:type="dxa"/>
            <w:vMerge w:val="restart"/>
            <w:tcBorders>
              <w:top w:val="single" w:sz="4" w:space="0" w:color="000000"/>
            </w:tcBorders>
            <w:shd w:val="clear" w:color="auto" w:fill="FFFFFF"/>
          </w:tcPr>
          <w:p w14:paraId="60B4CEB8"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p w14:paraId="136B53D8" w14:textId="77777777" w:rsidR="00C308DD" w:rsidRPr="00261A77" w:rsidRDefault="00C308DD">
            <w:pPr>
              <w:spacing w:after="15" w:line="240" w:lineRule="auto"/>
              <w:ind w:left="-5"/>
              <w:jc w:val="center"/>
              <w:rPr>
                <w:rFonts w:ascii="Arial" w:hAnsi="Arial" w:cs="Arial"/>
                <w:bCs/>
                <w:sz w:val="22"/>
                <w:shd w:val="clear" w:color="auto" w:fill="FFFFFF"/>
              </w:rPr>
            </w:pPr>
          </w:p>
          <w:p w14:paraId="177C47A2" w14:textId="77777777" w:rsidR="00C308DD" w:rsidRPr="00261A77" w:rsidRDefault="00C308DD">
            <w:pPr>
              <w:spacing w:after="15" w:line="240" w:lineRule="auto"/>
              <w:ind w:left="-5"/>
              <w:jc w:val="center"/>
              <w:rPr>
                <w:rFonts w:ascii="Arial" w:hAnsi="Arial" w:cs="Arial"/>
                <w:bCs/>
                <w:sz w:val="22"/>
                <w:shd w:val="clear" w:color="auto" w:fill="FFFFFF"/>
              </w:rPr>
            </w:pPr>
          </w:p>
          <w:p w14:paraId="15D4D43E" w14:textId="77777777" w:rsidR="00C308DD" w:rsidRPr="00261A77" w:rsidRDefault="00C308DD">
            <w:pPr>
              <w:spacing w:after="15" w:line="240" w:lineRule="auto"/>
              <w:ind w:left="-5"/>
              <w:jc w:val="center"/>
              <w:rPr>
                <w:rFonts w:ascii="Arial" w:hAnsi="Arial" w:cs="Arial"/>
                <w:bCs/>
                <w:sz w:val="22"/>
                <w:shd w:val="clear" w:color="auto" w:fill="FFFFFF"/>
              </w:rPr>
            </w:pPr>
          </w:p>
          <w:p w14:paraId="20DEFF74"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6</w:t>
            </w:r>
          </w:p>
        </w:tc>
      </w:tr>
      <w:tr w:rsidR="00C308DD" w:rsidRPr="00261A77" w14:paraId="4478B4FE" w14:textId="77777777">
        <w:trPr>
          <w:trHeight w:val="242"/>
        </w:trPr>
        <w:tc>
          <w:tcPr>
            <w:tcW w:w="2055" w:type="dxa"/>
            <w:vMerge/>
            <w:tcBorders>
              <w:top w:val="single" w:sz="4" w:space="0" w:color="000000"/>
              <w:bottom w:val="single" w:sz="12" w:space="0" w:color="000000"/>
            </w:tcBorders>
            <w:shd w:val="clear" w:color="auto" w:fill="FFFFFF"/>
            <w:vAlign w:val="center"/>
          </w:tcPr>
          <w:p w14:paraId="220D0E98"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69F59EB4"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0ED65628"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calcaratus</w:t>
            </w:r>
          </w:p>
        </w:tc>
        <w:tc>
          <w:tcPr>
            <w:tcW w:w="1928" w:type="dxa"/>
            <w:vMerge/>
            <w:tcBorders>
              <w:top w:val="single" w:sz="4" w:space="0" w:color="000000"/>
            </w:tcBorders>
            <w:shd w:val="clear" w:color="auto" w:fill="FFFFFF"/>
          </w:tcPr>
          <w:p w14:paraId="4FB3EC2F"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6B4ED0A3" w14:textId="77777777">
        <w:trPr>
          <w:trHeight w:val="242"/>
        </w:trPr>
        <w:tc>
          <w:tcPr>
            <w:tcW w:w="2055" w:type="dxa"/>
            <w:vMerge/>
            <w:tcBorders>
              <w:top w:val="single" w:sz="4" w:space="0" w:color="000000"/>
              <w:bottom w:val="single" w:sz="12" w:space="0" w:color="000000"/>
            </w:tcBorders>
            <w:shd w:val="clear" w:color="auto" w:fill="FFFFFF"/>
            <w:vAlign w:val="center"/>
          </w:tcPr>
          <w:p w14:paraId="65C46005"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39A4814C"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77012682"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francisci</w:t>
            </w:r>
          </w:p>
        </w:tc>
        <w:tc>
          <w:tcPr>
            <w:tcW w:w="1928" w:type="dxa"/>
            <w:vMerge/>
            <w:tcBorders>
              <w:top w:val="single" w:sz="4" w:space="0" w:color="000000"/>
            </w:tcBorders>
            <w:shd w:val="clear" w:color="auto" w:fill="FFFFFF"/>
          </w:tcPr>
          <w:p w14:paraId="022F4AA2"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0DC357D2" w14:textId="77777777">
        <w:trPr>
          <w:trHeight w:val="242"/>
        </w:trPr>
        <w:tc>
          <w:tcPr>
            <w:tcW w:w="2055" w:type="dxa"/>
            <w:vMerge/>
            <w:tcBorders>
              <w:top w:val="single" w:sz="4" w:space="0" w:color="000000"/>
              <w:bottom w:val="single" w:sz="12" w:space="0" w:color="000000"/>
            </w:tcBorders>
            <w:shd w:val="clear" w:color="auto" w:fill="FFFFFF"/>
            <w:vAlign w:val="center"/>
          </w:tcPr>
          <w:p w14:paraId="49A6E85D"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232D1EF7"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1509A1C8"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gutturosus</w:t>
            </w:r>
          </w:p>
        </w:tc>
        <w:tc>
          <w:tcPr>
            <w:tcW w:w="1928" w:type="dxa"/>
            <w:vMerge/>
            <w:tcBorders>
              <w:top w:val="single" w:sz="4" w:space="0" w:color="000000"/>
            </w:tcBorders>
            <w:shd w:val="clear" w:color="auto" w:fill="FFFFFF"/>
          </w:tcPr>
          <w:p w14:paraId="2D90240A"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057C8203" w14:textId="77777777">
        <w:trPr>
          <w:trHeight w:val="242"/>
        </w:trPr>
        <w:tc>
          <w:tcPr>
            <w:tcW w:w="2055" w:type="dxa"/>
            <w:vMerge/>
            <w:tcBorders>
              <w:top w:val="single" w:sz="4" w:space="0" w:color="000000"/>
              <w:bottom w:val="single" w:sz="12" w:space="0" w:color="000000"/>
            </w:tcBorders>
            <w:shd w:val="clear" w:color="auto" w:fill="FFFFFF"/>
            <w:vAlign w:val="center"/>
          </w:tcPr>
          <w:p w14:paraId="1A0CD202"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78E14B79"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76195C5C"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latifrons</w:t>
            </w:r>
          </w:p>
        </w:tc>
        <w:tc>
          <w:tcPr>
            <w:tcW w:w="1928" w:type="dxa"/>
            <w:vMerge/>
            <w:tcBorders>
              <w:top w:val="single" w:sz="4" w:space="0" w:color="000000"/>
            </w:tcBorders>
            <w:shd w:val="clear" w:color="auto" w:fill="FFFFFF"/>
          </w:tcPr>
          <w:p w14:paraId="45F93BEB"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041094C1" w14:textId="77777777">
        <w:trPr>
          <w:trHeight w:val="246"/>
        </w:trPr>
        <w:tc>
          <w:tcPr>
            <w:tcW w:w="2055" w:type="dxa"/>
            <w:vMerge/>
            <w:tcBorders>
              <w:top w:val="single" w:sz="4" w:space="0" w:color="000000"/>
              <w:bottom w:val="single" w:sz="12" w:space="0" w:color="000000"/>
            </w:tcBorders>
            <w:shd w:val="clear" w:color="auto" w:fill="FFFFFF"/>
            <w:vAlign w:val="center"/>
          </w:tcPr>
          <w:p w14:paraId="14946630"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1C2102A7"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tcBorders>
              <w:bottom w:val="single" w:sz="4" w:space="0" w:color="000000"/>
            </w:tcBorders>
            <w:shd w:val="clear" w:color="auto" w:fill="FFFFFF"/>
            <w:vAlign w:val="center"/>
          </w:tcPr>
          <w:p w14:paraId="396F7186"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Phrynobatrachus plicatus</w:t>
            </w:r>
          </w:p>
        </w:tc>
        <w:tc>
          <w:tcPr>
            <w:tcW w:w="1928" w:type="dxa"/>
            <w:vMerge/>
            <w:tcBorders>
              <w:top w:val="single" w:sz="4" w:space="0" w:color="000000"/>
            </w:tcBorders>
            <w:shd w:val="clear" w:color="auto" w:fill="FFFFFF"/>
          </w:tcPr>
          <w:p w14:paraId="0362E5A5"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31479223" w14:textId="77777777">
        <w:trPr>
          <w:trHeight w:val="246"/>
        </w:trPr>
        <w:tc>
          <w:tcPr>
            <w:tcW w:w="2055" w:type="dxa"/>
            <w:tcBorders>
              <w:bottom w:val="single" w:sz="4" w:space="0" w:color="000000"/>
            </w:tcBorders>
            <w:vAlign w:val="center"/>
          </w:tcPr>
          <w:p w14:paraId="0B27713B"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Pipidae</w:t>
            </w:r>
          </w:p>
        </w:tc>
        <w:tc>
          <w:tcPr>
            <w:tcW w:w="2141" w:type="dxa"/>
            <w:tcBorders>
              <w:bottom w:val="single" w:sz="4" w:space="0" w:color="000000"/>
            </w:tcBorders>
            <w:vAlign w:val="center"/>
          </w:tcPr>
          <w:p w14:paraId="032F91FE"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 xml:space="preserve">Xenopus </w:t>
            </w:r>
          </w:p>
        </w:tc>
        <w:tc>
          <w:tcPr>
            <w:tcW w:w="2735" w:type="dxa"/>
            <w:tcBorders>
              <w:bottom w:val="single" w:sz="4" w:space="0" w:color="000000"/>
            </w:tcBorders>
            <w:shd w:val="clear" w:color="auto" w:fill="FFFFFF"/>
            <w:vAlign w:val="center"/>
          </w:tcPr>
          <w:p w14:paraId="53008188"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Xenopus tropicalis</w:t>
            </w:r>
          </w:p>
        </w:tc>
        <w:tc>
          <w:tcPr>
            <w:tcW w:w="1928" w:type="dxa"/>
            <w:tcBorders>
              <w:bottom w:val="single" w:sz="4" w:space="0" w:color="000000"/>
            </w:tcBorders>
            <w:shd w:val="clear" w:color="auto" w:fill="FFFFFF"/>
          </w:tcPr>
          <w:p w14:paraId="55762A74"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1</w:t>
            </w:r>
          </w:p>
        </w:tc>
      </w:tr>
      <w:tr w:rsidR="00C308DD" w:rsidRPr="00261A77" w14:paraId="045F8FE8" w14:textId="77777777">
        <w:trPr>
          <w:trHeight w:val="327"/>
        </w:trPr>
        <w:tc>
          <w:tcPr>
            <w:tcW w:w="2055" w:type="dxa"/>
            <w:vMerge w:val="restart"/>
            <w:tcBorders>
              <w:top w:val="single" w:sz="4" w:space="0" w:color="000000"/>
              <w:bottom w:val="single" w:sz="12" w:space="0" w:color="000000"/>
            </w:tcBorders>
            <w:shd w:val="clear" w:color="auto" w:fill="FFFFFF"/>
            <w:vAlign w:val="center"/>
          </w:tcPr>
          <w:p w14:paraId="21BE1512" w14:textId="77777777" w:rsidR="00C308DD" w:rsidRPr="00261A77" w:rsidRDefault="00C308DD">
            <w:pPr>
              <w:snapToGrid w:val="0"/>
              <w:spacing w:after="15" w:line="240" w:lineRule="auto"/>
              <w:ind w:left="-5"/>
              <w:rPr>
                <w:rFonts w:ascii="Arial" w:hAnsi="Arial" w:cs="Arial"/>
                <w:bCs/>
                <w:iCs/>
                <w:sz w:val="22"/>
                <w:shd w:val="clear" w:color="auto" w:fill="FFFFFF"/>
              </w:rPr>
            </w:pPr>
          </w:p>
          <w:p w14:paraId="143B0A8A"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Ptychadenidae</w:t>
            </w:r>
          </w:p>
        </w:tc>
        <w:tc>
          <w:tcPr>
            <w:tcW w:w="2141" w:type="dxa"/>
            <w:vMerge w:val="restart"/>
            <w:tcBorders>
              <w:top w:val="single" w:sz="4" w:space="0" w:color="000000"/>
              <w:bottom w:val="single" w:sz="12" w:space="0" w:color="000000"/>
            </w:tcBorders>
            <w:shd w:val="clear" w:color="auto" w:fill="FFFFFF"/>
            <w:vAlign w:val="center"/>
          </w:tcPr>
          <w:p w14:paraId="3810100C"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w:t>
            </w:r>
          </w:p>
        </w:tc>
        <w:tc>
          <w:tcPr>
            <w:tcW w:w="2735" w:type="dxa"/>
            <w:tcBorders>
              <w:top w:val="single" w:sz="4" w:space="0" w:color="000000"/>
            </w:tcBorders>
            <w:shd w:val="clear" w:color="auto" w:fill="FFFFFF"/>
            <w:vAlign w:val="center"/>
          </w:tcPr>
          <w:p w14:paraId="5B4473E0"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 aequiplicata</w:t>
            </w:r>
          </w:p>
        </w:tc>
        <w:tc>
          <w:tcPr>
            <w:tcW w:w="1928" w:type="dxa"/>
            <w:vMerge w:val="restart"/>
            <w:tcBorders>
              <w:top w:val="single" w:sz="4" w:space="0" w:color="000000"/>
            </w:tcBorders>
            <w:shd w:val="clear" w:color="auto" w:fill="FFFFFF"/>
          </w:tcPr>
          <w:p w14:paraId="6C1E3835"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p w14:paraId="5E5F2F4E" w14:textId="77777777" w:rsidR="00C308DD" w:rsidRPr="00261A77" w:rsidRDefault="00C308DD">
            <w:pPr>
              <w:spacing w:after="15" w:line="240" w:lineRule="auto"/>
              <w:ind w:left="-5"/>
              <w:jc w:val="center"/>
              <w:rPr>
                <w:rFonts w:ascii="Arial" w:hAnsi="Arial" w:cs="Arial"/>
                <w:bCs/>
                <w:sz w:val="22"/>
                <w:shd w:val="clear" w:color="auto" w:fill="FFFFFF"/>
              </w:rPr>
            </w:pPr>
          </w:p>
          <w:p w14:paraId="04A6AC77" w14:textId="77777777" w:rsidR="00C308DD" w:rsidRPr="00261A77" w:rsidRDefault="00C308DD">
            <w:pPr>
              <w:spacing w:after="15" w:line="240" w:lineRule="auto"/>
              <w:ind w:left="-5"/>
              <w:jc w:val="center"/>
              <w:rPr>
                <w:rFonts w:ascii="Arial" w:hAnsi="Arial" w:cs="Arial"/>
                <w:bCs/>
                <w:sz w:val="22"/>
                <w:shd w:val="clear" w:color="auto" w:fill="FFFFFF"/>
              </w:rPr>
            </w:pPr>
          </w:p>
          <w:p w14:paraId="0932FEA4"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5</w:t>
            </w:r>
          </w:p>
        </w:tc>
      </w:tr>
      <w:tr w:rsidR="00C308DD" w:rsidRPr="00261A77" w14:paraId="4219C17C" w14:textId="77777777">
        <w:trPr>
          <w:trHeight w:val="161"/>
        </w:trPr>
        <w:tc>
          <w:tcPr>
            <w:tcW w:w="2055" w:type="dxa"/>
            <w:vMerge/>
            <w:tcBorders>
              <w:top w:val="single" w:sz="4" w:space="0" w:color="000000"/>
              <w:bottom w:val="single" w:sz="12" w:space="0" w:color="000000"/>
            </w:tcBorders>
            <w:shd w:val="clear" w:color="auto" w:fill="FFFFFF"/>
            <w:vAlign w:val="center"/>
          </w:tcPr>
          <w:p w14:paraId="61205ED7"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31E35AB6"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7A1BD493"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 bibroni</w:t>
            </w:r>
          </w:p>
        </w:tc>
        <w:tc>
          <w:tcPr>
            <w:tcW w:w="1928" w:type="dxa"/>
            <w:vMerge/>
            <w:tcBorders>
              <w:top w:val="single" w:sz="4" w:space="0" w:color="000000"/>
            </w:tcBorders>
            <w:shd w:val="clear" w:color="auto" w:fill="FFFFFF"/>
          </w:tcPr>
          <w:p w14:paraId="18B71127"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2554529C" w14:textId="77777777">
        <w:trPr>
          <w:trHeight w:val="322"/>
        </w:trPr>
        <w:tc>
          <w:tcPr>
            <w:tcW w:w="2055" w:type="dxa"/>
            <w:vMerge/>
            <w:tcBorders>
              <w:top w:val="single" w:sz="4" w:space="0" w:color="000000"/>
              <w:bottom w:val="single" w:sz="12" w:space="0" w:color="000000"/>
            </w:tcBorders>
            <w:shd w:val="clear" w:color="auto" w:fill="FFFFFF"/>
            <w:vAlign w:val="center"/>
          </w:tcPr>
          <w:p w14:paraId="7120945A"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09E82687"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2A1AB6D3"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 mascareniensis</w:t>
            </w:r>
          </w:p>
        </w:tc>
        <w:tc>
          <w:tcPr>
            <w:tcW w:w="1928" w:type="dxa"/>
            <w:vMerge/>
            <w:tcBorders>
              <w:top w:val="single" w:sz="4" w:space="0" w:color="000000"/>
            </w:tcBorders>
            <w:shd w:val="clear" w:color="auto" w:fill="FFFFFF"/>
          </w:tcPr>
          <w:p w14:paraId="5DE495D1"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55275929" w14:textId="77777777">
        <w:trPr>
          <w:trHeight w:val="322"/>
        </w:trPr>
        <w:tc>
          <w:tcPr>
            <w:tcW w:w="2055" w:type="dxa"/>
            <w:vMerge/>
            <w:tcBorders>
              <w:top w:val="single" w:sz="4" w:space="0" w:color="000000"/>
              <w:bottom w:val="single" w:sz="12" w:space="0" w:color="000000"/>
            </w:tcBorders>
            <w:shd w:val="clear" w:color="auto" w:fill="FFFFFF"/>
            <w:vAlign w:val="center"/>
          </w:tcPr>
          <w:p w14:paraId="2EF202CA"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1561CA3D"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shd w:val="clear" w:color="auto" w:fill="FFFFFF"/>
            <w:vAlign w:val="center"/>
          </w:tcPr>
          <w:p w14:paraId="63984B3E"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 oxyrhynchus</w:t>
            </w:r>
          </w:p>
        </w:tc>
        <w:tc>
          <w:tcPr>
            <w:tcW w:w="1928" w:type="dxa"/>
            <w:vMerge/>
            <w:tcBorders>
              <w:top w:val="single" w:sz="4" w:space="0" w:color="000000"/>
            </w:tcBorders>
            <w:shd w:val="clear" w:color="auto" w:fill="FFFFFF"/>
          </w:tcPr>
          <w:p w14:paraId="648B757E"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5319F1B5" w14:textId="77777777">
        <w:trPr>
          <w:trHeight w:val="166"/>
        </w:trPr>
        <w:tc>
          <w:tcPr>
            <w:tcW w:w="2055" w:type="dxa"/>
            <w:vMerge/>
            <w:tcBorders>
              <w:top w:val="single" w:sz="4" w:space="0" w:color="000000"/>
              <w:bottom w:val="single" w:sz="12" w:space="0" w:color="000000"/>
            </w:tcBorders>
            <w:shd w:val="clear" w:color="auto" w:fill="FFFFFF"/>
            <w:vAlign w:val="center"/>
          </w:tcPr>
          <w:p w14:paraId="6194536F" w14:textId="77777777" w:rsidR="00C308DD" w:rsidRPr="00261A77" w:rsidRDefault="00C308DD">
            <w:pPr>
              <w:snapToGrid w:val="0"/>
              <w:spacing w:after="15" w:line="240" w:lineRule="auto"/>
              <w:ind w:left="-5"/>
              <w:rPr>
                <w:rFonts w:ascii="Arial" w:hAnsi="Arial" w:cs="Arial"/>
                <w:bCs/>
                <w:iCs/>
                <w:sz w:val="22"/>
                <w:shd w:val="clear" w:color="auto" w:fill="FFFFFF"/>
              </w:rPr>
            </w:pPr>
          </w:p>
        </w:tc>
        <w:tc>
          <w:tcPr>
            <w:tcW w:w="2141" w:type="dxa"/>
            <w:vMerge/>
            <w:tcBorders>
              <w:top w:val="single" w:sz="4" w:space="0" w:color="000000"/>
              <w:bottom w:val="single" w:sz="12" w:space="0" w:color="000000"/>
            </w:tcBorders>
            <w:shd w:val="clear" w:color="auto" w:fill="FFFFFF"/>
            <w:vAlign w:val="center"/>
          </w:tcPr>
          <w:p w14:paraId="1251A57D" w14:textId="77777777" w:rsidR="00C308DD" w:rsidRPr="00261A77" w:rsidRDefault="00C308DD">
            <w:pPr>
              <w:snapToGrid w:val="0"/>
              <w:spacing w:after="15" w:line="240" w:lineRule="auto"/>
              <w:ind w:left="-5"/>
              <w:rPr>
                <w:rFonts w:ascii="Arial" w:hAnsi="Arial" w:cs="Arial"/>
                <w:bCs/>
                <w:i/>
                <w:iCs/>
                <w:sz w:val="22"/>
                <w:shd w:val="clear" w:color="auto" w:fill="FFFFFF"/>
              </w:rPr>
            </w:pPr>
          </w:p>
        </w:tc>
        <w:tc>
          <w:tcPr>
            <w:tcW w:w="2735" w:type="dxa"/>
            <w:tcBorders>
              <w:bottom w:val="single" w:sz="4" w:space="0" w:color="000000"/>
            </w:tcBorders>
            <w:shd w:val="clear" w:color="auto" w:fill="FFFFFF"/>
            <w:vAlign w:val="center"/>
          </w:tcPr>
          <w:p w14:paraId="61466FEB"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Ptychadena tellenii</w:t>
            </w:r>
          </w:p>
        </w:tc>
        <w:tc>
          <w:tcPr>
            <w:tcW w:w="1928" w:type="dxa"/>
            <w:vMerge/>
            <w:tcBorders>
              <w:top w:val="single" w:sz="4" w:space="0" w:color="000000"/>
            </w:tcBorders>
            <w:shd w:val="clear" w:color="auto" w:fill="FFFFFF"/>
          </w:tcPr>
          <w:p w14:paraId="66407D75" w14:textId="77777777" w:rsidR="00C308DD" w:rsidRPr="00261A77" w:rsidRDefault="00C308DD">
            <w:pPr>
              <w:snapToGrid w:val="0"/>
              <w:spacing w:after="15" w:line="240" w:lineRule="auto"/>
              <w:ind w:left="-5"/>
              <w:jc w:val="center"/>
              <w:rPr>
                <w:rFonts w:ascii="Arial" w:hAnsi="Arial" w:cs="Arial"/>
                <w:bCs/>
                <w:i/>
                <w:iCs/>
                <w:sz w:val="22"/>
                <w:shd w:val="clear" w:color="auto" w:fill="FFFFFF"/>
              </w:rPr>
            </w:pPr>
          </w:p>
        </w:tc>
      </w:tr>
      <w:tr w:rsidR="00C308DD" w:rsidRPr="00261A77" w14:paraId="17E7A5A6" w14:textId="77777777">
        <w:trPr>
          <w:trHeight w:val="522"/>
        </w:trPr>
        <w:tc>
          <w:tcPr>
            <w:tcW w:w="2055" w:type="dxa"/>
            <w:tcBorders>
              <w:top w:val="single" w:sz="4" w:space="0" w:color="000000"/>
              <w:bottom w:val="single" w:sz="4" w:space="0" w:color="000000"/>
            </w:tcBorders>
            <w:shd w:val="clear" w:color="auto" w:fill="FFFFFF"/>
            <w:vAlign w:val="center"/>
          </w:tcPr>
          <w:p w14:paraId="255A7E6D" w14:textId="77777777" w:rsidR="00C308DD" w:rsidRPr="00261A77" w:rsidRDefault="00000000">
            <w:pPr>
              <w:spacing w:after="15" w:line="240" w:lineRule="auto"/>
              <w:ind w:left="-5"/>
              <w:rPr>
                <w:rFonts w:ascii="Arial" w:hAnsi="Arial" w:cs="Arial"/>
                <w:bCs/>
                <w:iCs/>
                <w:sz w:val="22"/>
                <w:shd w:val="clear" w:color="auto" w:fill="FFFFFF"/>
              </w:rPr>
            </w:pPr>
            <w:r w:rsidRPr="00261A77">
              <w:rPr>
                <w:rFonts w:ascii="Arial" w:hAnsi="Arial" w:cs="Arial"/>
                <w:bCs/>
                <w:iCs/>
                <w:sz w:val="22"/>
                <w:shd w:val="clear" w:color="auto" w:fill="FFFFFF"/>
              </w:rPr>
              <w:t>Ranidae</w:t>
            </w:r>
          </w:p>
        </w:tc>
        <w:tc>
          <w:tcPr>
            <w:tcW w:w="2141" w:type="dxa"/>
            <w:tcBorders>
              <w:top w:val="single" w:sz="4" w:space="0" w:color="000000"/>
              <w:bottom w:val="single" w:sz="4" w:space="0" w:color="000000"/>
            </w:tcBorders>
            <w:shd w:val="clear" w:color="auto" w:fill="FFFFFF"/>
            <w:vAlign w:val="center"/>
          </w:tcPr>
          <w:p w14:paraId="1BB0F4FD"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Amnirana</w:t>
            </w:r>
          </w:p>
        </w:tc>
        <w:tc>
          <w:tcPr>
            <w:tcW w:w="2735" w:type="dxa"/>
            <w:tcBorders>
              <w:top w:val="single" w:sz="4" w:space="0" w:color="000000"/>
              <w:bottom w:val="single" w:sz="4" w:space="0" w:color="000000"/>
            </w:tcBorders>
            <w:shd w:val="clear" w:color="auto" w:fill="FFFFFF"/>
            <w:vAlign w:val="center"/>
          </w:tcPr>
          <w:p w14:paraId="6EB35C22" w14:textId="77777777" w:rsidR="00C308DD" w:rsidRPr="00261A77" w:rsidRDefault="00000000">
            <w:pPr>
              <w:spacing w:after="15" w:line="240" w:lineRule="auto"/>
              <w:ind w:left="-5"/>
              <w:rPr>
                <w:rFonts w:ascii="Arial" w:hAnsi="Arial" w:cs="Arial"/>
                <w:bCs/>
                <w:i/>
                <w:iCs/>
                <w:sz w:val="22"/>
                <w:shd w:val="clear" w:color="auto" w:fill="FFFFFF"/>
              </w:rPr>
            </w:pPr>
            <w:r w:rsidRPr="00261A77">
              <w:rPr>
                <w:rFonts w:ascii="Arial" w:hAnsi="Arial" w:cs="Arial"/>
                <w:bCs/>
                <w:i/>
                <w:iCs/>
                <w:sz w:val="22"/>
                <w:shd w:val="clear" w:color="auto" w:fill="FFFFFF"/>
              </w:rPr>
              <w:t>Amnirana albolabris</w:t>
            </w:r>
          </w:p>
        </w:tc>
        <w:tc>
          <w:tcPr>
            <w:tcW w:w="1928" w:type="dxa"/>
            <w:tcBorders>
              <w:top w:val="single" w:sz="4" w:space="0" w:color="000000"/>
              <w:bottom w:val="single" w:sz="4" w:space="0" w:color="000000"/>
            </w:tcBorders>
            <w:shd w:val="clear" w:color="auto" w:fill="FFFFFF"/>
          </w:tcPr>
          <w:p w14:paraId="71E27677" w14:textId="77777777" w:rsidR="00C308DD" w:rsidRPr="00261A77" w:rsidRDefault="00000000">
            <w:pPr>
              <w:spacing w:after="15" w:line="240" w:lineRule="auto"/>
              <w:ind w:left="-5"/>
              <w:jc w:val="center"/>
              <w:rPr>
                <w:rFonts w:ascii="Arial" w:hAnsi="Arial" w:cs="Arial"/>
                <w:bCs/>
                <w:sz w:val="22"/>
                <w:shd w:val="clear" w:color="auto" w:fill="FFFFFF"/>
              </w:rPr>
            </w:pPr>
            <w:r w:rsidRPr="00261A77">
              <w:rPr>
                <w:rFonts w:ascii="Arial" w:hAnsi="Arial" w:cs="Arial"/>
                <w:bCs/>
                <w:sz w:val="22"/>
                <w:shd w:val="clear" w:color="auto" w:fill="FFFFFF"/>
              </w:rPr>
              <w:t>1</w:t>
            </w:r>
          </w:p>
        </w:tc>
      </w:tr>
    </w:tbl>
    <w:p w14:paraId="2CCA92DE" w14:textId="77777777" w:rsidR="00C308DD" w:rsidRPr="00261A77" w:rsidRDefault="00C308DD">
      <w:pPr>
        <w:spacing w:after="15"/>
        <w:ind w:left="-5"/>
        <w:rPr>
          <w:rFonts w:ascii="Arial" w:hAnsi="Arial" w:cs="Arial"/>
          <w:bCs/>
          <w:iCs/>
          <w:sz w:val="22"/>
          <w:shd w:val="clear" w:color="auto" w:fill="FFFFFF"/>
        </w:rPr>
      </w:pPr>
    </w:p>
    <w:p w14:paraId="72712603" w14:textId="77777777" w:rsidR="00C308DD" w:rsidRPr="00261A77" w:rsidRDefault="001F3DF0">
      <w:pPr>
        <w:tabs>
          <w:tab w:val="left" w:pos="993"/>
        </w:tabs>
        <w:spacing w:after="15"/>
        <w:ind w:left="-5"/>
        <w:rPr>
          <w:rFonts w:ascii="Arial" w:hAnsi="Arial" w:cs="Arial"/>
          <w:bCs/>
          <w:iCs/>
          <w:sz w:val="22"/>
          <w:shd w:val="clear" w:color="auto" w:fill="FFFFFF"/>
        </w:rPr>
      </w:pPr>
      <w:r>
        <w:rPr>
          <w:noProof/>
        </w:rPr>
        <w:pict w14:anchorId="67401590">
          <v:shape id="Image6" o:spid="_x0000_i1029" type="#_x0000_t75" style="width:452.75pt;height:274.2pt;visibility:visible;mso-wrap-style:square">
            <v:imagedata r:id="rId11" o:title="" croptop="-2f" cropbottom="-2f" cropleft="-1f" cropright="-1f"/>
          </v:shape>
        </w:pict>
      </w:r>
    </w:p>
    <w:p w14:paraId="79CC3959" w14:textId="77777777" w:rsidR="00C308DD" w:rsidRPr="00261A77" w:rsidRDefault="00000000">
      <w:pPr>
        <w:ind w:left="142"/>
        <w:rPr>
          <w:rFonts w:ascii="Arial" w:hAnsi="Arial" w:cs="Arial"/>
          <w:i/>
          <w:iCs/>
          <w:color w:val="000000"/>
          <w:kern w:val="2"/>
          <w:sz w:val="22"/>
          <w:lang w:val="en-GB"/>
        </w:rPr>
      </w:pPr>
      <w:r w:rsidRPr="00261A77">
        <w:rPr>
          <w:rFonts w:ascii="Arial" w:hAnsi="Arial" w:cs="Arial"/>
          <w:bCs/>
          <w:iCs/>
          <w:sz w:val="22"/>
          <w:shd w:val="clear" w:color="auto" w:fill="FFFFFF"/>
          <w:lang w:val="en-GB"/>
        </w:rPr>
        <w:t xml:space="preserve">Figure 3. Photos of a few species from each family of anuran amphibians in the village of </w:t>
      </w:r>
      <w:proofErr w:type="gramStart"/>
      <w:r w:rsidRPr="00261A77">
        <w:rPr>
          <w:rFonts w:ascii="Arial" w:hAnsi="Arial" w:cs="Arial"/>
          <w:bCs/>
          <w:iCs/>
          <w:sz w:val="22"/>
          <w:shd w:val="clear" w:color="auto" w:fill="FFFFFF"/>
          <w:lang w:val="en-GB"/>
        </w:rPr>
        <w:t>Nebo ;</w:t>
      </w:r>
      <w:proofErr w:type="gramEnd"/>
      <w:r w:rsidRPr="00261A77">
        <w:rPr>
          <w:rFonts w:ascii="Arial" w:hAnsi="Arial" w:cs="Arial"/>
          <w:bCs/>
          <w:iCs/>
          <w:sz w:val="22"/>
          <w:shd w:val="clear" w:color="auto" w:fill="FFFFFF"/>
          <w:lang w:val="en-GB"/>
        </w:rPr>
        <w:t xml:space="preserve"> </w:t>
      </w:r>
      <w:r w:rsidRPr="00261A77">
        <w:rPr>
          <w:rFonts w:ascii="Arial" w:hAnsi="Arial" w:cs="Arial"/>
          <w:i/>
          <w:iCs/>
          <w:color w:val="000000"/>
          <w:kern w:val="2"/>
          <w:sz w:val="22"/>
          <w:lang w:val="en-GB"/>
        </w:rPr>
        <w:t>Hemisus marmoratus </w:t>
      </w:r>
      <w:r w:rsidRPr="00261A77">
        <w:rPr>
          <w:rFonts w:ascii="Arial" w:hAnsi="Arial" w:cs="Arial"/>
          <w:color w:val="000000"/>
          <w:kern w:val="2"/>
          <w:sz w:val="22"/>
          <w:lang w:val="en-GB"/>
        </w:rPr>
        <w:t>(A</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Hyperolius fusciventris lamtoensis </w:t>
      </w:r>
      <w:r w:rsidRPr="00261A77">
        <w:rPr>
          <w:rFonts w:ascii="Arial" w:hAnsi="Arial" w:cs="Arial"/>
          <w:color w:val="000000"/>
          <w:kern w:val="2"/>
          <w:sz w:val="22"/>
          <w:lang w:val="en-GB"/>
        </w:rPr>
        <w:t>(B</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Hoplobatrachus occipitalis </w:t>
      </w:r>
      <w:r w:rsidRPr="00261A77">
        <w:rPr>
          <w:rFonts w:ascii="Arial" w:hAnsi="Arial" w:cs="Arial"/>
          <w:color w:val="000000"/>
          <w:kern w:val="2"/>
          <w:sz w:val="22"/>
          <w:lang w:val="en-GB"/>
        </w:rPr>
        <w:t>(C</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Phrynobatrachus plicatus </w:t>
      </w:r>
      <w:r w:rsidRPr="00261A77">
        <w:rPr>
          <w:rFonts w:ascii="Arial" w:hAnsi="Arial" w:cs="Arial"/>
          <w:color w:val="000000"/>
          <w:kern w:val="2"/>
          <w:sz w:val="22"/>
          <w:lang w:val="en-GB"/>
        </w:rPr>
        <w:t>(D</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Ptychadena tellenii</w:t>
      </w:r>
      <w:r w:rsidRPr="00261A77">
        <w:rPr>
          <w:rFonts w:ascii="Arial" w:hAnsi="Arial" w:cs="Arial"/>
          <w:color w:val="000000"/>
          <w:kern w:val="2"/>
          <w:sz w:val="22"/>
          <w:lang w:val="en-GB"/>
        </w:rPr>
        <w:t> (E</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Amnirana albolabris </w:t>
      </w:r>
      <w:r w:rsidRPr="00261A77">
        <w:rPr>
          <w:rFonts w:ascii="Arial" w:hAnsi="Arial" w:cs="Arial"/>
          <w:color w:val="000000"/>
          <w:kern w:val="2"/>
          <w:sz w:val="22"/>
          <w:lang w:val="en-GB"/>
        </w:rPr>
        <w:t>(F</w:t>
      </w:r>
      <w:proofErr w:type="gramStart"/>
      <w:r w:rsidRPr="00261A77">
        <w:rPr>
          <w:rFonts w:ascii="Arial" w:hAnsi="Arial" w:cs="Arial"/>
          <w:color w:val="000000"/>
          <w:kern w:val="2"/>
          <w:sz w:val="22"/>
          <w:lang w:val="en-GB"/>
        </w:rPr>
        <w:t>) ;</w:t>
      </w:r>
      <w:proofErr w:type="gramEnd"/>
      <w:r w:rsidRPr="00261A77">
        <w:rPr>
          <w:rFonts w:ascii="Arial" w:hAnsi="Arial" w:cs="Arial"/>
          <w:color w:val="000000"/>
          <w:kern w:val="2"/>
          <w:sz w:val="22"/>
          <w:lang w:val="en-GB"/>
        </w:rPr>
        <w:t xml:space="preserve"> </w:t>
      </w:r>
      <w:r w:rsidRPr="00261A77">
        <w:rPr>
          <w:rFonts w:ascii="Arial" w:hAnsi="Arial" w:cs="Arial"/>
          <w:i/>
          <w:iCs/>
          <w:color w:val="000000"/>
          <w:kern w:val="2"/>
          <w:sz w:val="22"/>
          <w:lang w:val="en-GB"/>
        </w:rPr>
        <w:t>Leptopelis spiritusnoctis </w:t>
      </w:r>
      <w:r w:rsidRPr="00261A77">
        <w:rPr>
          <w:rFonts w:ascii="Arial" w:hAnsi="Arial" w:cs="Arial"/>
          <w:color w:val="000000"/>
          <w:kern w:val="2"/>
          <w:sz w:val="22"/>
          <w:lang w:val="en-GB"/>
        </w:rPr>
        <w:t>(G</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Sclerophrys regularis</w:t>
      </w:r>
      <w:r w:rsidRPr="00261A77">
        <w:rPr>
          <w:rFonts w:ascii="Arial" w:hAnsi="Arial" w:cs="Arial"/>
          <w:color w:val="000000"/>
          <w:kern w:val="2"/>
          <w:sz w:val="22"/>
          <w:lang w:val="en-GB"/>
        </w:rPr>
        <w:t> (H</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Afrixalus dorsalis </w:t>
      </w:r>
      <w:r w:rsidRPr="00261A77">
        <w:rPr>
          <w:rFonts w:ascii="Arial" w:hAnsi="Arial" w:cs="Arial"/>
          <w:color w:val="000000"/>
          <w:kern w:val="2"/>
          <w:sz w:val="22"/>
          <w:lang w:val="en-GB"/>
        </w:rPr>
        <w:t>(I</w:t>
      </w:r>
      <w:proofErr w:type="gramStart"/>
      <w:r w:rsidRPr="00261A77">
        <w:rPr>
          <w:rFonts w:ascii="Arial" w:hAnsi="Arial" w:cs="Arial"/>
          <w:color w:val="000000"/>
          <w:kern w:val="2"/>
          <w:sz w:val="22"/>
          <w:lang w:val="en-GB"/>
        </w:rPr>
        <w:t>) ;</w:t>
      </w:r>
      <w:proofErr w:type="gramEnd"/>
      <w:r w:rsidRPr="00261A77">
        <w:rPr>
          <w:rFonts w:ascii="Arial" w:hAnsi="Arial" w:cs="Arial"/>
          <w:i/>
          <w:iCs/>
          <w:color w:val="000000"/>
          <w:kern w:val="2"/>
          <w:sz w:val="22"/>
          <w:lang w:val="en-GB"/>
        </w:rPr>
        <w:t xml:space="preserve"> Arthroleptis poecilonotus </w:t>
      </w:r>
      <w:r w:rsidRPr="00261A77">
        <w:rPr>
          <w:rFonts w:ascii="Arial" w:hAnsi="Arial" w:cs="Arial"/>
          <w:color w:val="000000"/>
          <w:kern w:val="2"/>
          <w:sz w:val="22"/>
          <w:lang w:val="en-GB"/>
        </w:rPr>
        <w:t>(J).</w:t>
      </w:r>
    </w:p>
    <w:p w14:paraId="2AC0F9B4" w14:textId="77777777" w:rsidR="00C308DD" w:rsidRPr="00261A77" w:rsidRDefault="00000000">
      <w:pPr>
        <w:pStyle w:val="Heading2"/>
        <w:rPr>
          <w:sz w:val="24"/>
          <w:szCs w:val="24"/>
          <w:lang w:val="en-GB" w:eastAsia="fr-FR"/>
        </w:rPr>
      </w:pPr>
      <w:r w:rsidRPr="00261A77">
        <w:rPr>
          <w:shd w:val="clear" w:color="auto" w:fill="FFFFFF"/>
          <w:lang w:val="en-GB"/>
        </w:rPr>
        <w:t xml:space="preserve">3.2. </w:t>
      </w:r>
      <w:r w:rsidRPr="00261A77">
        <w:rPr>
          <w:lang w:val="en-GB"/>
        </w:rPr>
        <w:t>Species richness by agroecosystem type</w:t>
      </w:r>
    </w:p>
    <w:p w14:paraId="4838374C" w14:textId="77777777" w:rsidR="00C308DD" w:rsidRPr="00261A77" w:rsidRDefault="00000000">
      <w:pPr>
        <w:pStyle w:val="NormalWeb"/>
        <w:spacing w:line="276" w:lineRule="auto"/>
        <w:jc w:val="both"/>
      </w:pPr>
      <w:r w:rsidRPr="00261A77">
        <w:rPr>
          <w:rFonts w:ascii="Arial" w:eastAsia="Calibri" w:hAnsi="Arial" w:cs="Arial"/>
          <w:bCs/>
          <w:iCs/>
          <w:sz w:val="22"/>
          <w:szCs w:val="22"/>
          <w:shd w:val="clear" w:color="auto" w:fill="FFFFFF"/>
          <w:lang w:val="en-GB" w:eastAsia="en-US"/>
        </w:rPr>
        <w:t>Table 3 presents amphibian species richness and distribution across the agroecosystems of Nebo.</w:t>
      </w:r>
      <w:r w:rsidRPr="00261A77">
        <w:rPr>
          <w:lang w:val="en-GB"/>
        </w:rPr>
        <w:t xml:space="preserve"> </w:t>
      </w:r>
      <w:r w:rsidRPr="00261A77">
        <w:rPr>
          <w:rFonts w:ascii="Arial" w:eastAsia="Calibri" w:hAnsi="Arial" w:cs="Arial"/>
          <w:bCs/>
          <w:iCs/>
          <w:sz w:val="22"/>
          <w:szCs w:val="22"/>
          <w:shd w:val="clear" w:color="auto" w:fill="FFFFFF"/>
          <w:lang w:val="en-GB" w:eastAsia="en-US"/>
        </w:rPr>
        <w:t xml:space="preserve">The rice field had the highest species richness (21 species), followed by the oil palm </w:t>
      </w:r>
      <w:r w:rsidRPr="00261A77">
        <w:rPr>
          <w:rFonts w:ascii="Arial" w:eastAsia="Calibri" w:hAnsi="Arial" w:cs="Arial"/>
          <w:bCs/>
          <w:iCs/>
          <w:sz w:val="22"/>
          <w:szCs w:val="22"/>
          <w:shd w:val="clear" w:color="auto" w:fill="FFFFFF"/>
          <w:lang w:val="en-GB" w:eastAsia="en-US"/>
        </w:rPr>
        <w:lastRenderedPageBreak/>
        <w:t xml:space="preserve">plantation (18 species). The cocoa and rubber plantations supported 8 and 5 species, respectively. </w:t>
      </w:r>
    </w:p>
    <w:p w14:paraId="2FAE2E56" w14:textId="77777777" w:rsidR="00C308DD" w:rsidRPr="00261A77" w:rsidRDefault="00000000">
      <w:pPr>
        <w:pStyle w:val="NormalWeb"/>
        <w:spacing w:line="276" w:lineRule="auto"/>
        <w:jc w:val="both"/>
      </w:pPr>
      <w:r w:rsidRPr="00261A77">
        <w:rPr>
          <w:rFonts w:ascii="Arial" w:eastAsia="Calibri" w:hAnsi="Arial" w:cs="Arial"/>
          <w:bCs/>
          <w:i/>
          <w:sz w:val="22"/>
          <w:szCs w:val="22"/>
          <w:shd w:val="clear" w:color="auto" w:fill="FFFFFF"/>
          <w:lang w:val="en-GB" w:eastAsia="en-US"/>
        </w:rPr>
        <w:t>Amnirana albolabris</w:t>
      </w:r>
      <w:r w:rsidRPr="00261A77">
        <w:rPr>
          <w:rFonts w:ascii="Arial" w:eastAsia="Calibri" w:hAnsi="Arial" w:cs="Arial"/>
          <w:bCs/>
          <w:iCs/>
          <w:sz w:val="22"/>
          <w:szCs w:val="22"/>
          <w:shd w:val="clear" w:color="auto" w:fill="FFFFFF"/>
          <w:lang w:val="en-GB" w:eastAsia="en-US"/>
        </w:rPr>
        <w:t xml:space="preserve">, </w:t>
      </w:r>
      <w:r w:rsidRPr="00261A77">
        <w:rPr>
          <w:rFonts w:ascii="Arial" w:eastAsia="Calibri" w:hAnsi="Arial" w:cs="Arial"/>
          <w:bCs/>
          <w:i/>
          <w:sz w:val="22"/>
          <w:szCs w:val="22"/>
          <w:shd w:val="clear" w:color="auto" w:fill="FFFFFF"/>
          <w:lang w:val="en-GB" w:eastAsia="en-US"/>
        </w:rPr>
        <w:t>Hyperolius concolor</w:t>
      </w:r>
      <w:r w:rsidRPr="00261A77">
        <w:rPr>
          <w:rFonts w:ascii="Arial" w:eastAsia="Calibri" w:hAnsi="Arial" w:cs="Arial"/>
          <w:bCs/>
          <w:iCs/>
          <w:sz w:val="22"/>
          <w:szCs w:val="22"/>
          <w:shd w:val="clear" w:color="auto" w:fill="FFFFFF"/>
          <w:lang w:val="en-GB" w:eastAsia="en-US"/>
        </w:rPr>
        <w:t xml:space="preserve"> and </w:t>
      </w:r>
      <w:r w:rsidRPr="00261A77">
        <w:rPr>
          <w:rFonts w:ascii="Arial" w:eastAsia="Calibri" w:hAnsi="Arial" w:cs="Arial"/>
          <w:bCs/>
          <w:i/>
          <w:sz w:val="22"/>
          <w:szCs w:val="22"/>
          <w:shd w:val="clear" w:color="auto" w:fill="FFFFFF"/>
          <w:lang w:val="en-GB" w:eastAsia="en-US"/>
        </w:rPr>
        <w:t>Leptopelis viridis</w:t>
      </w:r>
      <w:r w:rsidRPr="00261A77">
        <w:rPr>
          <w:rFonts w:ascii="Arial" w:eastAsia="Calibri" w:hAnsi="Arial" w:cs="Arial"/>
          <w:bCs/>
          <w:iCs/>
          <w:sz w:val="22"/>
          <w:szCs w:val="22"/>
          <w:shd w:val="clear" w:color="auto" w:fill="FFFFFF"/>
          <w:lang w:val="en-GB" w:eastAsia="en-US"/>
        </w:rPr>
        <w:t xml:space="preserve"> occurred in all four habitat types. Three species (</w:t>
      </w:r>
      <w:r w:rsidRPr="00261A77">
        <w:rPr>
          <w:rFonts w:ascii="Arial" w:eastAsia="Calibri" w:hAnsi="Arial" w:cs="Arial"/>
          <w:bCs/>
          <w:i/>
          <w:sz w:val="22"/>
          <w:szCs w:val="22"/>
          <w:shd w:val="clear" w:color="auto" w:fill="FFFFFF"/>
          <w:lang w:val="en-GB" w:eastAsia="en-US"/>
        </w:rPr>
        <w:t>Hyperolius fusciventris lamtoensis</w:t>
      </w:r>
      <w:r w:rsidRPr="00261A77">
        <w:rPr>
          <w:rFonts w:ascii="Arial" w:eastAsia="Calibri" w:hAnsi="Arial" w:cs="Arial"/>
          <w:bCs/>
          <w:iCs/>
          <w:sz w:val="22"/>
          <w:szCs w:val="22"/>
          <w:shd w:val="clear" w:color="auto" w:fill="FFFFFF"/>
          <w:lang w:val="en-GB" w:eastAsia="en-US"/>
        </w:rPr>
        <w:t xml:space="preserve">, </w:t>
      </w:r>
      <w:r w:rsidRPr="00261A77">
        <w:rPr>
          <w:rFonts w:ascii="Arial" w:eastAsia="Calibri" w:hAnsi="Arial" w:cs="Arial"/>
          <w:bCs/>
          <w:i/>
          <w:sz w:val="22"/>
          <w:szCs w:val="22"/>
          <w:shd w:val="clear" w:color="auto" w:fill="FFFFFF"/>
          <w:lang w:val="en-GB" w:eastAsia="en-US"/>
        </w:rPr>
        <w:t>Phrynobatrachus plicatus</w:t>
      </w:r>
      <w:r w:rsidRPr="00261A77">
        <w:rPr>
          <w:rFonts w:ascii="Arial" w:eastAsia="Calibri" w:hAnsi="Arial" w:cs="Arial"/>
          <w:bCs/>
          <w:iCs/>
          <w:sz w:val="22"/>
          <w:szCs w:val="22"/>
          <w:shd w:val="clear" w:color="auto" w:fill="FFFFFF"/>
          <w:lang w:val="en-GB" w:eastAsia="en-US"/>
        </w:rPr>
        <w:t xml:space="preserve"> and </w:t>
      </w:r>
      <w:r w:rsidRPr="00261A77">
        <w:rPr>
          <w:rFonts w:ascii="Arial" w:eastAsia="Calibri" w:hAnsi="Arial" w:cs="Arial"/>
          <w:bCs/>
          <w:i/>
          <w:sz w:val="22"/>
          <w:szCs w:val="22"/>
          <w:shd w:val="clear" w:color="auto" w:fill="FFFFFF"/>
          <w:lang w:val="en-GB" w:eastAsia="en-US"/>
        </w:rPr>
        <w:t>Xenopus tropicalis</w:t>
      </w:r>
      <w:r w:rsidRPr="00261A77">
        <w:rPr>
          <w:rFonts w:ascii="Arial" w:eastAsia="Calibri" w:hAnsi="Arial" w:cs="Arial"/>
          <w:bCs/>
          <w:iCs/>
          <w:sz w:val="22"/>
          <w:szCs w:val="22"/>
          <w:shd w:val="clear" w:color="auto" w:fill="FFFFFF"/>
          <w:lang w:val="en-GB" w:eastAsia="en-US"/>
        </w:rPr>
        <w:t xml:space="preserve">) were observed exclusively in rice fields, whilst </w:t>
      </w:r>
      <w:r w:rsidRPr="00261A77">
        <w:rPr>
          <w:rFonts w:ascii="Arial" w:eastAsia="Calibri" w:hAnsi="Arial" w:cs="Arial"/>
          <w:bCs/>
          <w:i/>
          <w:sz w:val="22"/>
          <w:szCs w:val="22"/>
          <w:shd w:val="clear" w:color="auto" w:fill="FFFFFF"/>
          <w:lang w:val="en-GB" w:eastAsia="en-US"/>
        </w:rPr>
        <w:t>Phrynobatrachus alleni</w:t>
      </w:r>
      <w:r w:rsidRPr="00261A77">
        <w:rPr>
          <w:rFonts w:ascii="Arial" w:eastAsia="Calibri" w:hAnsi="Arial" w:cs="Arial"/>
          <w:bCs/>
          <w:iCs/>
          <w:sz w:val="22"/>
          <w:szCs w:val="22"/>
          <w:shd w:val="clear" w:color="auto" w:fill="FFFFFF"/>
          <w:lang w:val="en-GB" w:eastAsia="en-US"/>
        </w:rPr>
        <w:t xml:space="preserve"> and </w:t>
      </w:r>
      <w:r w:rsidRPr="00261A77">
        <w:rPr>
          <w:rFonts w:ascii="Arial" w:eastAsia="Calibri" w:hAnsi="Arial" w:cs="Arial"/>
          <w:bCs/>
          <w:i/>
          <w:sz w:val="22"/>
          <w:szCs w:val="22"/>
          <w:shd w:val="clear" w:color="auto" w:fill="FFFFFF"/>
          <w:lang w:val="en-GB" w:eastAsia="en-US"/>
        </w:rPr>
        <w:t>Ptychadena aequiplicata</w:t>
      </w:r>
      <w:r w:rsidRPr="00261A77">
        <w:rPr>
          <w:rFonts w:ascii="Arial" w:eastAsia="Calibri" w:hAnsi="Arial" w:cs="Arial"/>
          <w:bCs/>
          <w:iCs/>
          <w:sz w:val="22"/>
          <w:szCs w:val="22"/>
          <w:shd w:val="clear" w:color="auto" w:fill="FFFFFF"/>
          <w:lang w:val="en-GB" w:eastAsia="en-US"/>
        </w:rPr>
        <w:t xml:space="preserve"> were observed only in the cocoa plantation. By contrast, no species restricted to either the oil palm or rubber plantation were observed.</w:t>
      </w:r>
    </w:p>
    <w:p w14:paraId="483456E8" w14:textId="77777777" w:rsidR="00C308DD" w:rsidRPr="00261A77" w:rsidRDefault="00C308DD">
      <w:pPr>
        <w:spacing w:after="0"/>
        <w:ind w:left="-5"/>
        <w:rPr>
          <w:rFonts w:ascii="Arial" w:hAnsi="Arial" w:cs="Arial"/>
          <w:bCs/>
          <w:iCs/>
          <w:sz w:val="22"/>
          <w:shd w:val="clear" w:color="auto" w:fill="FFFFFF"/>
          <w:lang w:val="en-GB" w:eastAsia="en-US"/>
        </w:rPr>
      </w:pPr>
    </w:p>
    <w:p w14:paraId="1AF6EEEE" w14:textId="77777777" w:rsidR="00C308DD" w:rsidRPr="00261A77" w:rsidRDefault="00000000">
      <w:pPr>
        <w:spacing w:after="15"/>
        <w:ind w:left="851" w:hanging="851"/>
      </w:pPr>
      <w:r w:rsidRPr="00261A77">
        <w:rPr>
          <w:rFonts w:ascii="Arial" w:hAnsi="Arial" w:cs="Arial"/>
          <w:bCs/>
          <w:iCs/>
          <w:sz w:val="22"/>
          <w:shd w:val="clear" w:color="auto" w:fill="FFFFFF"/>
          <w:lang w:val="en-GB"/>
        </w:rPr>
        <w:t>Table 3. Specific richness and distribution of anuran amphibians in the agroecosystems of the village of Nebo</w:t>
      </w:r>
    </w:p>
    <w:tbl>
      <w:tblPr>
        <w:tblW w:w="8488" w:type="dxa"/>
        <w:tblInd w:w="70" w:type="dxa"/>
        <w:tblLayout w:type="fixed"/>
        <w:tblCellMar>
          <w:left w:w="70" w:type="dxa"/>
          <w:right w:w="70" w:type="dxa"/>
        </w:tblCellMar>
        <w:tblLook w:val="04A0" w:firstRow="1" w:lastRow="0" w:firstColumn="1" w:lastColumn="0" w:noHBand="0" w:noVBand="1"/>
      </w:tblPr>
      <w:tblGrid>
        <w:gridCol w:w="2980"/>
        <w:gridCol w:w="1200"/>
        <w:gridCol w:w="1800"/>
        <w:gridCol w:w="1300"/>
        <w:gridCol w:w="1208"/>
      </w:tblGrid>
      <w:tr w:rsidR="00C308DD" w:rsidRPr="00261A77" w14:paraId="46281511" w14:textId="77777777">
        <w:trPr>
          <w:trHeight w:val="310"/>
        </w:trPr>
        <w:tc>
          <w:tcPr>
            <w:tcW w:w="2980" w:type="dxa"/>
            <w:tcBorders>
              <w:top w:val="single" w:sz="8" w:space="0" w:color="000000"/>
              <w:bottom w:val="single" w:sz="8" w:space="0" w:color="000000"/>
            </w:tcBorders>
            <w:vAlign w:val="center"/>
          </w:tcPr>
          <w:p w14:paraId="0E38E27A"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Species</w:t>
            </w:r>
          </w:p>
          <w:p w14:paraId="375516C5" w14:textId="77777777" w:rsidR="00C308DD" w:rsidRPr="00261A77" w:rsidRDefault="00C308DD">
            <w:pPr>
              <w:spacing w:after="0"/>
              <w:rPr>
                <w:rFonts w:ascii="Arial" w:eastAsia="Times New Roman" w:hAnsi="Arial" w:cs="Arial"/>
                <w:color w:val="000000"/>
                <w:sz w:val="22"/>
                <w:lang w:eastAsia="fr-FR"/>
              </w:rPr>
            </w:pPr>
          </w:p>
        </w:tc>
        <w:tc>
          <w:tcPr>
            <w:tcW w:w="1200" w:type="dxa"/>
            <w:tcBorders>
              <w:top w:val="single" w:sz="8" w:space="0" w:color="000000"/>
              <w:bottom w:val="single" w:sz="8" w:space="0" w:color="000000"/>
            </w:tcBorders>
            <w:vAlign w:val="bottom"/>
          </w:tcPr>
          <w:p w14:paraId="56576319"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Rice fields</w:t>
            </w:r>
          </w:p>
        </w:tc>
        <w:tc>
          <w:tcPr>
            <w:tcW w:w="1800" w:type="dxa"/>
            <w:tcBorders>
              <w:top w:val="single" w:sz="8" w:space="0" w:color="000000"/>
              <w:bottom w:val="single" w:sz="8" w:space="0" w:color="000000"/>
            </w:tcBorders>
            <w:vAlign w:val="bottom"/>
          </w:tcPr>
          <w:p w14:paraId="7181A69F" w14:textId="77777777" w:rsidR="00C308DD" w:rsidRPr="00261A77" w:rsidRDefault="00000000">
            <w:pPr>
              <w:spacing w:after="0"/>
              <w:rPr>
                <w:rFonts w:ascii="Arial" w:hAnsi="Arial" w:cs="Arial"/>
                <w:sz w:val="22"/>
                <w:lang w:eastAsia="fr-FR"/>
              </w:rPr>
            </w:pPr>
            <w:proofErr w:type="gramStart"/>
            <w:r w:rsidRPr="00261A77">
              <w:rPr>
                <w:rFonts w:ascii="Arial" w:hAnsi="Arial" w:cs="Arial"/>
                <w:sz w:val="22"/>
                <w:lang w:eastAsia="fr-FR"/>
              </w:rPr>
              <w:t>oil</w:t>
            </w:r>
            <w:proofErr w:type="gramEnd"/>
            <w:r w:rsidRPr="00261A77">
              <w:rPr>
                <w:rFonts w:ascii="Arial" w:hAnsi="Arial" w:cs="Arial"/>
                <w:sz w:val="22"/>
                <w:lang w:eastAsia="fr-FR"/>
              </w:rPr>
              <w:t xml:space="preserve"> palm</w:t>
            </w:r>
          </w:p>
          <w:p w14:paraId="15E21B39" w14:textId="77777777" w:rsidR="00C308DD" w:rsidRPr="00261A77" w:rsidRDefault="00000000">
            <w:pPr>
              <w:spacing w:after="0"/>
            </w:pPr>
            <w:proofErr w:type="gramStart"/>
            <w:r w:rsidRPr="00261A77">
              <w:rPr>
                <w:rFonts w:ascii="Arial" w:hAnsi="Arial" w:cs="Arial"/>
                <w:sz w:val="22"/>
                <w:lang w:eastAsia="fr-FR"/>
              </w:rPr>
              <w:t>plantation</w:t>
            </w:r>
            <w:proofErr w:type="gramEnd"/>
            <w:r w:rsidRPr="00261A77">
              <w:rPr>
                <w:rFonts w:ascii="Arial" w:hAnsi="Arial" w:cs="Arial"/>
                <w:sz w:val="22"/>
                <w:lang w:eastAsia="fr-FR"/>
              </w:rPr>
              <w:t xml:space="preserve"> </w:t>
            </w:r>
          </w:p>
        </w:tc>
        <w:tc>
          <w:tcPr>
            <w:tcW w:w="1300" w:type="dxa"/>
            <w:tcBorders>
              <w:top w:val="single" w:sz="8" w:space="0" w:color="000000"/>
              <w:bottom w:val="single" w:sz="8" w:space="0" w:color="000000"/>
            </w:tcBorders>
            <w:vAlign w:val="bottom"/>
          </w:tcPr>
          <w:p w14:paraId="1E3B1E1E"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Cocoa plantation</w:t>
            </w:r>
          </w:p>
        </w:tc>
        <w:tc>
          <w:tcPr>
            <w:tcW w:w="1208" w:type="dxa"/>
            <w:tcBorders>
              <w:top w:val="single" w:sz="8" w:space="0" w:color="000000"/>
              <w:bottom w:val="single" w:sz="8" w:space="0" w:color="000000"/>
            </w:tcBorders>
            <w:vAlign w:val="bottom"/>
          </w:tcPr>
          <w:p w14:paraId="5CFF3884"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Rubber plantation</w:t>
            </w:r>
          </w:p>
        </w:tc>
      </w:tr>
      <w:tr w:rsidR="00C308DD" w:rsidRPr="00261A77" w14:paraId="0CA7954C" w14:textId="77777777">
        <w:trPr>
          <w:trHeight w:val="310"/>
        </w:trPr>
        <w:tc>
          <w:tcPr>
            <w:tcW w:w="2980" w:type="dxa"/>
            <w:tcBorders>
              <w:top w:val="single" w:sz="8" w:space="0" w:color="000000"/>
            </w:tcBorders>
            <w:vAlign w:val="center"/>
          </w:tcPr>
          <w:p w14:paraId="0ABD0359"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Afrixalus dorsalis</w:t>
            </w:r>
          </w:p>
        </w:tc>
        <w:tc>
          <w:tcPr>
            <w:tcW w:w="1200" w:type="dxa"/>
            <w:tcBorders>
              <w:top w:val="single" w:sz="8" w:space="0" w:color="000000"/>
            </w:tcBorders>
            <w:vAlign w:val="center"/>
          </w:tcPr>
          <w:p w14:paraId="10361C77"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tcBorders>
              <w:top w:val="single" w:sz="8" w:space="0" w:color="000000"/>
            </w:tcBorders>
            <w:vAlign w:val="center"/>
          </w:tcPr>
          <w:p w14:paraId="06EEBE60"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tcBorders>
              <w:top w:val="single" w:sz="8" w:space="0" w:color="000000"/>
            </w:tcBorders>
            <w:vAlign w:val="center"/>
          </w:tcPr>
          <w:p w14:paraId="100A24BF"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tcBorders>
              <w:top w:val="single" w:sz="8" w:space="0" w:color="000000"/>
            </w:tcBorders>
            <w:vAlign w:val="center"/>
          </w:tcPr>
          <w:p w14:paraId="70306BE1"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3EA7554A" w14:textId="77777777">
        <w:trPr>
          <w:trHeight w:val="310"/>
        </w:trPr>
        <w:tc>
          <w:tcPr>
            <w:tcW w:w="2980" w:type="dxa"/>
            <w:vAlign w:val="center"/>
          </w:tcPr>
          <w:p w14:paraId="14173025" w14:textId="77777777" w:rsidR="00C308DD" w:rsidRPr="00261A77" w:rsidRDefault="00000000">
            <w:pPr>
              <w:spacing w:after="0"/>
            </w:pPr>
            <w:r w:rsidRPr="00261A77">
              <w:rPr>
                <w:rFonts w:ascii="Arial" w:eastAsia="Times New Roman" w:hAnsi="Arial" w:cs="Arial"/>
                <w:i/>
                <w:iCs/>
                <w:color w:val="000000"/>
                <w:sz w:val="22"/>
                <w:lang w:eastAsia="fr-FR"/>
              </w:rPr>
              <w:t>Amnirana albolabris</w:t>
            </w:r>
          </w:p>
        </w:tc>
        <w:tc>
          <w:tcPr>
            <w:tcW w:w="1200" w:type="dxa"/>
            <w:vAlign w:val="center"/>
          </w:tcPr>
          <w:p w14:paraId="589EC35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5DB9FBBC"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42FB4E8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3E00C58C"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r>
      <w:tr w:rsidR="00C308DD" w:rsidRPr="00261A77" w14:paraId="7C0C04E6" w14:textId="77777777">
        <w:trPr>
          <w:trHeight w:val="310"/>
        </w:trPr>
        <w:tc>
          <w:tcPr>
            <w:tcW w:w="2980" w:type="dxa"/>
            <w:vAlign w:val="center"/>
          </w:tcPr>
          <w:p w14:paraId="347FD206"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Arthroleptis poecilonotus</w:t>
            </w:r>
          </w:p>
        </w:tc>
        <w:tc>
          <w:tcPr>
            <w:tcW w:w="1200" w:type="dxa"/>
            <w:vAlign w:val="center"/>
          </w:tcPr>
          <w:p w14:paraId="26A8F75D" w14:textId="77777777" w:rsidR="00C308DD" w:rsidRPr="00261A77" w:rsidRDefault="00C308DD">
            <w:pPr>
              <w:snapToGrid w:val="0"/>
              <w:spacing w:after="0"/>
              <w:rPr>
                <w:rFonts w:ascii="Arial" w:eastAsia="Times New Roman" w:hAnsi="Arial" w:cs="Arial"/>
                <w:i/>
                <w:iCs/>
                <w:color w:val="000000"/>
                <w:sz w:val="22"/>
                <w:lang w:eastAsia="fr-FR"/>
              </w:rPr>
            </w:pPr>
          </w:p>
        </w:tc>
        <w:tc>
          <w:tcPr>
            <w:tcW w:w="1800" w:type="dxa"/>
            <w:vAlign w:val="center"/>
          </w:tcPr>
          <w:p w14:paraId="3B2673B1" w14:textId="77777777" w:rsidR="00C308DD" w:rsidRPr="00261A77" w:rsidRDefault="00C308DD">
            <w:pPr>
              <w:snapToGrid w:val="0"/>
              <w:spacing w:after="0"/>
              <w:rPr>
                <w:rFonts w:ascii="Arial" w:eastAsia="Times New Roman" w:hAnsi="Arial" w:cs="Arial"/>
                <w:i/>
                <w:iCs/>
                <w:color w:val="000000"/>
                <w:sz w:val="22"/>
                <w:lang w:eastAsia="fr-FR"/>
              </w:rPr>
            </w:pPr>
          </w:p>
        </w:tc>
        <w:tc>
          <w:tcPr>
            <w:tcW w:w="1300" w:type="dxa"/>
            <w:vAlign w:val="center"/>
          </w:tcPr>
          <w:p w14:paraId="4D311D06"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70335335"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r>
      <w:tr w:rsidR="00C308DD" w:rsidRPr="00261A77" w14:paraId="2C3B40BF" w14:textId="77777777">
        <w:trPr>
          <w:trHeight w:val="310"/>
        </w:trPr>
        <w:tc>
          <w:tcPr>
            <w:tcW w:w="2980" w:type="dxa"/>
            <w:vAlign w:val="center"/>
          </w:tcPr>
          <w:p w14:paraId="7424D414"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Hemisus marmoratus</w:t>
            </w:r>
          </w:p>
        </w:tc>
        <w:tc>
          <w:tcPr>
            <w:tcW w:w="1200" w:type="dxa"/>
            <w:vAlign w:val="center"/>
          </w:tcPr>
          <w:p w14:paraId="43E8EC17"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59B60CB0"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3811B014"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199CB793"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20A09206" w14:textId="77777777">
        <w:trPr>
          <w:trHeight w:val="310"/>
        </w:trPr>
        <w:tc>
          <w:tcPr>
            <w:tcW w:w="2980" w:type="dxa"/>
            <w:vAlign w:val="center"/>
          </w:tcPr>
          <w:p w14:paraId="782F97A8"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Hoplobatrachus occipitalis</w:t>
            </w:r>
          </w:p>
        </w:tc>
        <w:tc>
          <w:tcPr>
            <w:tcW w:w="1200" w:type="dxa"/>
            <w:vAlign w:val="center"/>
          </w:tcPr>
          <w:p w14:paraId="54D9F1A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48197E8C"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15188EA3"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6A24CB85"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17D9918D" w14:textId="77777777">
        <w:trPr>
          <w:trHeight w:val="310"/>
        </w:trPr>
        <w:tc>
          <w:tcPr>
            <w:tcW w:w="2980" w:type="dxa"/>
            <w:vAlign w:val="center"/>
          </w:tcPr>
          <w:p w14:paraId="4B0EA873"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Hyperolius concolor</w:t>
            </w:r>
          </w:p>
        </w:tc>
        <w:tc>
          <w:tcPr>
            <w:tcW w:w="1200" w:type="dxa"/>
            <w:vAlign w:val="center"/>
          </w:tcPr>
          <w:p w14:paraId="0C612D6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07188CC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53DDBADC"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7C565A77"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r>
      <w:tr w:rsidR="00C308DD" w:rsidRPr="00261A77" w14:paraId="07844CC1" w14:textId="77777777">
        <w:trPr>
          <w:trHeight w:val="310"/>
        </w:trPr>
        <w:tc>
          <w:tcPr>
            <w:tcW w:w="2980" w:type="dxa"/>
            <w:vAlign w:val="center"/>
          </w:tcPr>
          <w:p w14:paraId="10B18DB1"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Hyperolius guttulatus</w:t>
            </w:r>
          </w:p>
        </w:tc>
        <w:tc>
          <w:tcPr>
            <w:tcW w:w="1200" w:type="dxa"/>
            <w:vAlign w:val="center"/>
          </w:tcPr>
          <w:p w14:paraId="06956D03"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2D83B7ED"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3133BC8A"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28D4D1E0"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76DEE7DF" w14:textId="77777777">
        <w:trPr>
          <w:trHeight w:val="310"/>
        </w:trPr>
        <w:tc>
          <w:tcPr>
            <w:tcW w:w="2980" w:type="dxa"/>
            <w:vAlign w:val="center"/>
          </w:tcPr>
          <w:p w14:paraId="79813B70"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Hyperolius picturatus</w:t>
            </w:r>
          </w:p>
        </w:tc>
        <w:tc>
          <w:tcPr>
            <w:tcW w:w="1200" w:type="dxa"/>
            <w:vAlign w:val="center"/>
          </w:tcPr>
          <w:p w14:paraId="6DD221C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3166FDA7"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571DBD38"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2AF0E71C"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0A7DD836" w14:textId="77777777">
        <w:trPr>
          <w:trHeight w:val="310"/>
        </w:trPr>
        <w:tc>
          <w:tcPr>
            <w:tcW w:w="2980" w:type="dxa"/>
            <w:vAlign w:val="center"/>
          </w:tcPr>
          <w:p w14:paraId="607259E2"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Hyperolius f.</w:t>
            </w:r>
            <w:r w:rsidRPr="00261A77">
              <w:rPr>
                <w:rFonts w:ascii="Arial" w:hAnsi="Arial" w:cs="Arial"/>
                <w:sz w:val="22"/>
              </w:rPr>
              <w:t xml:space="preserve"> </w:t>
            </w:r>
            <w:r w:rsidRPr="00261A77">
              <w:rPr>
                <w:rFonts w:ascii="Arial" w:eastAsia="Times New Roman" w:hAnsi="Arial" w:cs="Arial"/>
                <w:i/>
                <w:iCs/>
                <w:color w:val="000000"/>
                <w:sz w:val="22"/>
                <w:lang w:eastAsia="fr-FR"/>
              </w:rPr>
              <w:t>lamtoensis</w:t>
            </w:r>
          </w:p>
        </w:tc>
        <w:tc>
          <w:tcPr>
            <w:tcW w:w="1200" w:type="dxa"/>
            <w:vAlign w:val="center"/>
          </w:tcPr>
          <w:p w14:paraId="1DEF2751"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7AC41DB2" w14:textId="77777777" w:rsidR="00C308DD" w:rsidRPr="00261A77" w:rsidRDefault="00C308DD">
            <w:pPr>
              <w:snapToGrid w:val="0"/>
              <w:spacing w:after="0"/>
              <w:rPr>
                <w:rFonts w:ascii="Arial" w:eastAsia="Times New Roman" w:hAnsi="Arial" w:cs="Arial"/>
                <w:color w:val="000000"/>
                <w:sz w:val="22"/>
                <w:lang w:eastAsia="fr-FR"/>
              </w:rPr>
            </w:pPr>
          </w:p>
        </w:tc>
        <w:tc>
          <w:tcPr>
            <w:tcW w:w="1300" w:type="dxa"/>
            <w:vAlign w:val="center"/>
          </w:tcPr>
          <w:p w14:paraId="50B43C9C"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2D860BC2" w14:textId="77777777" w:rsidR="00C308DD" w:rsidRPr="00261A77" w:rsidRDefault="00C308DD">
            <w:pPr>
              <w:snapToGrid w:val="0"/>
              <w:spacing w:after="0"/>
              <w:rPr>
                <w:rFonts w:ascii="Arial" w:eastAsia="Times New Roman" w:hAnsi="Arial" w:cs="Arial"/>
                <w:sz w:val="22"/>
                <w:lang w:eastAsia="fr-FR"/>
              </w:rPr>
            </w:pPr>
          </w:p>
        </w:tc>
      </w:tr>
      <w:tr w:rsidR="00C308DD" w:rsidRPr="00261A77" w14:paraId="34BA6BD8" w14:textId="77777777">
        <w:trPr>
          <w:trHeight w:val="310"/>
        </w:trPr>
        <w:tc>
          <w:tcPr>
            <w:tcW w:w="2980" w:type="dxa"/>
            <w:vAlign w:val="center"/>
          </w:tcPr>
          <w:p w14:paraId="18DC5514"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Leptopelis spiritusnoctis</w:t>
            </w:r>
          </w:p>
        </w:tc>
        <w:tc>
          <w:tcPr>
            <w:tcW w:w="1200" w:type="dxa"/>
            <w:vAlign w:val="center"/>
          </w:tcPr>
          <w:p w14:paraId="57B8A25A" w14:textId="77777777" w:rsidR="00C308DD" w:rsidRPr="00261A77" w:rsidRDefault="00C308DD">
            <w:pPr>
              <w:snapToGrid w:val="0"/>
              <w:spacing w:after="0"/>
              <w:rPr>
                <w:rFonts w:ascii="Arial" w:eastAsia="Times New Roman" w:hAnsi="Arial" w:cs="Arial"/>
                <w:i/>
                <w:iCs/>
                <w:color w:val="000000"/>
                <w:sz w:val="22"/>
                <w:lang w:eastAsia="fr-FR"/>
              </w:rPr>
            </w:pPr>
          </w:p>
        </w:tc>
        <w:tc>
          <w:tcPr>
            <w:tcW w:w="1800" w:type="dxa"/>
            <w:vAlign w:val="center"/>
          </w:tcPr>
          <w:p w14:paraId="6139387A" w14:textId="77777777" w:rsidR="00C308DD" w:rsidRPr="00261A77" w:rsidRDefault="00C308DD">
            <w:pPr>
              <w:snapToGrid w:val="0"/>
              <w:spacing w:after="0"/>
              <w:rPr>
                <w:rFonts w:ascii="Arial" w:eastAsia="Times New Roman" w:hAnsi="Arial" w:cs="Arial"/>
                <w:i/>
                <w:iCs/>
                <w:color w:val="000000"/>
                <w:sz w:val="22"/>
                <w:lang w:eastAsia="fr-FR"/>
              </w:rPr>
            </w:pPr>
          </w:p>
        </w:tc>
        <w:tc>
          <w:tcPr>
            <w:tcW w:w="1300" w:type="dxa"/>
            <w:vAlign w:val="center"/>
          </w:tcPr>
          <w:p w14:paraId="6B387BBB"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70EFA5D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r>
      <w:tr w:rsidR="00C308DD" w:rsidRPr="00261A77" w14:paraId="3C9B6D2C" w14:textId="77777777">
        <w:trPr>
          <w:trHeight w:val="310"/>
        </w:trPr>
        <w:tc>
          <w:tcPr>
            <w:tcW w:w="2980" w:type="dxa"/>
            <w:vAlign w:val="center"/>
          </w:tcPr>
          <w:p w14:paraId="6EC81A9A"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Leptopelis viridis</w:t>
            </w:r>
          </w:p>
        </w:tc>
        <w:tc>
          <w:tcPr>
            <w:tcW w:w="1200" w:type="dxa"/>
            <w:vAlign w:val="center"/>
          </w:tcPr>
          <w:p w14:paraId="0DB17DA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6D2F603D"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4D8BF0C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0CA1F75D"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r>
      <w:tr w:rsidR="00C308DD" w:rsidRPr="00261A77" w14:paraId="4BCC7591" w14:textId="77777777">
        <w:trPr>
          <w:trHeight w:val="310"/>
        </w:trPr>
        <w:tc>
          <w:tcPr>
            <w:tcW w:w="2980" w:type="dxa"/>
            <w:vAlign w:val="center"/>
          </w:tcPr>
          <w:p w14:paraId="31B80847"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Phrynobatrachus alleni</w:t>
            </w:r>
          </w:p>
        </w:tc>
        <w:tc>
          <w:tcPr>
            <w:tcW w:w="1200" w:type="dxa"/>
            <w:vAlign w:val="bottom"/>
          </w:tcPr>
          <w:p w14:paraId="7C2256B8" w14:textId="77777777" w:rsidR="00C308DD" w:rsidRPr="00261A77" w:rsidRDefault="00C308DD">
            <w:pPr>
              <w:snapToGrid w:val="0"/>
              <w:spacing w:after="0"/>
              <w:rPr>
                <w:rFonts w:ascii="Arial" w:eastAsia="Times New Roman" w:hAnsi="Arial" w:cs="Arial"/>
                <w:i/>
                <w:iCs/>
                <w:color w:val="000000"/>
                <w:sz w:val="22"/>
                <w:lang w:eastAsia="fr-FR"/>
              </w:rPr>
            </w:pPr>
          </w:p>
        </w:tc>
        <w:tc>
          <w:tcPr>
            <w:tcW w:w="1800" w:type="dxa"/>
            <w:vAlign w:val="center"/>
          </w:tcPr>
          <w:p w14:paraId="4C65C342" w14:textId="77777777" w:rsidR="00C308DD" w:rsidRPr="00261A77" w:rsidRDefault="00C308DD">
            <w:pPr>
              <w:snapToGrid w:val="0"/>
              <w:spacing w:after="0"/>
              <w:rPr>
                <w:rFonts w:ascii="Arial" w:eastAsia="Times New Roman" w:hAnsi="Arial" w:cs="Arial"/>
                <w:i/>
                <w:iCs/>
                <w:color w:val="000000"/>
                <w:sz w:val="22"/>
                <w:lang w:eastAsia="fr-FR"/>
              </w:rPr>
            </w:pPr>
          </w:p>
        </w:tc>
        <w:tc>
          <w:tcPr>
            <w:tcW w:w="1300" w:type="dxa"/>
            <w:vAlign w:val="center"/>
          </w:tcPr>
          <w:p w14:paraId="7700A2E6"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6E764F48"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7802D97A" w14:textId="77777777">
        <w:trPr>
          <w:trHeight w:val="310"/>
        </w:trPr>
        <w:tc>
          <w:tcPr>
            <w:tcW w:w="2980" w:type="dxa"/>
            <w:vAlign w:val="center"/>
          </w:tcPr>
          <w:p w14:paraId="7DC7119D"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Phrynobatrachus calcaratus</w:t>
            </w:r>
          </w:p>
        </w:tc>
        <w:tc>
          <w:tcPr>
            <w:tcW w:w="1200" w:type="dxa"/>
            <w:vAlign w:val="center"/>
          </w:tcPr>
          <w:p w14:paraId="58FBC15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4D35635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14313C61"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3FE6100F"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01A34733" w14:textId="77777777">
        <w:trPr>
          <w:trHeight w:val="310"/>
        </w:trPr>
        <w:tc>
          <w:tcPr>
            <w:tcW w:w="2980" w:type="dxa"/>
            <w:vAlign w:val="center"/>
          </w:tcPr>
          <w:p w14:paraId="205E08D8"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Phrynobatrachus francisci</w:t>
            </w:r>
          </w:p>
        </w:tc>
        <w:tc>
          <w:tcPr>
            <w:tcW w:w="1200" w:type="dxa"/>
            <w:vAlign w:val="center"/>
          </w:tcPr>
          <w:p w14:paraId="5286131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7C985F21"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7C867124"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4CAF7188"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004553AB" w14:textId="77777777">
        <w:trPr>
          <w:trHeight w:val="310"/>
        </w:trPr>
        <w:tc>
          <w:tcPr>
            <w:tcW w:w="2980" w:type="dxa"/>
            <w:vAlign w:val="center"/>
          </w:tcPr>
          <w:p w14:paraId="6FEF2C5E" w14:textId="77777777" w:rsidR="00C308DD" w:rsidRPr="00261A77" w:rsidRDefault="00000000">
            <w:pPr>
              <w:spacing w:after="0"/>
            </w:pPr>
            <w:r w:rsidRPr="00261A77">
              <w:rPr>
                <w:rFonts w:ascii="Arial" w:eastAsia="Times New Roman" w:hAnsi="Arial" w:cs="Arial"/>
                <w:i/>
                <w:iCs/>
                <w:color w:val="000000"/>
                <w:sz w:val="22"/>
                <w:lang w:eastAsia="fr-FR"/>
              </w:rPr>
              <w:t>Phrynobatrachus gutturosus</w:t>
            </w:r>
          </w:p>
        </w:tc>
        <w:tc>
          <w:tcPr>
            <w:tcW w:w="1200" w:type="dxa"/>
            <w:vAlign w:val="center"/>
          </w:tcPr>
          <w:p w14:paraId="4585FED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408F859B"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5D0567EB"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33708FB1"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2CED38AA" w14:textId="77777777">
        <w:trPr>
          <w:trHeight w:val="310"/>
        </w:trPr>
        <w:tc>
          <w:tcPr>
            <w:tcW w:w="2980" w:type="dxa"/>
            <w:vAlign w:val="center"/>
          </w:tcPr>
          <w:p w14:paraId="7EA77CD7"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Phrynobatrachus latifrons</w:t>
            </w:r>
          </w:p>
        </w:tc>
        <w:tc>
          <w:tcPr>
            <w:tcW w:w="1200" w:type="dxa"/>
            <w:vAlign w:val="center"/>
          </w:tcPr>
          <w:p w14:paraId="7A6D4D5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4E3E3B1C"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446E75EA"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5CAE7C8E"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57B17EEE" w14:textId="77777777">
        <w:trPr>
          <w:trHeight w:val="310"/>
        </w:trPr>
        <w:tc>
          <w:tcPr>
            <w:tcW w:w="2980" w:type="dxa"/>
            <w:vAlign w:val="center"/>
          </w:tcPr>
          <w:p w14:paraId="23A3ACDF"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Phrynobatrachus plicatus</w:t>
            </w:r>
          </w:p>
        </w:tc>
        <w:tc>
          <w:tcPr>
            <w:tcW w:w="1200" w:type="dxa"/>
            <w:vAlign w:val="center"/>
          </w:tcPr>
          <w:p w14:paraId="592BBC0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7DDA4524" w14:textId="77777777" w:rsidR="00C308DD" w:rsidRPr="00261A77" w:rsidRDefault="00C308DD">
            <w:pPr>
              <w:snapToGrid w:val="0"/>
              <w:spacing w:after="0"/>
              <w:rPr>
                <w:rFonts w:ascii="Arial" w:eastAsia="Times New Roman" w:hAnsi="Arial" w:cs="Arial"/>
                <w:color w:val="000000"/>
                <w:sz w:val="22"/>
                <w:lang w:eastAsia="fr-FR"/>
              </w:rPr>
            </w:pPr>
          </w:p>
        </w:tc>
        <w:tc>
          <w:tcPr>
            <w:tcW w:w="1300" w:type="dxa"/>
            <w:vAlign w:val="center"/>
          </w:tcPr>
          <w:p w14:paraId="399B7109"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1B4C42F5" w14:textId="77777777" w:rsidR="00C308DD" w:rsidRPr="00261A77" w:rsidRDefault="00C308DD">
            <w:pPr>
              <w:snapToGrid w:val="0"/>
              <w:spacing w:after="0"/>
              <w:rPr>
                <w:rFonts w:ascii="Arial" w:eastAsia="Times New Roman" w:hAnsi="Arial" w:cs="Arial"/>
                <w:sz w:val="22"/>
                <w:lang w:eastAsia="fr-FR"/>
              </w:rPr>
            </w:pPr>
          </w:p>
        </w:tc>
      </w:tr>
      <w:tr w:rsidR="00C308DD" w:rsidRPr="00261A77" w14:paraId="4D4DBEC8" w14:textId="77777777">
        <w:trPr>
          <w:trHeight w:val="310"/>
        </w:trPr>
        <w:tc>
          <w:tcPr>
            <w:tcW w:w="2980" w:type="dxa"/>
            <w:vAlign w:val="center"/>
          </w:tcPr>
          <w:p w14:paraId="4F5F46B4"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Ptychadena aequiplicata</w:t>
            </w:r>
          </w:p>
        </w:tc>
        <w:tc>
          <w:tcPr>
            <w:tcW w:w="1200" w:type="dxa"/>
            <w:vAlign w:val="center"/>
          </w:tcPr>
          <w:p w14:paraId="152843DB" w14:textId="77777777" w:rsidR="00C308DD" w:rsidRPr="00261A77" w:rsidRDefault="00C308DD">
            <w:pPr>
              <w:snapToGrid w:val="0"/>
              <w:spacing w:after="0"/>
              <w:rPr>
                <w:rFonts w:ascii="Arial" w:eastAsia="Times New Roman" w:hAnsi="Arial" w:cs="Arial"/>
                <w:i/>
                <w:iCs/>
                <w:color w:val="000000"/>
                <w:sz w:val="22"/>
                <w:lang w:eastAsia="fr-FR"/>
              </w:rPr>
            </w:pPr>
          </w:p>
        </w:tc>
        <w:tc>
          <w:tcPr>
            <w:tcW w:w="1800" w:type="dxa"/>
            <w:vAlign w:val="center"/>
          </w:tcPr>
          <w:p w14:paraId="44BFE194" w14:textId="77777777" w:rsidR="00C308DD" w:rsidRPr="00261A77" w:rsidRDefault="00C308DD">
            <w:pPr>
              <w:snapToGrid w:val="0"/>
              <w:spacing w:after="0"/>
              <w:rPr>
                <w:rFonts w:ascii="Arial" w:eastAsia="Times New Roman" w:hAnsi="Arial" w:cs="Arial"/>
                <w:i/>
                <w:iCs/>
                <w:color w:val="000000"/>
                <w:sz w:val="22"/>
                <w:lang w:eastAsia="fr-FR"/>
              </w:rPr>
            </w:pPr>
          </w:p>
        </w:tc>
        <w:tc>
          <w:tcPr>
            <w:tcW w:w="1300" w:type="dxa"/>
            <w:vAlign w:val="center"/>
          </w:tcPr>
          <w:p w14:paraId="103DCD60"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2DFC90DA"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041E3841" w14:textId="77777777">
        <w:trPr>
          <w:trHeight w:val="310"/>
        </w:trPr>
        <w:tc>
          <w:tcPr>
            <w:tcW w:w="2980" w:type="dxa"/>
            <w:vAlign w:val="center"/>
          </w:tcPr>
          <w:p w14:paraId="3A9CD25A" w14:textId="77777777" w:rsidR="00C308DD" w:rsidRPr="00261A77" w:rsidRDefault="00000000">
            <w:pPr>
              <w:spacing w:after="0"/>
            </w:pPr>
            <w:r w:rsidRPr="00261A77">
              <w:rPr>
                <w:rFonts w:ascii="Arial" w:eastAsia="Times New Roman" w:hAnsi="Arial" w:cs="Arial"/>
                <w:i/>
                <w:iCs/>
                <w:color w:val="000000"/>
                <w:sz w:val="22"/>
                <w:lang w:eastAsia="fr-FR"/>
              </w:rPr>
              <w:t>Ptychadena bibroni</w:t>
            </w:r>
          </w:p>
        </w:tc>
        <w:tc>
          <w:tcPr>
            <w:tcW w:w="1200" w:type="dxa"/>
            <w:vAlign w:val="center"/>
          </w:tcPr>
          <w:p w14:paraId="2D3E9C6A"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5603608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5A9BFD74"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2D572B20"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32050EB1" w14:textId="77777777">
        <w:trPr>
          <w:trHeight w:val="310"/>
        </w:trPr>
        <w:tc>
          <w:tcPr>
            <w:tcW w:w="2980" w:type="dxa"/>
            <w:vAlign w:val="center"/>
          </w:tcPr>
          <w:p w14:paraId="1660CFFC"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Ptychadena mascareniensis</w:t>
            </w:r>
          </w:p>
        </w:tc>
        <w:tc>
          <w:tcPr>
            <w:tcW w:w="1200" w:type="dxa"/>
            <w:vAlign w:val="center"/>
          </w:tcPr>
          <w:p w14:paraId="1B17BD22"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78BF78D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648CF3B4"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208" w:type="dxa"/>
            <w:vAlign w:val="center"/>
          </w:tcPr>
          <w:p w14:paraId="0E6E216D"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397161DD" w14:textId="77777777">
        <w:trPr>
          <w:trHeight w:val="310"/>
        </w:trPr>
        <w:tc>
          <w:tcPr>
            <w:tcW w:w="2980" w:type="dxa"/>
            <w:vAlign w:val="center"/>
          </w:tcPr>
          <w:p w14:paraId="071169B5"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Ptychadena oxyrhynchus</w:t>
            </w:r>
          </w:p>
        </w:tc>
        <w:tc>
          <w:tcPr>
            <w:tcW w:w="1200" w:type="dxa"/>
            <w:vAlign w:val="center"/>
          </w:tcPr>
          <w:p w14:paraId="4210EA38"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1DF6394B"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0A00A8A6"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565296D6"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6D0581C7" w14:textId="77777777">
        <w:trPr>
          <w:trHeight w:val="310"/>
        </w:trPr>
        <w:tc>
          <w:tcPr>
            <w:tcW w:w="2980" w:type="dxa"/>
            <w:vAlign w:val="center"/>
          </w:tcPr>
          <w:p w14:paraId="4DC4381F"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Ptychadena tellenii</w:t>
            </w:r>
          </w:p>
        </w:tc>
        <w:tc>
          <w:tcPr>
            <w:tcW w:w="1200" w:type="dxa"/>
            <w:vAlign w:val="center"/>
          </w:tcPr>
          <w:p w14:paraId="7BA9D91F"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3DFB6EA0"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71CFCD68"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4C081474"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61F32A33" w14:textId="77777777">
        <w:trPr>
          <w:trHeight w:val="310"/>
        </w:trPr>
        <w:tc>
          <w:tcPr>
            <w:tcW w:w="2980" w:type="dxa"/>
            <w:vAlign w:val="center"/>
          </w:tcPr>
          <w:p w14:paraId="07508EC1"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Xenopus tropicalis</w:t>
            </w:r>
          </w:p>
        </w:tc>
        <w:tc>
          <w:tcPr>
            <w:tcW w:w="1200" w:type="dxa"/>
            <w:vAlign w:val="center"/>
          </w:tcPr>
          <w:p w14:paraId="38814579"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5253181C" w14:textId="77777777" w:rsidR="00C308DD" w:rsidRPr="00261A77" w:rsidRDefault="00C308DD">
            <w:pPr>
              <w:snapToGrid w:val="0"/>
              <w:spacing w:after="0"/>
              <w:rPr>
                <w:rFonts w:ascii="Arial" w:eastAsia="Times New Roman" w:hAnsi="Arial" w:cs="Arial"/>
                <w:color w:val="000000"/>
                <w:sz w:val="22"/>
                <w:lang w:eastAsia="fr-FR"/>
              </w:rPr>
            </w:pPr>
          </w:p>
        </w:tc>
        <w:tc>
          <w:tcPr>
            <w:tcW w:w="1300" w:type="dxa"/>
            <w:vAlign w:val="center"/>
          </w:tcPr>
          <w:p w14:paraId="58D0CC40"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5D38AA89" w14:textId="77777777" w:rsidR="00C308DD" w:rsidRPr="00261A77" w:rsidRDefault="00C308DD">
            <w:pPr>
              <w:snapToGrid w:val="0"/>
              <w:spacing w:after="0"/>
              <w:rPr>
                <w:rFonts w:ascii="Arial" w:eastAsia="Times New Roman" w:hAnsi="Arial" w:cs="Arial"/>
                <w:sz w:val="22"/>
                <w:lang w:eastAsia="fr-FR"/>
              </w:rPr>
            </w:pPr>
          </w:p>
        </w:tc>
      </w:tr>
      <w:tr w:rsidR="00C308DD" w:rsidRPr="00261A77" w14:paraId="68B12FF1" w14:textId="77777777">
        <w:trPr>
          <w:trHeight w:val="310"/>
        </w:trPr>
        <w:tc>
          <w:tcPr>
            <w:tcW w:w="2980" w:type="dxa"/>
            <w:vAlign w:val="center"/>
          </w:tcPr>
          <w:p w14:paraId="48A6DDF6"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Sclerophrys maculata</w:t>
            </w:r>
          </w:p>
        </w:tc>
        <w:tc>
          <w:tcPr>
            <w:tcW w:w="1200" w:type="dxa"/>
            <w:vAlign w:val="center"/>
          </w:tcPr>
          <w:p w14:paraId="449E14BD"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7F8E5F7D"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13F22D88"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4CC97C45"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3E20A02E" w14:textId="77777777">
        <w:trPr>
          <w:trHeight w:val="310"/>
        </w:trPr>
        <w:tc>
          <w:tcPr>
            <w:tcW w:w="2980" w:type="dxa"/>
            <w:vAlign w:val="center"/>
          </w:tcPr>
          <w:p w14:paraId="70891853" w14:textId="77777777" w:rsidR="00C308DD" w:rsidRPr="00261A77" w:rsidRDefault="00000000">
            <w:pPr>
              <w:spacing w:after="0"/>
              <w:rPr>
                <w:rFonts w:ascii="Arial" w:eastAsia="Times New Roman" w:hAnsi="Arial" w:cs="Arial"/>
                <w:i/>
                <w:iCs/>
                <w:color w:val="000000"/>
                <w:sz w:val="22"/>
                <w:lang w:eastAsia="fr-FR"/>
              </w:rPr>
            </w:pPr>
            <w:r w:rsidRPr="00261A77">
              <w:rPr>
                <w:rFonts w:ascii="Arial" w:eastAsia="Times New Roman" w:hAnsi="Arial" w:cs="Arial"/>
                <w:i/>
                <w:iCs/>
                <w:color w:val="000000"/>
                <w:sz w:val="22"/>
                <w:lang w:eastAsia="fr-FR"/>
              </w:rPr>
              <w:t>Sclerophrys regularis</w:t>
            </w:r>
          </w:p>
        </w:tc>
        <w:tc>
          <w:tcPr>
            <w:tcW w:w="1200" w:type="dxa"/>
            <w:vAlign w:val="center"/>
          </w:tcPr>
          <w:p w14:paraId="567717F2"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800" w:type="dxa"/>
            <w:vAlign w:val="center"/>
          </w:tcPr>
          <w:p w14:paraId="31DE790E"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x</w:t>
            </w:r>
            <w:proofErr w:type="gramEnd"/>
          </w:p>
        </w:tc>
        <w:tc>
          <w:tcPr>
            <w:tcW w:w="1300" w:type="dxa"/>
            <w:vAlign w:val="center"/>
          </w:tcPr>
          <w:p w14:paraId="3ED6D545" w14:textId="77777777" w:rsidR="00C308DD" w:rsidRPr="00261A77" w:rsidRDefault="00C308DD">
            <w:pPr>
              <w:snapToGrid w:val="0"/>
              <w:spacing w:after="0"/>
              <w:rPr>
                <w:rFonts w:ascii="Arial" w:eastAsia="Times New Roman" w:hAnsi="Arial" w:cs="Arial"/>
                <w:color w:val="000000"/>
                <w:sz w:val="22"/>
                <w:lang w:eastAsia="fr-FR"/>
              </w:rPr>
            </w:pPr>
          </w:p>
        </w:tc>
        <w:tc>
          <w:tcPr>
            <w:tcW w:w="1208" w:type="dxa"/>
            <w:vAlign w:val="center"/>
          </w:tcPr>
          <w:p w14:paraId="52C080F9" w14:textId="77777777" w:rsidR="00C308DD" w:rsidRPr="00261A77" w:rsidRDefault="00C308DD">
            <w:pPr>
              <w:snapToGrid w:val="0"/>
              <w:spacing w:after="0"/>
              <w:rPr>
                <w:rFonts w:ascii="Arial" w:eastAsia="Times New Roman" w:hAnsi="Arial" w:cs="Arial"/>
                <w:color w:val="000000"/>
                <w:sz w:val="22"/>
                <w:lang w:eastAsia="fr-FR"/>
              </w:rPr>
            </w:pPr>
          </w:p>
        </w:tc>
      </w:tr>
      <w:tr w:rsidR="00C308DD" w:rsidRPr="00261A77" w14:paraId="68EC14D0" w14:textId="77777777">
        <w:trPr>
          <w:trHeight w:val="290"/>
        </w:trPr>
        <w:tc>
          <w:tcPr>
            <w:tcW w:w="2980" w:type="dxa"/>
            <w:tcBorders>
              <w:bottom w:val="single" w:sz="8" w:space="0" w:color="000000"/>
            </w:tcBorders>
            <w:vAlign w:val="bottom"/>
          </w:tcPr>
          <w:p w14:paraId="04ADE8BF" w14:textId="77777777" w:rsidR="00C308DD" w:rsidRPr="00261A77" w:rsidRDefault="00000000">
            <w:pPr>
              <w:spacing w:after="0"/>
              <w:rPr>
                <w:rFonts w:ascii="Arial" w:eastAsia="Times New Roman" w:hAnsi="Arial" w:cs="Arial"/>
                <w:b/>
                <w:bCs/>
                <w:sz w:val="22"/>
                <w:lang w:eastAsia="fr-FR"/>
              </w:rPr>
            </w:pPr>
            <w:r w:rsidRPr="00261A77">
              <w:rPr>
                <w:rFonts w:ascii="Arial" w:eastAsia="Times New Roman" w:hAnsi="Arial" w:cs="Arial"/>
                <w:b/>
                <w:bCs/>
                <w:sz w:val="22"/>
                <w:lang w:eastAsia="fr-FR"/>
              </w:rPr>
              <w:t>Total</w:t>
            </w:r>
          </w:p>
        </w:tc>
        <w:tc>
          <w:tcPr>
            <w:tcW w:w="1200" w:type="dxa"/>
            <w:tcBorders>
              <w:bottom w:val="single" w:sz="8" w:space="0" w:color="000000"/>
            </w:tcBorders>
            <w:vAlign w:val="center"/>
          </w:tcPr>
          <w:p w14:paraId="1EC6874F" w14:textId="77777777" w:rsidR="00C308DD" w:rsidRPr="00261A77" w:rsidRDefault="00000000">
            <w:pPr>
              <w:spacing w:after="0"/>
              <w:rPr>
                <w:rFonts w:ascii="Arial" w:eastAsia="Times New Roman" w:hAnsi="Arial" w:cs="Arial"/>
                <w:b/>
                <w:bCs/>
                <w:color w:val="000000"/>
                <w:sz w:val="22"/>
                <w:lang w:eastAsia="fr-FR"/>
              </w:rPr>
            </w:pPr>
            <w:r w:rsidRPr="00261A77">
              <w:rPr>
                <w:rFonts w:ascii="Arial" w:eastAsia="Times New Roman" w:hAnsi="Arial" w:cs="Arial"/>
                <w:b/>
                <w:bCs/>
                <w:color w:val="000000"/>
                <w:sz w:val="22"/>
                <w:lang w:eastAsia="fr-FR"/>
              </w:rPr>
              <w:t>21</w:t>
            </w:r>
          </w:p>
        </w:tc>
        <w:tc>
          <w:tcPr>
            <w:tcW w:w="1800" w:type="dxa"/>
            <w:tcBorders>
              <w:bottom w:val="single" w:sz="8" w:space="0" w:color="000000"/>
            </w:tcBorders>
            <w:vAlign w:val="center"/>
          </w:tcPr>
          <w:p w14:paraId="4141A3B6" w14:textId="77777777" w:rsidR="00C308DD" w:rsidRPr="00261A77" w:rsidRDefault="00000000">
            <w:pPr>
              <w:spacing w:after="0"/>
              <w:rPr>
                <w:rFonts w:ascii="Arial" w:eastAsia="Times New Roman" w:hAnsi="Arial" w:cs="Arial"/>
                <w:b/>
                <w:bCs/>
                <w:color w:val="000000"/>
                <w:sz w:val="22"/>
                <w:lang w:eastAsia="fr-FR"/>
              </w:rPr>
            </w:pPr>
            <w:r w:rsidRPr="00261A77">
              <w:rPr>
                <w:rFonts w:ascii="Arial" w:eastAsia="Times New Roman" w:hAnsi="Arial" w:cs="Arial"/>
                <w:b/>
                <w:bCs/>
                <w:color w:val="000000"/>
                <w:sz w:val="22"/>
                <w:lang w:eastAsia="fr-FR"/>
              </w:rPr>
              <w:t>18</w:t>
            </w:r>
          </w:p>
        </w:tc>
        <w:tc>
          <w:tcPr>
            <w:tcW w:w="1300" w:type="dxa"/>
            <w:tcBorders>
              <w:bottom w:val="single" w:sz="8" w:space="0" w:color="000000"/>
            </w:tcBorders>
            <w:vAlign w:val="center"/>
          </w:tcPr>
          <w:p w14:paraId="0E3257EF" w14:textId="77777777" w:rsidR="00C308DD" w:rsidRPr="00261A77" w:rsidRDefault="00000000">
            <w:pPr>
              <w:spacing w:after="0"/>
              <w:rPr>
                <w:rFonts w:ascii="Arial" w:eastAsia="Times New Roman" w:hAnsi="Arial" w:cs="Arial"/>
                <w:b/>
                <w:bCs/>
                <w:color w:val="000000"/>
                <w:sz w:val="22"/>
                <w:lang w:eastAsia="fr-FR"/>
              </w:rPr>
            </w:pPr>
            <w:r w:rsidRPr="00261A77">
              <w:rPr>
                <w:rFonts w:ascii="Arial" w:eastAsia="Times New Roman" w:hAnsi="Arial" w:cs="Arial"/>
                <w:b/>
                <w:bCs/>
                <w:color w:val="000000"/>
                <w:sz w:val="22"/>
                <w:lang w:eastAsia="fr-FR"/>
              </w:rPr>
              <w:t>8</w:t>
            </w:r>
          </w:p>
        </w:tc>
        <w:tc>
          <w:tcPr>
            <w:tcW w:w="1208" w:type="dxa"/>
            <w:tcBorders>
              <w:bottom w:val="single" w:sz="8" w:space="0" w:color="000000"/>
            </w:tcBorders>
            <w:vAlign w:val="center"/>
          </w:tcPr>
          <w:p w14:paraId="3C6424FF" w14:textId="77777777" w:rsidR="00C308DD" w:rsidRPr="00261A77" w:rsidRDefault="00000000">
            <w:pPr>
              <w:spacing w:after="0"/>
              <w:rPr>
                <w:rFonts w:ascii="Arial" w:eastAsia="Times New Roman" w:hAnsi="Arial" w:cs="Arial"/>
                <w:b/>
                <w:bCs/>
                <w:color w:val="000000"/>
                <w:sz w:val="22"/>
                <w:lang w:eastAsia="fr-FR"/>
              </w:rPr>
            </w:pPr>
            <w:r w:rsidRPr="00261A77">
              <w:rPr>
                <w:rFonts w:ascii="Arial" w:eastAsia="Times New Roman" w:hAnsi="Arial" w:cs="Arial"/>
                <w:b/>
                <w:bCs/>
                <w:color w:val="000000"/>
                <w:sz w:val="22"/>
                <w:lang w:eastAsia="fr-FR"/>
              </w:rPr>
              <w:t>5</w:t>
            </w:r>
          </w:p>
        </w:tc>
      </w:tr>
    </w:tbl>
    <w:p w14:paraId="43E76905" w14:textId="77777777" w:rsidR="00C308DD" w:rsidRPr="00261A77" w:rsidRDefault="00C308DD">
      <w:pPr>
        <w:spacing w:after="15"/>
        <w:ind w:left="-5"/>
        <w:rPr>
          <w:rFonts w:ascii="Arial" w:hAnsi="Arial" w:cs="Arial"/>
          <w:bCs/>
          <w:iCs/>
          <w:sz w:val="22"/>
          <w:shd w:val="clear" w:color="auto" w:fill="FFFFFF"/>
          <w:lang w:val="en-GB"/>
        </w:rPr>
      </w:pPr>
    </w:p>
    <w:p w14:paraId="1FB4CF84" w14:textId="77777777" w:rsidR="00C308DD" w:rsidRPr="00261A77" w:rsidRDefault="00000000">
      <w:pPr>
        <w:pStyle w:val="Heading2"/>
        <w:keepNext w:val="0"/>
      </w:pPr>
      <w:r w:rsidRPr="00261A77">
        <w:rPr>
          <w:lang w:val="en-GB"/>
        </w:rPr>
        <w:t>3.3. Diversity and Equitability Indices for Anuran Amphibian Communities</w:t>
      </w:r>
    </w:p>
    <w:p w14:paraId="7689C79A" w14:textId="77777777" w:rsidR="00C308DD" w:rsidRPr="00261A77" w:rsidRDefault="00000000">
      <w:pPr>
        <w:spacing w:after="15"/>
        <w:ind w:left="-5"/>
      </w:pPr>
      <w:r w:rsidRPr="00261A77">
        <w:rPr>
          <w:rFonts w:ascii="Arial" w:hAnsi="Arial" w:cs="Arial"/>
          <w:sz w:val="22"/>
          <w:lang w:val="en-GB"/>
        </w:rPr>
        <w:t xml:space="preserve">Figure 4 presents the variation in anuran amphibian diversity indices across the four agroecosystems. Anuran amphibian diversity varied according to land-use type. The highest Shannon index values (Figure 4A) were observed in the rice field (H' = 2.91) and in the oil </w:t>
      </w:r>
      <w:r w:rsidRPr="00261A77">
        <w:rPr>
          <w:rFonts w:ascii="Arial" w:hAnsi="Arial" w:cs="Arial"/>
          <w:sz w:val="22"/>
          <w:lang w:val="en-GB"/>
        </w:rPr>
        <w:lastRenderedPageBreak/>
        <w:t>palm plantation (H' = 2.79). In contrast, the cocoa plantation (H' = 1.94) and the rubber plantation (H' = 1.44) had the lowest Shannon indices.</w:t>
      </w:r>
    </w:p>
    <w:p w14:paraId="1EBB582F" w14:textId="77777777" w:rsidR="00C308DD" w:rsidRPr="00261A77" w:rsidRDefault="00000000">
      <w:pPr>
        <w:spacing w:after="15"/>
        <w:ind w:left="-5"/>
      </w:pPr>
      <w:r w:rsidRPr="00261A77">
        <w:rPr>
          <w:rFonts w:ascii="Arial" w:hAnsi="Arial" w:cs="Arial"/>
          <w:sz w:val="22"/>
          <w:lang w:val="en-GB"/>
        </w:rPr>
        <w:t>A similar trend was observed with the Simpson index (Figure 4B), with the rice field and oil palm plantation showing the highest values, at 1-D = 0.94 and 1-D = 0.93, respectively. The lowest values were recorded in the cocoa plantation (0.84) and the rubber plantation (0.73).</w:t>
      </w:r>
    </w:p>
    <w:p w14:paraId="1432B2A8" w14:textId="77777777" w:rsidR="00C308DD" w:rsidRPr="00261A77" w:rsidRDefault="00000000">
      <w:pPr>
        <w:spacing w:after="15"/>
        <w:ind w:left="-5"/>
      </w:pPr>
      <w:r w:rsidRPr="00261A77">
        <w:rPr>
          <w:rFonts w:ascii="Arial" w:hAnsi="Arial" w:cs="Arial"/>
          <w:sz w:val="22"/>
          <w:lang w:val="en-GB"/>
        </w:rPr>
        <w:t>Pielou’s evenness (Figure 4C) remained high across all agroecosystems (E = 0.89–0.97). The highest value was obtained in the oil palm plantation (E = 0.97), whilst the lowest equitability (E = 0.89) was observed in the rubber plantation.</w:t>
      </w:r>
    </w:p>
    <w:p w14:paraId="77FC979E" w14:textId="77777777" w:rsidR="00C308DD" w:rsidRPr="00261A77" w:rsidRDefault="00C308DD">
      <w:pPr>
        <w:spacing w:after="15"/>
        <w:ind w:left="-5"/>
        <w:rPr>
          <w:rFonts w:ascii="Arial" w:hAnsi="Arial" w:cs="Arial"/>
          <w:sz w:val="22"/>
          <w:lang w:val="en-GB"/>
        </w:rPr>
      </w:pPr>
    </w:p>
    <w:p w14:paraId="30517845" w14:textId="77777777" w:rsidR="00C308DD" w:rsidRPr="00261A77" w:rsidRDefault="001F3DF0">
      <w:pPr>
        <w:spacing w:after="15"/>
        <w:ind w:left="-5"/>
        <w:rPr>
          <w:rFonts w:ascii="Arial" w:hAnsi="Arial" w:cs="Arial"/>
          <w:sz w:val="22"/>
          <w:lang w:val="en-GB"/>
        </w:rPr>
      </w:pPr>
      <w:r>
        <w:rPr>
          <w:noProof/>
        </w:rPr>
        <w:pict w14:anchorId="4726B0A5">
          <v:shape id="Image7" o:spid="_x0000_i1030" type="#_x0000_t75" style="width:453.3pt;height:5in;visibility:visible;mso-wrap-style:square">
            <v:imagedata r:id="rId12" o:title="" croptop="-2f" cropbottom="-2f" cropleft="-1f" cropright="-1f"/>
          </v:shape>
        </w:pict>
      </w:r>
    </w:p>
    <w:p w14:paraId="407FA9E3" w14:textId="77777777" w:rsidR="00C308DD" w:rsidRPr="00261A77" w:rsidRDefault="00C308DD">
      <w:pPr>
        <w:spacing w:after="15"/>
        <w:ind w:left="-5"/>
        <w:rPr>
          <w:rFonts w:ascii="Arial" w:hAnsi="Arial" w:cs="Arial"/>
          <w:sz w:val="22"/>
          <w:lang w:val="en-GB"/>
        </w:rPr>
      </w:pPr>
    </w:p>
    <w:p w14:paraId="7CA5337E" w14:textId="77777777" w:rsidR="00C308DD" w:rsidRPr="00261A77" w:rsidRDefault="00000000">
      <w:pPr>
        <w:spacing w:after="15"/>
        <w:ind w:left="993" w:hanging="998"/>
      </w:pPr>
      <w:r w:rsidRPr="00261A77">
        <w:rPr>
          <w:rFonts w:ascii="Arial" w:hAnsi="Arial" w:cs="Arial"/>
          <w:sz w:val="22"/>
          <w:lang w:val="en-GB"/>
        </w:rPr>
        <w:t>Figure 4. Variation in species diversity indices; A = Shannon, B = Simpson, B = Equitability) for anuran amphibians across the four agroecosystems.</w:t>
      </w:r>
    </w:p>
    <w:p w14:paraId="68B5544B" w14:textId="77777777" w:rsidR="00C308DD" w:rsidRPr="00261A77" w:rsidRDefault="00000000">
      <w:pPr>
        <w:pStyle w:val="Heading2"/>
        <w:spacing w:before="240"/>
      </w:pPr>
      <w:r w:rsidRPr="00261A77">
        <w:rPr>
          <w:lang w:val="en-GB"/>
        </w:rPr>
        <w:t>3.4. Structure of the anuran amphibian populations in the village of Nebo</w:t>
      </w:r>
    </w:p>
    <w:p w14:paraId="0F6FB444" w14:textId="77777777" w:rsidR="00C308DD" w:rsidRPr="00261A77" w:rsidRDefault="00000000">
      <w:pPr>
        <w:spacing w:before="240" w:after="15"/>
        <w:ind w:left="-5"/>
      </w:pPr>
      <w:r w:rsidRPr="00261A77">
        <w:rPr>
          <w:rFonts w:ascii="Arial" w:hAnsi="Arial" w:cs="Arial"/>
          <w:sz w:val="22"/>
          <w:lang w:val="en-GB"/>
        </w:rPr>
        <w:t xml:space="preserve">A total of 1,030 anuran amphibians were sampled in the agroecosystems of the village of Nebo. The assemblage was dominated by </w:t>
      </w:r>
      <w:r w:rsidRPr="00261A77">
        <w:rPr>
          <w:rFonts w:ascii="Arial" w:hAnsi="Arial" w:cs="Arial"/>
          <w:i/>
          <w:iCs/>
          <w:sz w:val="22"/>
          <w:lang w:val="en-GB"/>
        </w:rPr>
        <w:t>Leptopelis viridis</w:t>
      </w:r>
      <w:r w:rsidRPr="00261A77">
        <w:rPr>
          <w:rFonts w:ascii="Arial" w:hAnsi="Arial" w:cs="Arial"/>
          <w:sz w:val="22"/>
          <w:lang w:val="en-GB"/>
        </w:rPr>
        <w:t xml:space="preserve"> (14.66 per cent; N = 151) and </w:t>
      </w:r>
      <w:r w:rsidRPr="00261A77">
        <w:rPr>
          <w:rFonts w:ascii="Arial" w:hAnsi="Arial" w:cs="Arial"/>
          <w:i/>
          <w:iCs/>
          <w:sz w:val="22"/>
          <w:lang w:val="en-GB"/>
        </w:rPr>
        <w:t>Hoplobatrachus occipitalis</w:t>
      </w:r>
      <w:r w:rsidRPr="00261A77">
        <w:rPr>
          <w:rFonts w:ascii="Arial" w:hAnsi="Arial" w:cs="Arial"/>
          <w:sz w:val="22"/>
          <w:lang w:val="en-GB"/>
        </w:rPr>
        <w:t xml:space="preserve"> (12.14 per cent; N = 125) (Figure 5A). These species were followed by other relatively abundant species, namely </w:t>
      </w:r>
      <w:r w:rsidRPr="00261A77">
        <w:rPr>
          <w:rFonts w:ascii="Arial" w:hAnsi="Arial" w:cs="Arial"/>
          <w:i/>
          <w:iCs/>
          <w:sz w:val="22"/>
          <w:lang w:val="en-GB"/>
        </w:rPr>
        <w:t>Hyperolius concolor</w:t>
      </w:r>
      <w:r w:rsidRPr="00261A77">
        <w:rPr>
          <w:rFonts w:ascii="Arial" w:hAnsi="Arial" w:cs="Arial"/>
          <w:sz w:val="22"/>
          <w:lang w:val="en-GB"/>
        </w:rPr>
        <w:t xml:space="preserve"> (7.28%; N = 75) and </w:t>
      </w:r>
      <w:r w:rsidRPr="00261A77">
        <w:rPr>
          <w:rFonts w:ascii="Arial" w:hAnsi="Arial" w:cs="Arial"/>
          <w:i/>
          <w:iCs/>
          <w:sz w:val="22"/>
          <w:lang w:val="en-GB"/>
        </w:rPr>
        <w:t>Ptychadena mascareniensis</w:t>
      </w:r>
      <w:r w:rsidRPr="00261A77">
        <w:rPr>
          <w:rFonts w:ascii="Arial" w:hAnsi="Arial" w:cs="Arial"/>
          <w:sz w:val="22"/>
          <w:lang w:val="en-GB"/>
        </w:rPr>
        <w:t xml:space="preserve"> (6.6%; N = 68). In contrast, </w:t>
      </w:r>
      <w:r w:rsidRPr="00261A77">
        <w:rPr>
          <w:rFonts w:ascii="Arial" w:hAnsi="Arial" w:cs="Arial"/>
          <w:i/>
          <w:iCs/>
          <w:sz w:val="22"/>
          <w:lang w:val="en-GB"/>
        </w:rPr>
        <w:t>Phrynobatrachus plicatus</w:t>
      </w:r>
      <w:r w:rsidRPr="00261A77">
        <w:rPr>
          <w:rFonts w:ascii="Arial" w:hAnsi="Arial" w:cs="Arial"/>
          <w:sz w:val="22"/>
          <w:lang w:val="en-GB"/>
        </w:rPr>
        <w:t xml:space="preserve"> (0.78%; N = 8) was the least abundant species. </w:t>
      </w:r>
    </w:p>
    <w:p w14:paraId="4B634136" w14:textId="77777777" w:rsidR="00C308DD" w:rsidRPr="00261A77" w:rsidRDefault="00000000">
      <w:pPr>
        <w:spacing w:before="240" w:after="15"/>
        <w:ind w:left="-5"/>
        <w:rPr>
          <w:rFonts w:ascii="Arial" w:hAnsi="Arial" w:cs="Arial"/>
          <w:sz w:val="22"/>
          <w:lang w:val="en-GB"/>
        </w:rPr>
      </w:pPr>
      <w:r w:rsidRPr="00261A77">
        <w:rPr>
          <w:rFonts w:ascii="Arial" w:hAnsi="Arial" w:cs="Arial"/>
          <w:sz w:val="22"/>
          <w:lang w:val="en-GB"/>
        </w:rPr>
        <w:lastRenderedPageBreak/>
        <w:t xml:space="preserve">Furthermore, Figure 5B shows the variation in relative abundance across agroecosystems. The rice field and oil palm plantation had the highest relative abundances, at 48.44% (N = 499) and 31.26% (N = 322), respectively. These agroecosystems were followed by the cocoa plantation (14.37%; N = 148). In contrast, the rubber plantation had the lowest relative abundance (5.93%; N = 61). </w:t>
      </w:r>
      <w:r w:rsidRPr="00261A77">
        <w:rPr>
          <w:rFonts w:ascii="Arial" w:hAnsi="Arial" w:cs="Arial"/>
          <w:sz w:val="22"/>
        </w:rPr>
        <w:t>However</w:t>
      </w:r>
      <w:r w:rsidRPr="00261A77">
        <w:rPr>
          <w:rFonts w:ascii="Arial" w:hAnsi="Arial" w:cs="Arial"/>
          <w:sz w:val="22"/>
          <w:lang w:val="en-GB"/>
        </w:rPr>
        <w:t>, average abundances varied significantly between agroecosystems. They were highest in rice fields (19.96 ± 17.32), followed by oil palm plantations (13.44 ± 12.89), cocoa plantations (5.36 ± 10.27) and rubber plantations (2.44 ± 6.20). The non-parametric Kruskal-</w:t>
      </w:r>
      <w:proofErr w:type="gramStart"/>
      <w:r w:rsidRPr="00261A77">
        <w:rPr>
          <w:rFonts w:ascii="Arial" w:hAnsi="Arial" w:cs="Arial"/>
          <w:sz w:val="22"/>
          <w:lang w:val="en-GB"/>
        </w:rPr>
        <w:t>Wallis</w:t>
      </w:r>
      <w:proofErr w:type="gramEnd"/>
      <w:r w:rsidRPr="00261A77">
        <w:rPr>
          <w:rFonts w:ascii="Arial" w:hAnsi="Arial" w:cs="Arial"/>
          <w:sz w:val="22"/>
          <w:lang w:val="en-GB"/>
        </w:rPr>
        <w:t xml:space="preserve"> test revealed a highly significant difference between the four agroecosystems (H = 32.783; df = 3; P &lt; 0.001), indicating that species abundance differed among agroecosystem types.</w:t>
      </w:r>
    </w:p>
    <w:p w14:paraId="39C98A69" w14:textId="77777777" w:rsidR="00C308DD" w:rsidRPr="00261A77" w:rsidRDefault="00C308DD">
      <w:pPr>
        <w:spacing w:before="240" w:after="15"/>
        <w:ind w:left="-5"/>
        <w:rPr>
          <w:rFonts w:ascii="Arial" w:hAnsi="Arial" w:cs="Arial"/>
          <w:sz w:val="22"/>
          <w:lang w:val="en-GB"/>
        </w:rPr>
      </w:pPr>
    </w:p>
    <w:p w14:paraId="03CFB72A" w14:textId="77777777" w:rsidR="00C308DD" w:rsidRPr="00261A77" w:rsidRDefault="001F3DF0">
      <w:pPr>
        <w:spacing w:before="240" w:after="15"/>
        <w:ind w:left="-5"/>
        <w:rPr>
          <w:rFonts w:ascii="Arial" w:hAnsi="Arial" w:cs="Arial"/>
          <w:sz w:val="22"/>
        </w:rPr>
      </w:pPr>
      <w:r>
        <w:rPr>
          <w:noProof/>
        </w:rPr>
        <w:pict w14:anchorId="1909C1E0">
          <v:shape id="Image3" o:spid="_x0000_i1031" type="#_x0000_t75" style="width:453.9pt;height:176.85pt;visibility:visible;mso-wrap-style:square">
            <v:imagedata r:id="rId13" o:title="" croptop="-1f" cropbottom="-1f" cropleft="-1f" cropright="-1f"/>
          </v:shape>
        </w:pict>
      </w:r>
    </w:p>
    <w:p w14:paraId="52B271A4" w14:textId="77777777" w:rsidR="00C308DD" w:rsidRPr="00261A77" w:rsidRDefault="00000000">
      <w:pPr>
        <w:spacing w:before="240" w:after="15"/>
        <w:ind w:left="-5"/>
      </w:pPr>
      <w:r w:rsidRPr="00261A77">
        <w:rPr>
          <w:rFonts w:ascii="Arial" w:hAnsi="Arial" w:cs="Arial"/>
          <w:sz w:val="22"/>
        </w:rPr>
        <w:t xml:space="preserve">Figure 5. </w:t>
      </w:r>
      <w:r w:rsidRPr="00261A77">
        <w:rPr>
          <w:rFonts w:ascii="Arial" w:hAnsi="Arial" w:cs="Arial"/>
          <w:sz w:val="22"/>
          <w:lang w:val="en-GB"/>
        </w:rPr>
        <w:t>Variations in the relative abundances of anuran amphibian species (A) and agroecosystems (B)</w:t>
      </w:r>
    </w:p>
    <w:p w14:paraId="22BE80F0" w14:textId="77777777" w:rsidR="00C308DD" w:rsidRPr="00261A77" w:rsidRDefault="00000000">
      <w:pPr>
        <w:pStyle w:val="Heading2"/>
        <w:spacing w:before="240"/>
      </w:pPr>
      <w:r w:rsidRPr="00261A77">
        <w:rPr>
          <w:shd w:val="clear" w:color="auto" w:fill="FFFFFF"/>
          <w:lang w:val="en-GB"/>
        </w:rPr>
        <w:t>3.5. Community similarity across agroecosystems</w:t>
      </w:r>
    </w:p>
    <w:p w14:paraId="0165414C" w14:textId="77777777" w:rsidR="00C308DD" w:rsidRPr="00261A77" w:rsidRDefault="00000000">
      <w:pPr>
        <w:spacing w:before="240" w:after="15"/>
        <w:ind w:left="-5"/>
      </w:pPr>
      <w:r w:rsidRPr="00261A77">
        <w:rPr>
          <w:rFonts w:ascii="Arial" w:hAnsi="Arial" w:cs="Arial"/>
          <w:bCs/>
          <w:iCs/>
          <w:sz w:val="22"/>
          <w:shd w:val="clear" w:color="auto" w:fill="FFFFFF"/>
          <w:lang w:val="en-GB"/>
        </w:rPr>
        <w:t xml:space="preserve">Table 4 presents the similarities among the anuran communities in the different agroecosystems. The Sørensen similarity index revealed a high degree of similarity between the anuran communities in the rice field and oil palm plantation (Cs = 0.821). A relatively high similarity was also observed between the cocoa and rubber plantations (Cs = 0.615). In contrast, the other comparisons showed low similarity values (Cs ranging from 0.154 to 0.231). </w:t>
      </w:r>
    </w:p>
    <w:p w14:paraId="2486A660" w14:textId="77777777" w:rsidR="00C308DD" w:rsidRPr="00261A77" w:rsidRDefault="00000000">
      <w:pPr>
        <w:spacing w:before="240" w:after="15"/>
        <w:ind w:left="-5"/>
        <w:rPr>
          <w:rFonts w:ascii="Arial" w:hAnsi="Arial" w:cs="Arial"/>
          <w:sz w:val="22"/>
          <w:lang w:val="en-GB"/>
        </w:rPr>
      </w:pPr>
      <w:r w:rsidRPr="00261A77">
        <w:rPr>
          <w:rFonts w:ascii="Arial" w:hAnsi="Arial" w:cs="Arial"/>
          <w:bCs/>
          <w:iCs/>
          <w:sz w:val="22"/>
          <w:shd w:val="clear" w:color="auto" w:fill="FFFFFF"/>
          <w:lang w:val="en-GB"/>
        </w:rPr>
        <w:t xml:space="preserve">Table 4. </w:t>
      </w:r>
      <w:r w:rsidRPr="00261A77">
        <w:rPr>
          <w:rFonts w:ascii="Arial" w:hAnsi="Arial" w:cs="Arial"/>
          <w:sz w:val="22"/>
          <w:lang w:val="en-GB"/>
        </w:rPr>
        <w:t>Sørensen similarity index between communities of anuran amphibians in the agroecosystems of the village of Nebo</w:t>
      </w:r>
    </w:p>
    <w:tbl>
      <w:tblPr>
        <w:tblW w:w="7902" w:type="dxa"/>
        <w:tblInd w:w="75" w:type="dxa"/>
        <w:tblLayout w:type="fixed"/>
        <w:tblCellMar>
          <w:left w:w="70" w:type="dxa"/>
          <w:right w:w="70" w:type="dxa"/>
        </w:tblCellMar>
        <w:tblLook w:val="04A0" w:firstRow="1" w:lastRow="0" w:firstColumn="1" w:lastColumn="0" w:noHBand="0" w:noVBand="1"/>
      </w:tblPr>
      <w:tblGrid>
        <w:gridCol w:w="2124"/>
        <w:gridCol w:w="1520"/>
        <w:gridCol w:w="1095"/>
        <w:gridCol w:w="1491"/>
        <w:gridCol w:w="1672"/>
      </w:tblGrid>
      <w:tr w:rsidR="00C308DD" w:rsidRPr="00261A77" w14:paraId="02B01D2C" w14:textId="77777777">
        <w:trPr>
          <w:trHeight w:val="485"/>
        </w:trPr>
        <w:tc>
          <w:tcPr>
            <w:tcW w:w="2124" w:type="dxa"/>
            <w:tcBorders>
              <w:top w:val="single" w:sz="12" w:space="0" w:color="000000"/>
              <w:bottom w:val="single" w:sz="8" w:space="0" w:color="000000"/>
            </w:tcBorders>
            <w:vAlign w:val="bottom"/>
          </w:tcPr>
          <w:p w14:paraId="5CA97955"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Agroécosystèmes</w:t>
            </w:r>
          </w:p>
        </w:tc>
        <w:tc>
          <w:tcPr>
            <w:tcW w:w="1520" w:type="dxa"/>
            <w:tcBorders>
              <w:top w:val="single" w:sz="12" w:space="0" w:color="000000"/>
              <w:bottom w:val="single" w:sz="8" w:space="0" w:color="000000"/>
            </w:tcBorders>
            <w:vAlign w:val="bottom"/>
          </w:tcPr>
          <w:p w14:paraId="6CA089A8"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Rice fields</w:t>
            </w:r>
          </w:p>
        </w:tc>
        <w:tc>
          <w:tcPr>
            <w:tcW w:w="1095" w:type="dxa"/>
            <w:tcBorders>
              <w:top w:val="single" w:sz="12" w:space="0" w:color="000000"/>
              <w:bottom w:val="single" w:sz="8" w:space="0" w:color="000000"/>
            </w:tcBorders>
            <w:vAlign w:val="bottom"/>
          </w:tcPr>
          <w:p w14:paraId="65CDD708"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Oil palm plantation</w:t>
            </w:r>
          </w:p>
        </w:tc>
        <w:tc>
          <w:tcPr>
            <w:tcW w:w="1491" w:type="dxa"/>
            <w:tcBorders>
              <w:top w:val="single" w:sz="12" w:space="0" w:color="000000"/>
              <w:bottom w:val="single" w:sz="8" w:space="0" w:color="000000"/>
            </w:tcBorders>
            <w:vAlign w:val="bottom"/>
          </w:tcPr>
          <w:p w14:paraId="24BF486A" w14:textId="77777777" w:rsidR="00C308DD" w:rsidRPr="00261A77" w:rsidRDefault="00000000">
            <w:pPr>
              <w:ind w:left="291"/>
              <w:rPr>
                <w:rFonts w:ascii="Arial" w:eastAsia="Times New Roman" w:hAnsi="Arial" w:cs="Arial"/>
                <w:color w:val="000000"/>
                <w:sz w:val="22"/>
                <w:lang w:eastAsia="fr-FR"/>
              </w:rPr>
            </w:pPr>
            <w:r w:rsidRPr="00261A77">
              <w:rPr>
                <w:rFonts w:ascii="Arial" w:eastAsia="Times New Roman" w:hAnsi="Arial" w:cs="Arial"/>
                <w:color w:val="000000"/>
                <w:sz w:val="22"/>
                <w:lang w:eastAsia="fr-FR"/>
              </w:rPr>
              <w:t>Cocoa plantation</w:t>
            </w:r>
          </w:p>
        </w:tc>
        <w:tc>
          <w:tcPr>
            <w:tcW w:w="1672" w:type="dxa"/>
            <w:tcBorders>
              <w:top w:val="single" w:sz="12" w:space="0" w:color="000000"/>
              <w:bottom w:val="single" w:sz="8" w:space="0" w:color="000000"/>
            </w:tcBorders>
            <w:vAlign w:val="bottom"/>
          </w:tcPr>
          <w:p w14:paraId="5949E3AC"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Rubber plantation</w:t>
            </w:r>
          </w:p>
        </w:tc>
      </w:tr>
      <w:tr w:rsidR="00C308DD" w:rsidRPr="00261A77" w14:paraId="38EE79A6" w14:textId="77777777">
        <w:trPr>
          <w:trHeight w:val="485"/>
        </w:trPr>
        <w:tc>
          <w:tcPr>
            <w:tcW w:w="2124" w:type="dxa"/>
            <w:tcBorders>
              <w:top w:val="single" w:sz="8" w:space="0" w:color="000000"/>
            </w:tcBorders>
            <w:vAlign w:val="bottom"/>
          </w:tcPr>
          <w:p w14:paraId="395BD2BD"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Rice fields</w:t>
            </w:r>
          </w:p>
        </w:tc>
        <w:tc>
          <w:tcPr>
            <w:tcW w:w="1520" w:type="dxa"/>
            <w:tcBorders>
              <w:top w:val="single" w:sz="8" w:space="0" w:color="000000"/>
            </w:tcBorders>
            <w:vAlign w:val="bottom"/>
          </w:tcPr>
          <w:p w14:paraId="12B0678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1</w:t>
            </w:r>
          </w:p>
        </w:tc>
        <w:tc>
          <w:tcPr>
            <w:tcW w:w="1095" w:type="dxa"/>
            <w:tcBorders>
              <w:top w:val="single" w:sz="8" w:space="0" w:color="000000"/>
            </w:tcBorders>
            <w:vAlign w:val="bottom"/>
          </w:tcPr>
          <w:p w14:paraId="14800F0B" w14:textId="77777777" w:rsidR="00C308DD" w:rsidRPr="00261A77" w:rsidRDefault="00000000">
            <w:pPr>
              <w:spacing w:after="0"/>
            </w:pPr>
            <w:r w:rsidRPr="00261A77">
              <w:rPr>
                <w:rFonts w:ascii="Arial" w:eastAsia="Times New Roman" w:hAnsi="Arial" w:cs="Arial"/>
                <w:color w:val="000000"/>
                <w:sz w:val="22"/>
                <w:lang w:eastAsia="fr-FR"/>
              </w:rPr>
              <w:t>0.821</w:t>
            </w:r>
          </w:p>
        </w:tc>
        <w:tc>
          <w:tcPr>
            <w:tcW w:w="1491" w:type="dxa"/>
            <w:tcBorders>
              <w:top w:val="single" w:sz="8" w:space="0" w:color="000000"/>
            </w:tcBorders>
            <w:vAlign w:val="bottom"/>
          </w:tcPr>
          <w:p w14:paraId="0FCDD58B" w14:textId="77777777" w:rsidR="00C308DD" w:rsidRPr="00261A77" w:rsidRDefault="00000000">
            <w:pPr>
              <w:spacing w:after="0"/>
            </w:pPr>
            <w:r w:rsidRPr="00261A77">
              <w:rPr>
                <w:rFonts w:ascii="Arial" w:eastAsia="Times New Roman" w:hAnsi="Arial" w:cs="Arial"/>
                <w:color w:val="000000"/>
                <w:sz w:val="22"/>
                <w:lang w:eastAsia="fr-FR"/>
              </w:rPr>
              <w:t>0.207</w:t>
            </w:r>
          </w:p>
        </w:tc>
        <w:tc>
          <w:tcPr>
            <w:tcW w:w="1672" w:type="dxa"/>
            <w:tcBorders>
              <w:top w:val="single" w:sz="8" w:space="0" w:color="000000"/>
            </w:tcBorders>
            <w:vAlign w:val="bottom"/>
          </w:tcPr>
          <w:p w14:paraId="6685DFFA" w14:textId="77777777" w:rsidR="00C308DD" w:rsidRPr="00261A77" w:rsidRDefault="00000000">
            <w:pPr>
              <w:spacing w:after="0"/>
            </w:pPr>
            <w:r w:rsidRPr="00261A77">
              <w:rPr>
                <w:rFonts w:ascii="Arial" w:eastAsia="Times New Roman" w:hAnsi="Arial" w:cs="Arial"/>
                <w:color w:val="000000"/>
                <w:sz w:val="22"/>
                <w:lang w:eastAsia="fr-FR"/>
              </w:rPr>
              <w:t>0.154</w:t>
            </w:r>
          </w:p>
        </w:tc>
      </w:tr>
      <w:tr w:rsidR="00C308DD" w:rsidRPr="00261A77" w14:paraId="43F8120F" w14:textId="77777777">
        <w:trPr>
          <w:trHeight w:val="485"/>
        </w:trPr>
        <w:tc>
          <w:tcPr>
            <w:tcW w:w="2124" w:type="dxa"/>
            <w:vAlign w:val="bottom"/>
          </w:tcPr>
          <w:p w14:paraId="2FBDAA80"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Oil palm plantation</w:t>
            </w:r>
          </w:p>
        </w:tc>
        <w:tc>
          <w:tcPr>
            <w:tcW w:w="1520" w:type="dxa"/>
            <w:vAlign w:val="bottom"/>
          </w:tcPr>
          <w:p w14:paraId="1A42B822" w14:textId="77777777" w:rsidR="00C308DD" w:rsidRPr="00261A77" w:rsidRDefault="00C308DD">
            <w:pPr>
              <w:snapToGrid w:val="0"/>
              <w:spacing w:after="0"/>
              <w:rPr>
                <w:rFonts w:ascii="Arial" w:eastAsia="Times New Roman" w:hAnsi="Arial" w:cs="Arial"/>
                <w:color w:val="000000"/>
                <w:sz w:val="22"/>
                <w:lang w:eastAsia="fr-FR"/>
              </w:rPr>
            </w:pPr>
          </w:p>
        </w:tc>
        <w:tc>
          <w:tcPr>
            <w:tcW w:w="1095" w:type="dxa"/>
            <w:vAlign w:val="bottom"/>
          </w:tcPr>
          <w:p w14:paraId="0C9EBCB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1</w:t>
            </w:r>
          </w:p>
        </w:tc>
        <w:tc>
          <w:tcPr>
            <w:tcW w:w="1491" w:type="dxa"/>
            <w:vAlign w:val="bottom"/>
          </w:tcPr>
          <w:p w14:paraId="40BA22C0" w14:textId="77777777" w:rsidR="00C308DD" w:rsidRPr="00261A77" w:rsidRDefault="00000000">
            <w:pPr>
              <w:spacing w:after="0"/>
            </w:pPr>
            <w:r w:rsidRPr="00261A77">
              <w:rPr>
                <w:rFonts w:ascii="Arial" w:eastAsia="Times New Roman" w:hAnsi="Arial" w:cs="Arial"/>
                <w:color w:val="000000"/>
                <w:sz w:val="22"/>
                <w:lang w:eastAsia="fr-FR"/>
              </w:rPr>
              <w:t>0.231</w:t>
            </w:r>
          </w:p>
        </w:tc>
        <w:tc>
          <w:tcPr>
            <w:tcW w:w="1672" w:type="dxa"/>
            <w:vAlign w:val="bottom"/>
          </w:tcPr>
          <w:p w14:paraId="3FD40607" w14:textId="77777777" w:rsidR="00C308DD" w:rsidRPr="00261A77" w:rsidRDefault="00000000">
            <w:pPr>
              <w:spacing w:after="0"/>
            </w:pPr>
            <w:r w:rsidRPr="00261A77">
              <w:rPr>
                <w:rFonts w:ascii="Arial" w:eastAsia="Times New Roman" w:hAnsi="Arial" w:cs="Arial"/>
                <w:color w:val="000000"/>
                <w:sz w:val="22"/>
                <w:lang w:eastAsia="fr-FR"/>
              </w:rPr>
              <w:t>0.174</w:t>
            </w:r>
          </w:p>
        </w:tc>
      </w:tr>
      <w:tr w:rsidR="00C308DD" w:rsidRPr="00261A77" w14:paraId="27036108" w14:textId="77777777">
        <w:trPr>
          <w:trHeight w:val="485"/>
        </w:trPr>
        <w:tc>
          <w:tcPr>
            <w:tcW w:w="2124" w:type="dxa"/>
            <w:vAlign w:val="bottom"/>
          </w:tcPr>
          <w:p w14:paraId="1ED9A949"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lastRenderedPageBreak/>
              <w:t>Cocoa plantation</w:t>
            </w:r>
          </w:p>
        </w:tc>
        <w:tc>
          <w:tcPr>
            <w:tcW w:w="1520" w:type="dxa"/>
            <w:vAlign w:val="bottom"/>
          </w:tcPr>
          <w:p w14:paraId="1F401536" w14:textId="77777777" w:rsidR="00C308DD" w:rsidRPr="00261A77" w:rsidRDefault="00C308DD">
            <w:pPr>
              <w:snapToGrid w:val="0"/>
              <w:spacing w:after="0"/>
              <w:rPr>
                <w:rFonts w:ascii="Arial" w:eastAsia="Times New Roman" w:hAnsi="Arial" w:cs="Arial"/>
                <w:color w:val="000000"/>
                <w:sz w:val="22"/>
                <w:lang w:eastAsia="fr-FR"/>
              </w:rPr>
            </w:pPr>
          </w:p>
        </w:tc>
        <w:tc>
          <w:tcPr>
            <w:tcW w:w="1095" w:type="dxa"/>
            <w:vAlign w:val="bottom"/>
          </w:tcPr>
          <w:p w14:paraId="787A7B3A" w14:textId="77777777" w:rsidR="00C308DD" w:rsidRPr="00261A77" w:rsidRDefault="00C308DD">
            <w:pPr>
              <w:snapToGrid w:val="0"/>
              <w:spacing w:after="0"/>
              <w:rPr>
                <w:rFonts w:ascii="Arial" w:eastAsia="Times New Roman" w:hAnsi="Arial" w:cs="Arial"/>
                <w:color w:val="000000"/>
                <w:sz w:val="22"/>
                <w:lang w:eastAsia="fr-FR"/>
              </w:rPr>
            </w:pPr>
          </w:p>
        </w:tc>
        <w:tc>
          <w:tcPr>
            <w:tcW w:w="1491" w:type="dxa"/>
            <w:vAlign w:val="bottom"/>
          </w:tcPr>
          <w:p w14:paraId="0DD64C4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1</w:t>
            </w:r>
          </w:p>
        </w:tc>
        <w:tc>
          <w:tcPr>
            <w:tcW w:w="1672" w:type="dxa"/>
            <w:vAlign w:val="bottom"/>
          </w:tcPr>
          <w:p w14:paraId="7138B1A1" w14:textId="77777777" w:rsidR="00C308DD" w:rsidRPr="00261A77" w:rsidRDefault="00000000">
            <w:pPr>
              <w:spacing w:after="0"/>
            </w:pPr>
            <w:r w:rsidRPr="00261A77">
              <w:rPr>
                <w:rFonts w:ascii="Arial" w:eastAsia="Times New Roman" w:hAnsi="Arial" w:cs="Arial"/>
                <w:color w:val="000000"/>
                <w:sz w:val="22"/>
                <w:lang w:eastAsia="fr-FR"/>
              </w:rPr>
              <w:t>0.615</w:t>
            </w:r>
          </w:p>
        </w:tc>
      </w:tr>
      <w:tr w:rsidR="00C308DD" w:rsidRPr="00261A77" w14:paraId="0B9DA422" w14:textId="77777777">
        <w:trPr>
          <w:trHeight w:val="485"/>
        </w:trPr>
        <w:tc>
          <w:tcPr>
            <w:tcW w:w="2124" w:type="dxa"/>
            <w:tcBorders>
              <w:bottom w:val="single" w:sz="12" w:space="0" w:color="000000"/>
            </w:tcBorders>
            <w:vAlign w:val="bottom"/>
          </w:tcPr>
          <w:p w14:paraId="47AE26FA"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Rubber plantation</w:t>
            </w:r>
          </w:p>
        </w:tc>
        <w:tc>
          <w:tcPr>
            <w:tcW w:w="1520" w:type="dxa"/>
            <w:tcBorders>
              <w:bottom w:val="single" w:sz="12" w:space="0" w:color="000000"/>
            </w:tcBorders>
            <w:vAlign w:val="bottom"/>
          </w:tcPr>
          <w:p w14:paraId="7F1A3210" w14:textId="77777777" w:rsidR="00C308DD" w:rsidRPr="00261A77" w:rsidRDefault="00C308DD">
            <w:pPr>
              <w:snapToGrid w:val="0"/>
              <w:spacing w:after="0"/>
              <w:rPr>
                <w:rFonts w:ascii="Arial" w:eastAsia="Times New Roman" w:hAnsi="Arial" w:cs="Arial"/>
                <w:color w:val="000000"/>
                <w:sz w:val="22"/>
                <w:lang w:eastAsia="fr-FR"/>
              </w:rPr>
            </w:pPr>
          </w:p>
        </w:tc>
        <w:tc>
          <w:tcPr>
            <w:tcW w:w="1095" w:type="dxa"/>
            <w:tcBorders>
              <w:bottom w:val="single" w:sz="12" w:space="0" w:color="000000"/>
            </w:tcBorders>
            <w:vAlign w:val="bottom"/>
          </w:tcPr>
          <w:p w14:paraId="2AFF8993" w14:textId="77777777" w:rsidR="00C308DD" w:rsidRPr="00261A77" w:rsidRDefault="00C308DD">
            <w:pPr>
              <w:snapToGrid w:val="0"/>
              <w:spacing w:after="0"/>
              <w:rPr>
                <w:rFonts w:ascii="Arial" w:eastAsia="Times New Roman" w:hAnsi="Arial" w:cs="Arial"/>
                <w:color w:val="000000"/>
                <w:sz w:val="22"/>
                <w:lang w:eastAsia="fr-FR"/>
              </w:rPr>
            </w:pPr>
          </w:p>
        </w:tc>
        <w:tc>
          <w:tcPr>
            <w:tcW w:w="1491" w:type="dxa"/>
            <w:tcBorders>
              <w:bottom w:val="single" w:sz="12" w:space="0" w:color="000000"/>
            </w:tcBorders>
            <w:vAlign w:val="bottom"/>
          </w:tcPr>
          <w:p w14:paraId="284D8653" w14:textId="77777777" w:rsidR="00C308DD" w:rsidRPr="00261A77" w:rsidRDefault="00C308DD">
            <w:pPr>
              <w:snapToGrid w:val="0"/>
              <w:spacing w:after="0"/>
              <w:rPr>
                <w:rFonts w:ascii="Arial" w:eastAsia="Times New Roman" w:hAnsi="Arial" w:cs="Arial"/>
                <w:color w:val="000000"/>
                <w:sz w:val="22"/>
                <w:lang w:eastAsia="fr-FR"/>
              </w:rPr>
            </w:pPr>
          </w:p>
        </w:tc>
        <w:tc>
          <w:tcPr>
            <w:tcW w:w="1672" w:type="dxa"/>
            <w:tcBorders>
              <w:bottom w:val="single" w:sz="12" w:space="0" w:color="000000"/>
            </w:tcBorders>
            <w:vAlign w:val="bottom"/>
          </w:tcPr>
          <w:p w14:paraId="4126E14A"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1</w:t>
            </w:r>
          </w:p>
        </w:tc>
      </w:tr>
    </w:tbl>
    <w:p w14:paraId="39AE746F" w14:textId="77777777" w:rsidR="00C308DD" w:rsidRPr="00261A77" w:rsidRDefault="00000000">
      <w:pPr>
        <w:pStyle w:val="Heading2"/>
        <w:spacing w:before="240" w:after="60"/>
      </w:pPr>
      <w:r w:rsidRPr="00261A77">
        <w:rPr>
          <w:shd w:val="clear" w:color="auto" w:fill="FFFFFF"/>
          <w:lang w:val="en-GB"/>
        </w:rPr>
        <w:t xml:space="preserve">3.6. </w:t>
      </w:r>
      <w:r w:rsidRPr="00261A77">
        <w:rPr>
          <w:lang w:val="en-GB"/>
        </w:rPr>
        <w:t>Influence of environmental characteristics on the distribution of anurans</w:t>
      </w:r>
    </w:p>
    <w:p w14:paraId="74B5961F" w14:textId="77777777" w:rsidR="00C308DD" w:rsidRPr="00261A77" w:rsidRDefault="00000000">
      <w:pPr>
        <w:spacing w:after="0"/>
      </w:pPr>
      <w:r w:rsidRPr="00261A77">
        <w:rPr>
          <w:rFonts w:ascii="Arial" w:hAnsi="Arial" w:cs="Arial"/>
          <w:sz w:val="22"/>
          <w:lang w:val="en-GB"/>
        </w:rPr>
        <w:t>The distribution of anurans was mainly associated with water availability, humidity and vegetation cover (Table 5). The rice field and oil palm plantation, characterised by high water availability and numerous breeding sites, favour aquatic and generalist species (</w:t>
      </w:r>
      <w:r w:rsidRPr="00261A77">
        <w:rPr>
          <w:rFonts w:ascii="Arial" w:hAnsi="Arial" w:cs="Arial"/>
          <w:i/>
          <w:iCs/>
          <w:sz w:val="22"/>
          <w:lang w:val="en-GB"/>
        </w:rPr>
        <w:t>Afrixalus dorsalis,</w:t>
      </w:r>
    </w:p>
    <w:p w14:paraId="754D0E42" w14:textId="77777777" w:rsidR="00C308DD" w:rsidRPr="00261A77" w:rsidRDefault="00000000">
      <w:pPr>
        <w:spacing w:after="0"/>
      </w:pPr>
      <w:r w:rsidRPr="00261A77">
        <w:rPr>
          <w:rFonts w:ascii="Arial" w:hAnsi="Arial" w:cs="Arial"/>
          <w:i/>
          <w:iCs/>
          <w:sz w:val="22"/>
          <w:lang w:val="es-US"/>
        </w:rPr>
        <w:t>Amnirana albolabris,</w:t>
      </w:r>
      <w:r w:rsidRPr="00261A77">
        <w:rPr>
          <w:i/>
          <w:iCs/>
          <w:lang w:val="es-US"/>
        </w:rPr>
        <w:t xml:space="preserve"> </w:t>
      </w:r>
      <w:r w:rsidRPr="00261A77">
        <w:rPr>
          <w:rFonts w:ascii="Arial" w:hAnsi="Arial" w:cs="Arial"/>
          <w:i/>
          <w:iCs/>
          <w:sz w:val="22"/>
          <w:lang w:val="es-US"/>
        </w:rPr>
        <w:t>Hemisus marmoratus, Hoplobatrachus occipitalis, Hyperolius concolor,</w:t>
      </w:r>
    </w:p>
    <w:p w14:paraId="2828E281" w14:textId="77777777" w:rsidR="00C308DD" w:rsidRPr="00261A77" w:rsidRDefault="00000000">
      <w:pPr>
        <w:rPr>
          <w:rFonts w:ascii="Arial" w:hAnsi="Arial" w:cs="Arial"/>
          <w:i/>
          <w:iCs/>
          <w:sz w:val="22"/>
          <w:lang w:val="en-GB"/>
        </w:rPr>
      </w:pPr>
      <w:r w:rsidRPr="00261A77">
        <w:rPr>
          <w:rFonts w:ascii="Arial" w:hAnsi="Arial" w:cs="Arial"/>
          <w:i/>
          <w:iCs/>
          <w:sz w:val="22"/>
        </w:rPr>
        <w:t xml:space="preserve">Hyperolius guttulatus, Hyperolius picturatus, Leptopelis viridis, Phrynobatrachus calcaratus, Phrynobatrachus francisci, Phrynobatrachus gutturosus, Phrynobatrachus latifrons, Phrynobatrachus plicatus, Ptychadena bibroni, Ptychadena mascareniensis, Ptychadena oxyrhynchus, Ptychadena tellenii, Xenopus tropicalis, Sclerophrys maculata </w:t>
      </w:r>
      <w:r w:rsidRPr="00261A77">
        <w:rPr>
          <w:rFonts w:ascii="Arial" w:hAnsi="Arial" w:cs="Arial"/>
          <w:sz w:val="22"/>
        </w:rPr>
        <w:t xml:space="preserve">and </w:t>
      </w:r>
      <w:r w:rsidRPr="00261A77">
        <w:rPr>
          <w:rFonts w:ascii="Arial" w:hAnsi="Arial" w:cs="Arial"/>
          <w:i/>
          <w:iCs/>
          <w:sz w:val="22"/>
        </w:rPr>
        <w:t>Sclerophrys regularis</w:t>
      </w:r>
      <w:r w:rsidRPr="00261A77">
        <w:rPr>
          <w:rFonts w:ascii="Arial" w:hAnsi="Arial" w:cs="Arial"/>
          <w:sz w:val="22"/>
        </w:rPr>
        <w:t xml:space="preserve">). </w:t>
      </w:r>
      <w:r w:rsidRPr="00261A77">
        <w:rPr>
          <w:rFonts w:ascii="Arial" w:hAnsi="Arial" w:cs="Arial"/>
          <w:sz w:val="22"/>
          <w:lang w:val="en-GB"/>
        </w:rPr>
        <w:t>In contrast, the cocoa and rubber plantations, with their dense vegetation cover and more stable microclimate, supported a greater number of forest species (</w:t>
      </w:r>
      <w:r w:rsidRPr="00261A77">
        <w:rPr>
          <w:rFonts w:ascii="Arial" w:hAnsi="Arial" w:cs="Arial"/>
          <w:i/>
          <w:iCs/>
          <w:sz w:val="22"/>
          <w:lang w:val="en-GB"/>
        </w:rPr>
        <w:t>Amnirana albolabris, Arthroleptis poecilonotus, Hyperolius concolor,</w:t>
      </w:r>
      <w:r w:rsidRPr="00261A77">
        <w:rPr>
          <w:lang w:val="en-GB"/>
        </w:rPr>
        <w:t xml:space="preserve"> </w:t>
      </w:r>
      <w:r w:rsidRPr="00261A77">
        <w:rPr>
          <w:rFonts w:ascii="Arial" w:hAnsi="Arial" w:cs="Arial"/>
          <w:i/>
          <w:iCs/>
          <w:sz w:val="22"/>
          <w:lang w:val="en-GB"/>
        </w:rPr>
        <w:t>Leptopelis spiritusnoctis, Leptopelis viridis, Phrynobatrachus alleni, Ptychadena aequiplicata, Ptychadena mascareniensis</w:t>
      </w:r>
      <w:r w:rsidRPr="00261A77">
        <w:rPr>
          <w:rFonts w:ascii="Arial" w:hAnsi="Arial" w:cs="Arial"/>
          <w:sz w:val="22"/>
          <w:lang w:val="en-GB"/>
        </w:rPr>
        <w:t>).</w:t>
      </w:r>
    </w:p>
    <w:p w14:paraId="43863153" w14:textId="77777777" w:rsidR="00C308DD" w:rsidRPr="00261A77" w:rsidRDefault="00C308DD">
      <w:pPr>
        <w:rPr>
          <w:rFonts w:ascii="Arial" w:hAnsi="Arial" w:cs="Arial"/>
          <w:i/>
          <w:iCs/>
          <w:sz w:val="22"/>
          <w:lang w:val="en-GB"/>
        </w:rPr>
      </w:pPr>
    </w:p>
    <w:p w14:paraId="0E1F1B6A" w14:textId="77777777" w:rsidR="00C308DD" w:rsidRPr="00261A77" w:rsidRDefault="00000000">
      <w:pPr>
        <w:rPr>
          <w:rFonts w:ascii="Arial" w:hAnsi="Arial" w:cs="Arial"/>
          <w:sz w:val="22"/>
          <w:lang w:val="en-GB"/>
        </w:rPr>
      </w:pPr>
      <w:r w:rsidRPr="00261A77">
        <w:rPr>
          <w:rFonts w:ascii="Arial" w:hAnsi="Arial" w:cs="Arial"/>
          <w:sz w:val="22"/>
          <w:lang w:val="en-GB"/>
        </w:rPr>
        <w:t>Table 5. The influence of environmental characteristics on the distribution of anurans in different agroecosystems</w:t>
      </w:r>
    </w:p>
    <w:tbl>
      <w:tblPr>
        <w:tblW w:w="8578" w:type="dxa"/>
        <w:tblInd w:w="70" w:type="dxa"/>
        <w:tblLayout w:type="fixed"/>
        <w:tblCellMar>
          <w:left w:w="70" w:type="dxa"/>
          <w:right w:w="70" w:type="dxa"/>
        </w:tblCellMar>
        <w:tblLook w:val="04A0" w:firstRow="1" w:lastRow="0" w:firstColumn="1" w:lastColumn="0" w:noHBand="0" w:noVBand="1"/>
      </w:tblPr>
      <w:tblGrid>
        <w:gridCol w:w="2835"/>
        <w:gridCol w:w="1560"/>
        <w:gridCol w:w="1376"/>
        <w:gridCol w:w="1566"/>
        <w:gridCol w:w="1241"/>
      </w:tblGrid>
      <w:tr w:rsidR="00C308DD" w:rsidRPr="00261A77" w14:paraId="68B5803C" w14:textId="77777777">
        <w:trPr>
          <w:trHeight w:val="600"/>
        </w:trPr>
        <w:tc>
          <w:tcPr>
            <w:tcW w:w="2835" w:type="dxa"/>
            <w:tcBorders>
              <w:top w:val="single" w:sz="12" w:space="0" w:color="000000"/>
              <w:bottom w:val="single" w:sz="8" w:space="0" w:color="000000"/>
            </w:tcBorders>
            <w:vAlign w:val="bottom"/>
          </w:tcPr>
          <w:p w14:paraId="5A6B7850"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Characteristics</w:t>
            </w:r>
          </w:p>
        </w:tc>
        <w:tc>
          <w:tcPr>
            <w:tcW w:w="1560" w:type="dxa"/>
            <w:tcBorders>
              <w:top w:val="single" w:sz="12" w:space="0" w:color="000000"/>
              <w:bottom w:val="single" w:sz="8" w:space="0" w:color="000000"/>
            </w:tcBorders>
            <w:vAlign w:val="bottom"/>
          </w:tcPr>
          <w:p w14:paraId="67F387DA"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 xml:space="preserve">Rice </w:t>
            </w:r>
          </w:p>
          <w:p w14:paraId="04AF9A87"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fields</w:t>
            </w:r>
            <w:proofErr w:type="gramEnd"/>
          </w:p>
        </w:tc>
        <w:tc>
          <w:tcPr>
            <w:tcW w:w="1376" w:type="dxa"/>
            <w:tcBorders>
              <w:top w:val="single" w:sz="12" w:space="0" w:color="000000"/>
              <w:bottom w:val="single" w:sz="8" w:space="0" w:color="000000"/>
            </w:tcBorders>
            <w:vAlign w:val="bottom"/>
          </w:tcPr>
          <w:p w14:paraId="5FC7E8D6"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Oil palm plantation</w:t>
            </w:r>
          </w:p>
        </w:tc>
        <w:tc>
          <w:tcPr>
            <w:tcW w:w="1566" w:type="dxa"/>
            <w:tcBorders>
              <w:top w:val="single" w:sz="12" w:space="0" w:color="000000"/>
              <w:bottom w:val="single" w:sz="8" w:space="0" w:color="000000"/>
            </w:tcBorders>
            <w:vAlign w:val="bottom"/>
          </w:tcPr>
          <w:p w14:paraId="133C31A3"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Cocoa plantation</w:t>
            </w:r>
          </w:p>
        </w:tc>
        <w:tc>
          <w:tcPr>
            <w:tcW w:w="1241" w:type="dxa"/>
            <w:tcBorders>
              <w:top w:val="single" w:sz="12" w:space="0" w:color="000000"/>
              <w:bottom w:val="single" w:sz="8" w:space="0" w:color="000000"/>
            </w:tcBorders>
            <w:vAlign w:val="bottom"/>
          </w:tcPr>
          <w:p w14:paraId="0748F02B"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 xml:space="preserve">Rubber </w:t>
            </w:r>
          </w:p>
          <w:p w14:paraId="14324CB5" w14:textId="77777777" w:rsidR="00C308DD" w:rsidRPr="00261A77" w:rsidRDefault="00000000">
            <w:pPr>
              <w:spacing w:after="0"/>
              <w:rPr>
                <w:rFonts w:ascii="Arial" w:eastAsia="Times New Roman" w:hAnsi="Arial" w:cs="Arial"/>
                <w:color w:val="000000"/>
                <w:sz w:val="22"/>
                <w:lang w:eastAsia="fr-FR"/>
              </w:rPr>
            </w:pPr>
            <w:proofErr w:type="gramStart"/>
            <w:r w:rsidRPr="00261A77">
              <w:rPr>
                <w:rFonts w:ascii="Arial" w:eastAsia="Times New Roman" w:hAnsi="Arial" w:cs="Arial"/>
                <w:color w:val="000000"/>
                <w:sz w:val="22"/>
                <w:lang w:eastAsia="fr-FR"/>
              </w:rPr>
              <w:t>plantation</w:t>
            </w:r>
            <w:proofErr w:type="gramEnd"/>
          </w:p>
        </w:tc>
      </w:tr>
      <w:tr w:rsidR="00C308DD" w:rsidRPr="00261A77" w14:paraId="2F4181D5" w14:textId="77777777">
        <w:trPr>
          <w:trHeight w:val="580"/>
        </w:trPr>
        <w:tc>
          <w:tcPr>
            <w:tcW w:w="2835" w:type="dxa"/>
            <w:vAlign w:val="bottom"/>
          </w:tcPr>
          <w:p w14:paraId="16057EC0"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Water availability</w:t>
            </w:r>
          </w:p>
        </w:tc>
        <w:tc>
          <w:tcPr>
            <w:tcW w:w="1560" w:type="dxa"/>
            <w:vAlign w:val="bottom"/>
          </w:tcPr>
          <w:p w14:paraId="6BDC5660"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376" w:type="dxa"/>
            <w:vAlign w:val="bottom"/>
          </w:tcPr>
          <w:p w14:paraId="7EEA9DC7"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566" w:type="dxa"/>
            <w:vAlign w:val="bottom"/>
          </w:tcPr>
          <w:p w14:paraId="09B3D3B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241" w:type="dxa"/>
            <w:vAlign w:val="bottom"/>
          </w:tcPr>
          <w:p w14:paraId="52CD765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r>
      <w:tr w:rsidR="00C308DD" w:rsidRPr="00261A77" w14:paraId="5EDA08FC" w14:textId="77777777">
        <w:trPr>
          <w:trHeight w:val="492"/>
        </w:trPr>
        <w:tc>
          <w:tcPr>
            <w:tcW w:w="2835" w:type="dxa"/>
            <w:vAlign w:val="bottom"/>
          </w:tcPr>
          <w:p w14:paraId="7F1E91E1"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Vegetation cover</w:t>
            </w:r>
          </w:p>
        </w:tc>
        <w:tc>
          <w:tcPr>
            <w:tcW w:w="1560" w:type="dxa"/>
            <w:vAlign w:val="bottom"/>
          </w:tcPr>
          <w:p w14:paraId="52CF6C3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376" w:type="dxa"/>
            <w:vAlign w:val="bottom"/>
          </w:tcPr>
          <w:p w14:paraId="7A7716AD"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566" w:type="dxa"/>
            <w:vAlign w:val="bottom"/>
          </w:tcPr>
          <w:p w14:paraId="45ADDA7E"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241" w:type="dxa"/>
            <w:vAlign w:val="bottom"/>
          </w:tcPr>
          <w:p w14:paraId="39A3E020"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r>
      <w:tr w:rsidR="00C308DD" w:rsidRPr="00261A77" w14:paraId="57308820" w14:textId="77777777">
        <w:trPr>
          <w:trHeight w:val="556"/>
        </w:trPr>
        <w:tc>
          <w:tcPr>
            <w:tcW w:w="2835" w:type="dxa"/>
            <w:vAlign w:val="bottom"/>
          </w:tcPr>
          <w:p w14:paraId="6D9791D2"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Relative humidity</w:t>
            </w:r>
          </w:p>
        </w:tc>
        <w:tc>
          <w:tcPr>
            <w:tcW w:w="1560" w:type="dxa"/>
            <w:vAlign w:val="bottom"/>
          </w:tcPr>
          <w:p w14:paraId="6AC2232B"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376" w:type="dxa"/>
            <w:vAlign w:val="bottom"/>
          </w:tcPr>
          <w:p w14:paraId="34CC0875"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566" w:type="dxa"/>
            <w:vAlign w:val="bottom"/>
          </w:tcPr>
          <w:p w14:paraId="126D3032"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241" w:type="dxa"/>
            <w:vAlign w:val="bottom"/>
          </w:tcPr>
          <w:p w14:paraId="01DEB0C8"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r>
      <w:tr w:rsidR="00C308DD" w:rsidRPr="00261A77" w14:paraId="7BA214E2" w14:textId="77777777">
        <w:trPr>
          <w:trHeight w:val="556"/>
        </w:trPr>
        <w:tc>
          <w:tcPr>
            <w:tcW w:w="2835" w:type="dxa"/>
            <w:vAlign w:val="bottom"/>
          </w:tcPr>
          <w:p w14:paraId="7BE3188D"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Air temperature</w:t>
            </w:r>
          </w:p>
        </w:tc>
        <w:tc>
          <w:tcPr>
            <w:tcW w:w="1560" w:type="dxa"/>
            <w:vAlign w:val="bottom"/>
          </w:tcPr>
          <w:p w14:paraId="5231E3C4"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c>
          <w:tcPr>
            <w:tcW w:w="1376" w:type="dxa"/>
            <w:vAlign w:val="bottom"/>
          </w:tcPr>
          <w:p w14:paraId="5EFBAA7F"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c>
          <w:tcPr>
            <w:tcW w:w="1566" w:type="dxa"/>
            <w:vAlign w:val="bottom"/>
          </w:tcPr>
          <w:p w14:paraId="77C8B13C"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241" w:type="dxa"/>
            <w:vAlign w:val="bottom"/>
          </w:tcPr>
          <w:p w14:paraId="69444899"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r>
      <w:tr w:rsidR="00C308DD" w:rsidRPr="00261A77" w14:paraId="361025C3" w14:textId="77777777">
        <w:trPr>
          <w:trHeight w:val="556"/>
        </w:trPr>
        <w:tc>
          <w:tcPr>
            <w:tcW w:w="2835" w:type="dxa"/>
            <w:vAlign w:val="bottom"/>
          </w:tcPr>
          <w:p w14:paraId="1408133F"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Leaf litter depth</w:t>
            </w:r>
          </w:p>
        </w:tc>
        <w:tc>
          <w:tcPr>
            <w:tcW w:w="1560" w:type="dxa"/>
            <w:vAlign w:val="bottom"/>
          </w:tcPr>
          <w:p w14:paraId="14D71628"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c>
          <w:tcPr>
            <w:tcW w:w="1376" w:type="dxa"/>
            <w:vAlign w:val="bottom"/>
          </w:tcPr>
          <w:p w14:paraId="1A79ADD6"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c>
          <w:tcPr>
            <w:tcW w:w="1566" w:type="dxa"/>
            <w:vAlign w:val="bottom"/>
          </w:tcPr>
          <w:p w14:paraId="490EB226"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c>
          <w:tcPr>
            <w:tcW w:w="1241" w:type="dxa"/>
            <w:vAlign w:val="bottom"/>
          </w:tcPr>
          <w:p w14:paraId="53D5399D"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val="en-GB" w:eastAsia="fr-FR"/>
              </w:rPr>
              <w:t>+++++</w:t>
            </w:r>
          </w:p>
        </w:tc>
      </w:tr>
      <w:tr w:rsidR="00C308DD" w:rsidRPr="00261A77" w14:paraId="4FBA4BDD" w14:textId="77777777">
        <w:trPr>
          <w:trHeight w:val="577"/>
        </w:trPr>
        <w:tc>
          <w:tcPr>
            <w:tcW w:w="2835" w:type="dxa"/>
            <w:vAlign w:val="bottom"/>
          </w:tcPr>
          <w:p w14:paraId="248568A2"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Breeding sites</w:t>
            </w:r>
          </w:p>
        </w:tc>
        <w:tc>
          <w:tcPr>
            <w:tcW w:w="1560" w:type="dxa"/>
            <w:vAlign w:val="bottom"/>
          </w:tcPr>
          <w:p w14:paraId="2D0BCA92"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376" w:type="dxa"/>
            <w:vAlign w:val="bottom"/>
          </w:tcPr>
          <w:p w14:paraId="386713F6"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566" w:type="dxa"/>
            <w:vAlign w:val="bottom"/>
          </w:tcPr>
          <w:p w14:paraId="6575A4CC"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c>
          <w:tcPr>
            <w:tcW w:w="1241" w:type="dxa"/>
            <w:vAlign w:val="bottom"/>
          </w:tcPr>
          <w:p w14:paraId="6D401D8B" w14:textId="77777777" w:rsidR="00C308DD" w:rsidRPr="00261A77" w:rsidRDefault="00000000">
            <w:pPr>
              <w:spacing w:after="0"/>
              <w:rPr>
                <w:rFonts w:ascii="Arial" w:eastAsia="Times New Roman" w:hAnsi="Arial" w:cs="Arial"/>
                <w:color w:val="000000"/>
                <w:sz w:val="22"/>
                <w:lang w:eastAsia="fr-FR"/>
              </w:rPr>
            </w:pPr>
            <w:r w:rsidRPr="00261A77">
              <w:rPr>
                <w:rFonts w:ascii="Arial" w:eastAsia="Times New Roman" w:hAnsi="Arial" w:cs="Arial"/>
                <w:color w:val="000000"/>
                <w:sz w:val="22"/>
                <w:lang w:eastAsia="fr-FR"/>
              </w:rPr>
              <w:t>+</w:t>
            </w:r>
          </w:p>
        </w:tc>
      </w:tr>
      <w:tr w:rsidR="00C308DD" w:rsidRPr="00261A77" w14:paraId="0E47FC9E" w14:textId="77777777">
        <w:trPr>
          <w:trHeight w:val="997"/>
        </w:trPr>
        <w:tc>
          <w:tcPr>
            <w:tcW w:w="2835" w:type="dxa"/>
            <w:tcBorders>
              <w:bottom w:val="single" w:sz="12" w:space="0" w:color="000000"/>
            </w:tcBorders>
            <w:vAlign w:val="bottom"/>
          </w:tcPr>
          <w:p w14:paraId="38FD4C8E"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Preferred species group</w:t>
            </w:r>
          </w:p>
        </w:tc>
        <w:tc>
          <w:tcPr>
            <w:tcW w:w="1560" w:type="dxa"/>
            <w:tcBorders>
              <w:bottom w:val="single" w:sz="12" w:space="0" w:color="000000"/>
            </w:tcBorders>
            <w:vAlign w:val="bottom"/>
          </w:tcPr>
          <w:p w14:paraId="686EB34F"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 xml:space="preserve">Aquatic and generalist </w:t>
            </w:r>
          </w:p>
        </w:tc>
        <w:tc>
          <w:tcPr>
            <w:tcW w:w="1376" w:type="dxa"/>
            <w:tcBorders>
              <w:bottom w:val="single" w:sz="12" w:space="0" w:color="000000"/>
            </w:tcBorders>
            <w:vAlign w:val="bottom"/>
          </w:tcPr>
          <w:p w14:paraId="79E1C1BA" w14:textId="77777777" w:rsidR="00C308DD" w:rsidRPr="00261A77" w:rsidRDefault="00000000">
            <w:r w:rsidRPr="00261A77">
              <w:rPr>
                <w:rFonts w:ascii="Arial" w:eastAsia="Times New Roman" w:hAnsi="Arial" w:cs="Arial"/>
                <w:color w:val="000000"/>
                <w:sz w:val="22"/>
                <w:lang w:eastAsia="fr-FR"/>
              </w:rPr>
              <w:t>Generalist</w:t>
            </w:r>
          </w:p>
        </w:tc>
        <w:tc>
          <w:tcPr>
            <w:tcW w:w="1566" w:type="dxa"/>
            <w:tcBorders>
              <w:bottom w:val="single" w:sz="12" w:space="0" w:color="000000"/>
            </w:tcBorders>
            <w:vAlign w:val="bottom"/>
          </w:tcPr>
          <w:p w14:paraId="64D1E937"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Forestry</w:t>
            </w:r>
          </w:p>
        </w:tc>
        <w:tc>
          <w:tcPr>
            <w:tcW w:w="1241" w:type="dxa"/>
            <w:tcBorders>
              <w:bottom w:val="single" w:sz="12" w:space="0" w:color="000000"/>
            </w:tcBorders>
            <w:vAlign w:val="bottom"/>
          </w:tcPr>
          <w:p w14:paraId="63ECCB81" w14:textId="77777777" w:rsidR="00C308DD" w:rsidRPr="00261A77" w:rsidRDefault="00000000">
            <w:pPr>
              <w:rPr>
                <w:rFonts w:ascii="Arial" w:eastAsia="Times New Roman" w:hAnsi="Arial" w:cs="Arial"/>
                <w:color w:val="000000"/>
                <w:sz w:val="22"/>
                <w:lang w:eastAsia="fr-FR"/>
              </w:rPr>
            </w:pPr>
            <w:r w:rsidRPr="00261A77">
              <w:rPr>
                <w:rFonts w:ascii="Arial" w:eastAsia="Times New Roman" w:hAnsi="Arial" w:cs="Arial"/>
                <w:color w:val="000000"/>
                <w:sz w:val="22"/>
                <w:lang w:eastAsia="fr-FR"/>
              </w:rPr>
              <w:t>Tolerant forestry</w:t>
            </w:r>
          </w:p>
        </w:tc>
      </w:tr>
    </w:tbl>
    <w:p w14:paraId="7AB2EA53" w14:textId="77777777" w:rsidR="00C308DD" w:rsidRPr="00261A77" w:rsidRDefault="00000000">
      <w:r w:rsidRPr="00261A77">
        <w:rPr>
          <w:rFonts w:ascii="Arial" w:eastAsia="Times New Roman" w:hAnsi="Arial" w:cs="Arial"/>
          <w:color w:val="000000"/>
          <w:sz w:val="22"/>
          <w:lang w:val="en-GB" w:eastAsia="fr-FR"/>
        </w:rPr>
        <w:t xml:space="preserve">+ </w:t>
      </w:r>
      <w:r w:rsidRPr="00261A77">
        <w:rPr>
          <w:lang w:val="en-GB" w:eastAsia="fr-FR"/>
        </w:rPr>
        <w:t xml:space="preserve">= very low; </w:t>
      </w:r>
      <w:r w:rsidRPr="00261A77">
        <w:rPr>
          <w:rFonts w:ascii="Arial" w:eastAsia="Times New Roman" w:hAnsi="Arial" w:cs="Arial"/>
          <w:color w:val="000000"/>
          <w:sz w:val="22"/>
          <w:lang w:val="en-GB" w:eastAsia="fr-FR"/>
        </w:rPr>
        <w:t>++</w:t>
      </w:r>
      <w:r w:rsidRPr="00261A77">
        <w:rPr>
          <w:lang w:val="en-GB" w:eastAsia="fr-FR"/>
        </w:rPr>
        <w:t xml:space="preserve"> = low; </w:t>
      </w:r>
      <w:r w:rsidRPr="00261A77">
        <w:rPr>
          <w:rFonts w:ascii="Arial" w:eastAsia="Times New Roman" w:hAnsi="Arial" w:cs="Arial"/>
          <w:color w:val="000000"/>
          <w:sz w:val="22"/>
          <w:lang w:val="en-GB" w:eastAsia="fr-FR"/>
        </w:rPr>
        <w:t>+++</w:t>
      </w:r>
      <w:r w:rsidRPr="00261A77">
        <w:rPr>
          <w:lang w:val="en-GB" w:eastAsia="fr-FR"/>
        </w:rPr>
        <w:t xml:space="preserve"> = moderate; </w:t>
      </w:r>
      <w:r w:rsidRPr="00261A77">
        <w:rPr>
          <w:rFonts w:ascii="Arial" w:eastAsia="Times New Roman" w:hAnsi="Arial" w:cs="Arial"/>
          <w:color w:val="000000"/>
          <w:sz w:val="22"/>
          <w:lang w:val="en-GB" w:eastAsia="fr-FR"/>
        </w:rPr>
        <w:t>++++</w:t>
      </w:r>
      <w:r w:rsidRPr="00261A77">
        <w:rPr>
          <w:lang w:val="en-GB" w:eastAsia="fr-FR"/>
        </w:rPr>
        <w:t xml:space="preserve"> = high; </w:t>
      </w:r>
      <w:r w:rsidRPr="00261A77">
        <w:rPr>
          <w:rFonts w:ascii="Arial" w:eastAsia="Times New Roman" w:hAnsi="Arial" w:cs="Arial"/>
          <w:color w:val="000000"/>
          <w:sz w:val="22"/>
          <w:lang w:val="en-GB" w:eastAsia="fr-FR"/>
        </w:rPr>
        <w:t>+++++</w:t>
      </w:r>
      <w:r w:rsidRPr="00261A77">
        <w:rPr>
          <w:lang w:val="en-GB" w:eastAsia="fr-FR"/>
        </w:rPr>
        <w:t xml:space="preserve"> = very high. </w:t>
      </w:r>
    </w:p>
    <w:p w14:paraId="3CD46372" w14:textId="77777777" w:rsidR="00C308DD" w:rsidRPr="00261A77" w:rsidRDefault="00000000">
      <w:pPr>
        <w:pStyle w:val="Heading1"/>
        <w:spacing w:before="240" w:line="276" w:lineRule="auto"/>
        <w:rPr>
          <w:sz w:val="22"/>
          <w:szCs w:val="22"/>
          <w:lang w:val="en-GB"/>
        </w:rPr>
      </w:pPr>
      <w:r w:rsidRPr="00261A77">
        <w:rPr>
          <w:sz w:val="22"/>
          <w:szCs w:val="22"/>
          <w:lang w:val="en-GB"/>
        </w:rPr>
        <w:lastRenderedPageBreak/>
        <w:t>4. Discussion</w:t>
      </w:r>
    </w:p>
    <w:p w14:paraId="3AF7D878" w14:textId="77777777" w:rsidR="00C308DD" w:rsidRPr="00261A77" w:rsidRDefault="00000000">
      <w:pPr>
        <w:pStyle w:val="NormalWeb"/>
        <w:spacing w:line="276" w:lineRule="auto"/>
        <w:jc w:val="both"/>
      </w:pPr>
      <w:r w:rsidRPr="00261A77">
        <w:rPr>
          <w:rFonts w:ascii="Arial" w:hAnsi="Arial" w:cs="Arial"/>
          <w:sz w:val="22"/>
          <w:lang w:val="en-GB"/>
        </w:rPr>
        <w:t>This study highlights a relatively high diversity of anuran amphibians in the agroecosystems of the village of Nebo, with 25 species belonging to eight families. This species richness suggests that tropical agricultural landscapes can contribute to the maintenance of amphibian communities when wet habitats and a certain degree of landscape heterogeneity are preserved. The predominance of the families Hyperoliidae, Phrynobatrachidae and Ptychadenidae is consistent with recent surveys carried out in West Africa, which have highlighted their high ecological plasticity and their ability to colonise anthropogenically modified habitats (Bell et al., 2025; Ernst et al., 2006; Ernst &amp; Rödel, 2005; Luedtke et al., 2023).</w:t>
      </w:r>
    </w:p>
    <w:p w14:paraId="51383515" w14:textId="77777777" w:rsidR="00C308DD" w:rsidRPr="00261A77" w:rsidRDefault="00000000">
      <w:pPr>
        <w:pStyle w:val="NormalWeb"/>
        <w:spacing w:line="276" w:lineRule="auto"/>
        <w:jc w:val="both"/>
      </w:pPr>
      <w:r w:rsidRPr="00261A77">
        <w:rPr>
          <w:rFonts w:ascii="Arial" w:hAnsi="Arial" w:cs="Arial"/>
          <w:sz w:val="22"/>
          <w:lang w:val="en-GB"/>
        </w:rPr>
        <w:t>The differences observed between agroecosystems reflect the effect of land-use patterns on community structure. The rice field exhibited the highest values for species richness, diversity and abundance, suggesting its role as an alternative habitat for many anuran species due to the availability of water, high biological productivity and an abundance of breeding sites. Similar results have been reported in several tropical agroecosystems (Kanga et al., 2021; Mohneke et al., 2010; Oussou et al., 2022). The oil palm plantation also maintained relatively high diversity where ditches, temporary pools and semi-natural features persisted, although this habitat remained less favourable to specialist forest species (Kwatrina et al., 2018). Conversely, the cocoa plantation and, particularly, the rubber plantation exhibited lower species richness, probably due to the scarcity of aquatic habitats necessary for the reproduction of anurans, as well as the intensification of agricultural practices. Several recent studies have shown that habitat simplification, drainage and the use of agricultural inputs reduce amphibian diversity in cultivated landscapes (Bell et al., 2025; Newbold et al., 2015; Nowakowski et al., 2017).</w:t>
      </w:r>
    </w:p>
    <w:p w14:paraId="74593706" w14:textId="77777777" w:rsidR="00C308DD" w:rsidRPr="00261A77" w:rsidRDefault="00000000">
      <w:pPr>
        <w:pStyle w:val="NormalWeb"/>
        <w:spacing w:line="276" w:lineRule="auto"/>
        <w:jc w:val="both"/>
      </w:pPr>
      <w:r w:rsidRPr="00261A77">
        <w:rPr>
          <w:rFonts w:ascii="Arial" w:hAnsi="Arial" w:cs="Arial"/>
          <w:sz w:val="22"/>
          <w:lang w:val="en-GB"/>
        </w:rPr>
        <w:t>The Shannon and Simpson indices and Pielou’s evenness index indicate that differences between agroecosystems are primarily linked to species richness rather than to the dominance of a small number of taxa. These results are consistent with the findings of Newbold et al. (2015), who reported that diversity patterns in moderately disturbed assemblages were influenced by species richness.</w:t>
      </w:r>
    </w:p>
    <w:p w14:paraId="1DA0DD90" w14:textId="77777777" w:rsidR="00C308DD" w:rsidRPr="00261A77" w:rsidRDefault="00000000">
      <w:pPr>
        <w:pStyle w:val="NormalWeb"/>
        <w:spacing w:line="276" w:lineRule="auto"/>
        <w:jc w:val="both"/>
      </w:pPr>
      <w:r w:rsidRPr="00261A77">
        <w:rPr>
          <w:rFonts w:ascii="Arial" w:hAnsi="Arial" w:cs="Arial"/>
          <w:sz w:val="22"/>
          <w:lang w:val="en-GB"/>
        </w:rPr>
        <w:t xml:space="preserve">The occurrence of </w:t>
      </w:r>
      <w:r w:rsidRPr="00261A77">
        <w:rPr>
          <w:rFonts w:ascii="Arial" w:hAnsi="Arial" w:cs="Arial"/>
          <w:i/>
          <w:sz w:val="22"/>
          <w:lang w:val="en-GB"/>
        </w:rPr>
        <w:t>Amnirana albolabris</w:t>
      </w:r>
      <w:r w:rsidRPr="00261A77">
        <w:rPr>
          <w:rFonts w:ascii="Arial" w:hAnsi="Arial" w:cs="Arial"/>
          <w:sz w:val="22"/>
          <w:lang w:val="en-GB"/>
        </w:rPr>
        <w:t xml:space="preserve">, </w:t>
      </w:r>
      <w:r w:rsidRPr="00261A77">
        <w:rPr>
          <w:rFonts w:ascii="Arial" w:hAnsi="Arial" w:cs="Arial"/>
          <w:i/>
          <w:sz w:val="22"/>
          <w:lang w:val="en-GB"/>
        </w:rPr>
        <w:t>Hyperolius concolor</w:t>
      </w:r>
      <w:r w:rsidRPr="00261A77">
        <w:rPr>
          <w:rFonts w:ascii="Arial" w:hAnsi="Arial" w:cs="Arial"/>
          <w:sz w:val="22"/>
          <w:lang w:val="en-GB"/>
        </w:rPr>
        <w:t xml:space="preserve"> and </w:t>
      </w:r>
      <w:r w:rsidRPr="00261A77">
        <w:rPr>
          <w:rFonts w:ascii="Arial" w:hAnsi="Arial" w:cs="Arial"/>
          <w:i/>
          <w:sz w:val="22"/>
          <w:lang w:val="en-GB"/>
        </w:rPr>
        <w:t>Leptopelis viridis</w:t>
      </w:r>
      <w:r w:rsidRPr="00261A77">
        <w:rPr>
          <w:rFonts w:ascii="Arial" w:hAnsi="Arial" w:cs="Arial"/>
          <w:sz w:val="22"/>
          <w:lang w:val="en-GB"/>
        </w:rPr>
        <w:t xml:space="preserve"> in all four agroecosystems suggests broad ecological tolerance, whilst species found exclusively in the rice field or cocoa plantation may have more specific ecological requirements. This complementarity between habitats suggests that the heterogeneity of agricultural landscapes promotes the maintenance of regional diversity (Tscharntke et al., 2012). Similarly, the high abundance of </w:t>
      </w:r>
      <w:r w:rsidRPr="00261A77">
        <w:rPr>
          <w:rFonts w:ascii="Arial" w:hAnsi="Arial" w:cs="Arial"/>
          <w:i/>
          <w:sz w:val="22"/>
          <w:lang w:val="en-GB"/>
        </w:rPr>
        <w:t>Hoplobatrachus occipitalis</w:t>
      </w:r>
      <w:r w:rsidRPr="00261A77">
        <w:rPr>
          <w:rFonts w:ascii="Arial" w:hAnsi="Arial" w:cs="Arial"/>
          <w:sz w:val="22"/>
          <w:lang w:val="en-GB"/>
        </w:rPr>
        <w:t xml:space="preserve"> and </w:t>
      </w:r>
      <w:r w:rsidRPr="00261A77">
        <w:rPr>
          <w:rFonts w:ascii="Arial" w:hAnsi="Arial" w:cs="Arial"/>
          <w:i/>
          <w:sz w:val="22"/>
          <w:lang w:val="en-GB"/>
        </w:rPr>
        <w:t>Leptopelis viridis</w:t>
      </w:r>
      <w:r w:rsidRPr="00261A77">
        <w:rPr>
          <w:rFonts w:ascii="Arial" w:hAnsi="Arial" w:cs="Arial"/>
          <w:sz w:val="22"/>
          <w:lang w:val="en-GB"/>
        </w:rPr>
        <w:t xml:space="preserve"> may reflect their capacity to use wet agricultural environments, a trend also reported in recent assessments of their ecology and conservation status (IUCN, 2023; Luedtke et al., 2023).</w:t>
      </w:r>
    </w:p>
    <w:p w14:paraId="3F60A4DF" w14:textId="77777777" w:rsidR="00C308DD" w:rsidRPr="00261A77" w:rsidRDefault="00000000">
      <w:pPr>
        <w:pStyle w:val="NormalWeb"/>
        <w:spacing w:line="276" w:lineRule="auto"/>
        <w:jc w:val="both"/>
      </w:pPr>
      <w:r w:rsidRPr="00261A77">
        <w:rPr>
          <w:rFonts w:ascii="Arial" w:hAnsi="Arial" w:cs="Arial"/>
          <w:sz w:val="22"/>
          <w:lang w:val="en-GB"/>
        </w:rPr>
        <w:t xml:space="preserve">Furthermore, the strong similarity between the communities found in the rice field and oil palm plantation, as well as the relationships observed between species and environmental variables, suggests that water availability, humidity and vegetation cover are important factors shaping anuran assemblages. These results support the concept of an environmental filter and highlight the importance of conserving a mosaic of agricultural landscapes </w:t>
      </w:r>
      <w:r w:rsidRPr="00261A77">
        <w:rPr>
          <w:rFonts w:ascii="Arial" w:hAnsi="Arial" w:cs="Arial"/>
          <w:sz w:val="22"/>
          <w:lang w:val="en-GB"/>
        </w:rPr>
        <w:lastRenderedPageBreak/>
        <w:t>incorporating wetlands, vegetated corridors and semi-natural habitats to preserve amphibian diversity in West African agroecosystems (Bell et al., 2025).</w:t>
      </w:r>
    </w:p>
    <w:p w14:paraId="79A1C464" w14:textId="77777777" w:rsidR="00C308DD" w:rsidRPr="00261A77" w:rsidRDefault="00000000">
      <w:pPr>
        <w:pStyle w:val="Heading1"/>
        <w:spacing w:line="276" w:lineRule="auto"/>
        <w:rPr>
          <w:sz w:val="22"/>
          <w:szCs w:val="22"/>
          <w:shd w:val="clear" w:color="auto" w:fill="FFFFFF"/>
          <w:lang w:val="en-GB"/>
        </w:rPr>
      </w:pPr>
      <w:r w:rsidRPr="00261A77">
        <w:rPr>
          <w:sz w:val="22"/>
          <w:szCs w:val="22"/>
          <w:shd w:val="clear" w:color="auto" w:fill="FFFFFF"/>
          <w:lang w:val="en-GB"/>
        </w:rPr>
        <w:t>Conclusion</w:t>
      </w:r>
    </w:p>
    <w:p w14:paraId="72D54F43" w14:textId="77777777" w:rsidR="00CA1794" w:rsidRDefault="00CA1794" w:rsidP="00CA1794">
      <w:pPr>
        <w:pStyle w:val="pdq2pgselectionanchorcontainer"/>
      </w:pPr>
      <w:r>
        <w:t xml:space="preserve">This study documented 1,030 anuran individuals representing 25 species, 10 genera and eight families across four agroecosystems in Nebo. Community composition, richness and abundance differed among land-use types. The rice field and oil palm plantation supported the highest species richness and abundance, whereas the cocoa and rubber plantations contained fewer species. The occurrence of </w:t>
      </w:r>
      <w:r>
        <w:rPr>
          <w:rStyle w:val="Emphasis"/>
        </w:rPr>
        <w:t>Amnirana albolabris</w:t>
      </w:r>
      <w:r>
        <w:t xml:space="preserve">, </w:t>
      </w:r>
      <w:r>
        <w:rPr>
          <w:rStyle w:val="Emphasis"/>
        </w:rPr>
        <w:t>Hyperolius concolor</w:t>
      </w:r>
      <w:r>
        <w:t xml:space="preserve"> and </w:t>
      </w:r>
      <w:r>
        <w:rPr>
          <w:rStyle w:val="Emphasis"/>
        </w:rPr>
        <w:t>Leptopelis viridis</w:t>
      </w:r>
      <w:r>
        <w:t xml:space="preserve"> in every agroecosystem indicates that these species can use a broad range of agricultural habitats, while habitat-restricted records suggest that other species have narrower ecological requirements. Water availability, relative humidity and vegetation cover were associated with the observed distribution patterns, and the close similarity between rice-field and oil-palm communities further reflects the importance of accessible breeding habitats. Overall, the findings show that agricultural landscapes are not ecologically uniform and that their value for anurans depends on local habitat characteristics. Conserving wetlands, maintaining vegetated corridors and retaining patches of natural vegetation within the agricultural mosaic may support amphibian diversity while recognising the more limited assemblages recorded in intensively modified habitats.</w:t>
      </w:r>
    </w:p>
    <w:p w14:paraId="4BC8D963" w14:textId="02D2E997" w:rsidR="00501AAB" w:rsidRPr="00501AAB" w:rsidRDefault="00501AAB" w:rsidP="00CA1794">
      <w:pPr>
        <w:pStyle w:val="pdq2pgselectionanchorcontainer"/>
        <w:rPr>
          <w:b/>
          <w:bCs/>
        </w:rPr>
      </w:pPr>
      <w:r w:rsidRPr="00501AAB">
        <w:rPr>
          <w:b/>
          <w:bCs/>
          <w:lang w:val="fr-FR"/>
        </w:rPr>
        <w:t xml:space="preserve">Limitation </w:t>
      </w:r>
    </w:p>
    <w:p w14:paraId="5B5C547F" w14:textId="77777777" w:rsidR="00501AAB" w:rsidRPr="00501AAB" w:rsidRDefault="00501AAB" w:rsidP="00501AAB">
      <w:pPr>
        <w:pStyle w:val="pdq2pgselectionanchorcontainer"/>
      </w:pPr>
      <w:r w:rsidRPr="00501AAB">
        <w:t>The study was confined to four agroecosystem types in one village and was conducted only during the rainy season from April to September 2025. Consequently, seasonal variation and conditions in other agricultural landscapes were not assessed. The absence of a natural-forest reference habitat limits direct comparison between agroecosystems and less-disturbed environments. In addition, several environmental characteristics were expressed using qualitative scores, which restricts quantitative assessment of their relationships with species distribution. These factors should be considered when interpreting and generalising the findings.</w:t>
      </w:r>
    </w:p>
    <w:p w14:paraId="3F274F80" w14:textId="77777777" w:rsidR="00501AAB" w:rsidRDefault="00501AAB" w:rsidP="00CA1794">
      <w:pPr>
        <w:pStyle w:val="pdq2pgselectionanchorcontainer"/>
      </w:pPr>
    </w:p>
    <w:p w14:paraId="17102060" w14:textId="77777777" w:rsidR="00C308DD" w:rsidRPr="00CA1794" w:rsidRDefault="00C308DD">
      <w:pPr>
        <w:spacing w:after="15"/>
        <w:ind w:left="-5"/>
        <w:rPr>
          <w:rFonts w:ascii="Arial" w:hAnsi="Arial" w:cs="Arial"/>
          <w:bCs/>
          <w:iCs/>
          <w:color w:val="000000"/>
          <w:sz w:val="22"/>
          <w:shd w:val="clear" w:color="auto" w:fill="FFFFFF"/>
          <w:lang w:val="en-US"/>
        </w:rPr>
      </w:pPr>
    </w:p>
    <w:p w14:paraId="60B6CCD4" w14:textId="77777777" w:rsidR="00C308DD" w:rsidRPr="00261A77" w:rsidRDefault="00000000">
      <w:pPr>
        <w:spacing w:after="15"/>
        <w:ind w:left="-5"/>
        <w:rPr>
          <w:rFonts w:ascii="Arial" w:hAnsi="Arial" w:cs="Arial"/>
          <w:b/>
          <w:iCs/>
          <w:color w:val="000000"/>
          <w:sz w:val="22"/>
          <w:shd w:val="clear" w:color="auto" w:fill="FFFFFF"/>
          <w:lang w:val="en-GB"/>
        </w:rPr>
      </w:pPr>
      <w:r w:rsidRPr="00261A77">
        <w:rPr>
          <w:rFonts w:ascii="Arial" w:hAnsi="Arial" w:cs="Arial"/>
          <w:b/>
          <w:iCs/>
          <w:color w:val="000000"/>
          <w:sz w:val="22"/>
          <w:shd w:val="clear" w:color="auto" w:fill="FFFFFF"/>
          <w:lang w:val="en-GB"/>
        </w:rPr>
        <w:t xml:space="preserve">Ethical Approval </w:t>
      </w:r>
    </w:p>
    <w:p w14:paraId="5FDCC591" w14:textId="77777777" w:rsidR="00C308DD" w:rsidRPr="00261A77" w:rsidRDefault="00000000">
      <w:pPr>
        <w:spacing w:after="15"/>
        <w:ind w:left="-5"/>
      </w:pPr>
      <w:r w:rsidRPr="00261A77">
        <w:rPr>
          <w:rFonts w:ascii="Arial" w:hAnsi="Arial" w:cs="Arial"/>
          <w:bCs/>
          <w:iCs/>
          <w:color w:val="000000"/>
          <w:sz w:val="22"/>
          <w:shd w:val="clear" w:color="auto" w:fill="FFFFFF"/>
          <w:lang w:val="en-GB"/>
        </w:rPr>
        <w:t>This study was approved by the Institutional Committee in charge of animal ethics at Peleforo Gon Coulibaly University, in Côte d’Ivoire.</w:t>
      </w:r>
    </w:p>
    <w:p w14:paraId="339442BD" w14:textId="77777777" w:rsidR="00C308DD" w:rsidRPr="00261A77" w:rsidRDefault="00C308DD">
      <w:pPr>
        <w:spacing w:after="15"/>
        <w:ind w:left="-5"/>
        <w:rPr>
          <w:rFonts w:ascii="Arial" w:hAnsi="Arial" w:cs="Arial"/>
          <w:bCs/>
          <w:iCs/>
          <w:color w:val="000000"/>
          <w:sz w:val="22"/>
          <w:shd w:val="clear" w:color="auto" w:fill="FFFFFF"/>
          <w:lang w:val="en-GB"/>
        </w:rPr>
      </w:pPr>
    </w:p>
    <w:p w14:paraId="59D11830" w14:textId="77777777" w:rsidR="00C308DD" w:rsidRPr="00261A77" w:rsidRDefault="00000000">
      <w:pPr>
        <w:spacing w:after="160" w:line="257" w:lineRule="auto"/>
        <w:rPr>
          <w:rFonts w:ascii="Arial" w:hAnsi="Arial" w:cs="Arial"/>
          <w:lang w:val="en-IN"/>
        </w:rPr>
      </w:pPr>
      <w:r w:rsidRPr="00261A77">
        <w:rPr>
          <w:rFonts w:ascii="Arial" w:hAnsi="Arial" w:cs="Arial"/>
          <w:lang w:val="en-IN"/>
        </w:rPr>
        <w:t>Declaration of AI Use</w:t>
      </w:r>
    </w:p>
    <w:p w14:paraId="4599C6E0" w14:textId="77777777" w:rsidR="00C308DD" w:rsidRPr="00261A77" w:rsidRDefault="00000000">
      <w:pPr>
        <w:pStyle w:val="NoSpacing"/>
        <w:rPr>
          <w:rFonts w:ascii="Arial" w:hAnsi="Arial" w:cs="Arial"/>
          <w:lang w:val="en-GB"/>
        </w:rPr>
      </w:pPr>
      <w:r w:rsidRPr="00261A77">
        <w:rPr>
          <w:rFonts w:ascii="Arial" w:eastAsia="Calibri" w:hAnsi="Arial" w:cs="Arial"/>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6F4642" w14:textId="77777777" w:rsidR="00C308DD" w:rsidRPr="00261A77" w:rsidRDefault="00C308DD">
      <w:pPr>
        <w:spacing w:after="15"/>
        <w:ind w:left="-5"/>
        <w:rPr>
          <w:rFonts w:ascii="Arial" w:hAnsi="Arial" w:cs="Arial"/>
          <w:bCs/>
          <w:iCs/>
          <w:color w:val="000000"/>
          <w:sz w:val="22"/>
          <w:shd w:val="clear" w:color="auto" w:fill="FFFFFF"/>
          <w:lang w:val="en-GB"/>
        </w:rPr>
      </w:pPr>
    </w:p>
    <w:p w14:paraId="42E7255F" w14:textId="77777777" w:rsidR="00C308DD" w:rsidRPr="00261A77" w:rsidRDefault="00000000">
      <w:pPr>
        <w:pStyle w:val="Heading1"/>
        <w:spacing w:line="276" w:lineRule="auto"/>
        <w:rPr>
          <w:sz w:val="22"/>
          <w:szCs w:val="22"/>
          <w:lang w:val="en-GB"/>
        </w:rPr>
      </w:pPr>
      <w:r w:rsidRPr="00261A77">
        <w:rPr>
          <w:sz w:val="22"/>
          <w:szCs w:val="22"/>
          <w:lang w:val="en-GB"/>
        </w:rPr>
        <w:lastRenderedPageBreak/>
        <w:t xml:space="preserve">References </w:t>
      </w:r>
    </w:p>
    <w:p w14:paraId="38918DB8" w14:textId="77777777" w:rsidR="00C308DD" w:rsidRPr="00261A77" w:rsidRDefault="00C308DD">
      <w:pPr>
        <w:rPr>
          <w:rFonts w:cs="Arial"/>
          <w:sz w:val="22"/>
          <w:lang w:val="en-GB"/>
        </w:rPr>
      </w:pPr>
    </w:p>
    <w:p w14:paraId="42F6AE60" w14:textId="77777777" w:rsidR="00C308DD" w:rsidRPr="00261A77" w:rsidRDefault="00000000">
      <w:pPr>
        <w:spacing w:after="0" w:line="240" w:lineRule="auto"/>
        <w:ind w:left="720" w:hanging="720"/>
        <w:jc w:val="left"/>
        <w:rPr>
          <w:rFonts w:eastAsia="Times New Roman"/>
          <w:szCs w:val="24"/>
          <w:lang w:val="en-US"/>
        </w:rPr>
      </w:pPr>
      <w:r w:rsidRPr="00261A77">
        <w:t xml:space="preserve">Adhikary, A., &amp; Boro, A. R. (2022). An account of amphibian diversity and composition in three different habitat types in Baksa District, Assam, India. </w:t>
      </w:r>
      <w:r w:rsidRPr="00261A77">
        <w:rPr>
          <w:i/>
        </w:rPr>
        <w:t>Uttar Pradesh Journal of Zoology, 43</w:t>
      </w:r>
      <w:r w:rsidRPr="00261A77">
        <w:t>(3), 24–31. https://doi.org/10.56557/upjoz/2022/v43i32913</w:t>
      </w:r>
    </w:p>
    <w:p w14:paraId="0C8C6D3F"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Amanieu, M., &amp; Lasserre, G. (1982). Organisation et évolution des peuplements lagunaires. </w:t>
      </w:r>
      <w:r w:rsidRPr="00261A77">
        <w:rPr>
          <w:rFonts w:eastAsia="Times New Roman"/>
          <w:i/>
          <w:iCs/>
          <w:szCs w:val="24"/>
          <w:lang w:val="en-US"/>
        </w:rPr>
        <w:t>Oceanologica Acta, Special Issue</w:t>
      </w:r>
      <w:r w:rsidRPr="00261A77">
        <w:rPr>
          <w:rFonts w:eastAsia="Times New Roman"/>
          <w:szCs w:val="24"/>
          <w:lang w:val="en-US"/>
        </w:rPr>
        <w:t xml:space="preserve">, 201–213. </w:t>
      </w:r>
      <w:hyperlink r:id="rId14" w:tgtFrame="_new">
        <w:r w:rsidR="00C308DD" w:rsidRPr="00261A77">
          <w:rPr>
            <w:rStyle w:val="Hyperlink"/>
            <w:rFonts w:eastAsia="Times New Roman"/>
            <w:szCs w:val="24"/>
            <w:lang w:val="en-US"/>
          </w:rPr>
          <w:t>https://archimer.ifremer.fr/doc/00246/35752/</w:t>
        </w:r>
      </w:hyperlink>
      <w:r w:rsidRPr="00261A77">
        <w:rPr>
          <w:rFonts w:eastAsia="Times New Roman"/>
          <w:szCs w:val="24"/>
          <w:lang w:val="en-US"/>
        </w:rPr>
        <w:t xml:space="preserve"> </w:t>
      </w:r>
    </w:p>
    <w:p w14:paraId="0247D199"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ANSTAT. (2024). </w:t>
      </w:r>
      <w:r w:rsidRPr="00261A77">
        <w:rPr>
          <w:rFonts w:eastAsia="Times New Roman"/>
          <w:i/>
          <w:iCs/>
          <w:szCs w:val="24"/>
          <w:lang w:val="en-US"/>
        </w:rPr>
        <w:t>Administrative map of the Lôh-Djiboua Region</w:t>
      </w:r>
      <w:r w:rsidRPr="00261A77">
        <w:rPr>
          <w:rFonts w:eastAsia="Times New Roman"/>
          <w:szCs w:val="24"/>
          <w:lang w:val="en-US"/>
        </w:rPr>
        <w:t xml:space="preserve"> [Map]. Cartographic Innovation Center, National Institute of Statistics, Republic of Côte d’Ivoire. </w:t>
      </w:r>
    </w:p>
    <w:p w14:paraId="1840878B"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Assemian, N. E., Kouamé, N. G., Tohé, B., Gourène, G., &amp; Rödel, M.-O. (2006). The anurans of the Banco National Park, Côte d’Ivoire, a threatened West African rainforest. </w:t>
      </w:r>
      <w:r w:rsidRPr="00261A77">
        <w:rPr>
          <w:rFonts w:eastAsia="Times New Roman"/>
          <w:i/>
          <w:iCs/>
          <w:szCs w:val="24"/>
          <w:lang w:val="en-US"/>
        </w:rPr>
        <w:t>Salamandra, 42</w:t>
      </w:r>
      <w:r w:rsidRPr="00261A77">
        <w:rPr>
          <w:rFonts w:eastAsia="Times New Roman"/>
          <w:szCs w:val="24"/>
          <w:lang w:val="en-US"/>
        </w:rPr>
        <w:t xml:space="preserve">(1), 41–51. </w:t>
      </w:r>
    </w:p>
    <w:p w14:paraId="7E9C925F"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Baillie, J. E. M., Griffiths, J., Turvey, S. T., Loh, J., &amp; Collen, B. (2010). </w:t>
      </w:r>
      <w:r w:rsidRPr="00261A77">
        <w:rPr>
          <w:rFonts w:eastAsia="Times New Roman"/>
          <w:i/>
          <w:iCs/>
          <w:szCs w:val="24"/>
          <w:lang w:val="en-US"/>
        </w:rPr>
        <w:t>Evolution lost: Status and trends of the world’s vertebrates</w:t>
      </w:r>
      <w:r w:rsidRPr="00261A77">
        <w:rPr>
          <w:rFonts w:eastAsia="Times New Roman"/>
          <w:szCs w:val="24"/>
          <w:lang w:val="en-US"/>
        </w:rPr>
        <w:t xml:space="preserve">. Zoological Society of London. </w:t>
      </w:r>
      <w:hyperlink r:id="rId15" w:tgtFrame="_new">
        <w:r w:rsidR="00C308DD" w:rsidRPr="00261A77">
          <w:rPr>
            <w:rStyle w:val="Hyperlink"/>
            <w:rFonts w:eastAsia="Times New Roman"/>
            <w:szCs w:val="24"/>
            <w:lang w:val="en-US"/>
          </w:rPr>
          <w:t>https://portals.iucn.org/library/node/8523</w:t>
        </w:r>
      </w:hyperlink>
      <w:r w:rsidRPr="00261A77">
        <w:rPr>
          <w:rFonts w:eastAsia="Times New Roman"/>
          <w:szCs w:val="24"/>
          <w:lang w:val="en-US"/>
        </w:rPr>
        <w:t xml:space="preserve"> </w:t>
      </w:r>
    </w:p>
    <w:p w14:paraId="57A8442A"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Bell, R. C., Irian, C., McLaughlin, P. J., Thomas, K. N., Loew, E. R., &amp; Zamudio, K. R. (2025). Camouflage, conspicuousness, and inducible color change in a polymorphic, sexually dichromatic frog. </w:t>
      </w:r>
      <w:r w:rsidRPr="00261A77">
        <w:rPr>
          <w:rFonts w:eastAsia="Times New Roman"/>
          <w:i/>
          <w:iCs/>
          <w:szCs w:val="24"/>
          <w:lang w:val="en-US"/>
        </w:rPr>
        <w:t>Integrative Organismal Biology, 7</w:t>
      </w:r>
      <w:r w:rsidRPr="00261A77">
        <w:rPr>
          <w:rFonts w:eastAsia="Times New Roman"/>
          <w:szCs w:val="24"/>
          <w:lang w:val="en-US"/>
        </w:rPr>
        <w:t xml:space="preserve">(1), obaf028. </w:t>
      </w:r>
      <w:hyperlink r:id="rId16" w:tgtFrame="_new">
        <w:r w:rsidR="00C308DD" w:rsidRPr="00261A77">
          <w:rPr>
            <w:rStyle w:val="Hyperlink"/>
            <w:rFonts w:eastAsia="Times New Roman"/>
            <w:szCs w:val="24"/>
            <w:lang w:val="en-US"/>
          </w:rPr>
          <w:t>https://doi.org/10.1093/iob/obaf028</w:t>
        </w:r>
      </w:hyperlink>
      <w:r w:rsidRPr="00261A77">
        <w:rPr>
          <w:rFonts w:eastAsia="Times New Roman"/>
          <w:szCs w:val="24"/>
          <w:lang w:val="en-US"/>
        </w:rPr>
        <w:t xml:space="preserve"> </w:t>
      </w:r>
    </w:p>
    <w:p w14:paraId="6D4BF09F"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Boissinot, A., Besnard, A., &amp; Lourdais, O. (2019). Amphibian diversity in farmlands: Combined influences of breeding-site and landscape attributes in western France. </w:t>
      </w:r>
      <w:r w:rsidRPr="00261A77">
        <w:rPr>
          <w:rFonts w:eastAsia="Times New Roman"/>
          <w:i/>
          <w:iCs/>
          <w:szCs w:val="24"/>
          <w:lang w:val="en-US"/>
        </w:rPr>
        <w:t>Agriculture, Ecosystems &amp; Environment, 269</w:t>
      </w:r>
      <w:r w:rsidRPr="00261A77">
        <w:rPr>
          <w:rFonts w:eastAsia="Times New Roman"/>
          <w:szCs w:val="24"/>
          <w:lang w:val="en-US"/>
        </w:rPr>
        <w:t xml:space="preserve">, 51–61. https://doi.org/10.1016/j.agee.2018.09.016 </w:t>
      </w:r>
    </w:p>
    <w:p w14:paraId="155AFD26"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Brou, Y. T., Akindès, F., &amp; Bigot, S. (2005). </w:t>
      </w:r>
      <w:r w:rsidRPr="00261A77">
        <w:rPr>
          <w:rFonts w:eastAsia="Times New Roman"/>
          <w:szCs w:val="24"/>
          <w:lang w:val="es-US"/>
        </w:rPr>
        <w:t xml:space="preserve">La variabilité climatique en Côte d’Ivoire: Entre perceptions sociales et réponses agricoles. </w:t>
      </w:r>
      <w:r w:rsidRPr="00261A77">
        <w:rPr>
          <w:rFonts w:eastAsia="Times New Roman"/>
          <w:i/>
          <w:iCs/>
          <w:szCs w:val="24"/>
          <w:lang w:val="en-US"/>
        </w:rPr>
        <w:t>Cahiers Agricultures, 14</w:t>
      </w:r>
      <w:r w:rsidRPr="00261A77">
        <w:rPr>
          <w:rFonts w:eastAsia="Times New Roman"/>
          <w:szCs w:val="24"/>
          <w:lang w:val="en-US"/>
        </w:rPr>
        <w:t xml:space="preserve">(6), 533–540. </w:t>
      </w:r>
      <w:hyperlink r:id="rId17" w:tgtFrame="_new">
        <w:r w:rsidR="00C308DD" w:rsidRPr="00261A77">
          <w:rPr>
            <w:rStyle w:val="Hyperlink"/>
            <w:rFonts w:eastAsia="Times New Roman"/>
            <w:szCs w:val="24"/>
            <w:lang w:val="en-US"/>
          </w:rPr>
          <w:t>https://revues.cirad.fr/index.php/cahiers-agricultures/article/view/30548</w:t>
        </w:r>
      </w:hyperlink>
      <w:r w:rsidRPr="00261A77">
        <w:rPr>
          <w:rFonts w:eastAsia="Times New Roman"/>
          <w:szCs w:val="24"/>
          <w:lang w:val="en-US"/>
        </w:rPr>
        <w:t xml:space="preserve"> </w:t>
      </w:r>
    </w:p>
    <w:p w14:paraId="5EAE582B" w14:textId="77777777" w:rsidR="00C308DD" w:rsidRPr="00261A77" w:rsidRDefault="00000000">
      <w:pPr>
        <w:spacing w:after="0" w:line="240" w:lineRule="auto"/>
        <w:ind w:left="720" w:hanging="720"/>
        <w:jc w:val="left"/>
        <w:rPr>
          <w:rFonts w:eastAsia="Times New Roman"/>
          <w:szCs w:val="24"/>
          <w:lang w:val="en-US"/>
        </w:rPr>
      </w:pPr>
      <w:r w:rsidRPr="00261A77">
        <w:t xml:space="preserve">Cervantes-López, M. de J., &amp; Morante-Filho, J. C. (2024). A global meta-analysis on patterns of amphibian and reptile diversity in agroforestry systems. </w:t>
      </w:r>
      <w:r w:rsidRPr="00261A77">
        <w:rPr>
          <w:i/>
        </w:rPr>
        <w:t>Global Ecology and Conservation, 51</w:t>
      </w:r>
      <w:r w:rsidRPr="00261A77">
        <w:t>, e02914. https://doi.org/10.1016/j.gecco.2024.e02914</w:t>
      </w:r>
    </w:p>
    <w:p w14:paraId="617960C1"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Channing, A., &amp; Rödel, M.-O. (2019). </w:t>
      </w:r>
      <w:r w:rsidRPr="00261A77">
        <w:rPr>
          <w:rFonts w:eastAsia="Times New Roman"/>
          <w:i/>
          <w:iCs/>
          <w:szCs w:val="24"/>
          <w:lang w:val="en-US"/>
        </w:rPr>
        <w:t>Field guide to the frogs &amp; other amphibians of Africa</w:t>
      </w:r>
      <w:r w:rsidRPr="00261A77">
        <w:rPr>
          <w:rFonts w:eastAsia="Times New Roman"/>
          <w:szCs w:val="24"/>
          <w:lang w:val="en-US"/>
        </w:rPr>
        <w:t xml:space="preserve">. Struik Nature. </w:t>
      </w:r>
      <w:hyperlink r:id="rId18" w:tgtFrame="_new">
        <w:r w:rsidR="00C308DD" w:rsidRPr="00261A77">
          <w:rPr>
            <w:rStyle w:val="Hyperlink"/>
            <w:rFonts w:eastAsia="Times New Roman"/>
            <w:szCs w:val="24"/>
            <w:lang w:val="en-US"/>
          </w:rPr>
          <w:t>https://struiknature.co.za/product/fg-frogs-other-amphibians-of-africa/</w:t>
        </w:r>
      </w:hyperlink>
      <w:r w:rsidRPr="00261A77">
        <w:rPr>
          <w:rFonts w:eastAsia="Times New Roman"/>
          <w:szCs w:val="24"/>
          <w:lang w:val="en-US"/>
        </w:rPr>
        <w:t xml:space="preserve"> </w:t>
      </w:r>
    </w:p>
    <w:p w14:paraId="0881C4FA"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Chao, A., &amp; Shen, T.-J. (2003). Nonparametric estimation of Shannon’s index of diversity when there are unseen species in a sample. </w:t>
      </w:r>
      <w:r w:rsidRPr="00261A77">
        <w:rPr>
          <w:rFonts w:eastAsia="Times New Roman"/>
          <w:i/>
          <w:iCs/>
          <w:szCs w:val="24"/>
          <w:lang w:val="en-US"/>
        </w:rPr>
        <w:t>Environmental and Ecological Statistics, 10</w:t>
      </w:r>
      <w:r w:rsidRPr="00261A77">
        <w:rPr>
          <w:rFonts w:eastAsia="Times New Roman"/>
          <w:szCs w:val="24"/>
          <w:lang w:val="en-US"/>
        </w:rPr>
        <w:t xml:space="preserve">(4), 429–443. https://doi.org/10.1023/A:1026096204727 </w:t>
      </w:r>
    </w:p>
    <w:p w14:paraId="756E5DC5"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Colwell, R. K. (2013). </w:t>
      </w:r>
      <w:r w:rsidRPr="00261A77">
        <w:rPr>
          <w:rFonts w:eastAsia="Times New Roman"/>
          <w:i/>
          <w:iCs/>
          <w:szCs w:val="24"/>
          <w:lang w:val="en-US"/>
        </w:rPr>
        <w:t>EstimateS: Statistical estimation of species richness and shared species from samples</w:t>
      </w:r>
      <w:r w:rsidRPr="00261A77">
        <w:rPr>
          <w:rFonts w:eastAsia="Times New Roman"/>
          <w:szCs w:val="24"/>
          <w:lang w:val="en-US"/>
        </w:rPr>
        <w:t xml:space="preserve"> (Version 9.1.0) [Computer software]. University of Connecticut. </w:t>
      </w:r>
      <w:hyperlink r:id="rId19" w:tgtFrame="_new">
        <w:r w:rsidR="00C308DD" w:rsidRPr="00261A77">
          <w:rPr>
            <w:rStyle w:val="Hyperlink"/>
            <w:rFonts w:eastAsia="Times New Roman"/>
            <w:szCs w:val="24"/>
            <w:lang w:val="en-US"/>
          </w:rPr>
          <w:t>https://www.robertkcolwell.org/pages/estimates</w:t>
        </w:r>
      </w:hyperlink>
      <w:r w:rsidRPr="00261A77">
        <w:rPr>
          <w:rFonts w:eastAsia="Times New Roman"/>
          <w:szCs w:val="24"/>
          <w:lang w:val="en-US"/>
        </w:rPr>
        <w:t xml:space="preserve"> </w:t>
      </w:r>
    </w:p>
    <w:p w14:paraId="26103C30"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Dajoz, R. (2000). </w:t>
      </w:r>
      <w:r w:rsidRPr="00261A77">
        <w:rPr>
          <w:rFonts w:eastAsia="Times New Roman"/>
          <w:i/>
          <w:iCs/>
          <w:szCs w:val="24"/>
          <w:lang w:val="en-US"/>
        </w:rPr>
        <w:t>Précis d’écologie</w:t>
      </w:r>
      <w:r w:rsidRPr="00261A77">
        <w:rPr>
          <w:rFonts w:eastAsia="Times New Roman"/>
          <w:szCs w:val="24"/>
          <w:lang w:val="en-US"/>
        </w:rPr>
        <w:t xml:space="preserve"> (7th ed.). Dunod. </w:t>
      </w:r>
    </w:p>
    <w:p w14:paraId="57E1CD63"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Dodd, C. K., Jr. (Ed.). (2010). </w:t>
      </w:r>
      <w:r w:rsidRPr="00261A77">
        <w:rPr>
          <w:rFonts w:eastAsia="Times New Roman"/>
          <w:i/>
          <w:iCs/>
          <w:szCs w:val="24"/>
          <w:lang w:val="en-US"/>
        </w:rPr>
        <w:t>Amphibian ecology and conservation: A handbook of techniques</w:t>
      </w:r>
      <w:r w:rsidRPr="00261A77">
        <w:rPr>
          <w:rFonts w:eastAsia="Times New Roman"/>
          <w:szCs w:val="24"/>
          <w:lang w:val="en-US"/>
        </w:rPr>
        <w:t xml:space="preserve">. Oxford University Press. </w:t>
      </w:r>
      <w:hyperlink r:id="rId20" w:tgtFrame="_new">
        <w:r w:rsidR="00C308DD" w:rsidRPr="00261A77">
          <w:rPr>
            <w:rStyle w:val="Hyperlink"/>
            <w:rFonts w:eastAsia="Times New Roman"/>
            <w:szCs w:val="24"/>
            <w:lang w:val="en-US"/>
          </w:rPr>
          <w:t>https://doi.org/10.1093/oso/9780199541188.001.0001</w:t>
        </w:r>
      </w:hyperlink>
      <w:r w:rsidRPr="00261A77">
        <w:rPr>
          <w:rFonts w:eastAsia="Times New Roman"/>
          <w:szCs w:val="24"/>
          <w:lang w:val="en-US"/>
        </w:rPr>
        <w:t xml:space="preserve"> </w:t>
      </w:r>
    </w:p>
    <w:p w14:paraId="0C91218A"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Ernst, R., Linsenmair, K. E., &amp; Rödel, M.-O. (2006). Diversity erosion beyond the species level: Dramatic loss of functional diversity after selective logging in two tropical amphibian communities. </w:t>
      </w:r>
      <w:r w:rsidRPr="00261A77">
        <w:rPr>
          <w:rFonts w:eastAsia="Times New Roman"/>
          <w:i/>
          <w:iCs/>
          <w:szCs w:val="24"/>
          <w:lang w:val="en-US"/>
        </w:rPr>
        <w:t>Biological Conservation, 133</w:t>
      </w:r>
      <w:r w:rsidRPr="00261A77">
        <w:rPr>
          <w:rFonts w:eastAsia="Times New Roman"/>
          <w:szCs w:val="24"/>
          <w:lang w:val="en-US"/>
        </w:rPr>
        <w:t xml:space="preserve">(2), 143–155. https://doi.org/10.1016/j.biocon.2006.05.028 </w:t>
      </w:r>
    </w:p>
    <w:p w14:paraId="36C0650E"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lastRenderedPageBreak/>
        <w:t xml:space="preserve">Ernst, R., &amp; Rödel, M.-O. (2005). Anthropogenically induced changes of predictability in tropical anuran assemblages. </w:t>
      </w:r>
      <w:r w:rsidRPr="00261A77">
        <w:rPr>
          <w:rFonts w:eastAsia="Times New Roman"/>
          <w:i/>
          <w:iCs/>
          <w:szCs w:val="24"/>
          <w:lang w:val="en-US"/>
        </w:rPr>
        <w:t>Ecology, 86</w:t>
      </w:r>
      <w:r w:rsidRPr="00261A77">
        <w:rPr>
          <w:rFonts w:eastAsia="Times New Roman"/>
          <w:szCs w:val="24"/>
          <w:lang w:val="en-US"/>
        </w:rPr>
        <w:t xml:space="preserve">(11), 3111–3118. https://doi.org/10.1890/04-0800 </w:t>
      </w:r>
    </w:p>
    <w:p w14:paraId="0DF18D3A"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Frost, D. R. (2024). </w:t>
      </w:r>
      <w:r w:rsidRPr="00261A77">
        <w:rPr>
          <w:rFonts w:eastAsia="Times New Roman"/>
          <w:i/>
          <w:iCs/>
          <w:szCs w:val="24"/>
          <w:lang w:val="en-US"/>
        </w:rPr>
        <w:t>Amphibian species of the world: An online reference</w:t>
      </w:r>
      <w:r w:rsidRPr="00261A77">
        <w:rPr>
          <w:rFonts w:eastAsia="Times New Roman"/>
          <w:szCs w:val="24"/>
          <w:lang w:val="en-US"/>
        </w:rPr>
        <w:t xml:space="preserve"> (Version 6.2). American Museum of Natural History. </w:t>
      </w:r>
      <w:hyperlink r:id="rId21" w:tgtFrame="_new">
        <w:r w:rsidR="00C308DD" w:rsidRPr="00261A77">
          <w:rPr>
            <w:rStyle w:val="Hyperlink"/>
            <w:rFonts w:eastAsia="Times New Roman"/>
            <w:szCs w:val="24"/>
            <w:lang w:val="en-US"/>
          </w:rPr>
          <w:t>https://doi.org/10.5531/db.vz.0001</w:t>
        </w:r>
      </w:hyperlink>
      <w:r w:rsidRPr="00261A77">
        <w:rPr>
          <w:rFonts w:eastAsia="Times New Roman"/>
          <w:szCs w:val="24"/>
          <w:lang w:val="en-US"/>
        </w:rPr>
        <w:t xml:space="preserve"> </w:t>
      </w:r>
    </w:p>
    <w:p w14:paraId="06C393F6"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Heyer, W. R., Donnelly, M. A., McDiarmid, R. W., Hayek, L.-A. C., &amp; Foster, M. S. (Eds.). (1994). </w:t>
      </w:r>
      <w:r w:rsidRPr="00261A77">
        <w:rPr>
          <w:rFonts w:eastAsia="Times New Roman"/>
          <w:i/>
          <w:iCs/>
          <w:szCs w:val="24"/>
          <w:lang w:val="en-US"/>
        </w:rPr>
        <w:t>Measuring and monitoring biological diversity: Standard methods for amphibians</w:t>
      </w:r>
      <w:r w:rsidRPr="00261A77">
        <w:rPr>
          <w:rFonts w:eastAsia="Times New Roman"/>
          <w:szCs w:val="24"/>
          <w:lang w:val="en-US"/>
        </w:rPr>
        <w:t xml:space="preserve">. Smithsonian Institution Press. </w:t>
      </w:r>
      <w:hyperlink r:id="rId22" w:tgtFrame="_new">
        <w:r w:rsidR="00C308DD" w:rsidRPr="00261A77">
          <w:rPr>
            <w:rStyle w:val="Hyperlink"/>
            <w:rFonts w:eastAsia="Times New Roman"/>
            <w:szCs w:val="24"/>
            <w:lang w:val="en-US"/>
          </w:rPr>
          <w:t>https://pubs.usgs.gov/publication/5200175</w:t>
        </w:r>
      </w:hyperlink>
      <w:r w:rsidRPr="00261A77">
        <w:rPr>
          <w:rFonts w:eastAsia="Times New Roman"/>
          <w:szCs w:val="24"/>
          <w:lang w:val="en-US"/>
        </w:rPr>
        <w:t xml:space="preserve"> </w:t>
      </w:r>
    </w:p>
    <w:p w14:paraId="180FE616"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Hillers, A., Loua, N.-S., &amp; Rödel, M.-O. (2008). Assessment of the distribution and conservation status of the viviparous toad </w:t>
      </w:r>
      <w:r w:rsidRPr="00261A77">
        <w:rPr>
          <w:rFonts w:eastAsia="Times New Roman"/>
          <w:i/>
          <w:iCs/>
          <w:szCs w:val="24"/>
          <w:lang w:val="en-US"/>
        </w:rPr>
        <w:t>Nimbaphrynoides occidentalis</w:t>
      </w:r>
      <w:r w:rsidRPr="00261A77">
        <w:rPr>
          <w:rFonts w:eastAsia="Times New Roman"/>
          <w:szCs w:val="24"/>
          <w:lang w:val="en-US"/>
        </w:rPr>
        <w:t xml:space="preserve"> on Monts Nimba, Guinea. </w:t>
      </w:r>
      <w:r w:rsidRPr="00261A77">
        <w:rPr>
          <w:rFonts w:eastAsia="Times New Roman"/>
          <w:i/>
          <w:iCs/>
          <w:szCs w:val="24"/>
          <w:lang w:val="en-US"/>
        </w:rPr>
        <w:t>Endangered Species Research, 5</w:t>
      </w:r>
      <w:r w:rsidRPr="00261A77">
        <w:rPr>
          <w:rFonts w:eastAsia="Times New Roman"/>
          <w:szCs w:val="24"/>
          <w:lang w:val="en-US"/>
        </w:rPr>
        <w:t xml:space="preserve">(1), 13–19. https://doi.org/10.3354/esr00099 </w:t>
      </w:r>
    </w:p>
    <w:p w14:paraId="34FAA9CB" w14:textId="77777777" w:rsidR="00EA70B2" w:rsidRPr="00261A77" w:rsidRDefault="00000000">
      <w:pPr>
        <w:spacing w:after="0"/>
        <w:ind w:left="720" w:hanging="720"/>
      </w:pPr>
      <w:r w:rsidRPr="00261A77">
        <w:t xml:space="preserve">Houlahan, J. E., &amp; Findlay, C. S. (2003). The effects of adjacent land use on wetland amphibian species richness and community composition. </w:t>
      </w:r>
      <w:r w:rsidRPr="00261A77">
        <w:rPr>
          <w:i/>
        </w:rPr>
        <w:t>Canadian Journal of Fisheries and Aquatic Sciences, 60</w:t>
      </w:r>
      <w:r w:rsidRPr="00261A77">
        <w:t xml:space="preserve">(9), 1078–1094. </w:t>
      </w:r>
      <w:hyperlink r:id="rId23">
        <w:r w:rsidR="00EA70B2" w:rsidRPr="00261A77">
          <w:rPr>
            <w:color w:val="0563C1"/>
            <w:u w:val="single"/>
          </w:rPr>
          <w:t>https://doi.org/10.1139/f03-095</w:t>
        </w:r>
      </w:hyperlink>
    </w:p>
    <w:p w14:paraId="0F509562"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International Union for Conservation of Nature. (2023). </w:t>
      </w:r>
      <w:r w:rsidRPr="00261A77">
        <w:rPr>
          <w:rFonts w:eastAsia="Times New Roman"/>
          <w:i/>
          <w:iCs/>
          <w:szCs w:val="24"/>
          <w:lang w:val="en-US"/>
        </w:rPr>
        <w:t>The IUCN Red List of Threatened Species</w:t>
      </w:r>
      <w:r w:rsidRPr="00261A77">
        <w:rPr>
          <w:rFonts w:eastAsia="Times New Roman"/>
          <w:szCs w:val="24"/>
          <w:lang w:val="en-US"/>
        </w:rPr>
        <w:t xml:space="preserve"> (Version 2023-1). </w:t>
      </w:r>
      <w:hyperlink r:id="rId24" w:tgtFrame="_new">
        <w:r w:rsidR="00C308DD" w:rsidRPr="00261A77">
          <w:rPr>
            <w:rStyle w:val="Hyperlink"/>
            <w:rFonts w:eastAsia="Times New Roman"/>
            <w:szCs w:val="24"/>
            <w:lang w:val="en-US"/>
          </w:rPr>
          <w:t>https://www.iucnredlist.org</w:t>
        </w:r>
      </w:hyperlink>
      <w:r w:rsidRPr="00261A77">
        <w:rPr>
          <w:rFonts w:eastAsia="Times New Roman"/>
          <w:szCs w:val="24"/>
          <w:lang w:val="en-US"/>
        </w:rPr>
        <w:t xml:space="preserve"> </w:t>
      </w:r>
    </w:p>
    <w:p w14:paraId="217F92C4"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Jagoret, P., Kwesseu, J., Messie, C., Michel-Dounias, I., &amp; Malézieux, E. (2014). Farmers’ assessment of the use value of agrobiodiversity in complex cocoa agroforestry systems in central Cameroon. </w:t>
      </w:r>
      <w:r w:rsidRPr="00261A77">
        <w:rPr>
          <w:rFonts w:eastAsia="Times New Roman"/>
          <w:i/>
          <w:iCs/>
          <w:szCs w:val="24"/>
          <w:lang w:val="en-US"/>
        </w:rPr>
        <w:t>Agroforestry Systems, 88</w:t>
      </w:r>
      <w:r w:rsidRPr="00261A77">
        <w:rPr>
          <w:rFonts w:eastAsia="Times New Roman"/>
          <w:szCs w:val="24"/>
          <w:lang w:val="en-US"/>
        </w:rPr>
        <w:t xml:space="preserve">(6), 983–1000. </w:t>
      </w:r>
      <w:hyperlink r:id="rId25" w:tgtFrame="_new">
        <w:r w:rsidR="00C308DD" w:rsidRPr="00261A77">
          <w:rPr>
            <w:rStyle w:val="Hyperlink"/>
            <w:rFonts w:eastAsia="Times New Roman"/>
            <w:szCs w:val="24"/>
            <w:lang w:val="en-US"/>
          </w:rPr>
          <w:t>https://doi.org/10.1007/s10457-014-9698-1</w:t>
        </w:r>
      </w:hyperlink>
      <w:r w:rsidRPr="00261A77">
        <w:rPr>
          <w:rFonts w:eastAsia="Times New Roman"/>
          <w:szCs w:val="24"/>
          <w:lang w:val="en-US"/>
        </w:rPr>
        <w:t xml:space="preserve"> </w:t>
      </w:r>
    </w:p>
    <w:p w14:paraId="362E2B97"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Kanga, K. P., Kouamé, N. G., Zogbassé, P., Gongomin, B. A. I., Agoh, K. L., Kouamé, A. M., Konan, J. C. B. Y. N., Adepo-Gourène, A. B., Gourène, G., &amp; Rödel, M.-O. (2021). Amphibian diversity of a West African biodiversity hotspot: An assessment and commented checklist of the batrachofauna of the Ivorian part of the Nimba Mountains. </w:t>
      </w:r>
      <w:r w:rsidRPr="00261A77">
        <w:rPr>
          <w:rFonts w:eastAsia="Times New Roman"/>
          <w:i/>
          <w:iCs/>
          <w:szCs w:val="24"/>
          <w:lang w:val="en-US"/>
        </w:rPr>
        <w:t>Amphibian &amp; Reptile Conservation, 15</w:t>
      </w:r>
      <w:r w:rsidRPr="00261A77">
        <w:rPr>
          <w:rFonts w:eastAsia="Times New Roman"/>
          <w:szCs w:val="24"/>
          <w:lang w:val="en-US"/>
        </w:rPr>
        <w:t xml:space="preserve">(1), 71–107 (e275). </w:t>
      </w:r>
      <w:hyperlink r:id="rId26" w:tgtFrame="_new">
        <w:r w:rsidR="00C308DD" w:rsidRPr="00261A77">
          <w:rPr>
            <w:rStyle w:val="Hyperlink"/>
            <w:rFonts w:eastAsia="Times New Roman"/>
            <w:szCs w:val="24"/>
            <w:lang w:val="en-US"/>
          </w:rPr>
          <w:t>https://www.biodiversitylibrary.org/part/383270</w:t>
        </w:r>
      </w:hyperlink>
      <w:r w:rsidRPr="00261A77">
        <w:rPr>
          <w:rFonts w:eastAsia="Times New Roman"/>
          <w:szCs w:val="24"/>
          <w:lang w:val="en-US"/>
        </w:rPr>
        <w:t xml:space="preserve"> </w:t>
      </w:r>
    </w:p>
    <w:p w14:paraId="244B1726"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Knutson, M. G., Sauer, J. R., Olsen, D. A., Mossman, M. J., Hemesath, L. M., &amp; Lannoo, M. J. (1999). Effects of landscape composition and wetland fragmentation on frog and toad abundance and species richness in Iowa and Wisconsin, USA. </w:t>
      </w:r>
      <w:r w:rsidRPr="00261A77">
        <w:rPr>
          <w:rFonts w:eastAsia="Times New Roman"/>
          <w:i/>
          <w:iCs/>
          <w:szCs w:val="24"/>
          <w:lang w:val="en-US"/>
        </w:rPr>
        <w:t>Conservation Biology, 13</w:t>
      </w:r>
      <w:r w:rsidRPr="00261A77">
        <w:rPr>
          <w:rFonts w:eastAsia="Times New Roman"/>
          <w:szCs w:val="24"/>
          <w:lang w:val="en-US"/>
        </w:rPr>
        <w:t xml:space="preserve">(6), 1437–1446. https://doi.org/10.1046/j.1523-1739.1999.98445.x </w:t>
      </w:r>
    </w:p>
    <w:p w14:paraId="6FC3D7BB"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Köhler, J., Jansen, M., Rodríguez, A., Kok, P. J. R., Toledo, L. F., Emmrich, M., Glaw, F., Haddad, C. F. B., Rödel, M.-O., &amp; Vences, M. (2017). The use of bioacoustics in anuran taxonomy: Theory, terminology, methods and recommendations for best practice. </w:t>
      </w:r>
      <w:r w:rsidRPr="00261A77">
        <w:rPr>
          <w:rFonts w:eastAsia="Times New Roman"/>
          <w:i/>
          <w:iCs/>
          <w:szCs w:val="24"/>
          <w:lang w:val="en-US"/>
        </w:rPr>
        <w:t>Zootaxa, 4251</w:t>
      </w:r>
      <w:r w:rsidRPr="00261A77">
        <w:rPr>
          <w:rFonts w:eastAsia="Times New Roman"/>
          <w:szCs w:val="24"/>
          <w:lang w:val="en-US"/>
        </w:rPr>
        <w:t xml:space="preserve">(1), 1–124. https://doi.org/10.11646/zootaxa.4251.1.1 </w:t>
      </w:r>
    </w:p>
    <w:p w14:paraId="47381359" w14:textId="77777777" w:rsidR="00C308DD" w:rsidRPr="00314606" w:rsidRDefault="00000000">
      <w:pPr>
        <w:spacing w:after="0" w:line="240" w:lineRule="auto"/>
        <w:ind w:left="720" w:hanging="720"/>
        <w:jc w:val="left"/>
        <w:rPr>
          <w:rFonts w:eastAsia="Times New Roman"/>
          <w:szCs w:val="24"/>
          <w:lang w:val="es-US"/>
        </w:rPr>
      </w:pPr>
      <w:r w:rsidRPr="00261A77">
        <w:rPr>
          <w:rFonts w:eastAsia="Times New Roman"/>
          <w:szCs w:val="24"/>
          <w:lang w:val="en-US"/>
        </w:rPr>
        <w:t xml:space="preserve">Kouamé, N. G., Tohé, B., Assemian, N. E., Gourène, G., &amp; Rödel, M.-O. (2007). Prey composition of </w:t>
      </w:r>
      <w:r w:rsidRPr="00261A77">
        <w:rPr>
          <w:rFonts w:eastAsia="Times New Roman"/>
          <w:i/>
          <w:iCs/>
          <w:szCs w:val="24"/>
          <w:lang w:val="en-US"/>
        </w:rPr>
        <w:t>Huia tropicalis</w:t>
      </w:r>
      <w:r w:rsidRPr="00261A77">
        <w:rPr>
          <w:rFonts w:eastAsia="Times New Roman"/>
          <w:szCs w:val="24"/>
          <w:lang w:val="en-US"/>
        </w:rPr>
        <w:t xml:space="preserve"> (Amphibia: Anura: Ranidae) in fragmented forests of western Ivory Coast. </w:t>
      </w:r>
      <w:r w:rsidRPr="00314606">
        <w:rPr>
          <w:rFonts w:eastAsia="Times New Roman"/>
          <w:i/>
          <w:iCs/>
          <w:szCs w:val="24"/>
          <w:lang w:val="es-US"/>
        </w:rPr>
        <w:t>Salamandra, 43</w:t>
      </w:r>
      <w:r w:rsidRPr="00314606">
        <w:rPr>
          <w:rFonts w:eastAsia="Times New Roman"/>
          <w:szCs w:val="24"/>
          <w:lang w:val="es-US"/>
        </w:rPr>
        <w:t xml:space="preserve">(4), 223–231. </w:t>
      </w:r>
    </w:p>
    <w:p w14:paraId="4D4B2542" w14:textId="77777777" w:rsidR="00C308DD" w:rsidRPr="00314606" w:rsidRDefault="00000000">
      <w:pPr>
        <w:spacing w:after="0" w:line="240" w:lineRule="auto"/>
        <w:ind w:left="720" w:hanging="720"/>
        <w:jc w:val="left"/>
        <w:rPr>
          <w:rFonts w:eastAsia="Times New Roman"/>
          <w:szCs w:val="24"/>
          <w:lang w:val="es-US"/>
        </w:rPr>
      </w:pPr>
      <w:r w:rsidRPr="00261A77">
        <w:rPr>
          <w:rFonts w:eastAsia="Times New Roman"/>
          <w:szCs w:val="24"/>
          <w:lang w:val="es-US"/>
        </w:rPr>
        <w:t xml:space="preserve">Kwatrina, R. T., Santosa, Y., Bismark, M., &amp; Santoso, N. (2018). </w:t>
      </w:r>
      <w:r w:rsidRPr="00261A77">
        <w:rPr>
          <w:rFonts w:eastAsia="Times New Roman"/>
          <w:szCs w:val="24"/>
          <w:lang w:val="en-US"/>
        </w:rPr>
        <w:t xml:space="preserve">The impacts of oil palm plantation establishment on the habitat type, species diversity, and feeding guild of mammals and herpetofauna. </w:t>
      </w:r>
      <w:r w:rsidRPr="00314606">
        <w:rPr>
          <w:rFonts w:eastAsia="Times New Roman"/>
          <w:i/>
          <w:iCs/>
          <w:szCs w:val="24"/>
          <w:lang w:val="es-US"/>
        </w:rPr>
        <w:t>Biodiversitas, 19</w:t>
      </w:r>
      <w:r w:rsidRPr="00314606">
        <w:rPr>
          <w:rFonts w:eastAsia="Times New Roman"/>
          <w:szCs w:val="24"/>
          <w:lang w:val="es-US"/>
        </w:rPr>
        <w:t xml:space="preserve">(4), 1213–1219. https://doi.org/10.13057/biodiv/d190405 </w:t>
      </w:r>
    </w:p>
    <w:p w14:paraId="56E12C58" w14:textId="77777777" w:rsidR="00C308DD" w:rsidRPr="00314606" w:rsidRDefault="00000000">
      <w:pPr>
        <w:spacing w:after="0" w:line="240" w:lineRule="auto"/>
        <w:ind w:left="720" w:hanging="720"/>
        <w:jc w:val="left"/>
        <w:rPr>
          <w:rFonts w:eastAsia="Times New Roman"/>
          <w:szCs w:val="24"/>
          <w:lang w:val="es-US"/>
        </w:rPr>
      </w:pPr>
      <w:r w:rsidRPr="00314606">
        <w:rPr>
          <w:rFonts w:eastAsia="Times New Roman"/>
          <w:szCs w:val="24"/>
          <w:lang w:val="es-US"/>
        </w:rPr>
        <w:t xml:space="preserve">Lamotte, M., &amp; Roy, R. (Eds.). (2003). </w:t>
      </w:r>
      <w:r w:rsidRPr="00314606">
        <w:rPr>
          <w:rFonts w:eastAsia="Times New Roman"/>
          <w:i/>
          <w:iCs/>
          <w:szCs w:val="24"/>
          <w:lang w:val="es-US"/>
        </w:rPr>
        <w:t>Le peuplement animal du mont Nimba (Guinée, Côte d’Ivoire, Liberia)</w:t>
      </w:r>
      <w:r w:rsidRPr="00314606">
        <w:rPr>
          <w:rFonts w:eastAsia="Times New Roman"/>
          <w:szCs w:val="24"/>
          <w:lang w:val="es-US"/>
        </w:rPr>
        <w:t xml:space="preserve"> (Mémoires du Muséum national d’Histoire naturelle, Vol. 190). Muséum national d’Histoire naturelle. </w:t>
      </w:r>
    </w:p>
    <w:p w14:paraId="176EFDDE" w14:textId="77777777" w:rsidR="00C308DD" w:rsidRPr="00261A77" w:rsidRDefault="00000000">
      <w:pPr>
        <w:spacing w:after="0" w:line="240" w:lineRule="auto"/>
        <w:ind w:left="720" w:hanging="720"/>
        <w:jc w:val="left"/>
        <w:rPr>
          <w:rFonts w:eastAsia="Times New Roman"/>
          <w:szCs w:val="24"/>
          <w:lang w:val="en-US"/>
        </w:rPr>
      </w:pPr>
      <w:r w:rsidRPr="00314606">
        <w:rPr>
          <w:rFonts w:eastAsia="Times New Roman"/>
          <w:szCs w:val="24"/>
          <w:lang w:val="es-US"/>
        </w:rPr>
        <w:t xml:space="preserve">Luedtke, J. A., Chanson, J., Neam, K., Hobin, L., Maciel, A. O., Catenazzi, A., Borzée, A., Hamidy, A., Aowphol, A., Jean, A., Sosa-Bartuano, Á., Fong G., A., de Silva, A., Fouquet, A., Angulo, A., Kidov, A. A., Muñoz Saravia, A., Diesmos, A. C., Tominaga, A., … </w:t>
      </w:r>
      <w:r w:rsidRPr="00261A77">
        <w:rPr>
          <w:rFonts w:eastAsia="Times New Roman"/>
          <w:szCs w:val="24"/>
          <w:lang w:val="en-US"/>
        </w:rPr>
        <w:t xml:space="preserve">Stuart, S. N. (2023). Ongoing declines for the world’s amphibians in </w:t>
      </w:r>
      <w:r w:rsidRPr="00261A77">
        <w:rPr>
          <w:rFonts w:eastAsia="Times New Roman"/>
          <w:szCs w:val="24"/>
          <w:lang w:val="en-US"/>
        </w:rPr>
        <w:lastRenderedPageBreak/>
        <w:t xml:space="preserve">the face of emerging threats. </w:t>
      </w:r>
      <w:r w:rsidRPr="00261A77">
        <w:rPr>
          <w:rFonts w:eastAsia="Times New Roman"/>
          <w:i/>
          <w:iCs/>
          <w:szCs w:val="24"/>
          <w:lang w:val="en-US"/>
        </w:rPr>
        <w:t>Nature, 622</w:t>
      </w:r>
      <w:r w:rsidRPr="00261A77">
        <w:rPr>
          <w:rFonts w:eastAsia="Times New Roman"/>
          <w:szCs w:val="24"/>
          <w:lang w:val="en-US"/>
        </w:rPr>
        <w:t xml:space="preserve">(7982), 308–314. </w:t>
      </w:r>
      <w:hyperlink r:id="rId27" w:tgtFrame="_new">
        <w:r w:rsidR="00C308DD" w:rsidRPr="00261A77">
          <w:rPr>
            <w:rStyle w:val="Hyperlink"/>
            <w:rFonts w:eastAsia="Times New Roman"/>
            <w:szCs w:val="24"/>
            <w:lang w:val="en-US"/>
          </w:rPr>
          <w:t>https://doi.org/10.1038/s41586-023-06578-4</w:t>
        </w:r>
      </w:hyperlink>
      <w:r w:rsidRPr="00261A77">
        <w:rPr>
          <w:rFonts w:eastAsia="Times New Roman"/>
          <w:szCs w:val="24"/>
          <w:lang w:val="en-US"/>
        </w:rPr>
        <w:t xml:space="preserve"> </w:t>
      </w:r>
    </w:p>
    <w:p w14:paraId="180DF595" w14:textId="77777777" w:rsidR="00C308DD" w:rsidRPr="00261A77" w:rsidRDefault="00000000">
      <w:pPr>
        <w:spacing w:after="0" w:line="240" w:lineRule="auto"/>
        <w:ind w:left="720" w:hanging="720"/>
        <w:jc w:val="left"/>
        <w:rPr>
          <w:rFonts w:eastAsia="Times New Roman"/>
          <w:szCs w:val="24"/>
          <w:lang w:val="en-US"/>
        </w:rPr>
      </w:pPr>
      <w:r w:rsidRPr="00314606">
        <w:rPr>
          <w:rFonts w:eastAsia="Times New Roman"/>
          <w:szCs w:val="24"/>
          <w:lang w:val="en-US"/>
        </w:rPr>
        <w:t xml:space="preserve">Madalozzo, B., Santos, T. G., Santos, M. B., Both, C., &amp; Cechin, S. (2017). </w:t>
      </w:r>
      <w:r w:rsidRPr="00261A77">
        <w:rPr>
          <w:rFonts w:eastAsia="Times New Roman"/>
          <w:szCs w:val="24"/>
          <w:lang w:val="en-US"/>
        </w:rPr>
        <w:t xml:space="preserve">Biodiversity assessment: Selecting sampling techniques to access anuran diversity in grassland ecosystems. </w:t>
      </w:r>
      <w:r w:rsidRPr="00261A77">
        <w:rPr>
          <w:rFonts w:eastAsia="Times New Roman"/>
          <w:i/>
          <w:iCs/>
          <w:szCs w:val="24"/>
          <w:lang w:val="en-US"/>
        </w:rPr>
        <w:t>Wildlife Research, 44</w:t>
      </w:r>
      <w:r w:rsidRPr="00261A77">
        <w:rPr>
          <w:rFonts w:eastAsia="Times New Roman"/>
          <w:szCs w:val="24"/>
          <w:lang w:val="en-US"/>
        </w:rPr>
        <w:t xml:space="preserve">(1), 78–91. https://doi.org/10.1071/WR16086 </w:t>
      </w:r>
    </w:p>
    <w:p w14:paraId="6A9316FD" w14:textId="77777777" w:rsidR="00C308DD" w:rsidRPr="00261A77" w:rsidRDefault="00000000">
      <w:pPr>
        <w:spacing w:after="0" w:line="240" w:lineRule="auto"/>
        <w:ind w:left="720" w:hanging="720"/>
        <w:jc w:val="left"/>
        <w:rPr>
          <w:rFonts w:eastAsia="Times New Roman"/>
          <w:b/>
          <w:bCs/>
          <w:szCs w:val="24"/>
          <w:lang w:val="en-US"/>
        </w:rPr>
      </w:pPr>
      <w:r w:rsidRPr="00261A77">
        <w:rPr>
          <w:rFonts w:eastAsia="Times New Roman"/>
          <w:szCs w:val="24"/>
          <w:lang w:val="en-US"/>
        </w:rPr>
        <w:t xml:space="preserve">Mohneke, M., Onadeko, A. B., Hirschfeld, M., &amp; Rödel, M.-O. (2010). Dried or fried: Amphibians in local and regional food markets in West Africa. </w:t>
      </w:r>
      <w:r w:rsidRPr="00261A77">
        <w:rPr>
          <w:rFonts w:eastAsia="Times New Roman"/>
          <w:i/>
          <w:iCs/>
          <w:szCs w:val="24"/>
          <w:lang w:val="en-US"/>
        </w:rPr>
        <w:t>TRAFFIC Bulletin, 22</w:t>
      </w:r>
      <w:r w:rsidRPr="00261A77">
        <w:rPr>
          <w:rFonts w:eastAsia="Times New Roman"/>
          <w:szCs w:val="24"/>
          <w:lang w:val="en-US"/>
        </w:rPr>
        <w:t xml:space="preserve">(3), 117–128. </w:t>
      </w:r>
      <w:hyperlink r:id="rId28" w:tgtFrame="_new">
        <w:r w:rsidR="00C308DD" w:rsidRPr="00261A77">
          <w:rPr>
            <w:rStyle w:val="Hyperlink"/>
            <w:rFonts w:eastAsia="Times New Roman"/>
            <w:szCs w:val="24"/>
            <w:lang w:val="en-US"/>
          </w:rPr>
          <w:t>https://www.traffic.org/site/assets/files/2988/traffic_pub_bulletin_22_3.pdf</w:t>
        </w:r>
      </w:hyperlink>
    </w:p>
    <w:p w14:paraId="27E5DB27"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Newbold, T., Hudson, L. N., Hill, S. L. L., Contu, S., Lysenko, I., Senior, R. A., Börger, L., Bennett, D. J., Choimes, A., Collen, B., Day, J., De Palma, A., Díaz, S., Echeverría-Londoño, S., Edgar, M. J., Feldman, A., Garon, M., Harrison, M. L. K., Ingram, D. J., … Purvis, A. (2015). Global effects of land use on local terrestrial biodiversity. </w:t>
      </w:r>
      <w:r w:rsidRPr="00261A77">
        <w:rPr>
          <w:rFonts w:eastAsia="Times New Roman"/>
          <w:i/>
          <w:iCs/>
          <w:szCs w:val="24"/>
          <w:lang w:val="en-US"/>
        </w:rPr>
        <w:t>Nature, 520</w:t>
      </w:r>
      <w:r w:rsidRPr="00261A77">
        <w:rPr>
          <w:rFonts w:eastAsia="Times New Roman"/>
          <w:szCs w:val="24"/>
          <w:lang w:val="en-US"/>
        </w:rPr>
        <w:t xml:space="preserve">(7545), 45–50. </w:t>
      </w:r>
      <w:hyperlink r:id="rId29" w:tgtFrame="_new">
        <w:r w:rsidR="00C308DD" w:rsidRPr="00261A77">
          <w:rPr>
            <w:rStyle w:val="Hyperlink"/>
            <w:rFonts w:eastAsia="Times New Roman"/>
            <w:szCs w:val="24"/>
            <w:lang w:val="en-US"/>
          </w:rPr>
          <w:t>https://doi.org/10.1038/nature14324</w:t>
        </w:r>
      </w:hyperlink>
      <w:r w:rsidRPr="00261A77">
        <w:rPr>
          <w:rFonts w:eastAsia="Times New Roman"/>
          <w:szCs w:val="24"/>
          <w:lang w:val="en-US"/>
        </w:rPr>
        <w:t xml:space="preserve"> </w:t>
      </w:r>
    </w:p>
    <w:p w14:paraId="38152895"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N’Guessan, O., Zingbé, G. U., Kanga, K. P., Rödel, M.-O., &amp; Kouamé, N. G. (2025). The reproductive biology of two sympatric West African savanna reed frogs (genus </w:t>
      </w:r>
      <w:r w:rsidRPr="00261A77">
        <w:rPr>
          <w:rFonts w:eastAsia="Times New Roman"/>
          <w:i/>
          <w:iCs/>
          <w:szCs w:val="24"/>
          <w:lang w:val="en-US"/>
        </w:rPr>
        <w:t>Hyperolius</w:t>
      </w:r>
      <w:r w:rsidRPr="00261A77">
        <w:rPr>
          <w:rFonts w:eastAsia="Times New Roman"/>
          <w:szCs w:val="24"/>
          <w:lang w:val="en-US"/>
        </w:rPr>
        <w:t xml:space="preserve">) in Marahoué National Park, Ivory Coast. </w:t>
      </w:r>
      <w:r w:rsidRPr="00261A77">
        <w:rPr>
          <w:rFonts w:eastAsia="Times New Roman"/>
          <w:i/>
          <w:iCs/>
          <w:szCs w:val="24"/>
          <w:lang w:val="en-US"/>
        </w:rPr>
        <w:t>African Journal of Herpetology, 74</w:t>
      </w:r>
      <w:r w:rsidRPr="00261A77">
        <w:rPr>
          <w:rFonts w:eastAsia="Times New Roman"/>
          <w:szCs w:val="24"/>
          <w:lang w:val="en-US"/>
        </w:rPr>
        <w:t xml:space="preserve">(2), 342–348. https://doi.org/10.1080/21564574.2025.2498330 </w:t>
      </w:r>
    </w:p>
    <w:p w14:paraId="1EC2A590"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Nowakowski, A. J., Frishkoff, L. O., Thompson, M. E., Smith, T. M., &amp; Todd, B. D. (2018). Phylogenetic homogenization of amphibian assemblages in human-altered habitats across the globe. </w:t>
      </w:r>
      <w:r w:rsidRPr="00261A77">
        <w:rPr>
          <w:rFonts w:eastAsia="Times New Roman"/>
          <w:i/>
          <w:iCs/>
          <w:szCs w:val="24"/>
          <w:lang w:val="en-US"/>
        </w:rPr>
        <w:t>Proceedings of the National Academy of Sciences of the United States of America, 115</w:t>
      </w:r>
      <w:r w:rsidRPr="00261A77">
        <w:rPr>
          <w:rFonts w:eastAsia="Times New Roman"/>
          <w:szCs w:val="24"/>
          <w:lang w:val="en-US"/>
        </w:rPr>
        <w:t xml:space="preserve">(15), E3454–E3462. </w:t>
      </w:r>
      <w:hyperlink r:id="rId30" w:tgtFrame="_new">
        <w:r w:rsidR="00C308DD" w:rsidRPr="00261A77">
          <w:rPr>
            <w:rStyle w:val="Hyperlink"/>
            <w:rFonts w:eastAsia="Times New Roman"/>
            <w:szCs w:val="24"/>
            <w:lang w:val="en-US"/>
          </w:rPr>
          <w:t>https://doi.org/10.1073/pnas.1714891115</w:t>
        </w:r>
      </w:hyperlink>
      <w:r w:rsidRPr="00261A77">
        <w:rPr>
          <w:rFonts w:eastAsia="Times New Roman"/>
          <w:szCs w:val="24"/>
          <w:lang w:val="en-US"/>
        </w:rPr>
        <w:t xml:space="preserve"> </w:t>
      </w:r>
    </w:p>
    <w:p w14:paraId="2C563917" w14:textId="77777777" w:rsidR="00C308DD" w:rsidRPr="00261A77" w:rsidRDefault="00000000">
      <w:pPr>
        <w:spacing w:after="0" w:line="240" w:lineRule="auto"/>
        <w:ind w:left="720" w:hanging="720"/>
        <w:jc w:val="left"/>
        <w:rPr>
          <w:rFonts w:eastAsia="Times New Roman"/>
          <w:b/>
          <w:bCs/>
          <w:szCs w:val="24"/>
          <w:lang w:val="en-US"/>
        </w:rPr>
      </w:pPr>
      <w:r w:rsidRPr="00261A77">
        <w:rPr>
          <w:rFonts w:eastAsia="Times New Roman"/>
          <w:szCs w:val="24"/>
          <w:lang w:val="en-US"/>
        </w:rPr>
        <w:t xml:space="preserve">Nowakowski, A. J., Thompson, M. E., Donnelly, M. A., &amp; Todd, B. D. (2017). Amphibian sensitivity to habitat modification is associated with population trends and species traits. </w:t>
      </w:r>
      <w:r w:rsidRPr="00261A77">
        <w:rPr>
          <w:rFonts w:eastAsia="Times New Roman"/>
          <w:i/>
          <w:iCs/>
          <w:szCs w:val="24"/>
          <w:lang w:val="en-US"/>
        </w:rPr>
        <w:t>Global Ecology and Biogeography, 26</w:t>
      </w:r>
      <w:r w:rsidRPr="00261A77">
        <w:rPr>
          <w:rFonts w:eastAsia="Times New Roman"/>
          <w:szCs w:val="24"/>
          <w:lang w:val="en-US"/>
        </w:rPr>
        <w:t xml:space="preserve">(6), 700–712. </w:t>
      </w:r>
      <w:hyperlink r:id="rId31" w:tgtFrame="_new">
        <w:r w:rsidR="00C308DD" w:rsidRPr="00261A77">
          <w:rPr>
            <w:rStyle w:val="Hyperlink"/>
            <w:rFonts w:eastAsia="Times New Roman"/>
            <w:szCs w:val="24"/>
            <w:lang w:val="en-US"/>
          </w:rPr>
          <w:t>https://doi.org/10.1111/geb.12571</w:t>
        </w:r>
      </w:hyperlink>
    </w:p>
    <w:p w14:paraId="02D8EE8B"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Oussou, K. H., Assemian, N. E., Kouadio, A. L., Tiédoué, M. R., &amp; Rödel, M.-O. (2022). The anuran fauna in a protected West African rainforest and surrounding agricultural systems. </w:t>
      </w:r>
      <w:r w:rsidRPr="00261A77">
        <w:rPr>
          <w:rFonts w:eastAsia="Times New Roman"/>
          <w:i/>
          <w:iCs/>
          <w:szCs w:val="24"/>
          <w:lang w:val="en-US"/>
        </w:rPr>
        <w:t>Amphibian &amp; Reptile Conservation, 16</w:t>
      </w:r>
      <w:r w:rsidRPr="00261A77">
        <w:rPr>
          <w:rFonts w:eastAsia="Times New Roman"/>
          <w:szCs w:val="24"/>
          <w:lang w:val="en-US"/>
        </w:rPr>
        <w:t xml:space="preserve">(1), 1–13 (e298). </w:t>
      </w:r>
      <w:hyperlink r:id="rId32" w:tgtFrame="_new">
        <w:r w:rsidR="00C308DD" w:rsidRPr="00261A77">
          <w:rPr>
            <w:rStyle w:val="Hyperlink"/>
            <w:rFonts w:eastAsia="Times New Roman"/>
            <w:szCs w:val="24"/>
            <w:lang w:val="en-US"/>
          </w:rPr>
          <w:t>https://amphibian-reptile-conservation.org/pdfs/Volume/Vol_16_no_1/ARC_16_1_%5BGeneral_Section%5D_1-13_e298.pdf</w:t>
        </w:r>
      </w:hyperlink>
      <w:r w:rsidRPr="00261A77">
        <w:rPr>
          <w:rFonts w:eastAsia="Times New Roman"/>
          <w:szCs w:val="24"/>
          <w:lang w:val="en-US"/>
        </w:rPr>
        <w:t xml:space="preserve"> </w:t>
      </w:r>
    </w:p>
    <w:p w14:paraId="5743ED09" w14:textId="77777777" w:rsidR="00C308DD" w:rsidRPr="00261A77" w:rsidRDefault="00000000">
      <w:pPr>
        <w:spacing w:after="0" w:line="240" w:lineRule="auto"/>
        <w:ind w:left="720" w:hanging="720"/>
        <w:jc w:val="left"/>
        <w:rPr>
          <w:rFonts w:eastAsia="Times New Roman"/>
          <w:b/>
          <w:bCs/>
          <w:szCs w:val="24"/>
          <w:lang w:val="en-US"/>
        </w:rPr>
      </w:pPr>
      <w:r w:rsidRPr="00261A77">
        <w:rPr>
          <w:rFonts w:eastAsia="Times New Roman"/>
          <w:szCs w:val="24"/>
          <w:lang w:val="en-US"/>
        </w:rPr>
        <w:t xml:space="preserve">Penner, J., Wegmann, M., Hillers, A., Schmidt, M., &amp; Rödel, M.-O. (2011). A hotspot revisited—A biogeographical analysis of West African amphibians. </w:t>
      </w:r>
      <w:r w:rsidRPr="00261A77">
        <w:rPr>
          <w:rFonts w:eastAsia="Times New Roman"/>
          <w:i/>
          <w:iCs/>
          <w:szCs w:val="24"/>
          <w:lang w:val="en-US"/>
        </w:rPr>
        <w:t>Diversity and Distributions, 17</w:t>
      </w:r>
      <w:r w:rsidRPr="00261A77">
        <w:rPr>
          <w:rFonts w:eastAsia="Times New Roman"/>
          <w:szCs w:val="24"/>
          <w:lang w:val="en-US"/>
        </w:rPr>
        <w:t>(6), 1077–1088. https://doi.org/10.1111/j.1472-4642.2011.00801.x</w:t>
      </w:r>
    </w:p>
    <w:p w14:paraId="63E9685B"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Pielou, E. C. (1969). </w:t>
      </w:r>
      <w:r w:rsidRPr="00261A77">
        <w:rPr>
          <w:rFonts w:eastAsia="Times New Roman"/>
          <w:i/>
          <w:iCs/>
          <w:szCs w:val="24"/>
          <w:lang w:val="en-US"/>
        </w:rPr>
        <w:t>An introduction to mathematical ecology</w:t>
      </w:r>
      <w:r w:rsidRPr="00261A77">
        <w:rPr>
          <w:rFonts w:eastAsia="Times New Roman"/>
          <w:szCs w:val="24"/>
          <w:lang w:val="en-US"/>
        </w:rPr>
        <w:t xml:space="preserve">. Wiley-Interscience. https://catalog.library.vanderbilt.edu/discovery/fulldisplay/alma991016865139703276/01VAN_INST%3A01VAN_INST </w:t>
      </w:r>
    </w:p>
    <w:p w14:paraId="0C556618" w14:textId="77777777" w:rsidR="00C308DD" w:rsidRPr="00261A77" w:rsidRDefault="00000000">
      <w:pPr>
        <w:spacing w:after="0" w:line="240" w:lineRule="auto"/>
        <w:ind w:left="720" w:hanging="720"/>
        <w:jc w:val="left"/>
        <w:rPr>
          <w:rFonts w:eastAsia="Times New Roman"/>
          <w:szCs w:val="24"/>
          <w:lang w:val="en-US"/>
        </w:rPr>
      </w:pPr>
      <w:r w:rsidRPr="00261A77">
        <w:t xml:space="preserve">Pinzón, J., Aceros, L., Reu, B., Ramírez-Pinilla, M. P., &amp; Ernst, R. (2025). Matrix-protection rather than protected area conservation can safeguard multilevel amphibian diversity in Colombian agroforestry systems. </w:t>
      </w:r>
      <w:r w:rsidRPr="00261A77">
        <w:rPr>
          <w:i/>
        </w:rPr>
        <w:t>Agriculture, Ecosystems &amp; Environment, 386</w:t>
      </w:r>
      <w:r w:rsidRPr="00261A77">
        <w:t>, 109559. https://doi.org/10.1016/j.agee.2025.109559</w:t>
      </w:r>
    </w:p>
    <w:p w14:paraId="433A63EF"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Rödel, M.-O. (2000). </w:t>
      </w:r>
      <w:r w:rsidRPr="00261A77">
        <w:rPr>
          <w:rFonts w:eastAsia="Times New Roman"/>
          <w:i/>
          <w:iCs/>
          <w:szCs w:val="24"/>
          <w:lang w:val="en-US"/>
        </w:rPr>
        <w:t>Herpetofauna of West Africa: Vol. 1. Amphibians of the West African savanna</w:t>
      </w:r>
      <w:r w:rsidRPr="00261A77">
        <w:rPr>
          <w:rFonts w:eastAsia="Times New Roman"/>
          <w:szCs w:val="24"/>
          <w:lang w:val="en-US"/>
        </w:rPr>
        <w:t xml:space="preserve">. Edition Chimaira. </w:t>
      </w:r>
      <w:hyperlink r:id="rId33" w:tgtFrame="_new">
        <w:r w:rsidR="00C308DD" w:rsidRPr="00261A77">
          <w:rPr>
            <w:rStyle w:val="Hyperlink"/>
            <w:rFonts w:eastAsia="Times New Roman"/>
            <w:szCs w:val="24"/>
            <w:lang w:val="en-US"/>
          </w:rPr>
          <w:t>https://amphibiansoftheworld.amnh.org/Bibliography/R/Roedel-2000-Herpetofauna-W.-Afr.-1</w:t>
        </w:r>
      </w:hyperlink>
      <w:r w:rsidRPr="00261A77">
        <w:rPr>
          <w:rFonts w:eastAsia="Times New Roman"/>
          <w:szCs w:val="24"/>
          <w:lang w:val="en-US"/>
        </w:rPr>
        <w:t xml:space="preserve"> </w:t>
      </w:r>
    </w:p>
    <w:p w14:paraId="3218B106"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s-US"/>
        </w:rPr>
        <w:t xml:space="preserve">Rödel, M.-O., &amp; Ernst, R. (2004). </w:t>
      </w:r>
      <w:r w:rsidRPr="00261A77">
        <w:rPr>
          <w:rFonts w:eastAsia="Times New Roman"/>
          <w:szCs w:val="24"/>
          <w:lang w:val="en-US"/>
        </w:rPr>
        <w:t xml:space="preserve">Measuring and monitoring amphibian diversity in tropical forests: I. An evaluation of methods with recommendations for standardisation. </w:t>
      </w:r>
      <w:r w:rsidRPr="00261A77">
        <w:rPr>
          <w:rFonts w:eastAsia="Times New Roman"/>
          <w:i/>
          <w:iCs/>
          <w:szCs w:val="24"/>
          <w:lang w:val="en-US"/>
        </w:rPr>
        <w:t>Ecotropica, 10</w:t>
      </w:r>
      <w:r w:rsidRPr="00261A77">
        <w:rPr>
          <w:rFonts w:eastAsia="Times New Roman"/>
          <w:szCs w:val="24"/>
          <w:lang w:val="en-US"/>
        </w:rPr>
        <w:t xml:space="preserve">(1), 1–14. </w:t>
      </w:r>
    </w:p>
    <w:p w14:paraId="784C0DEA" w14:textId="77777777" w:rsidR="00C308DD" w:rsidRPr="00261A77" w:rsidRDefault="00000000">
      <w:pPr>
        <w:spacing w:after="0" w:line="240" w:lineRule="auto"/>
        <w:ind w:left="720" w:hanging="720"/>
        <w:jc w:val="left"/>
        <w:rPr>
          <w:rFonts w:eastAsia="Times New Roman"/>
          <w:szCs w:val="24"/>
          <w:lang w:val="en-US"/>
        </w:rPr>
      </w:pPr>
      <w:r w:rsidRPr="00314606">
        <w:rPr>
          <w:rFonts w:eastAsia="Times New Roman"/>
          <w:szCs w:val="24"/>
          <w:lang w:val="en-US"/>
        </w:rPr>
        <w:lastRenderedPageBreak/>
        <w:t xml:space="preserve">Rödel, M.-O., &amp; Spieler, M. (2000). </w:t>
      </w:r>
      <w:r w:rsidRPr="00261A77">
        <w:rPr>
          <w:rFonts w:eastAsia="Times New Roman"/>
          <w:szCs w:val="24"/>
          <w:lang w:val="en-US"/>
        </w:rPr>
        <w:t xml:space="preserve">Trilingual keys to the savannah-anurans of the Comoé National Park, Ivory Coast. </w:t>
      </w:r>
      <w:r w:rsidRPr="00261A77">
        <w:rPr>
          <w:rFonts w:eastAsia="Times New Roman"/>
          <w:i/>
          <w:iCs/>
          <w:szCs w:val="24"/>
          <w:lang w:val="en-US"/>
        </w:rPr>
        <w:t>Stuttgarter Beiträge zur Naturkunde, Serie A (Biologie), 620</w:t>
      </w:r>
      <w:r w:rsidRPr="00261A77">
        <w:rPr>
          <w:rFonts w:eastAsia="Times New Roman"/>
          <w:szCs w:val="24"/>
          <w:lang w:val="en-US"/>
        </w:rPr>
        <w:t xml:space="preserve">, 1–31. https://www.zobodat.at/publikation_articles.php?id=237433 </w:t>
      </w:r>
    </w:p>
    <w:p w14:paraId="18BEC8F0"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Shannon, C. E., &amp; Weaver, W. (1963). </w:t>
      </w:r>
      <w:r w:rsidRPr="00261A77">
        <w:rPr>
          <w:rFonts w:eastAsia="Times New Roman"/>
          <w:i/>
          <w:iCs/>
          <w:szCs w:val="24"/>
          <w:lang w:val="en-US"/>
        </w:rPr>
        <w:t>The mathematical theory of communication</w:t>
      </w:r>
      <w:r w:rsidRPr="00261A77">
        <w:rPr>
          <w:rFonts w:eastAsia="Times New Roman"/>
          <w:szCs w:val="24"/>
          <w:lang w:val="en-US"/>
        </w:rPr>
        <w:t xml:space="preserve">. University of Illinois Press. </w:t>
      </w:r>
      <w:hyperlink r:id="rId34" w:tgtFrame="_new">
        <w:r w:rsidR="00C308DD" w:rsidRPr="00261A77">
          <w:rPr>
            <w:rStyle w:val="Hyperlink"/>
            <w:rFonts w:eastAsia="Times New Roman"/>
            <w:szCs w:val="24"/>
            <w:lang w:val="en-US"/>
          </w:rPr>
          <w:t>https://www.press.uillinois.edu/books/?id=p725487</w:t>
        </w:r>
      </w:hyperlink>
      <w:r w:rsidRPr="00261A77">
        <w:rPr>
          <w:rFonts w:eastAsia="Times New Roman"/>
          <w:szCs w:val="24"/>
          <w:lang w:val="en-US"/>
        </w:rPr>
        <w:t xml:space="preserve"> </w:t>
      </w:r>
    </w:p>
    <w:p w14:paraId="6A2F6DA3" w14:textId="77777777" w:rsidR="00C308DD" w:rsidRPr="00261A77" w:rsidRDefault="00000000">
      <w:pPr>
        <w:spacing w:after="0" w:line="240" w:lineRule="auto"/>
        <w:ind w:left="720" w:hanging="720"/>
        <w:jc w:val="left"/>
        <w:rPr>
          <w:rFonts w:eastAsia="Times New Roman"/>
          <w:szCs w:val="24"/>
          <w:lang w:val="en-US"/>
        </w:rPr>
      </w:pPr>
      <w:r w:rsidRPr="00261A77">
        <w:t xml:space="preserve">Shelly, &amp; Singh, R. (2024). Global amphibian </w:t>
      </w:r>
      <w:proofErr w:type="gramStart"/>
      <w:r w:rsidRPr="00261A77">
        <w:t>decline:</w:t>
      </w:r>
      <w:proofErr w:type="gramEnd"/>
      <w:r w:rsidRPr="00261A77">
        <w:t xml:space="preserve"> Diversity, threats and management strategies. </w:t>
      </w:r>
      <w:r w:rsidRPr="00261A77">
        <w:rPr>
          <w:i/>
        </w:rPr>
        <w:t>Journal of Scientific Research and Reports, 30</w:t>
      </w:r>
      <w:r w:rsidRPr="00261A77">
        <w:t>(7), 543–562. https://doi.org/10.9734/jsrr/2024/v30i72168</w:t>
      </w:r>
    </w:p>
    <w:p w14:paraId="388DE6E0"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StatSoft, Inc. (2005). </w:t>
      </w:r>
      <w:r w:rsidRPr="00261A77">
        <w:rPr>
          <w:rFonts w:eastAsia="Times New Roman"/>
          <w:i/>
          <w:iCs/>
          <w:szCs w:val="24"/>
          <w:lang w:val="en-US"/>
        </w:rPr>
        <w:t>STATISTICA</w:t>
      </w:r>
      <w:r w:rsidRPr="00261A77">
        <w:rPr>
          <w:rFonts w:eastAsia="Times New Roman"/>
          <w:szCs w:val="24"/>
          <w:lang w:val="en-US"/>
        </w:rPr>
        <w:t xml:space="preserve"> (Version 7.1) [Computer software].  </w:t>
      </w:r>
    </w:p>
    <w:p w14:paraId="36DEDEFD" w14:textId="77777777" w:rsidR="00C308DD" w:rsidRPr="00261A77"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Tscharntke, T., Tylianakis, J. M., Rand, T. A., Didham, R. K., Fahrig, L., Batáry, P., Bengtsson, J., Clough, Y., Crist, T. O., Dormann, C. F., Ewers, R. M., Fründ, J., Holt, R. D., Holzschuh, A., Klein, A. M., Kleijn, D., Kremen, C., Landis, D. A., Laurance, W. F., … Westphal, C. (2012). Landscape moderation of biodiversity patterns and processes—Eight hypotheses. </w:t>
      </w:r>
      <w:r w:rsidRPr="00261A77">
        <w:rPr>
          <w:rFonts w:eastAsia="Times New Roman"/>
          <w:i/>
          <w:iCs/>
          <w:szCs w:val="24"/>
          <w:lang w:val="en-US"/>
        </w:rPr>
        <w:t>Biological Reviews, 87</w:t>
      </w:r>
      <w:r w:rsidRPr="00261A77">
        <w:rPr>
          <w:rFonts w:eastAsia="Times New Roman"/>
          <w:szCs w:val="24"/>
          <w:lang w:val="en-US"/>
        </w:rPr>
        <w:t xml:space="preserve">(3), 661–685. </w:t>
      </w:r>
      <w:hyperlink r:id="rId35" w:tgtFrame="_new">
        <w:r w:rsidR="00C308DD" w:rsidRPr="00261A77">
          <w:rPr>
            <w:rStyle w:val="Hyperlink"/>
            <w:rFonts w:eastAsia="Times New Roman"/>
            <w:szCs w:val="24"/>
            <w:lang w:val="en-US"/>
          </w:rPr>
          <w:t>https://doi.org/10.1111/j.1469-185X.2011.00216.x</w:t>
        </w:r>
      </w:hyperlink>
      <w:r w:rsidRPr="00261A77">
        <w:rPr>
          <w:rFonts w:eastAsia="Times New Roman"/>
          <w:szCs w:val="24"/>
          <w:lang w:val="en-US"/>
        </w:rPr>
        <w:t xml:space="preserve"> </w:t>
      </w:r>
    </w:p>
    <w:p w14:paraId="1F1D71EB" w14:textId="77777777" w:rsidR="00C308DD" w:rsidRPr="00261A77" w:rsidRDefault="00000000">
      <w:pPr>
        <w:spacing w:after="0" w:line="240" w:lineRule="auto"/>
        <w:ind w:left="720" w:hanging="720"/>
        <w:jc w:val="left"/>
        <w:rPr>
          <w:rFonts w:eastAsia="Times New Roman"/>
          <w:szCs w:val="24"/>
          <w:lang w:val="en-US"/>
        </w:rPr>
      </w:pPr>
      <w:r w:rsidRPr="00261A77">
        <w:t xml:space="preserve">Wanger, T. C., Brook, B. W., Evans, T., &amp; Tscharntke, T. (2023). Pesticides reduce tropical amphibian and reptile diversity in agricultural landscapes in Indonesia. </w:t>
      </w:r>
      <w:r w:rsidRPr="00261A77">
        <w:rPr>
          <w:i/>
        </w:rPr>
        <w:t>PeerJ, 11</w:t>
      </w:r>
      <w:r w:rsidRPr="00261A77">
        <w:t>, e15046. https://doi.org/10.7717/peerj.15046</w:t>
      </w:r>
    </w:p>
    <w:p w14:paraId="47A80E53" w14:textId="77777777" w:rsidR="00C308DD" w:rsidRPr="0059143D" w:rsidRDefault="00000000">
      <w:pPr>
        <w:spacing w:after="0" w:line="240" w:lineRule="auto"/>
        <w:ind w:left="720" w:hanging="720"/>
        <w:jc w:val="left"/>
        <w:rPr>
          <w:rFonts w:eastAsia="Times New Roman"/>
          <w:szCs w:val="24"/>
          <w:lang w:val="en-US"/>
        </w:rPr>
      </w:pPr>
      <w:r w:rsidRPr="00261A77">
        <w:rPr>
          <w:rFonts w:eastAsia="Times New Roman"/>
          <w:szCs w:val="24"/>
          <w:lang w:val="en-US"/>
        </w:rPr>
        <w:t xml:space="preserve">Wells, K. D. (2007). </w:t>
      </w:r>
      <w:r w:rsidRPr="00261A77">
        <w:rPr>
          <w:rFonts w:eastAsia="Times New Roman"/>
          <w:i/>
          <w:iCs/>
          <w:szCs w:val="24"/>
          <w:lang w:val="en-US"/>
        </w:rPr>
        <w:t>The ecology and behavior of amphibians</w:t>
      </w:r>
      <w:r w:rsidRPr="00261A77">
        <w:rPr>
          <w:rFonts w:eastAsia="Times New Roman"/>
          <w:szCs w:val="24"/>
          <w:lang w:val="en-US"/>
        </w:rPr>
        <w:t xml:space="preserve">. University of Chicago Press. </w:t>
      </w:r>
      <w:hyperlink r:id="rId36" w:tgtFrame="_new">
        <w:r w:rsidR="00C308DD" w:rsidRPr="00261A77">
          <w:rPr>
            <w:rStyle w:val="Hyperlink"/>
            <w:rFonts w:eastAsia="Times New Roman"/>
            <w:szCs w:val="24"/>
            <w:lang w:val="en-US"/>
          </w:rPr>
          <w:t>https://press.uchicago.edu/ucp/books/book/chicago/E/bo5298950.html</w:t>
        </w:r>
      </w:hyperlink>
    </w:p>
    <w:p w14:paraId="153A6AB6" w14:textId="77777777" w:rsidR="00C308DD" w:rsidRPr="0059143D" w:rsidRDefault="00C308DD">
      <w:pPr>
        <w:rPr>
          <w:rFonts w:eastAsia="Times New Roman"/>
          <w:szCs w:val="24"/>
          <w:lang w:val="en-GB"/>
        </w:rPr>
      </w:pPr>
    </w:p>
    <w:sectPr w:rsidR="00C308DD" w:rsidRPr="0059143D">
      <w:headerReference w:type="default" r:id="rId37"/>
      <w:footerReference w:type="default" r:id="rId38"/>
      <w:headerReference w:type="first" r:id="rId39"/>
      <w:footerReference w:type="first" r:id="rId40"/>
      <w:pgSz w:w="11906" w:h="16838"/>
      <w:pgMar w:top="1417" w:right="1417" w:bottom="1417" w:left="1417" w:header="709" w:footer="709"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E1671" w14:textId="77777777" w:rsidR="00004399" w:rsidRDefault="00004399">
      <w:pPr>
        <w:spacing w:after="0" w:line="240" w:lineRule="auto"/>
      </w:pPr>
      <w:r>
        <w:separator/>
      </w:r>
    </w:p>
  </w:endnote>
  <w:endnote w:type="continuationSeparator" w:id="0">
    <w:p w14:paraId="3EC3C533" w14:textId="77777777" w:rsidR="00004399" w:rsidRDefault="0000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BD7B7" w14:textId="77777777" w:rsidR="00C308DD" w:rsidRDefault="00000000">
    <w:pPr>
      <w:pStyle w:val="Footer"/>
      <w:jc w:val="right"/>
    </w:pPr>
    <w:r>
      <w:fldChar w:fldCharType="begin"/>
    </w:r>
    <w:r>
      <w:instrText xml:space="preserve"> PAGE </w:instrText>
    </w:r>
    <w:r>
      <w:fldChar w:fldCharType="separate"/>
    </w:r>
    <w:r>
      <w:t>18</w:t>
    </w:r>
    <w:r>
      <w:fldChar w:fldCharType="end"/>
    </w:r>
  </w:p>
  <w:p w14:paraId="49CF4CB7" w14:textId="77777777" w:rsidR="00C308DD" w:rsidRDefault="00C30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662C" w14:textId="77777777" w:rsidR="00C308DD" w:rsidRDefault="00C308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4DF45" w14:textId="77777777" w:rsidR="00004399" w:rsidRDefault="00004399">
      <w:pPr>
        <w:spacing w:after="0" w:line="240" w:lineRule="auto"/>
      </w:pPr>
      <w:r>
        <w:separator/>
      </w:r>
    </w:p>
  </w:footnote>
  <w:footnote w:type="continuationSeparator" w:id="0">
    <w:p w14:paraId="1D460010" w14:textId="77777777" w:rsidR="00004399" w:rsidRDefault="00004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5343" w14:textId="77777777" w:rsidR="00C308DD" w:rsidRDefault="00000000">
    <w:pPr>
      <w:pStyle w:val="Header"/>
      <w:rPr>
        <w:lang w:val="en-US" w:eastAsia="en-US"/>
      </w:rPr>
    </w:pPr>
    <w:r>
      <w:rPr>
        <w:lang w:val="en-US" w:eastAsia="en-US"/>
      </w:rPr>
      <w:pict w14:anchorId="730D30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2" o:spid="_x0000_s1025" type="#_x0000_t136" style="position:absolute;left:0;text-align:left;margin-left:0;margin-top:0;width:575.45pt;height:68.8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C054" w14:textId="77777777" w:rsidR="00C308DD" w:rsidRDefault="00C308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676"/>
    <w:multiLevelType w:val="multilevel"/>
    <w:tmpl w:val="11F065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7DF0124"/>
    <w:multiLevelType w:val="multilevel"/>
    <w:tmpl w:val="F1EEE53C"/>
    <w:lvl w:ilvl="0">
      <w:start w:val="4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5D80323"/>
    <w:multiLevelType w:val="multilevel"/>
    <w:tmpl w:val="F618B324"/>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C6C57C2"/>
    <w:multiLevelType w:val="multilevel"/>
    <w:tmpl w:val="CECE6B0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5E4C5FDB"/>
    <w:multiLevelType w:val="multilevel"/>
    <w:tmpl w:val="2AA6799E"/>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F557DA4"/>
    <w:multiLevelType w:val="multilevel"/>
    <w:tmpl w:val="82BE4C1E"/>
    <w:lvl w:ilvl="0">
      <w:start w:val="3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2509C6"/>
    <w:multiLevelType w:val="multilevel"/>
    <w:tmpl w:val="2814FF9C"/>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FC6805"/>
    <w:multiLevelType w:val="multilevel"/>
    <w:tmpl w:val="C338B062"/>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AEF0183"/>
    <w:multiLevelType w:val="multilevel"/>
    <w:tmpl w:val="74149678"/>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num w:numId="1" w16cid:durableId="400520254">
    <w:abstractNumId w:val="3"/>
  </w:num>
  <w:num w:numId="2" w16cid:durableId="35087201">
    <w:abstractNumId w:val="5"/>
  </w:num>
  <w:num w:numId="3" w16cid:durableId="436952097">
    <w:abstractNumId w:val="7"/>
  </w:num>
  <w:num w:numId="4" w16cid:durableId="145561548">
    <w:abstractNumId w:val="4"/>
  </w:num>
  <w:num w:numId="5" w16cid:durableId="666708030">
    <w:abstractNumId w:val="2"/>
  </w:num>
  <w:num w:numId="6" w16cid:durableId="1272669964">
    <w:abstractNumId w:val="6"/>
  </w:num>
  <w:num w:numId="7" w16cid:durableId="2006544437">
    <w:abstractNumId w:val="1"/>
  </w:num>
  <w:num w:numId="8" w16cid:durableId="1376470572">
    <w:abstractNumId w:val="8"/>
  </w:num>
  <w:num w:numId="9" w16cid:durableId="156972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oNotTrackMoves/>
  <w:defaultTabStop w:val="708"/>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08DD"/>
    <w:rsid w:val="00004399"/>
    <w:rsid w:val="001F3DF0"/>
    <w:rsid w:val="00261A77"/>
    <w:rsid w:val="002D2133"/>
    <w:rsid w:val="00314606"/>
    <w:rsid w:val="003C03B8"/>
    <w:rsid w:val="00501AAB"/>
    <w:rsid w:val="0059143D"/>
    <w:rsid w:val="007829F4"/>
    <w:rsid w:val="009238D3"/>
    <w:rsid w:val="00C308DD"/>
    <w:rsid w:val="00CA1794"/>
    <w:rsid w:val="00EA7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4E97"/>
  <w15:docId w15:val="{B74C087C-54B7-43C2-8165-E416948D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jc w:val="both"/>
    </w:pPr>
    <w:rPr>
      <w:rFonts w:ascii="Times New Roman" w:eastAsia="Calibri" w:hAnsi="Times New Roman" w:cs="Times New Roman"/>
      <w:sz w:val="24"/>
      <w:szCs w:val="22"/>
      <w:lang w:val="fr-FR" w:eastAsia="zh-CN"/>
    </w:rPr>
  </w:style>
  <w:style w:type="paragraph" w:styleId="Heading1">
    <w:name w:val="heading 1"/>
    <w:basedOn w:val="Normal"/>
    <w:next w:val="Normal"/>
    <w:uiPriority w:val="9"/>
    <w:qFormat/>
    <w:pPr>
      <w:keepNext/>
      <w:numPr>
        <w:numId w:val="1"/>
      </w:numPr>
      <w:spacing w:after="0" w:line="360" w:lineRule="auto"/>
      <w:outlineLvl w:val="0"/>
    </w:pPr>
    <w:rPr>
      <w:rFonts w:ascii="Arial" w:eastAsia="Times New Roman" w:hAnsi="Arial" w:cs="Arial"/>
      <w:b/>
      <w:bCs/>
      <w:kern w:val="2"/>
      <w:sz w:val="20"/>
      <w:szCs w:val="24"/>
    </w:rPr>
  </w:style>
  <w:style w:type="paragraph" w:styleId="Heading2">
    <w:name w:val="heading 2"/>
    <w:basedOn w:val="Normal"/>
    <w:next w:val="Normal"/>
    <w:uiPriority w:val="9"/>
    <w:unhideWhenUsed/>
    <w:qFormat/>
    <w:pPr>
      <w:keepNext/>
      <w:numPr>
        <w:ilvl w:val="1"/>
        <w:numId w:val="1"/>
      </w:numPr>
      <w:spacing w:after="0"/>
      <w:ind w:left="709"/>
      <w:outlineLvl w:val="1"/>
    </w:pPr>
    <w:rPr>
      <w:rFonts w:ascii="Arial" w:eastAsia="Times New Roman" w:hAnsi="Arial" w:cs="Arial"/>
      <w:b/>
      <w:bCs/>
      <w:iCs/>
      <w:sz w:val="20"/>
    </w:rPr>
  </w:style>
  <w:style w:type="paragraph" w:styleId="Heading3">
    <w:name w:val="heading 3"/>
    <w:basedOn w:val="Normal"/>
    <w:next w:val="Normal"/>
    <w:uiPriority w:val="9"/>
    <w:semiHidden/>
    <w:unhideWhenUsed/>
    <w:qFormat/>
    <w:pPr>
      <w:keepNext/>
      <w:numPr>
        <w:ilvl w:val="2"/>
        <w:numId w:val="1"/>
      </w:numPr>
      <w:spacing w:before="60" w:after="60" w:line="480" w:lineRule="auto"/>
      <w:ind w:left="1418"/>
      <w:outlineLvl w:val="2"/>
    </w:pPr>
    <w:rPr>
      <w:rFonts w:eastAsia="Times New Roman"/>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Aptos" w:eastAsia="Times New Roman"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sz w:val="20"/>
    </w:rPr>
  </w:style>
  <w:style w:type="character" w:customStyle="1" w:styleId="WW8Num6z2">
    <w:name w:val="WW8Num6z2"/>
    <w:qFormat/>
    <w:rPr>
      <w:rFonts w:ascii="Wingdings" w:hAnsi="Wingdings" w:cs="Wingdings"/>
      <w:sz w:val="20"/>
    </w:rPr>
  </w:style>
  <w:style w:type="character" w:customStyle="1" w:styleId="WW8Num7z0">
    <w:name w:val="WW8Num7z0"/>
    <w:qFormat/>
    <w:rPr>
      <w:rFonts w:ascii="Wingdings" w:hAnsi="Wingdings" w:cs="Wingdings"/>
    </w:rPr>
  </w:style>
  <w:style w:type="character" w:customStyle="1" w:styleId="WW8Num7z1">
    <w:name w:val="WW8Num7z1"/>
    <w:qFormat/>
    <w:rPr>
      <w:rFonts w:ascii="Courier New" w:hAnsi="Courier New" w:cs="Courier New"/>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sz w:val="20"/>
    </w:rPr>
  </w:style>
  <w:style w:type="character" w:customStyle="1" w:styleId="WW8Num8z1">
    <w:name w:val="WW8Num8z1"/>
    <w:qFormat/>
    <w:rPr>
      <w:rFonts w:ascii="Courier New" w:hAnsi="Courier New" w:cs="Courier New"/>
      <w:sz w:val="20"/>
    </w:rPr>
  </w:style>
  <w:style w:type="character" w:customStyle="1" w:styleId="WW8Num8z2">
    <w:name w:val="WW8Num8z2"/>
    <w:qFormat/>
    <w:rPr>
      <w:rFonts w:ascii="Wingdings" w:hAnsi="Wingdings" w:cs="Wingdings"/>
      <w:sz w:val="20"/>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3z0">
    <w:name w:val="WW8Num13z0"/>
    <w:qFormat/>
    <w:rPr>
      <w:rFonts w:ascii="Symbol" w:hAnsi="Symbol" w:cs="Symbol"/>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4z0">
    <w:name w:val="WW8Num14z0"/>
    <w:qFormat/>
    <w:rPr>
      <w:rFonts w:ascii="Symbol" w:hAnsi="Symbol" w:cs="Symbol"/>
      <w:sz w:val="20"/>
    </w:rPr>
  </w:style>
  <w:style w:type="character" w:customStyle="1" w:styleId="WW8Num14z1">
    <w:name w:val="WW8Num14z1"/>
    <w:qFormat/>
    <w:rPr>
      <w:rFonts w:ascii="Courier New" w:hAnsi="Courier New" w:cs="Courier New"/>
      <w:sz w:val="20"/>
    </w:rPr>
  </w:style>
  <w:style w:type="character" w:customStyle="1" w:styleId="WW8Num14z2">
    <w:name w:val="WW8Num14z2"/>
    <w:qFormat/>
    <w:rPr>
      <w:rFonts w:ascii="Wingdings" w:hAnsi="Wingdings" w:cs="Wingdings"/>
      <w:sz w:val="20"/>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sz w:val="20"/>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sz w:val="20"/>
    </w:rPr>
  </w:style>
  <w:style w:type="character" w:customStyle="1" w:styleId="WW8Num19z0">
    <w:name w:val="WW8Num19z0"/>
    <w:qFormat/>
    <w:rPr>
      <w:rFonts w:ascii="Symbol" w:hAnsi="Symbol" w:cs="Symbol"/>
      <w:sz w:val="20"/>
    </w:rPr>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sz w:val="20"/>
    </w:rPr>
  </w:style>
  <w:style w:type="character" w:customStyle="1" w:styleId="WW8Num20z0">
    <w:name w:val="WW8Num20z0"/>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sz w:val="20"/>
    </w:rPr>
  </w:style>
  <w:style w:type="character" w:customStyle="1" w:styleId="WW8Num21z1">
    <w:name w:val="WW8Num21z1"/>
    <w:qFormat/>
    <w:rPr>
      <w:rFonts w:ascii="Courier New" w:hAnsi="Courier New" w:cs="Courier New"/>
      <w:sz w:val="20"/>
    </w:rPr>
  </w:style>
  <w:style w:type="character" w:customStyle="1" w:styleId="WW8Num21z2">
    <w:name w:val="WW8Num21z2"/>
    <w:qFormat/>
    <w:rPr>
      <w:rFonts w:ascii="Wingdings" w:hAnsi="Wingdings" w:cs="Wingdings"/>
      <w:sz w:val="20"/>
    </w:rPr>
  </w:style>
  <w:style w:type="character" w:customStyle="1" w:styleId="WW8Num22z0">
    <w:name w:val="WW8Num22z0"/>
    <w:qFormat/>
    <w:rPr>
      <w:rFonts w:ascii="Symbol" w:hAnsi="Symbol" w:cs="Symbol"/>
      <w:sz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sz w:val="20"/>
    </w:rPr>
  </w:style>
  <w:style w:type="character" w:customStyle="1" w:styleId="WW8Num23z0">
    <w:name w:val="WW8Num23z0"/>
    <w:qFormat/>
    <w:rPr>
      <w:rFonts w:ascii="Symbol" w:hAnsi="Symbol" w:cs="Symbol"/>
      <w:sz w:val="20"/>
    </w:rPr>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sz w:val="20"/>
    </w:rPr>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Times New Roman" w:eastAsia="Calibri"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3">
    <w:name w:val="WW8Num28z3"/>
    <w:qFormat/>
    <w:rPr>
      <w:rFonts w:ascii="Symbol" w:hAnsi="Symbol" w:cs="Symbol"/>
    </w:rPr>
  </w:style>
  <w:style w:type="character" w:customStyle="1" w:styleId="WW8Num30z0">
    <w:name w:val="WW8Num30z0"/>
    <w:qFormat/>
    <w:rPr>
      <w:rFonts w:ascii="Wingdings" w:hAnsi="Wingdings" w:cs="Wingdings"/>
    </w:rPr>
  </w:style>
  <w:style w:type="character" w:customStyle="1" w:styleId="WW8Num30z1">
    <w:name w:val="WW8Num30z1"/>
    <w:qFormat/>
    <w:rPr>
      <w:rFonts w:ascii="Courier New" w:hAnsi="Courier New" w:cs="Courier New"/>
    </w:rPr>
  </w:style>
  <w:style w:type="character" w:customStyle="1" w:styleId="WW8Num30z3">
    <w:name w:val="WW8Num30z3"/>
    <w:qFormat/>
    <w:rPr>
      <w:rFonts w:ascii="Symbol" w:hAnsi="Symbol" w:cs="Symbol"/>
    </w:rPr>
  </w:style>
  <w:style w:type="character" w:customStyle="1" w:styleId="WW8Num31z0">
    <w:name w:val="WW8Num31z0"/>
    <w:qFormat/>
  </w:style>
  <w:style w:type="character" w:customStyle="1" w:styleId="WW8Num32z0">
    <w:name w:val="WW8Num32z0"/>
    <w:qFormat/>
    <w:rPr>
      <w:rFonts w:ascii="Symbol" w:hAnsi="Symbol" w:cs="Symbol"/>
      <w:sz w:val="20"/>
    </w:rPr>
  </w:style>
  <w:style w:type="character" w:customStyle="1" w:styleId="WW8Num32z1">
    <w:name w:val="WW8Num32z1"/>
    <w:qFormat/>
    <w:rPr>
      <w:rFonts w:ascii="Courier New" w:hAnsi="Courier New" w:cs="Courier New"/>
      <w:sz w:val="20"/>
    </w:rPr>
  </w:style>
  <w:style w:type="character" w:customStyle="1" w:styleId="WW8Num32z2">
    <w:name w:val="WW8Num32z2"/>
    <w:qFormat/>
    <w:rPr>
      <w:rFonts w:ascii="Wingdings" w:hAnsi="Wingdings" w:cs="Wingdings"/>
      <w:sz w:val="20"/>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Times New Roman" w:eastAsia="Calibri" w:hAnsi="Times New Roman" w:cs="Times New Roman"/>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4z3">
    <w:name w:val="WW8Num34z3"/>
    <w:qFormat/>
    <w:rPr>
      <w:rFonts w:ascii="Symbol" w:hAnsi="Symbol" w:cs="Symbol"/>
    </w:rPr>
  </w:style>
  <w:style w:type="character" w:customStyle="1" w:styleId="WW8Num35z0">
    <w:name w:val="WW8Num35z0"/>
    <w:qFormat/>
    <w:rPr>
      <w:rFonts w:ascii="Symbol" w:hAnsi="Symbol" w:cs="Symbol"/>
      <w:sz w:val="20"/>
    </w:rPr>
  </w:style>
  <w:style w:type="character" w:customStyle="1" w:styleId="WW8Num35z1">
    <w:name w:val="WW8Num35z1"/>
    <w:qFormat/>
    <w:rPr>
      <w:rFonts w:ascii="Courier New" w:hAnsi="Courier New" w:cs="Courier New"/>
      <w:sz w:val="20"/>
    </w:rPr>
  </w:style>
  <w:style w:type="character" w:customStyle="1" w:styleId="WW8Num35z2">
    <w:name w:val="WW8Num35z2"/>
    <w:qFormat/>
    <w:rPr>
      <w:rFonts w:ascii="Wingdings" w:hAnsi="Wingdings" w:cs="Wingdings"/>
      <w:sz w:val="20"/>
    </w:rPr>
  </w:style>
  <w:style w:type="character" w:customStyle="1" w:styleId="WW8Num36z0">
    <w:name w:val="WW8Num36z0"/>
    <w:qFormat/>
    <w:rPr>
      <w:rFonts w:ascii="Symbol" w:hAnsi="Symbol" w:cs="Symbol"/>
      <w:sz w:val="20"/>
    </w:rPr>
  </w:style>
  <w:style w:type="character" w:customStyle="1" w:styleId="WW8Num36z1">
    <w:name w:val="WW8Num36z1"/>
    <w:qFormat/>
    <w:rPr>
      <w:rFonts w:ascii="Courier New" w:hAnsi="Courier New" w:cs="Courier New"/>
      <w:sz w:val="20"/>
    </w:rPr>
  </w:style>
  <w:style w:type="character" w:customStyle="1" w:styleId="WW8Num36z2">
    <w:name w:val="WW8Num36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Wingdings" w:hAnsi="Wingdings" w:cs="Wingdings"/>
    </w:rPr>
  </w:style>
  <w:style w:type="character" w:customStyle="1" w:styleId="WW8Num39z1">
    <w:name w:val="WW8Num39z1"/>
    <w:qFormat/>
    <w:rPr>
      <w:rFonts w:ascii="Courier New" w:hAnsi="Courier New" w:cs="Courier New"/>
    </w:rPr>
  </w:style>
  <w:style w:type="character" w:customStyle="1" w:styleId="WW8Num39z3">
    <w:name w:val="WW8Num39z3"/>
    <w:qFormat/>
    <w:rPr>
      <w:rFonts w:ascii="Symbol" w:hAnsi="Symbol" w:cs="Symbol"/>
    </w:rPr>
  </w:style>
  <w:style w:type="character" w:customStyle="1" w:styleId="WW8Num40z0">
    <w:name w:val="WW8Num40z0"/>
    <w:qFormat/>
    <w:rPr>
      <w:rFonts w:ascii="Symbol" w:hAnsi="Symbol" w:cs="Symbol"/>
      <w:sz w:val="20"/>
    </w:rPr>
  </w:style>
  <w:style w:type="character" w:customStyle="1" w:styleId="WW8Num40z1">
    <w:name w:val="WW8Num40z1"/>
    <w:qFormat/>
    <w:rPr>
      <w:rFonts w:ascii="Courier New" w:hAnsi="Courier New" w:cs="Courier New"/>
      <w:sz w:val="20"/>
    </w:rPr>
  </w:style>
  <w:style w:type="character" w:customStyle="1" w:styleId="WW8Num40z2">
    <w:name w:val="WW8Num40z2"/>
    <w:qFormat/>
    <w:rPr>
      <w:rFonts w:ascii="Wingdings" w:hAnsi="Wingdings" w:cs="Wingdings"/>
      <w:sz w:val="20"/>
    </w:rPr>
  </w:style>
  <w:style w:type="character" w:customStyle="1" w:styleId="WW8Num41z0">
    <w:name w:val="WW8Num41z0"/>
    <w:qFormat/>
    <w:rPr>
      <w:rFonts w:ascii="Symbol" w:hAnsi="Symbol" w:cs="Symbol"/>
      <w:sz w:val="20"/>
    </w:rPr>
  </w:style>
  <w:style w:type="character" w:customStyle="1" w:styleId="WW8Num41z1">
    <w:name w:val="WW8Num41z1"/>
    <w:qFormat/>
    <w:rPr>
      <w:rFonts w:ascii="Courier New" w:hAnsi="Courier New" w:cs="Courier New"/>
      <w:sz w:val="20"/>
    </w:rPr>
  </w:style>
  <w:style w:type="character" w:customStyle="1" w:styleId="WW8Num41z2">
    <w:name w:val="WW8Num41z2"/>
    <w:qFormat/>
    <w:rPr>
      <w:rFonts w:ascii="Wingdings" w:hAnsi="Wingdings" w:cs="Wingdings"/>
      <w:sz w:val="20"/>
    </w:rPr>
  </w:style>
  <w:style w:type="character" w:customStyle="1" w:styleId="WW8Num42z0">
    <w:name w:val="WW8Num42z0"/>
    <w:qFormat/>
    <w:rPr>
      <w:rFonts w:ascii="Symbol" w:hAnsi="Symbol" w:cs="Symbol"/>
      <w:sz w:val="20"/>
    </w:rPr>
  </w:style>
  <w:style w:type="character" w:customStyle="1" w:styleId="WW8Num42z1">
    <w:name w:val="WW8Num42z1"/>
    <w:qFormat/>
    <w:rPr>
      <w:rFonts w:ascii="Courier New" w:hAnsi="Courier New" w:cs="Courier New"/>
      <w:sz w:val="20"/>
    </w:rPr>
  </w:style>
  <w:style w:type="character" w:customStyle="1" w:styleId="WW8Num42z2">
    <w:name w:val="WW8Num42z2"/>
    <w:qFormat/>
    <w:rPr>
      <w:rFonts w:ascii="Wingdings" w:hAnsi="Wingdings" w:cs="Wingdings"/>
      <w:sz w:val="20"/>
    </w:rPr>
  </w:style>
  <w:style w:type="character" w:customStyle="1" w:styleId="HeaderChar">
    <w:name w:val="Header Char"/>
    <w:qFormat/>
    <w:rPr>
      <w:rFonts w:ascii="Times New Roman" w:hAnsi="Times New Roman" w:cs="Times New Roman"/>
      <w:sz w:val="24"/>
      <w:szCs w:val="22"/>
    </w:rPr>
  </w:style>
  <w:style w:type="character" w:customStyle="1" w:styleId="FooterChar">
    <w:name w:val="Footer Char"/>
    <w:qFormat/>
    <w:rPr>
      <w:rFonts w:ascii="Times New Roman" w:hAnsi="Times New Roman" w:cs="Times New Roman"/>
      <w:sz w:val="24"/>
      <w:szCs w:val="22"/>
    </w:rPr>
  </w:style>
  <w:style w:type="character" w:customStyle="1" w:styleId="Heading1Char">
    <w:name w:val="Heading 1 Char"/>
    <w:qFormat/>
    <w:rPr>
      <w:rFonts w:ascii="Arial" w:eastAsia="Times New Roman" w:hAnsi="Arial" w:cs="Arial"/>
      <w:b/>
      <w:bCs/>
      <w:kern w:val="2"/>
      <w:szCs w:val="24"/>
    </w:rPr>
  </w:style>
  <w:style w:type="character" w:styleId="Hyperlink">
    <w:name w:val="Hyperlink"/>
    <w:rPr>
      <w:color w:val="0000FF"/>
      <w:u w:val="single"/>
    </w:rPr>
  </w:style>
  <w:style w:type="character" w:customStyle="1" w:styleId="Heading2Char">
    <w:name w:val="Heading 2 Char"/>
    <w:qFormat/>
    <w:rPr>
      <w:rFonts w:ascii="Arial" w:eastAsia="Times New Roman" w:hAnsi="Arial" w:cs="Arial"/>
      <w:b/>
      <w:bCs/>
      <w:iCs/>
      <w:szCs w:val="22"/>
    </w:rPr>
  </w:style>
  <w:style w:type="character" w:customStyle="1" w:styleId="Heading3Char">
    <w:name w:val="Heading 3 Char"/>
    <w:qFormat/>
    <w:rPr>
      <w:rFonts w:ascii="Times New Roman" w:eastAsia="Times New Roman" w:hAnsi="Times New Roman" w:cs="Times New Roman"/>
      <w:sz w:val="26"/>
      <w:szCs w:val="26"/>
    </w:rPr>
  </w:style>
  <w:style w:type="character" w:styleId="Emphasis">
    <w:name w:val="Emphasis"/>
    <w:uiPriority w:val="20"/>
    <w:qFormat/>
    <w:rPr>
      <w:i/>
      <w:iCs/>
    </w:rPr>
  </w:style>
  <w:style w:type="character" w:customStyle="1" w:styleId="Heading4Char">
    <w:name w:val="Heading 4 Char"/>
    <w:qFormat/>
    <w:rPr>
      <w:rFonts w:ascii="Aptos" w:eastAsia="Times New Roman" w:hAnsi="Aptos" w:cs="Times New Roman"/>
      <w:b/>
      <w:bCs/>
      <w:sz w:val="28"/>
      <w:szCs w:val="28"/>
    </w:rPr>
  </w:style>
  <w:style w:type="character" w:styleId="Strong">
    <w:name w:val="Strong"/>
    <w:qFormat/>
    <w:rPr>
      <w:b/>
      <w:bCs/>
    </w:rPr>
  </w:style>
  <w:style w:type="character" w:styleId="UnresolvedMention">
    <w:name w:val="Unresolved Mention"/>
    <w:qFormat/>
    <w:rPr>
      <w:color w:val="605E5C"/>
      <w:shd w:val="clear" w:color="auto" w:fill="E1DFDD"/>
    </w:rPr>
  </w:style>
  <w:style w:type="character" w:styleId="CommentReference">
    <w:name w:val="annotation reference"/>
    <w:qFormat/>
    <w:rPr>
      <w:sz w:val="16"/>
      <w:szCs w:val="16"/>
    </w:rPr>
  </w:style>
  <w:style w:type="character" w:customStyle="1" w:styleId="CommentTextChar">
    <w:name w:val="Comment Text Char"/>
    <w:qFormat/>
    <w:rPr>
      <w:rFonts w:ascii="Times New Roman" w:hAnsi="Times New Roman" w:cs="Times New Roman"/>
      <w:lang w:val="fr-FR"/>
    </w:rPr>
  </w:style>
  <w:style w:type="character" w:customStyle="1" w:styleId="CommentSubjectChar">
    <w:name w:val="Comment Subject Char"/>
    <w:qFormat/>
    <w:rPr>
      <w:rFonts w:ascii="Times New Roman" w:hAnsi="Times New Roman" w:cs="Times New Roman"/>
      <w:b/>
      <w:bCs/>
      <w:lang w:val="fr-FR"/>
    </w:rPr>
  </w:style>
  <w:style w:type="character" w:customStyle="1" w:styleId="NoSpacingChar">
    <w:name w:val="No Spacing Char"/>
    <w:qFormat/>
    <w:rPr>
      <w:rFonts w:ascii="Cambria" w:eastAsia="Times New Roman" w:hAnsi="Cambria" w:cs="Cambria"/>
      <w:lang w:val="fr-FR"/>
    </w:rPr>
  </w:style>
  <w:style w:type="character" w:styleId="PlaceholderText">
    <w:name w:val="Placeholder Text"/>
    <w:qFormat/>
    <w:rPr>
      <w:color w:val="666666"/>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next w:val="Normal"/>
    <w:qFormat/>
    <w:rPr>
      <w:b/>
      <w:bCs/>
      <w:sz w:val="20"/>
      <w:szCs w:val="20"/>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TOCHeading">
    <w:name w:val="TOC Heading"/>
    <w:basedOn w:val="Heading1"/>
    <w:next w:val="Normal"/>
    <w:qFormat/>
    <w:pPr>
      <w:keepLines/>
      <w:numPr>
        <w:numId w:val="0"/>
      </w:numPr>
      <w:spacing w:before="240" w:line="257" w:lineRule="auto"/>
      <w:jc w:val="left"/>
      <w:outlineLvl w:val="9"/>
    </w:pPr>
    <w:rPr>
      <w:rFonts w:ascii="Calibri Light" w:hAnsi="Calibri Light" w:cs="Times New Roman"/>
      <w:b w:val="0"/>
      <w:bCs w:val="0"/>
      <w:color w:val="2E74B5"/>
      <w:kern w:val="0"/>
      <w:sz w:val="32"/>
    </w:rPr>
  </w:style>
  <w:style w:type="paragraph" w:styleId="TOC1">
    <w:name w:val="toc 1"/>
    <w:basedOn w:val="Normal"/>
    <w:next w:val="Normal"/>
  </w:style>
  <w:style w:type="paragraph" w:styleId="TOC2">
    <w:name w:val="toc 2"/>
    <w:basedOn w:val="Normal"/>
    <w:next w:val="Normal"/>
    <w:pPr>
      <w:tabs>
        <w:tab w:val="right" w:leader="dot" w:pos="9062"/>
      </w:tabs>
      <w:spacing w:line="360" w:lineRule="auto"/>
      <w:ind w:left="709" w:hanging="469"/>
    </w:pPr>
  </w:style>
  <w:style w:type="paragraph" w:styleId="TOC3">
    <w:name w:val="toc 3"/>
    <w:basedOn w:val="Normal"/>
    <w:next w:val="Normal"/>
    <w:pPr>
      <w:tabs>
        <w:tab w:val="right" w:leader="dot" w:pos="9062"/>
      </w:tabs>
      <w:spacing w:line="360" w:lineRule="auto"/>
      <w:ind w:left="851" w:hanging="371"/>
    </w:pPr>
  </w:style>
  <w:style w:type="paragraph" w:styleId="TableofFigures">
    <w:name w:val="table of figures"/>
    <w:basedOn w:val="Normal"/>
    <w:next w:val="Normal"/>
    <w:qFormat/>
  </w:style>
  <w:style w:type="paragraph" w:styleId="NormalWeb">
    <w:name w:val="Normal (Web)"/>
    <w:basedOn w:val="Normal"/>
    <w:qFormat/>
    <w:pPr>
      <w:spacing w:before="280" w:after="280" w:line="240" w:lineRule="auto"/>
      <w:jc w:val="left"/>
    </w:pPr>
    <w:rPr>
      <w:rFonts w:eastAsia="Times New Roman"/>
      <w:szCs w:val="24"/>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NoSpacing">
    <w:name w:val="No Spacing"/>
    <w:basedOn w:val="Normal"/>
    <w:qFormat/>
    <w:pPr>
      <w:spacing w:after="0" w:line="240" w:lineRule="auto"/>
    </w:pPr>
    <w:rPr>
      <w:rFonts w:ascii="Cambria" w:eastAsia="Times New Roman" w:hAnsi="Cambria" w:cs="Cambria"/>
      <w:sz w:val="20"/>
      <w:szCs w:val="20"/>
    </w:rPr>
  </w:style>
  <w:style w:type="paragraph" w:styleId="Revision">
    <w:name w:val="Revision"/>
    <w:qFormat/>
    <w:pPr>
      <w:suppressAutoHyphens/>
    </w:pPr>
    <w:rPr>
      <w:rFonts w:ascii="Times New Roman" w:eastAsia="Calibri" w:hAnsi="Times New Roman" w:cs="Times New Roman"/>
      <w:sz w:val="24"/>
      <w:szCs w:val="22"/>
      <w:lang w:val="fr-FR"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paragraph" w:customStyle="1" w:styleId="pdq2pgselectionanchorcontainer">
    <w:name w:val="pdq2pg_selectionanchorcontainer"/>
    <w:basedOn w:val="Normal"/>
    <w:rsid w:val="00CA1794"/>
    <w:pPr>
      <w:suppressAutoHyphens w:val="0"/>
      <w:spacing w:before="100" w:beforeAutospacing="1" w:after="100" w:afterAutospacing="1" w:line="240" w:lineRule="auto"/>
      <w:jc w:val="left"/>
    </w:pPr>
    <w:rPr>
      <w:rFonts w:eastAsia="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struiknature.co.za/product/fg-frogs-other-amphibians-of-africa/?utm_source=chatgpt.com" TargetMode="External"/><Relationship Id="rId26" Type="http://schemas.openxmlformats.org/officeDocument/2006/relationships/hyperlink" Target="https://www.biodiversitylibrary.org/part/383270?utm_source=chatgpt.com" TargetMode="External"/><Relationship Id="rId39" Type="http://schemas.openxmlformats.org/officeDocument/2006/relationships/header" Target="header2.xml"/><Relationship Id="rId21" Type="http://schemas.openxmlformats.org/officeDocument/2006/relationships/hyperlink" Target="https://doi.org/10.5531/db.vz.0001" TargetMode="External"/><Relationship Id="rId34" Type="http://schemas.openxmlformats.org/officeDocument/2006/relationships/hyperlink" Target="https://www.press.uillinois.edu/books/?id=p725487&amp;utm_source=chatgpt.com"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93/iob/obaf028" TargetMode="External"/><Relationship Id="rId20" Type="http://schemas.openxmlformats.org/officeDocument/2006/relationships/hyperlink" Target="https://doi.org/10.1093/oso/9780199541188.001.0001" TargetMode="External"/><Relationship Id="rId29" Type="http://schemas.openxmlformats.org/officeDocument/2006/relationships/hyperlink" Target="https://doi.org/10.1038/nature1432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yperlink" Target="https://www.iucnredlist.org/" TargetMode="External"/><Relationship Id="rId32" Type="http://schemas.openxmlformats.org/officeDocument/2006/relationships/hyperlink" Target="https://amphibian-reptile-conservation.org/pdfs/Volume/Vol_16_no_1/ARC_16_1_%5BGeneral_Section%5D_1-13_e298.pdf?utm_source=chatgpt.co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ortals.iucn.org/library/node/8523?utm_source=chatgpt.com" TargetMode="External"/><Relationship Id="rId23" Type="http://schemas.openxmlformats.org/officeDocument/2006/relationships/hyperlink" Target="https://doi.org/10.1139/f03-095" TargetMode="External"/><Relationship Id="rId28" Type="http://schemas.openxmlformats.org/officeDocument/2006/relationships/hyperlink" Target="https://www.traffic.org/site/assets/files/2988/traffic_pub_bulletin_22_3.pdf?utm_source=chatgpt.com" TargetMode="External"/><Relationship Id="rId36" Type="http://schemas.openxmlformats.org/officeDocument/2006/relationships/hyperlink" Target="https://press.uchicago.edu/ucp/books/book/chicago/E/bo5298950.html?utm_source=chatgpt.com" TargetMode="External"/><Relationship Id="rId10" Type="http://schemas.openxmlformats.org/officeDocument/2006/relationships/image" Target="media/image4.png"/><Relationship Id="rId19" Type="http://schemas.openxmlformats.org/officeDocument/2006/relationships/hyperlink" Target="https://www.robertkcolwell.org/pages/estimates?utm_source=chatgpt.com" TargetMode="External"/><Relationship Id="rId31" Type="http://schemas.openxmlformats.org/officeDocument/2006/relationships/hyperlink" Target="https://doi.org/10.1111/geb.1257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archimer.ifremer.fr/doc/00246/35752/?utm_source=chatgpt.com" TargetMode="External"/><Relationship Id="rId22" Type="http://schemas.openxmlformats.org/officeDocument/2006/relationships/hyperlink" Target="https://pubs.usgs.gov/publication/5200175?utm_source=chatgpt.com" TargetMode="External"/><Relationship Id="rId27" Type="http://schemas.openxmlformats.org/officeDocument/2006/relationships/hyperlink" Target="https://doi.org/10.1038/s41586-023-06578-4" TargetMode="External"/><Relationship Id="rId30" Type="http://schemas.openxmlformats.org/officeDocument/2006/relationships/hyperlink" Target="https://doi.org/10.1073/pnas.1714891115" TargetMode="External"/><Relationship Id="rId35" Type="http://schemas.openxmlformats.org/officeDocument/2006/relationships/hyperlink" Target="https://doi.org/10.1111/j.1469-185X.2011.00216.x"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hyperlink" Target="https://revues.cirad.fr/index.php/cahiers-agricultures/article/view/30548?utm_source=chatgpt.com" TargetMode="External"/><Relationship Id="rId25" Type="http://schemas.openxmlformats.org/officeDocument/2006/relationships/hyperlink" Target="https://doi.org/10.1007/s10457-014-9698-1" TargetMode="External"/><Relationship Id="rId33" Type="http://schemas.openxmlformats.org/officeDocument/2006/relationships/hyperlink" Target="https://amphibiansoftheworld.amnh.org/Bibliography/R/Roedel-2000-Herpetofauna-W.-Afr.-1?utm_source=chatgpt.com" TargetMode="External"/><Relationship Id="rId38"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10066</TotalTime>
  <Pages>18</Pages>
  <Words>6652</Words>
  <Characters>37923</Characters>
  <Application>Microsoft Office Word</Application>
  <DocSecurity>0</DocSecurity>
  <Lines>316</Lines>
  <Paragraphs>88</Paragraphs>
  <ScaleCrop>false</ScaleCrop>
  <Company/>
  <LinksUpToDate>false</LinksUpToDate>
  <CharactersWithSpaces>44487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KANGPHIL</dc:creator>
  <cp:keywords/>
  <dc:description/>
  <cp:lastModifiedBy>SDI CPU 1117</cp:lastModifiedBy>
  <cp:revision>36</cp:revision>
  <cp:lastPrinted>2026-07-02T09:35:00Z</cp:lastPrinted>
  <dcterms:created xsi:type="dcterms:W3CDTF">2026-06-19T13:04:00Z</dcterms:created>
  <dcterms:modified xsi:type="dcterms:W3CDTF">2026-07-11T07:04:00Z</dcterms:modified>
  <dc:language>en-US</dc:language>
</cp:coreProperties>
</file>