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E533" w14:textId="77777777" w:rsidR="002E5CAB" w:rsidRPr="002E5CAB" w:rsidRDefault="002E5CAB" w:rsidP="00AC0E27">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2E5CAB">
        <w:rPr>
          <w:rFonts w:ascii="Times New Roman" w:eastAsia="Times New Roman" w:hAnsi="Times New Roman" w:cs="Times New Roman"/>
          <w:b/>
          <w:bCs/>
          <w:i/>
          <w:iCs/>
          <w:sz w:val="36"/>
          <w:szCs w:val="36"/>
          <w:u w:val="single"/>
          <w:lang w:val="en-US" w:eastAsia="en-GB"/>
        </w:rPr>
        <w:t>Review Article</w:t>
      </w:r>
    </w:p>
    <w:p w14:paraId="659B251D" w14:textId="77777777" w:rsidR="00C65699" w:rsidRPr="00AC0E27" w:rsidRDefault="00C65699" w:rsidP="00AC0E27">
      <w:pPr>
        <w:spacing w:before="100" w:beforeAutospacing="1" w:after="100" w:afterAutospacing="1" w:line="240" w:lineRule="auto"/>
        <w:jc w:val="both"/>
        <w:outlineLvl w:val="1"/>
        <w:rPr>
          <w:rFonts w:ascii="Times New Roman" w:eastAsia="Times New Roman" w:hAnsi="Times New Roman" w:cs="Times New Roman"/>
          <w:b/>
          <w:bCs/>
          <w:sz w:val="28"/>
          <w:szCs w:val="28"/>
          <w:lang w:eastAsia="en-GB"/>
        </w:rPr>
      </w:pPr>
      <w:r w:rsidRPr="00AC0E27">
        <w:rPr>
          <w:rFonts w:ascii="Times New Roman" w:eastAsia="Times New Roman" w:hAnsi="Times New Roman" w:cs="Times New Roman"/>
          <w:b/>
          <w:bCs/>
          <w:sz w:val="28"/>
          <w:szCs w:val="28"/>
          <w:lang w:eastAsia="en-GB"/>
        </w:rPr>
        <w:t>Zoos and Aquariums as Socio-Ecological Testbeds: Technological Pathways for Climate Change Mitigation and Sustainable Development in Indian and Global Contexts</w:t>
      </w:r>
    </w:p>
    <w:p w14:paraId="0BEBC791"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Abstract</w:t>
      </w:r>
    </w:p>
    <w:p w14:paraId="6F53CD14"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Zoos and aquariums have moved well beyond their historical role as menageries of curiosity. They now operate as composite institutions in which conservation science, public education, animal welfare and urban land management converge. This review examines the claim that zoos and aquariums function as socio-ecological testbeds: living laboratories where technological innovation is trialled, evaluated and diffused in ways that bear directly on climate change mitigation and the wider sustainable development agenda. Drawing on a narrative synthesis of recent peer-reviewed literature, the article follows four interlocking technological pathways. The first concerns genetic and reproductive biotechnologies, including </w:t>
      </w:r>
      <w:proofErr w:type="spellStart"/>
      <w:r w:rsidRPr="00C65699">
        <w:rPr>
          <w:rFonts w:ascii="Times New Roman" w:eastAsia="Times New Roman" w:hAnsi="Times New Roman" w:cs="Times New Roman"/>
          <w:sz w:val="24"/>
          <w:szCs w:val="24"/>
          <w:lang w:eastAsia="en-GB"/>
        </w:rPr>
        <w:t>cryobanking</w:t>
      </w:r>
      <w:proofErr w:type="spellEnd"/>
      <w:r w:rsidRPr="00C65699">
        <w:rPr>
          <w:rFonts w:ascii="Times New Roman" w:eastAsia="Times New Roman" w:hAnsi="Times New Roman" w:cs="Times New Roman"/>
          <w:sz w:val="24"/>
          <w:szCs w:val="24"/>
          <w:lang w:eastAsia="en-GB"/>
        </w:rPr>
        <w:t>, assisted reproduction, genome editing and environmental DNA surveillance, which extend the reach of ex situ conservation as habitat loss accelerates. The second concerns digital and computational technologies, spanning artificial intelligence-assisted monitoring, immersive visitor experiences and behaviour-change communication, which reshape how institutions generate evidence and engage the public on climate science. The third concerns operational sustainability: renewable energy adoption, circular waste-to-energy systems and green infrastructure, each delivering direct mitigation benefits alongside habitat for free-ranging urban biodiversity. The fourth situates these pathways within India, where the Central Zoo Authority's regulatory architecture, conservation breeding programmes and emerging Vision Plan illustrate both the promise and the constraints of technological uptake in a resource-constrained, biodiversity-rich setting. Throughout, the review attends to governance gaps, equity concerns and unresolved debates about the educational efficacy of zoo-based interventions, arguing that technological capability alone cannot substitute for institutional reform, international cooperation and sustained investment in the Global South. The article concludes that zoos and aquariums, while no substitute for in situ conservation or systemic decarbonisation, constitute an underappreciated node within the global sustainability infrastructure, one whose testbed function merits closer integration into national biodiversity and climate strategies.</w:t>
      </w:r>
    </w:p>
    <w:p w14:paraId="7CEF7C70"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Keywords:</w:t>
      </w:r>
      <w:r w:rsidRPr="00C65699">
        <w:rPr>
          <w:rFonts w:ascii="Times New Roman" w:eastAsia="Times New Roman" w:hAnsi="Times New Roman" w:cs="Times New Roman"/>
          <w:sz w:val="24"/>
          <w:szCs w:val="24"/>
          <w:lang w:eastAsia="en-GB"/>
        </w:rPr>
        <w:t xml:space="preserve"> zoos and aquariums; climate change mitigation; ex situ conservation; conservation technology; sustainable development; Indian zoos; socio-ecological systems</w:t>
      </w:r>
    </w:p>
    <w:p w14:paraId="0A85BE6A"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47E6A75F"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 Introduction</w:t>
      </w:r>
    </w:p>
    <w:p w14:paraId="76AFD08F"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1.1 Zoos and aquariums in the Anthropocene: from menageries to conservation institutions</w:t>
      </w:r>
    </w:p>
    <w:p w14:paraId="51E0F11D"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Few institutions have reinvented themselves as thoroughly over the past century as the zoological garden. What began as a space organised around novelty and spectacle has become a multifunctional entity charged with conservation breeding, scientific research, public education and, increasingly, sustainability leadership (Beer et al., 2023). The shift has </w:t>
      </w:r>
      <w:r w:rsidRPr="00C65699">
        <w:rPr>
          <w:rFonts w:ascii="Times New Roman" w:eastAsia="Times New Roman" w:hAnsi="Times New Roman" w:cs="Times New Roman"/>
          <w:sz w:val="24"/>
          <w:szCs w:val="24"/>
          <w:lang w:eastAsia="en-GB"/>
        </w:rPr>
        <w:lastRenderedPageBreak/>
        <w:t xml:space="preserve">not been smooth or complete. Many early twentieth-century zoos retained the menagerie ethos well into living memory, displaying exotic fauna with little systematic attention to genetic management or habitat representation. It was the professionalisation of zoo biology from the 1970s onward, with the rise of studbooks, species survival planning and formal accreditation, that recast these institutions as custodians of "insurance populations" for species facing mounting extinction risk (Conde et al., 2011). More recently, commentators have questioned whether the traditional four pillars of conservation, education, research and recreation still capture what a modern zoo actually does, proposing that animal and visitor wellbeing be recognised as a fifth aim running through all the others (Rose &amp; Riley, 2022). This broadening mandate has unfolded alongside a growing recognition that zoos and aquariums, despite occupying a modest collective land footprint, reach several hundred million visitors each year and so sit in an unusually privileged position from which to model, communicate and act on global environmental change (Miranda et al., </w:t>
      </w:r>
      <w:r w:rsidR="008C5E8C">
        <w:rPr>
          <w:rFonts w:ascii="Times New Roman" w:eastAsia="Times New Roman" w:hAnsi="Times New Roman" w:cs="Times New Roman"/>
          <w:sz w:val="24"/>
          <w:szCs w:val="24"/>
          <w:lang w:eastAsia="en-GB"/>
        </w:rPr>
        <w:t>2023</w:t>
      </w:r>
      <w:r w:rsidRPr="00C65699">
        <w:rPr>
          <w:rFonts w:ascii="Times New Roman" w:eastAsia="Times New Roman" w:hAnsi="Times New Roman" w:cs="Times New Roman"/>
          <w:sz w:val="24"/>
          <w:szCs w:val="24"/>
          <w:lang w:eastAsia="en-GB"/>
        </w:rPr>
        <w:t>).</w:t>
      </w:r>
      <w:r>
        <w:rPr>
          <w:rFonts w:ascii="Times New Roman" w:hAnsi="Times New Roman"/>
          <w:b/>
          <w:sz w:val="24"/>
          <w:highlight w:val="yellow"/>
        </w:rPr>
        <w:t xml:space="preserve"> </w:t>
      </w:r>
      <w:r w:rsidRPr="00AC0E27">
        <w:rPr>
          <w:rFonts w:ascii="Times New Roman" w:hAnsi="Times New Roman"/>
          <w:bCs/>
          <w:sz w:val="24"/>
          <w:highlight w:val="yellow"/>
        </w:rPr>
        <w:t>Recent conservation-genetics work further supports this expanded role by showing how zoos, natural history collections and local sequencing infrastructure can form decentralised networks for research and wildlife-management decisions in the Global South (Chavez et al., 2026).</w:t>
      </w:r>
    </w:p>
    <w:p w14:paraId="3D8EC66B"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1.2 Climate change as a compounding pressure on ex situ collections and missions</w:t>
      </w:r>
    </w:p>
    <w:p w14:paraId="295ECB64"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change touches the zoo and aquarium sector in at least three distinct ways. First, it threatens the viability of captive collections directly: shifting temperature and humidity regimes strain husbandry systems built for a more stable climatic baseline, pushing institutions to redesign enclosures, retrofit climate control and reconsider which species they can responsibly hold (Beer et al., 2023). Second, it sharpens the urgency of the conservation function zoos perform on behalf of wild populations, since many species held in trust through conservation breeding programmes are losing habitat to climate-driven range shifts, sea-level rise and altered disturbance regimes at the same time. This dynamic is nowhere starker than in the deteriorating condition of coral reef ecosystems, which public aquaria both depict and, in some cases, actively work to restore (Suggett &amp; van Oppen, 2022). Third, climate change has become unavoidable in the public education work of these institutions, which are now expected to translate complex Earth-system science into messaging accessible and emotionally resonant enough to shift visitor attitudes and behaviour (Grajal et al., 2017). The Intergovernmental Panel on Climate Change has been blunt about the stakes, stressing that climate, ecosystems, biodiversity and human societies are so interdependent that responses confined to a single sector will not suffice (Intergovernmental Panel on Climate Change, 2023). That framing lends real institutional urgency to the question this review asks: what role, credibly, can zoos and aquariums play within such an integrated response?</w:t>
      </w:r>
      <w:r>
        <w:rPr>
          <w:rFonts w:ascii="Times New Roman" w:hAnsi="Times New Roman"/>
          <w:b/>
          <w:sz w:val="24"/>
          <w:highlight w:val="yellow"/>
        </w:rPr>
        <w:t xml:space="preserve"> </w:t>
      </w:r>
      <w:r w:rsidRPr="00AC0E27">
        <w:rPr>
          <w:rFonts w:ascii="Times New Roman" w:hAnsi="Times New Roman"/>
          <w:bCs/>
          <w:sz w:val="24"/>
          <w:highlight w:val="yellow"/>
        </w:rPr>
        <w:t>Recent occupancy research in a fragmented Indian wildlife sanctuary also underlines that habitat fragmentation and human disturbance require landscape-level management, reinforcing that ex situ programmes should complement rather than replace in situ conservation action (Pawar &amp; Mule, 2026).</w:t>
      </w:r>
    </w:p>
    <w:p w14:paraId="34AD90F9"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1.3 The socio-ecological testbed concept: technology, governance and publics</w:t>
      </w:r>
    </w:p>
    <w:p w14:paraId="019F6B8A" w14:textId="77777777" w:rsidR="00C65699" w:rsidRPr="00AC0E27" w:rsidRDefault="00C65699" w:rsidP="00AC0E27">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C65699">
        <w:rPr>
          <w:rFonts w:ascii="Times New Roman" w:eastAsia="Times New Roman" w:hAnsi="Times New Roman" w:cs="Times New Roman"/>
          <w:sz w:val="24"/>
          <w:szCs w:val="24"/>
          <w:lang w:eastAsia="en-GB"/>
        </w:rPr>
        <w:t xml:space="preserve">This review uses the term socio-ecological testbed to describe a bounded institutional space in which technological, behavioural and governance innovations can be trialled at a manageable scale before, or alongside, deployment in wider ecological or societal systems. Zoos and aquariums have several features that suit this function particularly well. They combine controlled physical infrastructure with living biological systems, making it possible to experiment with genetic and reproductive technologies that would be logistically or </w:t>
      </w:r>
      <w:r w:rsidRPr="00C65699">
        <w:rPr>
          <w:rFonts w:ascii="Times New Roman" w:eastAsia="Times New Roman" w:hAnsi="Times New Roman" w:cs="Times New Roman"/>
          <w:sz w:val="24"/>
          <w:szCs w:val="24"/>
          <w:lang w:eastAsia="en-GB"/>
        </w:rPr>
        <w:lastRenderedPageBreak/>
        <w:t>ethically untenable to attempt in wild populations (Pritchard et al., 2012). They host concentrated, often repeat-visiting publics whose attitudes and behaviour can be measured and influenced through structured interpretive programming, building an evidence base for conservation psychology and climate communication that would be hard to assemble at comparable scale anywhere else (McNally et al., 2025). And they operate as discrete, identifiable consumers of energy and resources, meaning their retrofitting with renewable energy, circular waste systems and green infrastructure can be documented, evaluated and copied by comparable institutions, including municipal authorities managing similar green spaces nearby (Tin et al., 2024). The testbed function, though, is socio-ecological rather than purely technological: outcomes hinge as much on staff training, visitor psychology, institutional governance and international policy alignment as on the underlying hardware or biological technique — a point this review returns to explicitly in its closing sections.</w:t>
      </w:r>
      <w:r>
        <w:rPr>
          <w:rFonts w:ascii="Times New Roman" w:hAnsi="Times New Roman"/>
          <w:b/>
          <w:sz w:val="24"/>
          <w:highlight w:val="yellow"/>
        </w:rPr>
        <w:t xml:space="preserve"> </w:t>
      </w:r>
      <w:r w:rsidRPr="00AC0E27">
        <w:rPr>
          <w:rFonts w:ascii="Times New Roman" w:hAnsi="Times New Roman"/>
          <w:bCs/>
          <w:sz w:val="24"/>
          <w:highlight w:val="yellow"/>
        </w:rPr>
        <w:t>Recent urban green-infrastructure literature similarly frames parks, urban forests and permeable landscapes as climate adaptation and mitigation assets, strengthening the rationale for treating zoo green spaces as visible sustainability infrastructure (Mondal et al., 2025). A recent systematic review of connection-to-nature research in zoos also indicates that visitor-facing sustainability claims require stronger cross-institutional evaluation, particularly outside Western settings (Kleespies &amp; Dierkes, 2026).</w:t>
      </w:r>
    </w:p>
    <w:p w14:paraId="5BED40C2" w14:textId="77777777" w:rsidR="00C65699" w:rsidRPr="00AC0E27" w:rsidRDefault="00C65699" w:rsidP="00AC0E27">
      <w:pPr>
        <w:spacing w:before="100" w:beforeAutospacing="1" w:after="100" w:afterAutospacing="1" w:line="240" w:lineRule="auto"/>
        <w:jc w:val="both"/>
        <w:outlineLvl w:val="3"/>
        <w:rPr>
          <w:rFonts w:ascii="Times New Roman" w:eastAsia="Times New Roman" w:hAnsi="Times New Roman" w:cs="Times New Roman"/>
          <w:bCs/>
          <w:sz w:val="24"/>
          <w:szCs w:val="24"/>
          <w:lang w:eastAsia="en-GB"/>
        </w:rPr>
      </w:pPr>
      <w:r w:rsidRPr="00AC0E27">
        <w:rPr>
          <w:rFonts w:ascii="Times New Roman" w:hAnsi="Times New Roman"/>
          <w:bCs/>
          <w:sz w:val="24"/>
          <w:highlight w:val="yellow"/>
        </w:rPr>
        <w:t>However, the reviewed literature remains uneven in linking these biological, digital and infrastructural pathways within a single analytic frame, particularly for India, where zoo governance, resource constraints and climate-resilience expectations intersect. This gap justifies a focused synthesis that treats zoos and aquariums not only as conservation institutions but also as bounded sites where technology, public engagement and sustainable operations can be examined together.</w:t>
      </w:r>
    </w:p>
    <w:p w14:paraId="3CF1019F" w14:textId="6131D992"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 xml:space="preserve">1.4 Scope and objectives </w:t>
      </w:r>
    </w:p>
    <w:p w14:paraId="37DA3216"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This review examines the technological pathways through which zoos and aquariums contribute, or might more fully contribute, to climate change mitigation and sustainable development, paying particular attention to the contrast between high-resource institutional settings typical of North America, Europe and Australasia and the resource-constrained but biodiversity-rich setting of India. The discussion is organised around four substantive domains: genetic and reproductive biotechnologies; digital and computational technologies for monitoring and engagement; marine and coral-focused technologies situated within aquaria; and operational sustainability measures including renewable energy, circular resource flows and green infrastructure. Within each domain, the review synthesises recent empirical and conceptual literature, weighs the strength and limits of the existing evidence, and considers what follows for policy and institutional practice. A dedicated section turns to the Indian context specifically, examining the regulatory architecture of the Central Zoo Authority, documented conservation breeding outcomes and the structural barriers to technological scaling in a developing-country setting. A further section addresses governance, ethical and effectiveness debates that temper enthusiasm for technological solutions, before the review proposes an integrated framework for understanding zoos and aquariums as socio-ecological testbeds. The aim throughout is not to advocate uncritically for any one technology, but to give a measured, evidence-grounded account of where genuine mitigation and sustainable development value has been demonstrated, where the claims remain provisional, and where institutional and policy gaps most urgently need attention.</w:t>
      </w:r>
    </w:p>
    <w:p w14:paraId="48C0529A"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152DCB45"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lastRenderedPageBreak/>
        <w:t>2. Methods for Literature Selection</w:t>
      </w:r>
    </w:p>
    <w:p w14:paraId="18DBCA12"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This review adopted a narrative rather than a systematic review methodology, for reasons worth stating plainly. The subject matter cuts across an unusually wide range of disciplines — conservation biology, reproductive physiology, computer science, environmental psychology, energy engineering and public policy — none of which share outcome metrics or study designs amenable to formal meta-analytic pooling. Narrative review is recognised in the methodological literature as the better-suited approach when the goal is to integrate conceptually disparate strands of evidence into a coherent interpretive account, rather than to produce a single quantitative effect estimate, and when the intended contribution is an organising framework rather than an exhaustive catalogue of every primary study (Snyder, 2019). A systematic review protocol, by contrast, works best for a narrowly defined question with comparable outcome measures across studies — a condition this topic does not meet, given that it deliberately spans biotechnology, digital innovation, energy systems and conservation governance across both global and Indian institutional settings.</w:t>
      </w:r>
    </w:p>
    <w:p w14:paraId="42E3CA43" w14:textId="798D7BEB"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The search drew on four general-purpose databases — Web of Science, Scopus, Google Scholar and PubMed — supplemented by six field-specific bibliographic and abstracting resources chosen for their relevance to zoology, conservation science and environmental management: CAB Abstracts, BIOSIS Previews, Zoological Record, AGRICOLA, </w:t>
      </w:r>
      <w:proofErr w:type="spellStart"/>
      <w:r w:rsidRPr="00C65699">
        <w:rPr>
          <w:rFonts w:ascii="Times New Roman" w:eastAsia="Times New Roman" w:hAnsi="Times New Roman" w:cs="Times New Roman"/>
          <w:sz w:val="24"/>
          <w:szCs w:val="24"/>
          <w:lang w:eastAsia="en-GB"/>
        </w:rPr>
        <w:t>GreenFILE</w:t>
      </w:r>
      <w:proofErr w:type="spellEnd"/>
      <w:r w:rsidRPr="00C65699">
        <w:rPr>
          <w:rFonts w:ascii="Times New Roman" w:eastAsia="Times New Roman" w:hAnsi="Times New Roman" w:cs="Times New Roman"/>
          <w:sz w:val="24"/>
          <w:szCs w:val="24"/>
          <w:lang w:eastAsia="en-GB"/>
        </w:rPr>
        <w:t xml:space="preserve"> and Wildlife and Ecology Studies Worldwide. The search covered literature published between January 2015 and </w:t>
      </w:r>
      <w:r w:rsidR="00E109D1">
        <w:rPr>
          <w:rFonts w:ascii="Times New Roman" w:eastAsia="Times New Roman" w:hAnsi="Times New Roman" w:cs="Times New Roman"/>
          <w:sz w:val="24"/>
          <w:szCs w:val="24"/>
          <w:lang w:eastAsia="en-GB"/>
        </w:rPr>
        <w:t>February</w:t>
      </w:r>
      <w:r w:rsidRPr="00C65699">
        <w:rPr>
          <w:rFonts w:ascii="Times New Roman" w:eastAsia="Times New Roman" w:hAnsi="Times New Roman" w:cs="Times New Roman"/>
          <w:sz w:val="24"/>
          <w:szCs w:val="24"/>
          <w:lang w:eastAsia="en-GB"/>
        </w:rPr>
        <w:t xml:space="preserve"> 2026. The year 2015 was chosen as the starting point because it coincides with the adoption of the Sustainable Development Goals and immediately precedes the period in which institutional attention within the zoo and aquarium sector to climate resilience, conservation technology and sustainability reporting intensified noticeably; this window therefore captures the period over which the pathways examined in this review matured from isolated pilot projects into recognisable institutional practice. Search strings combined population terms ("zoo*" OR "aquarium*" OR "zoological park*" OR "wildlife park*") with intervention or topic terms ("climate change" OR "climate mitigation" OR "carbon" OR "renewable energy" OR "biobank*" OR "cryopreservation" OR "artificial intelligence" OR "environmental DNA" OR "virtual reality" OR "sustainable development" OR "biodiversity conservation"), using Boolean operators appropriate to each database's syntax. A small number of classic studies predating 2015 were retained where they remain the primary methodological or conceptual reference point for a given technique, consistent with the brief's allowance for older literature to supplement, rather than substitute for, the contemporary evidence base.</w:t>
      </w:r>
    </w:p>
    <w:p w14:paraId="37D34F3F"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Screening proceeded in two stages. Titles and abstracts were first reviewed to exclude clearly irrelevant records, after which full texts of provisionally relevant items were checked against explicit inclusion and exclusion criteria. Eligible studies were peer-reviewed primary research articles, systematic or narrative reviews, and meta-analyses published in English, together with a small number of authoritative institutional reports issued by recognised intergovernmental bodies where no peer-reviewed equivalent existed and a verifiable web address could be supplied. Excluded categories comprised books and book chapters, grey literature, conference proceedings and abstracts, trade or popular-press magazine articles, preprints not subsequently published in a peer-reviewed venue, and patents. Duplicate records identified across databases were consolidated using bibliographic management software before screening began, and the reference lists of key review articles were hand-searched to pick up additional eligible studies the electronic search strings had missed — a step that proved particularly useful for locating Indian-context literature underrepresented in </w:t>
      </w:r>
      <w:r w:rsidRPr="00C65699">
        <w:rPr>
          <w:rFonts w:ascii="Times New Roman" w:eastAsia="Times New Roman" w:hAnsi="Times New Roman" w:cs="Times New Roman"/>
          <w:sz w:val="24"/>
          <w:szCs w:val="24"/>
          <w:lang w:eastAsia="en-GB"/>
        </w:rPr>
        <w:lastRenderedPageBreak/>
        <w:t>the larger international databases. Influential studies were identified through a combination of citation count, recency, methodological rigour and the degree to which a study was repeatedly cited as a foundational reference within the retrieved corpus itself, rather than through any single numerical threshold. No language restriction beyond English was imposed at the search stage, though in practice the retrieved corpus skewed heavily toward English-language publication — a limitation acknowledged later in this review.</w:t>
      </w:r>
    </w:p>
    <w:p w14:paraId="4093F4BC"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0720A9C4"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3. The Evolving Mandate of Zoos and Aquariums: From Menagerie to Mitigation Partner</w:t>
      </w:r>
    </w:p>
    <w:p w14:paraId="0B1D7309"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3.1 Historical trajectory and the expanding institutional remit</w:t>
      </w:r>
    </w:p>
    <w:p w14:paraId="03D2E7E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How zoos see themselves professionally has shifted markedly over the past three decades, moving from an emphasis on display and recreation toward an integrated conservation, education, research and welfare mandate (Beer et al., 2023). This shift has come with growing scholarly insistence that the societal value of the modern zoo runs well beyond entertainment, reaching into measurable contributions to local community wellbeing, urban biodiversity, scientific literacy and, increasingly, sustainability leadership (Greenwell et al., 2023). Others have pushed back, warning that the traditional four-pillar framework risks becoming a rhetorical justification rather than a rigorously evidenced claim, and calling for a renewed model in which zoos demonstrate, rather than simply assert, their value to both species and society (Spooner et al., 2023). It is within this contested but evolving self-understanding that the question of technological contribution to climate mitigation and sustainable development needs to be placed: technology is not pursued for its own sake here, but as the instrument through which an already broadening mandate gets put into practice.</w:t>
      </w:r>
    </w:p>
    <w:p w14:paraId="4D175545"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 xml:space="preserve">3.2 </w:t>
      </w:r>
      <w:proofErr w:type="gramStart"/>
      <w:r w:rsidRPr="00C65699">
        <w:rPr>
          <w:rFonts w:ascii="Times New Roman" w:eastAsia="Times New Roman" w:hAnsi="Times New Roman" w:cs="Times New Roman"/>
          <w:b/>
          <w:bCs/>
          <w:sz w:val="24"/>
          <w:szCs w:val="24"/>
          <w:lang w:eastAsia="en-GB"/>
        </w:rPr>
        <w:t>Aligning zoo</w:t>
      </w:r>
      <w:proofErr w:type="gramEnd"/>
      <w:r w:rsidRPr="00C65699">
        <w:rPr>
          <w:rFonts w:ascii="Times New Roman" w:eastAsia="Times New Roman" w:hAnsi="Times New Roman" w:cs="Times New Roman"/>
          <w:b/>
          <w:bCs/>
          <w:sz w:val="24"/>
          <w:szCs w:val="24"/>
          <w:lang w:eastAsia="en-GB"/>
        </w:rPr>
        <w:t xml:space="preserve"> and aquarium functions with global biodiversity and climate frameworks</w:t>
      </w:r>
    </w:p>
    <w:p w14:paraId="132F156E"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adoption of the Kunming-Montreal Global Biodiversity Framework at the fifteenth Conference of the Parties to the Convention on Biological Diversity in December 2022 gave zoos and aquariums an explicit international reference point against which their conservation, educational and operational work can now be benchmarked (Convention on Biological Diversity, 2022). The framework's targets on species recovery, genetic diversity, urban green infrastructure and public awareness map onto functions zoos already perform with notable precision — a correspondence documented in detail for the Indian zoo network, where conservation breeding programmes, designated green areas and visitor education initiatives were found to align with specific Global Biodiversity Framework targets even though many of the underlying programmes predate the framework itself (Gupta et al., 2025). This matters for the present review because it shows that the technological pathways examined below are not freestanding curiosities but instruments through which institutions discharge obligations increasingly written into international biodiversity and climate governance.</w:t>
      </w:r>
    </w:p>
    <w:p w14:paraId="1055DCE1"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 related body of work has looked at how the system-level allocation of conservation resources across zoo collections interacts with visitor attendance and in situ conservation outcomes, finding that institutional choices about which species to hold and breed carry consequences for both public engagement and the global distribution of ex situ conservation effort (Mooney et al., 2020). In a similar vein, coordinated biodiversity education campaigns </w:t>
      </w:r>
      <w:r w:rsidRPr="00C65699">
        <w:rPr>
          <w:rFonts w:ascii="Times New Roman" w:eastAsia="Times New Roman" w:hAnsi="Times New Roman" w:cs="Times New Roman"/>
          <w:sz w:val="24"/>
          <w:szCs w:val="24"/>
          <w:lang w:eastAsia="en-GB"/>
        </w:rPr>
        <w:lastRenderedPageBreak/>
        <w:t>run across multiple institutions have produced measurable shifts in visitor understanding of biodiversity loss, reinforcing the point that zoos function as a distributed network capable of synchronised, large-scale public communication in a way few other conservation actors can match (Moss et al., 2017). Table 1 summarises how core institutional functions correspond to international framework targets and indicates the principal technological or programmatic pathway through which each function is increasingly delivered.</w:t>
      </w:r>
    </w:p>
    <w:p w14:paraId="490754E4"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1. Alignment of contemporary zoo and aquarium functions with international biodiversity and climate frameworks</w:t>
      </w:r>
    </w:p>
    <w:tbl>
      <w:tblPr>
        <w:tblStyle w:val="TableGrid"/>
        <w:tblW w:w="0" w:type="auto"/>
        <w:tblLook w:val="04A0" w:firstRow="1" w:lastRow="0" w:firstColumn="1" w:lastColumn="0" w:noHBand="0" w:noVBand="1"/>
      </w:tblPr>
      <w:tblGrid>
        <w:gridCol w:w="2823"/>
        <w:gridCol w:w="3060"/>
        <w:gridCol w:w="3359"/>
      </w:tblGrid>
      <w:tr w:rsidR="00C65699" w:rsidRPr="00C65699" w14:paraId="104F8F2A" w14:textId="77777777" w:rsidTr="008C5E8C">
        <w:tc>
          <w:tcPr>
            <w:tcW w:w="0" w:type="auto"/>
            <w:hideMark/>
          </w:tcPr>
          <w:p w14:paraId="39508EAA"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Institutional function</w:t>
            </w:r>
          </w:p>
        </w:tc>
        <w:tc>
          <w:tcPr>
            <w:tcW w:w="0" w:type="auto"/>
            <w:hideMark/>
          </w:tcPr>
          <w:p w14:paraId="627DCF72"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Illustrative framework alignment</w:t>
            </w:r>
          </w:p>
        </w:tc>
        <w:tc>
          <w:tcPr>
            <w:tcW w:w="0" w:type="auto"/>
            <w:hideMark/>
          </w:tcPr>
          <w:p w14:paraId="0F8C3164"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Principal technological or programmatic pathway</w:t>
            </w:r>
          </w:p>
        </w:tc>
      </w:tr>
      <w:tr w:rsidR="00C65699" w:rsidRPr="00C65699" w14:paraId="151E3249" w14:textId="77777777" w:rsidTr="008C5E8C">
        <w:tc>
          <w:tcPr>
            <w:tcW w:w="0" w:type="auto"/>
            <w:hideMark/>
          </w:tcPr>
          <w:p w14:paraId="5733FCD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Conservation breeding and genetic management</w:t>
            </w:r>
          </w:p>
        </w:tc>
        <w:tc>
          <w:tcPr>
            <w:tcW w:w="0" w:type="auto"/>
            <w:hideMark/>
          </w:tcPr>
          <w:p w14:paraId="0076F7D5"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Species recovery and genetic diversity targets</w:t>
            </w:r>
          </w:p>
        </w:tc>
        <w:tc>
          <w:tcPr>
            <w:tcW w:w="0" w:type="auto"/>
            <w:hideMark/>
          </w:tcPr>
          <w:p w14:paraId="6F0E5D4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Biobanking, studbook-guided pairing, assisted reproduction</w:t>
            </w:r>
          </w:p>
        </w:tc>
      </w:tr>
      <w:tr w:rsidR="00C65699" w:rsidRPr="00C65699" w14:paraId="63C43DAC" w14:textId="77777777" w:rsidTr="008C5E8C">
        <w:tc>
          <w:tcPr>
            <w:tcW w:w="0" w:type="auto"/>
            <w:hideMark/>
          </w:tcPr>
          <w:p w14:paraId="427BDB55"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Habitat and green space provision</w:t>
            </w:r>
          </w:p>
        </w:tc>
        <w:tc>
          <w:tcPr>
            <w:tcW w:w="0" w:type="auto"/>
            <w:hideMark/>
          </w:tcPr>
          <w:p w14:paraId="249A2A4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Urban biodiversity and area-based conservation targets</w:t>
            </w:r>
          </w:p>
        </w:tc>
        <w:tc>
          <w:tcPr>
            <w:tcW w:w="0" w:type="auto"/>
            <w:hideMark/>
          </w:tcPr>
          <w:p w14:paraId="49552DA0"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Designated green areas, native planting, microhabitat design</w:t>
            </w:r>
          </w:p>
        </w:tc>
      </w:tr>
      <w:tr w:rsidR="00C65699" w:rsidRPr="00C65699" w14:paraId="0A1000B7" w14:textId="77777777" w:rsidTr="008C5E8C">
        <w:tc>
          <w:tcPr>
            <w:tcW w:w="0" w:type="auto"/>
            <w:hideMark/>
          </w:tcPr>
          <w:p w14:paraId="7A7ED48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Climate-resilient horticulture and collection planning</w:t>
            </w:r>
          </w:p>
        </w:tc>
        <w:tc>
          <w:tcPr>
            <w:tcW w:w="0" w:type="auto"/>
            <w:hideMark/>
          </w:tcPr>
          <w:p w14:paraId="6EAD736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resilience through plant diversity</w:t>
            </w:r>
          </w:p>
        </w:tc>
        <w:tc>
          <w:tcPr>
            <w:tcW w:w="0" w:type="auto"/>
            <w:hideMark/>
          </w:tcPr>
          <w:p w14:paraId="0F31F1A5"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Species selection informed by projected climatic suitability</w:t>
            </w:r>
          </w:p>
        </w:tc>
      </w:tr>
      <w:tr w:rsidR="00C65699" w:rsidRPr="00C65699" w14:paraId="7CC7780C" w14:textId="77777777" w:rsidTr="008C5E8C">
        <w:tc>
          <w:tcPr>
            <w:tcW w:w="0" w:type="auto"/>
            <w:hideMark/>
          </w:tcPr>
          <w:p w14:paraId="22F821A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Public education and behaviour change</w:t>
            </w:r>
          </w:p>
        </w:tc>
        <w:tc>
          <w:tcPr>
            <w:tcW w:w="0" w:type="auto"/>
            <w:hideMark/>
          </w:tcPr>
          <w:p w14:paraId="2430E8B4"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Awareness and capacity-building targets</w:t>
            </w:r>
          </w:p>
        </w:tc>
        <w:tc>
          <w:tcPr>
            <w:tcW w:w="0" w:type="auto"/>
            <w:hideMark/>
          </w:tcPr>
          <w:p w14:paraId="035C08B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Interpretive programming, digital and immersive communication</w:t>
            </w:r>
          </w:p>
        </w:tc>
      </w:tr>
      <w:tr w:rsidR="00C65699" w:rsidRPr="00C65699" w14:paraId="1C9CC485" w14:textId="77777777" w:rsidTr="008C5E8C">
        <w:tc>
          <w:tcPr>
            <w:tcW w:w="0" w:type="auto"/>
            <w:hideMark/>
          </w:tcPr>
          <w:p w14:paraId="0B555235"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Research and biodiversity monitoring</w:t>
            </w:r>
          </w:p>
        </w:tc>
        <w:tc>
          <w:tcPr>
            <w:tcW w:w="0" w:type="auto"/>
            <w:hideMark/>
          </w:tcPr>
          <w:p w14:paraId="633F79D1"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Knowledge generation in support of national reporting</w:t>
            </w:r>
          </w:p>
        </w:tc>
        <w:tc>
          <w:tcPr>
            <w:tcW w:w="0" w:type="auto"/>
            <w:hideMark/>
          </w:tcPr>
          <w:p w14:paraId="15313A7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Camera-trap and AI-assisted monitoring, environmental DNA</w:t>
            </w:r>
          </w:p>
        </w:tc>
      </w:tr>
      <w:tr w:rsidR="00C65699" w:rsidRPr="00C65699" w14:paraId="1A22DF5F" w14:textId="77777777" w:rsidTr="008C5E8C">
        <w:tc>
          <w:tcPr>
            <w:tcW w:w="0" w:type="auto"/>
            <w:hideMark/>
          </w:tcPr>
          <w:p w14:paraId="452BDB4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Sustainable operations</w:t>
            </w:r>
          </w:p>
        </w:tc>
        <w:tc>
          <w:tcPr>
            <w:tcW w:w="0" w:type="auto"/>
            <w:hideMark/>
          </w:tcPr>
          <w:p w14:paraId="3E8774F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Resource mobilisation and low-impact infrastructure targets</w:t>
            </w:r>
          </w:p>
        </w:tc>
        <w:tc>
          <w:tcPr>
            <w:tcW w:w="0" w:type="auto"/>
            <w:hideMark/>
          </w:tcPr>
          <w:p w14:paraId="6D9F7A47"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Renewable energy, circular waste-to-energy systems</w:t>
            </w:r>
          </w:p>
        </w:tc>
      </w:tr>
    </w:tbl>
    <w:p w14:paraId="46DFF071"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Sources: Beer et al. (2023); Convention on Biological Diversity (2022); Gupta et al. (2025); Mooney et al. (2020); Spooner et al. (2023).</w:t>
      </w:r>
    </w:p>
    <w:p w14:paraId="1817E9FB"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table illustrates a recurring theme of this review: every institutional function now has an identifiable technological complement, but the maturity, evidentiary support and accessibility of that complement vary a good deal across functions — a variation the rest of the article unpacks in turn.</w:t>
      </w:r>
    </w:p>
    <w:p w14:paraId="68780E3C"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60C6FBA5"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4. Genetic and Reproductive Biotechnologies as Climate-Adaptive Conservation Tools</w:t>
      </w:r>
    </w:p>
    <w:p w14:paraId="4CB0DFB4"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4.1 Biobanking and cryopreservation as a hedge against accelerating attrition</w:t>
      </w:r>
    </w:p>
    <w:p w14:paraId="3882D269"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Cryopreservation of gametes, embryos, somatic cells and tissue has grown from a curiosity-driven research activity into a recognised pillar of conservation strategy, offering a way to capture genetic diversity that might otherwise be lost for good as wild populations decline (</w:t>
      </w:r>
      <w:proofErr w:type="spellStart"/>
      <w:r w:rsidRPr="00C65699">
        <w:rPr>
          <w:rFonts w:ascii="Times New Roman" w:eastAsia="Times New Roman" w:hAnsi="Times New Roman" w:cs="Times New Roman"/>
          <w:sz w:val="24"/>
          <w:szCs w:val="24"/>
          <w:lang w:eastAsia="en-GB"/>
        </w:rPr>
        <w:t>Comizzoli</w:t>
      </w:r>
      <w:proofErr w:type="spellEnd"/>
      <w:r w:rsidRPr="00C65699">
        <w:rPr>
          <w:rFonts w:ascii="Times New Roman" w:eastAsia="Times New Roman" w:hAnsi="Times New Roman" w:cs="Times New Roman"/>
          <w:sz w:val="24"/>
          <w:szCs w:val="24"/>
          <w:lang w:eastAsia="en-GB"/>
        </w:rPr>
        <w:t xml:space="preserve"> &amp; Holt, 2019). The case for biobanking becomes sharper still under climate change, since rapid environmental shifts can compress the window within which in situ </w:t>
      </w:r>
      <w:r w:rsidRPr="00C65699">
        <w:rPr>
          <w:rFonts w:ascii="Times New Roman" w:eastAsia="Times New Roman" w:hAnsi="Times New Roman" w:cs="Times New Roman"/>
          <w:sz w:val="24"/>
          <w:szCs w:val="24"/>
          <w:lang w:eastAsia="en-GB"/>
        </w:rPr>
        <w:lastRenderedPageBreak/>
        <w:t xml:space="preserve">conservation alone remains feasible, leaving cryopreserved material as one of the few options left for retaining variation that field-based conservation cannot secure quickly enough on its own. </w:t>
      </w:r>
      <w:proofErr w:type="spellStart"/>
      <w:r w:rsidRPr="00C65699">
        <w:rPr>
          <w:rFonts w:ascii="Times New Roman" w:eastAsia="Times New Roman" w:hAnsi="Times New Roman" w:cs="Times New Roman"/>
          <w:sz w:val="24"/>
          <w:szCs w:val="24"/>
          <w:lang w:eastAsia="en-GB"/>
        </w:rPr>
        <w:t>Comizzoli</w:t>
      </w:r>
      <w:proofErr w:type="spellEnd"/>
      <w:r w:rsidRPr="00C65699">
        <w:rPr>
          <w:rFonts w:ascii="Times New Roman" w:eastAsia="Times New Roman" w:hAnsi="Times New Roman" w:cs="Times New Roman"/>
          <w:sz w:val="24"/>
          <w:szCs w:val="24"/>
          <w:lang w:eastAsia="en-GB"/>
        </w:rPr>
        <w:t xml:space="preserve"> and Holt (2019) trace a series of breakthroughs in reproductive biology — spanning hormonal manipulation, oocyte recovery and in vitro culture — that have steadily lowered the species-specificity barriers historically limiting biobanking to a handful of well-studied taxa. The strategic logic sits within a wider genome resource banking framework in which cryopreserved material functions as a bridge between ex situ and in situ conservation, opening the door to future genetic rescue for populations that have already passed through a bottleneck — a concern directly relevant to several Indian conservation breeding programmes, including the Asiatic lion (</w:t>
      </w:r>
      <w:r w:rsidRPr="00C65699">
        <w:rPr>
          <w:rFonts w:ascii="Times New Roman" w:eastAsia="Times New Roman" w:hAnsi="Times New Roman" w:cs="Times New Roman"/>
          <w:i/>
          <w:iCs/>
          <w:sz w:val="24"/>
          <w:szCs w:val="24"/>
          <w:lang w:eastAsia="en-GB"/>
        </w:rPr>
        <w:t xml:space="preserve">Panthera </w:t>
      </w:r>
      <w:proofErr w:type="spellStart"/>
      <w:r w:rsidRPr="00C65699">
        <w:rPr>
          <w:rFonts w:ascii="Times New Roman" w:eastAsia="Times New Roman" w:hAnsi="Times New Roman" w:cs="Times New Roman"/>
          <w:i/>
          <w:iCs/>
          <w:sz w:val="24"/>
          <w:szCs w:val="24"/>
          <w:lang w:eastAsia="en-GB"/>
        </w:rPr>
        <w:t>leo</w:t>
      </w:r>
      <w:proofErr w:type="spellEnd"/>
      <w:r w:rsidRPr="00C65699">
        <w:rPr>
          <w:rFonts w:ascii="Times New Roman" w:eastAsia="Times New Roman" w:hAnsi="Times New Roman" w:cs="Times New Roman"/>
          <w:i/>
          <w:iCs/>
          <w:sz w:val="24"/>
          <w:szCs w:val="24"/>
          <w:lang w:eastAsia="en-GB"/>
        </w:rPr>
        <w:t xml:space="preserve"> persica</w:t>
      </w:r>
      <w:r w:rsidRPr="00C65699">
        <w:rPr>
          <w:rFonts w:ascii="Times New Roman" w:eastAsia="Times New Roman" w:hAnsi="Times New Roman" w:cs="Times New Roman"/>
          <w:sz w:val="24"/>
          <w:szCs w:val="24"/>
          <w:lang w:eastAsia="en-GB"/>
        </w:rPr>
        <w:t xml:space="preserve">) population at </w:t>
      </w:r>
      <w:proofErr w:type="spellStart"/>
      <w:r w:rsidRPr="00C65699">
        <w:rPr>
          <w:rFonts w:ascii="Times New Roman" w:eastAsia="Times New Roman" w:hAnsi="Times New Roman" w:cs="Times New Roman"/>
          <w:sz w:val="24"/>
          <w:szCs w:val="24"/>
          <w:lang w:eastAsia="en-GB"/>
        </w:rPr>
        <w:t>Sakkarbaug</w:t>
      </w:r>
      <w:proofErr w:type="spellEnd"/>
      <w:r w:rsidRPr="00C65699">
        <w:rPr>
          <w:rFonts w:ascii="Times New Roman" w:eastAsia="Times New Roman" w:hAnsi="Times New Roman" w:cs="Times New Roman"/>
          <w:sz w:val="24"/>
          <w:szCs w:val="24"/>
          <w:lang w:eastAsia="en-GB"/>
        </w:rPr>
        <w:t xml:space="preserve"> Zoo, where small founder numbers and limited gene flow continue to constrain genetic diversity despite decades of managed breeding (Gupta et al., 2025).</w:t>
      </w:r>
    </w:p>
    <w:p w14:paraId="0DCECDB4"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4.2 Assisted reproductive technologies and the management of small, climate-stressed populations</w:t>
      </w:r>
    </w:p>
    <w:p w14:paraId="51B637C6"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Assisted reproductive technologies — artificial insemination, in vitro fertilisation, embryo transfer — extend the practical reach of genetic management by allowing genetic material to move between geographically separated institutions without the welfare and logistical costs of transporting live animals. Their relevance to climate adaptation cuts two ways: such techniques permit genetic rescue of populations whose natural reproductive opportunities have been curtailed by climate-driven habitat fragmentation, and they reduce the demographic risk inherent in maintaining small, climate-vulnerable captive populations by maximising the reproductive contribution of limited founder stock. Inbreeding depression remains a persistent risk in small managed populations, and the genetic and demographic theory underpinning conservation breeding has long held that purging strategies and careful pedigree management are needed to offset the erosive effects of restricted gene flow (</w:t>
      </w:r>
      <w:proofErr w:type="spellStart"/>
      <w:r w:rsidRPr="00C65699">
        <w:rPr>
          <w:rFonts w:ascii="Times New Roman" w:eastAsia="Times New Roman" w:hAnsi="Times New Roman" w:cs="Times New Roman"/>
          <w:sz w:val="24"/>
          <w:szCs w:val="24"/>
          <w:lang w:eastAsia="en-GB"/>
        </w:rPr>
        <w:t>Leberg</w:t>
      </w:r>
      <w:proofErr w:type="spellEnd"/>
      <w:r w:rsidRPr="00C65699">
        <w:rPr>
          <w:rFonts w:ascii="Times New Roman" w:eastAsia="Times New Roman" w:hAnsi="Times New Roman" w:cs="Times New Roman"/>
          <w:sz w:val="24"/>
          <w:szCs w:val="24"/>
          <w:lang w:eastAsia="en-GB"/>
        </w:rPr>
        <w:t xml:space="preserve"> &amp; Firmin, 2008). That theoretical grounding continues to shape how assisted reproduction is applied across mammalian, avian and reptilian taxa in ex situ collections, including the documented Indian success of the breeding programme for the Indian mouse deer (</w:t>
      </w:r>
      <w:proofErr w:type="spellStart"/>
      <w:r w:rsidRPr="00C65699">
        <w:rPr>
          <w:rFonts w:ascii="Times New Roman" w:eastAsia="Times New Roman" w:hAnsi="Times New Roman" w:cs="Times New Roman"/>
          <w:i/>
          <w:iCs/>
          <w:sz w:val="24"/>
          <w:szCs w:val="24"/>
          <w:lang w:eastAsia="en-GB"/>
        </w:rPr>
        <w:t>Moschiola</w:t>
      </w:r>
      <w:proofErr w:type="spellEnd"/>
      <w:r w:rsidRPr="00C65699">
        <w:rPr>
          <w:rFonts w:ascii="Times New Roman" w:eastAsia="Times New Roman" w:hAnsi="Times New Roman" w:cs="Times New Roman"/>
          <w:i/>
          <w:iCs/>
          <w:sz w:val="24"/>
          <w:szCs w:val="24"/>
          <w:lang w:eastAsia="en-GB"/>
        </w:rPr>
        <w:t xml:space="preserve"> indica</w:t>
      </w:r>
      <w:r w:rsidRPr="00C65699">
        <w:rPr>
          <w:rFonts w:ascii="Times New Roman" w:eastAsia="Times New Roman" w:hAnsi="Times New Roman" w:cs="Times New Roman"/>
          <w:sz w:val="24"/>
          <w:szCs w:val="24"/>
          <w:lang w:eastAsia="en-GB"/>
        </w:rPr>
        <w:t xml:space="preserve">), which has fed directly into both </w:t>
      </w:r>
      <w:proofErr w:type="gramStart"/>
      <w:r w:rsidRPr="00C65699">
        <w:rPr>
          <w:rFonts w:ascii="Times New Roman" w:eastAsia="Times New Roman" w:hAnsi="Times New Roman" w:cs="Times New Roman"/>
          <w:sz w:val="24"/>
          <w:szCs w:val="24"/>
          <w:lang w:eastAsia="en-GB"/>
        </w:rPr>
        <w:t>ex situ</w:t>
      </w:r>
      <w:proofErr w:type="gramEnd"/>
      <w:r w:rsidRPr="00C65699">
        <w:rPr>
          <w:rFonts w:ascii="Times New Roman" w:eastAsia="Times New Roman" w:hAnsi="Times New Roman" w:cs="Times New Roman"/>
          <w:sz w:val="24"/>
          <w:szCs w:val="24"/>
          <w:lang w:eastAsia="en-GB"/>
        </w:rPr>
        <w:t xml:space="preserve"> management protocols and subsequent reintroduction efforts (Kumar &amp; Umapathy, 2023). The limits of even well-resourced assisted reproduction are equally instructive: captive breeding of pangolins, a </w:t>
      </w:r>
      <w:proofErr w:type="spellStart"/>
      <w:r w:rsidRPr="00C65699">
        <w:rPr>
          <w:rFonts w:ascii="Times New Roman" w:eastAsia="Times New Roman" w:hAnsi="Times New Roman" w:cs="Times New Roman"/>
          <w:sz w:val="24"/>
          <w:szCs w:val="24"/>
          <w:lang w:eastAsia="en-GB"/>
        </w:rPr>
        <w:t>taxon</w:t>
      </w:r>
      <w:proofErr w:type="spellEnd"/>
      <w:r w:rsidRPr="00C65699">
        <w:rPr>
          <w:rFonts w:ascii="Times New Roman" w:eastAsia="Times New Roman" w:hAnsi="Times New Roman" w:cs="Times New Roman"/>
          <w:sz w:val="24"/>
          <w:szCs w:val="24"/>
          <w:lang w:eastAsia="en-GB"/>
        </w:rPr>
        <w:t xml:space="preserve"> whose highly specialised diet and dependence on intact natural ecosystems make reproduction in managed care notoriously difficult, illustrates how species-specific biology can blunt the practical impact of reproductive technology regardless of institutional investment (Hua et al., 2015).</w:t>
      </w:r>
    </w:p>
    <w:p w14:paraId="56868869"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4.3 Cloning, genome editing and the contested frontier of de-extinction</w:t>
      </w:r>
    </w:p>
    <w:p w14:paraId="022C0A0D"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Somatic cell nuclear transfer, or cloning, has moved from a largely experimental procedure to a technique with demonstrated, if still narrow, application in endangered species conservation. Recent reviews document its potential to restore genetic diversity not represented in extant managed populations (Cowl et al., 2024). Its conservation value lies less in producing novel individuals than in reintroducing variation preserved in </w:t>
      </w:r>
      <w:proofErr w:type="spellStart"/>
      <w:r w:rsidRPr="00C65699">
        <w:rPr>
          <w:rFonts w:ascii="Times New Roman" w:eastAsia="Times New Roman" w:hAnsi="Times New Roman" w:cs="Times New Roman"/>
          <w:sz w:val="24"/>
          <w:szCs w:val="24"/>
          <w:lang w:eastAsia="en-GB"/>
        </w:rPr>
        <w:t>cryobanked</w:t>
      </w:r>
      <w:proofErr w:type="spellEnd"/>
      <w:r w:rsidRPr="00C65699">
        <w:rPr>
          <w:rFonts w:ascii="Times New Roman" w:eastAsia="Times New Roman" w:hAnsi="Times New Roman" w:cs="Times New Roman"/>
          <w:sz w:val="24"/>
          <w:szCs w:val="24"/>
          <w:lang w:eastAsia="en-GB"/>
        </w:rPr>
        <w:t xml:space="preserve"> material, sometimes decades earlier — a capability of particular relevance to species whose remaining wild and captive populations have already been through severe bottlenecks. Building on the same suite of genomic and reproductive technologies, de-extinction research, most prominently associated with efforts to generate functional proxies of extinct lineages, has been reframed by recent scholarship less as an end in itself and more as a technology incubator. Its component innovations — genome sequencing, embryology, artificial </w:t>
      </w:r>
      <w:r w:rsidRPr="00C65699">
        <w:rPr>
          <w:rFonts w:ascii="Times New Roman" w:eastAsia="Times New Roman" w:hAnsi="Times New Roman" w:cs="Times New Roman"/>
          <w:sz w:val="24"/>
          <w:szCs w:val="24"/>
          <w:lang w:eastAsia="en-GB"/>
        </w:rPr>
        <w:lastRenderedPageBreak/>
        <w:t>intelligence-supported reintroduction planning — carry direct application to the conservation of still-extant but critically endangered species, a process now described as "de-endangerment" (Turner et al., 2025). This reframing matters for the present review because it positions even the most speculative end of the conservation biotechnology spectrum as contributing, indirectly, to climate-adaptive conservation capacity through methodological spillover rather than literal species revival.</w:t>
      </w:r>
    </w:p>
    <w:p w14:paraId="6E8A4965"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Genome editing technologies, particularly CRISPR-Cas systems, push this trajectory further by raising the prospect of targeted genetic rescue, in which mutations accumulated through inbreeding might in principle be corrected or beneficial alleles reintroduced from historical genetic material. The ethical and ecological caution attached to such interventions is considerable, and the literature is candid that genome editing only makes sense once underlying demographic threats have been substantially addressed through more conventional conservation measures — edited individuals released into degraded or poaching-exposed habitats would gain little from a genomic intervention alone (Turner et al., 2025). The technology nonetheless shows how zoos and aquariums, working with specialised genomics laboratories, increasingly serve as the institutional interface through which frontier biotechnology gets translated into applied conservation practice.</w:t>
      </w:r>
    </w:p>
    <w:p w14:paraId="4A2E9C22"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4.4 Environmental DNA as a complementary, climate-relevant surveillance tool</w:t>
      </w:r>
    </w:p>
    <w:p w14:paraId="7928993E"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Environmental DNA analysis, which detects genetic material shed by organisms into water, soil or air without requiring direct observation or capture, has expanded rapidly as a biodiversity monitoring tool over the period this review covers (Çevik &amp; Çevik, 2025). Its relevance to the climate mitigation and sustainable development agenda of zoos and aquariums operates on two levels. Within facilities themselves, environmental DNA offers a low-disturbance way to confirm the presence, health status and reproductive activity of held populations, including notoriously cryptic aquatic taxa. Beyond the institutional boundary, aquaria and zoos increasingly partner with field conservation programmes to apply environmental DNA surveillance to wild populations whose distributions are shifting under climate pressure, providing an early-warning capability for range contraction or local loss that conventional survey methods often pick up only after substantial decline has already occurred. Çevik and Çevik (2025) caution, though, that environmental DNA concentration and persistence are themselves sensitive to temperature, pH and hydrological variability, meaning climate change introduces a confounding methodological challenge at the very moment it heightens the case for the technique's use.</w:t>
      </w:r>
      <w:r w:rsidR="008C5E8C">
        <w:rPr>
          <w:rFonts w:ascii="Times New Roman" w:eastAsia="Times New Roman" w:hAnsi="Times New Roman" w:cs="Times New Roman"/>
          <w:sz w:val="24"/>
          <w:szCs w:val="24"/>
          <w:lang w:eastAsia="en-GB"/>
        </w:rPr>
        <w:t xml:space="preserve"> </w:t>
      </w:r>
      <w:r w:rsidRPr="00C65699">
        <w:rPr>
          <w:rFonts w:ascii="Times New Roman" w:eastAsia="Times New Roman" w:hAnsi="Times New Roman" w:cs="Times New Roman"/>
          <w:sz w:val="24"/>
          <w:szCs w:val="24"/>
          <w:lang w:eastAsia="en-GB"/>
        </w:rPr>
        <w:t>Table 2 brings together these genetic and reproductive biotechnologies, setting out their core function, their specific relevance to climate-adaptive conservation, and an illustrative taxon or context for each.</w:t>
      </w:r>
    </w:p>
    <w:p w14:paraId="258BD803"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2. Selected genetic and reproductive biotechnologies relevant to climate-adaptive ex situ conservation</w:t>
      </w:r>
    </w:p>
    <w:tbl>
      <w:tblPr>
        <w:tblStyle w:val="TableGrid"/>
        <w:tblW w:w="0" w:type="auto"/>
        <w:tblLook w:val="04A0" w:firstRow="1" w:lastRow="0" w:firstColumn="1" w:lastColumn="0" w:noHBand="0" w:noVBand="1"/>
      </w:tblPr>
      <w:tblGrid>
        <w:gridCol w:w="1964"/>
        <w:gridCol w:w="2266"/>
        <w:gridCol w:w="2373"/>
        <w:gridCol w:w="2639"/>
      </w:tblGrid>
      <w:tr w:rsidR="00C65699" w:rsidRPr="00C65699" w14:paraId="03258D0E" w14:textId="77777777" w:rsidTr="008C5E8C">
        <w:tc>
          <w:tcPr>
            <w:tcW w:w="0" w:type="auto"/>
            <w:hideMark/>
          </w:tcPr>
          <w:p w14:paraId="00EAA191"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Technology</w:t>
            </w:r>
          </w:p>
        </w:tc>
        <w:tc>
          <w:tcPr>
            <w:tcW w:w="0" w:type="auto"/>
            <w:hideMark/>
          </w:tcPr>
          <w:p w14:paraId="4444ED2D"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Core function</w:t>
            </w:r>
          </w:p>
        </w:tc>
        <w:tc>
          <w:tcPr>
            <w:tcW w:w="0" w:type="auto"/>
            <w:hideMark/>
          </w:tcPr>
          <w:p w14:paraId="234BA55A"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Climate-change relevance</w:t>
            </w:r>
          </w:p>
        </w:tc>
        <w:tc>
          <w:tcPr>
            <w:tcW w:w="0" w:type="auto"/>
            <w:hideMark/>
          </w:tcPr>
          <w:p w14:paraId="28133002"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Illustrative context</w:t>
            </w:r>
          </w:p>
        </w:tc>
      </w:tr>
      <w:tr w:rsidR="00C65699" w:rsidRPr="00C65699" w14:paraId="5CFEA08F" w14:textId="77777777" w:rsidTr="008C5E8C">
        <w:tc>
          <w:tcPr>
            <w:tcW w:w="0" w:type="auto"/>
            <w:hideMark/>
          </w:tcPr>
          <w:p w14:paraId="52A0FAC5" w14:textId="77777777" w:rsidR="00C65699" w:rsidRPr="00C65699" w:rsidRDefault="00C65699" w:rsidP="00AC0E27">
            <w:pPr>
              <w:jc w:val="both"/>
              <w:rPr>
                <w:rFonts w:ascii="Times New Roman" w:eastAsia="Times New Roman" w:hAnsi="Times New Roman" w:cs="Times New Roman"/>
                <w:sz w:val="24"/>
                <w:szCs w:val="24"/>
                <w:lang w:eastAsia="en-GB"/>
              </w:rPr>
            </w:pPr>
            <w:proofErr w:type="spellStart"/>
            <w:r w:rsidRPr="00C65699">
              <w:rPr>
                <w:rFonts w:ascii="Times New Roman" w:eastAsia="Times New Roman" w:hAnsi="Times New Roman" w:cs="Times New Roman"/>
                <w:sz w:val="24"/>
                <w:szCs w:val="24"/>
                <w:lang w:eastAsia="en-GB"/>
              </w:rPr>
              <w:t>Cryobanking</w:t>
            </w:r>
            <w:proofErr w:type="spellEnd"/>
            <w:r w:rsidRPr="00C65699">
              <w:rPr>
                <w:rFonts w:ascii="Times New Roman" w:eastAsia="Times New Roman" w:hAnsi="Times New Roman" w:cs="Times New Roman"/>
                <w:sz w:val="24"/>
                <w:szCs w:val="24"/>
                <w:lang w:eastAsia="en-GB"/>
              </w:rPr>
              <w:t xml:space="preserve"> and genome resource banking</w:t>
            </w:r>
          </w:p>
        </w:tc>
        <w:tc>
          <w:tcPr>
            <w:tcW w:w="0" w:type="auto"/>
            <w:hideMark/>
          </w:tcPr>
          <w:p w14:paraId="04C1499D"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Long-term preservation of gametes, embryos and tissue</w:t>
            </w:r>
          </w:p>
        </w:tc>
        <w:tc>
          <w:tcPr>
            <w:tcW w:w="0" w:type="auto"/>
            <w:hideMark/>
          </w:tcPr>
          <w:p w14:paraId="0631C1B0"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Captures genetic diversity before climate-driven population loss forecloses the option</w:t>
            </w:r>
          </w:p>
        </w:tc>
        <w:tc>
          <w:tcPr>
            <w:tcW w:w="0" w:type="auto"/>
            <w:hideMark/>
          </w:tcPr>
          <w:p w14:paraId="3DE0328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Multi-taxa biobank networks; Indian conservation breeding programmes</w:t>
            </w:r>
          </w:p>
        </w:tc>
      </w:tr>
      <w:tr w:rsidR="00C65699" w:rsidRPr="00C65699" w14:paraId="7367C6CA" w14:textId="77777777" w:rsidTr="008C5E8C">
        <w:tc>
          <w:tcPr>
            <w:tcW w:w="0" w:type="auto"/>
            <w:hideMark/>
          </w:tcPr>
          <w:p w14:paraId="2F62670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Assisted </w:t>
            </w:r>
            <w:r w:rsidRPr="00C65699">
              <w:rPr>
                <w:rFonts w:ascii="Times New Roman" w:eastAsia="Times New Roman" w:hAnsi="Times New Roman" w:cs="Times New Roman"/>
                <w:sz w:val="24"/>
                <w:szCs w:val="24"/>
                <w:lang w:eastAsia="en-GB"/>
              </w:rPr>
              <w:lastRenderedPageBreak/>
              <w:t>reproductive technologies</w:t>
            </w:r>
          </w:p>
        </w:tc>
        <w:tc>
          <w:tcPr>
            <w:tcW w:w="0" w:type="auto"/>
            <w:hideMark/>
          </w:tcPr>
          <w:p w14:paraId="6D17C35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Artificial </w:t>
            </w:r>
            <w:r w:rsidRPr="00C65699">
              <w:rPr>
                <w:rFonts w:ascii="Times New Roman" w:eastAsia="Times New Roman" w:hAnsi="Times New Roman" w:cs="Times New Roman"/>
                <w:sz w:val="24"/>
                <w:szCs w:val="24"/>
                <w:lang w:eastAsia="en-GB"/>
              </w:rPr>
              <w:lastRenderedPageBreak/>
              <w:t>insemination, in vitro fertilisation, embryo transfer</w:t>
            </w:r>
          </w:p>
        </w:tc>
        <w:tc>
          <w:tcPr>
            <w:tcW w:w="0" w:type="auto"/>
            <w:hideMark/>
          </w:tcPr>
          <w:p w14:paraId="43AE099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Sustains reproduction </w:t>
            </w:r>
            <w:r w:rsidRPr="00C65699">
              <w:rPr>
                <w:rFonts w:ascii="Times New Roman" w:eastAsia="Times New Roman" w:hAnsi="Times New Roman" w:cs="Times New Roman"/>
                <w:sz w:val="24"/>
                <w:szCs w:val="24"/>
                <w:lang w:eastAsia="en-GB"/>
              </w:rPr>
              <w:lastRenderedPageBreak/>
              <w:t>in small, climate-stressed populations without live transport</w:t>
            </w:r>
          </w:p>
        </w:tc>
        <w:tc>
          <w:tcPr>
            <w:tcW w:w="0" w:type="auto"/>
            <w:hideMark/>
          </w:tcPr>
          <w:p w14:paraId="06B1F099"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Indian mouse deer </w:t>
            </w:r>
            <w:r w:rsidRPr="00C65699">
              <w:rPr>
                <w:rFonts w:ascii="Times New Roman" w:eastAsia="Times New Roman" w:hAnsi="Times New Roman" w:cs="Times New Roman"/>
                <w:sz w:val="24"/>
                <w:szCs w:val="24"/>
                <w:lang w:eastAsia="en-GB"/>
              </w:rPr>
              <w:lastRenderedPageBreak/>
              <w:t>breeding and reintroduction; species-specific limits seen in pangolin breeding</w:t>
            </w:r>
          </w:p>
        </w:tc>
      </w:tr>
      <w:tr w:rsidR="00C65699" w:rsidRPr="00C65699" w14:paraId="0C0A6FCE" w14:textId="77777777" w:rsidTr="008C5E8C">
        <w:tc>
          <w:tcPr>
            <w:tcW w:w="0" w:type="auto"/>
            <w:hideMark/>
          </w:tcPr>
          <w:p w14:paraId="6F422FD6"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Somatic cell nuclear transfer (cloning)</w:t>
            </w:r>
          </w:p>
        </w:tc>
        <w:tc>
          <w:tcPr>
            <w:tcW w:w="0" w:type="auto"/>
            <w:hideMark/>
          </w:tcPr>
          <w:p w14:paraId="593219B4"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Generation of individuals from preserved somatic cells</w:t>
            </w:r>
          </w:p>
        </w:tc>
        <w:tc>
          <w:tcPr>
            <w:tcW w:w="0" w:type="auto"/>
            <w:hideMark/>
          </w:tcPr>
          <w:p w14:paraId="7210FD0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Reintroduces genetic variation absent from extant managed populations</w:t>
            </w:r>
          </w:p>
        </w:tc>
        <w:tc>
          <w:tcPr>
            <w:tcW w:w="0" w:type="auto"/>
            <w:hideMark/>
          </w:tcPr>
          <w:p w14:paraId="10C90D2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Endangered mammal genetic-diversity restoration</w:t>
            </w:r>
          </w:p>
        </w:tc>
      </w:tr>
      <w:tr w:rsidR="00C65699" w:rsidRPr="00C65699" w14:paraId="008337DF" w14:textId="77777777" w:rsidTr="008C5E8C">
        <w:tc>
          <w:tcPr>
            <w:tcW w:w="0" w:type="auto"/>
            <w:hideMark/>
          </w:tcPr>
          <w:p w14:paraId="076FF520"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Genome editing (CRISPR-Cas)</w:t>
            </w:r>
          </w:p>
        </w:tc>
        <w:tc>
          <w:tcPr>
            <w:tcW w:w="0" w:type="auto"/>
            <w:hideMark/>
          </w:tcPr>
          <w:p w14:paraId="6D1B847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Targeted correction or reintroduction of genetic variants</w:t>
            </w:r>
          </w:p>
        </w:tc>
        <w:tc>
          <w:tcPr>
            <w:tcW w:w="0" w:type="auto"/>
            <w:hideMark/>
          </w:tcPr>
          <w:p w14:paraId="53B4EF9E"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Offers genetic rescue once demographic threats are addressed</w:t>
            </w:r>
          </w:p>
        </w:tc>
        <w:tc>
          <w:tcPr>
            <w:tcW w:w="0" w:type="auto"/>
            <w:hideMark/>
          </w:tcPr>
          <w:p w14:paraId="5F5950F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Genetic load reduction in bottlenecked populations</w:t>
            </w:r>
          </w:p>
        </w:tc>
      </w:tr>
      <w:tr w:rsidR="00C65699" w:rsidRPr="00C65699" w14:paraId="5C979E52" w14:textId="77777777" w:rsidTr="008C5E8C">
        <w:tc>
          <w:tcPr>
            <w:tcW w:w="0" w:type="auto"/>
            <w:hideMark/>
          </w:tcPr>
          <w:p w14:paraId="4503255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De-extinction-derived methodology</w:t>
            </w:r>
          </w:p>
        </w:tc>
        <w:tc>
          <w:tcPr>
            <w:tcW w:w="0" w:type="auto"/>
            <w:hideMark/>
          </w:tcPr>
          <w:p w14:paraId="24BBCDA7"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Genome sequencing, embryology and AI-supported reintroduction planning</w:t>
            </w:r>
          </w:p>
        </w:tc>
        <w:tc>
          <w:tcPr>
            <w:tcW w:w="0" w:type="auto"/>
            <w:hideMark/>
          </w:tcPr>
          <w:p w14:paraId="53CD3F35"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Generates transferable tools for de-endangerment of extant species</w:t>
            </w:r>
          </w:p>
        </w:tc>
        <w:tc>
          <w:tcPr>
            <w:tcW w:w="0" w:type="auto"/>
            <w:hideMark/>
          </w:tcPr>
          <w:p w14:paraId="03FEAF4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Methodological spillover to critically endangered taxa</w:t>
            </w:r>
          </w:p>
        </w:tc>
      </w:tr>
      <w:tr w:rsidR="00C65699" w:rsidRPr="00C65699" w14:paraId="40E98B10" w14:textId="77777777" w:rsidTr="008C5E8C">
        <w:tc>
          <w:tcPr>
            <w:tcW w:w="0" w:type="auto"/>
            <w:hideMark/>
          </w:tcPr>
          <w:p w14:paraId="3FA193F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Environmental DNA metabarcoding</w:t>
            </w:r>
          </w:p>
        </w:tc>
        <w:tc>
          <w:tcPr>
            <w:tcW w:w="0" w:type="auto"/>
            <w:hideMark/>
          </w:tcPr>
          <w:p w14:paraId="34B66550"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Non-invasive detection of species presence and activity</w:t>
            </w:r>
          </w:p>
        </w:tc>
        <w:tc>
          <w:tcPr>
            <w:tcW w:w="0" w:type="auto"/>
            <w:hideMark/>
          </w:tcPr>
          <w:p w14:paraId="54598E3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Provides early warning of climate-driven range contraction</w:t>
            </w:r>
          </w:p>
        </w:tc>
        <w:tc>
          <w:tcPr>
            <w:tcW w:w="0" w:type="auto"/>
            <w:hideMark/>
          </w:tcPr>
          <w:p w14:paraId="0AB0EFBB"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Aquatic and terrestrial biodiversity surveillance</w:t>
            </w:r>
          </w:p>
        </w:tc>
      </w:tr>
    </w:tbl>
    <w:p w14:paraId="5A88AC25"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 xml:space="preserve">Sources: Çevik and Çevik (2025); </w:t>
      </w:r>
      <w:proofErr w:type="spellStart"/>
      <w:r w:rsidRPr="00C65699">
        <w:rPr>
          <w:rFonts w:ascii="Times New Roman" w:eastAsia="Times New Roman" w:hAnsi="Times New Roman" w:cs="Times New Roman"/>
          <w:i/>
          <w:iCs/>
          <w:sz w:val="24"/>
          <w:szCs w:val="24"/>
          <w:lang w:eastAsia="en-GB"/>
        </w:rPr>
        <w:t>Comizzoli</w:t>
      </w:r>
      <w:proofErr w:type="spellEnd"/>
      <w:r w:rsidRPr="00C65699">
        <w:rPr>
          <w:rFonts w:ascii="Times New Roman" w:eastAsia="Times New Roman" w:hAnsi="Times New Roman" w:cs="Times New Roman"/>
          <w:i/>
          <w:iCs/>
          <w:sz w:val="24"/>
          <w:szCs w:val="24"/>
          <w:lang w:eastAsia="en-GB"/>
        </w:rPr>
        <w:t xml:space="preserve"> and Holt (2019); Cowl et al. (2024); Hua et al. (2015); Kumar and Umapathy (2023); </w:t>
      </w:r>
      <w:proofErr w:type="spellStart"/>
      <w:r w:rsidRPr="00C65699">
        <w:rPr>
          <w:rFonts w:ascii="Times New Roman" w:eastAsia="Times New Roman" w:hAnsi="Times New Roman" w:cs="Times New Roman"/>
          <w:i/>
          <w:iCs/>
          <w:sz w:val="24"/>
          <w:szCs w:val="24"/>
          <w:lang w:eastAsia="en-GB"/>
        </w:rPr>
        <w:t>Leberg</w:t>
      </w:r>
      <w:proofErr w:type="spellEnd"/>
      <w:r w:rsidRPr="00C65699">
        <w:rPr>
          <w:rFonts w:ascii="Times New Roman" w:eastAsia="Times New Roman" w:hAnsi="Times New Roman" w:cs="Times New Roman"/>
          <w:i/>
          <w:iCs/>
          <w:sz w:val="24"/>
          <w:szCs w:val="24"/>
          <w:lang w:eastAsia="en-GB"/>
        </w:rPr>
        <w:t xml:space="preserve"> and Firmin (2008); Turner et al. (2025).</w:t>
      </w:r>
    </w:p>
    <w:p w14:paraId="4840DE4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Read together, the techniques in Table 2 form less a toolkit of independent options than a graded sequence: biobanking and assisted reproduction buy time for populations already in difficulty, while cloning, genome editing and de-extinction-derived methods only become defensible once that time has been used to remove the underlying demographic and habitat threats — a sequencing logic this review revisits when it turns to questions of governance in Section 9.</w:t>
      </w:r>
    </w:p>
    <w:p w14:paraId="7B9C5DFF"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38CF0AC8"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5. Digital and Computational Technologies: Monitoring, Modelling and Visitor Engagement</w:t>
      </w:r>
    </w:p>
    <w:p w14:paraId="79DD59F8"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5.1 Artificial intelligence and automated monitoring</w:t>
      </w:r>
    </w:p>
    <w:p w14:paraId="3BD16B97"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Applying artificial intelligence to camera-trap imagery and behavioural video has transformed the scale at which zoos, aquariums and field conservation programmes can track animal welfare, behaviour and population status. A systematic evaluation of available artificial intelligence platforms for processing camera-trap data found substantial variation in precision and recall across species and taxonomic groups: detector models were generally good at telling animal presence from background, but performance grew far more uneven once the task shifted to fine-grained species classification, a finding with direct consequences for any institution hoping to deploy automated monitoring without sacrificing data quality (Vélez et al., 2023). Within zoo and aquarium settings specifically, a systematic review of computing technology applied to animal monitoring and interaction found that camera and video-based methods dominate the published literature, accounting for nearly half of all recorded technology instances across a decade of studies, while research attention remains </w:t>
      </w:r>
      <w:r w:rsidRPr="00C65699">
        <w:rPr>
          <w:rFonts w:ascii="Times New Roman" w:eastAsia="Times New Roman" w:hAnsi="Times New Roman" w:cs="Times New Roman"/>
          <w:sz w:val="24"/>
          <w:szCs w:val="24"/>
          <w:lang w:eastAsia="en-GB"/>
        </w:rPr>
        <w:lastRenderedPageBreak/>
        <w:t>heavily skewed toward mammalian taxa relative to the much broader range of species these institutions actually hold (Hassinger &amp; Nippert-Eng, 2025). That skew matters for climate-related monitoring in particular, because amphibians, reptiles and invertebrates — many of them acutely climate-sensitive — remain comparatively under-monitored by these emerging tools.</w:t>
      </w:r>
    </w:p>
    <w:p w14:paraId="6C195A4B"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related literature has looked more directly at the welfare applications of monitoring technology, concluding that sensor- and camera-based systems hold genuine potential to flag early signs of climate-related physiological stress, such as altered activity under heat load, while cautioning that implementation remains uneven across institutions and that there is still considerable room to ensure findings translate into actual husbandry adjustments rather than staying purely diagnostic (Diana et al., 2021). Taken together, these findings suggest artificial intelligence-assisted monitoring is a genuinely useful, if still maturing, instrument for climate-adaptive animal management, one whose value should grow as taxonomic and methodological coverage broadens.</w:t>
      </w:r>
    </w:p>
    <w:p w14:paraId="23A9D24E"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5.2 Immersive and digital visitor technologies</w:t>
      </w:r>
    </w:p>
    <w:p w14:paraId="44F5B2E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Virtual reality, augmented reality and mobile interactive applications have been trialled across a growing number of zoos and aquariums as a way of deepening visitor engagement with conservation content, climate-related messaging included. Early case-study evidence found that children exposed to a virtual reality encounter with threatened wildlife reported greater enjoyment and engagement than those who watched equivalent video content, suggesting immersive technology may sharpen the emotional pull of conservation messaging even where measurable attitude change is harder to pin down (Lugosi &amp; Lee, 2021). A qualitative evaluation of a stereoscopic virtual reality encounter with little penguins found much the same: the technology supported experiential discovery and emotional engagement, while also surfacing visitor unease about the relationship between digital encounters and direct experience of live animals (Carter et al., 2020). A recent systematic review combining bibliometric and qualitative methods across thirty-four studies of digital visitor technology in zoological parks identified four recurring thematic clusters — mobile and visitor-oriented digital tools, immersive augmented and virtual reality solutions, animal-computer interaction and welfare-focused technologies, and the more traditional conservation and education research — and concluded that while digital technologies show measurable short-term effects on engagement, empathy and knowledge retention, their long-term sustainability impact and integration across institutions remain limited, a gap the review terms the digital fragmentation problem (</w:t>
      </w:r>
      <w:proofErr w:type="spellStart"/>
      <w:r w:rsidRPr="00C65699">
        <w:rPr>
          <w:rFonts w:ascii="Times New Roman" w:eastAsia="Times New Roman" w:hAnsi="Times New Roman" w:cs="Times New Roman"/>
          <w:sz w:val="24"/>
          <w:szCs w:val="24"/>
          <w:lang w:eastAsia="en-GB"/>
        </w:rPr>
        <w:t>Gyurián</w:t>
      </w:r>
      <w:proofErr w:type="spellEnd"/>
      <w:r w:rsidRPr="00C65699">
        <w:rPr>
          <w:rFonts w:ascii="Times New Roman" w:eastAsia="Times New Roman" w:hAnsi="Times New Roman" w:cs="Times New Roman"/>
          <w:sz w:val="24"/>
          <w:szCs w:val="24"/>
          <w:lang w:eastAsia="en-GB"/>
        </w:rPr>
        <w:t xml:space="preserve"> Nagy, 2026). Earlier, foundational work on interactive technology and human-animal encounters made a similar point: thoughtful design, not technological sophistication for its own sake, determines whether digital tools deepen conservation-relevant engagement or simply distract from it (Webber et al., 2017).</w:t>
      </w:r>
    </w:p>
    <w:p w14:paraId="20DD4D71"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5.3 Climate communication, conservation psychology and behaviour change</w:t>
      </w:r>
    </w:p>
    <w:p w14:paraId="64F0B5C0"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Whether zoos and aquariums can turn visitor engagement into measurable pro-environmental attitudes and behaviour has been the subject of sustained empirical scrutiny, and the results are encouraging but qualified. A recent meta-analysis synthesising fifty-six primary studies of zoo-led interventions, framed through the Theory of Planned Behaviour, found a small-to-medium positive effect on conservation-relevant knowledge, beliefs and self-reported behaviour, with larger effects in single-institution studies and those using within-participant designs, while cautioning that the underlying primary literature remains uneven in design and </w:t>
      </w:r>
      <w:r w:rsidRPr="00C65699">
        <w:rPr>
          <w:rFonts w:ascii="Times New Roman" w:eastAsia="Times New Roman" w:hAnsi="Times New Roman" w:cs="Times New Roman"/>
          <w:sz w:val="24"/>
          <w:szCs w:val="24"/>
          <w:lang w:eastAsia="en-GB"/>
        </w:rPr>
        <w:lastRenderedPageBreak/>
        <w:t>outcome measurement (McNally et al., 2025). Complementary survey research on the relationship between visitors' sense of personal connection to animals and their self-reported engagement in climate-relevant pro-environmental behaviour found a significant, directional relationship that held regardless of political leaning — suggesting affective connection to charismatic and non-charismatic species alike may offer a sturdier foundation for climate communication than appeals built on abstract statistics alone (Grajal et al., 2017). A complementary pilot study examining the longitudinal relationship between childhood zoo visitation and adult sustainability behaviour and climate attitudes found that most respondents believed their zoo experiences had shaped their environmental views, even though comparatively few attributed specific sustainable behaviours directly to zoo-based learning — a gap between perceived and demonstrably attributable influence that future longitudinal research will need to close (</w:t>
      </w:r>
      <w:r w:rsidR="008C5E8C">
        <w:rPr>
          <w:rFonts w:ascii="Times New Roman" w:eastAsia="Times New Roman" w:hAnsi="Times New Roman" w:cs="Times New Roman"/>
          <w:sz w:val="24"/>
          <w:szCs w:val="24"/>
          <w:lang w:eastAsia="en-GB"/>
        </w:rPr>
        <w:t>Taylor &amp; Duram</w:t>
      </w:r>
      <w:r w:rsidRPr="00C65699">
        <w:rPr>
          <w:rFonts w:ascii="Times New Roman" w:eastAsia="Times New Roman" w:hAnsi="Times New Roman" w:cs="Times New Roman"/>
          <w:sz w:val="24"/>
          <w:szCs w:val="24"/>
          <w:lang w:eastAsia="en-GB"/>
        </w:rPr>
        <w:t>, 2021).</w:t>
      </w:r>
    </w:p>
    <w:p w14:paraId="01796E74"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Recent work has further argued that effective conservation communication need not lean exclusively on flagship species, with evidence suggesting that well-designed exhibits and interpretive framing can extend visitor affinity toward a broader range of less charismatic taxa — a finding with obvious implications for climate communication strategies that might otherwise default to polar bears and coral reefs as the standard visual shorthand for climate impact (Zhou et al., 2025). Institutional case studies of internal and external audience engagement strategies show, in turn, how zoo-based conservation messaging can be coordinated across staff, members and the wider public to keep climate and biodiversity framing consistent (Nageotte et al., 2024). At the same time, the persistence of negative visitor behaviours, including disruptive interactions with animals, documented across more than two hundred Southeast Asian zoos and aquariums, is a reminder that engagement quality varies considerably across institutional and regional contexts and cannot simply be assumed uniform across the global sector (</w:t>
      </w:r>
      <w:proofErr w:type="spellStart"/>
      <w:r w:rsidRPr="00C65699">
        <w:rPr>
          <w:rFonts w:ascii="Times New Roman" w:eastAsia="Times New Roman" w:hAnsi="Times New Roman" w:cs="Times New Roman"/>
          <w:sz w:val="24"/>
          <w:szCs w:val="24"/>
          <w:lang w:eastAsia="en-GB"/>
        </w:rPr>
        <w:t>Fourage</w:t>
      </w:r>
      <w:proofErr w:type="spellEnd"/>
      <w:r w:rsidRPr="00C65699">
        <w:rPr>
          <w:rFonts w:ascii="Times New Roman" w:eastAsia="Times New Roman" w:hAnsi="Times New Roman" w:cs="Times New Roman"/>
          <w:sz w:val="24"/>
          <w:szCs w:val="24"/>
          <w:lang w:eastAsia="en-GB"/>
        </w:rPr>
        <w:t xml:space="preserve"> et al., 2024).</w:t>
      </w:r>
      <w:r w:rsidR="008C5E8C">
        <w:rPr>
          <w:rFonts w:ascii="Times New Roman" w:eastAsia="Times New Roman" w:hAnsi="Times New Roman" w:cs="Times New Roman"/>
          <w:sz w:val="24"/>
          <w:szCs w:val="24"/>
          <w:lang w:eastAsia="en-GB"/>
        </w:rPr>
        <w:t xml:space="preserve"> </w:t>
      </w:r>
      <w:r w:rsidRPr="00C65699">
        <w:rPr>
          <w:rFonts w:ascii="Times New Roman" w:eastAsia="Times New Roman" w:hAnsi="Times New Roman" w:cs="Times New Roman"/>
          <w:sz w:val="24"/>
          <w:szCs w:val="24"/>
          <w:lang w:eastAsia="en-GB"/>
        </w:rPr>
        <w:t>Table 3 summarises the digital technology clusters discussed in this section, their representative tools and the balance of documented outcomes against constraints for each.</w:t>
      </w:r>
    </w:p>
    <w:p w14:paraId="2A8F1A9B"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3. Digital and computational technology clusters in zoos and aquariums</w:t>
      </w:r>
    </w:p>
    <w:tbl>
      <w:tblPr>
        <w:tblStyle w:val="TableGrid"/>
        <w:tblW w:w="0" w:type="auto"/>
        <w:tblLook w:val="04A0" w:firstRow="1" w:lastRow="0" w:firstColumn="1" w:lastColumn="0" w:noHBand="0" w:noVBand="1"/>
      </w:tblPr>
      <w:tblGrid>
        <w:gridCol w:w="2122"/>
        <w:gridCol w:w="2287"/>
        <w:gridCol w:w="2495"/>
        <w:gridCol w:w="2338"/>
      </w:tblGrid>
      <w:tr w:rsidR="00C65699" w:rsidRPr="00C65699" w14:paraId="54FF4FB6" w14:textId="77777777" w:rsidTr="008C5E8C">
        <w:tc>
          <w:tcPr>
            <w:tcW w:w="0" w:type="auto"/>
            <w:hideMark/>
          </w:tcPr>
          <w:p w14:paraId="4EFC6435"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Cluster</w:t>
            </w:r>
          </w:p>
        </w:tc>
        <w:tc>
          <w:tcPr>
            <w:tcW w:w="0" w:type="auto"/>
            <w:hideMark/>
          </w:tcPr>
          <w:p w14:paraId="439D1790"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Representative tools</w:t>
            </w:r>
          </w:p>
        </w:tc>
        <w:tc>
          <w:tcPr>
            <w:tcW w:w="0" w:type="auto"/>
            <w:hideMark/>
          </w:tcPr>
          <w:p w14:paraId="7C9DCA6C"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Documented outcome</w:t>
            </w:r>
          </w:p>
        </w:tc>
        <w:tc>
          <w:tcPr>
            <w:tcW w:w="0" w:type="auto"/>
            <w:hideMark/>
          </w:tcPr>
          <w:p w14:paraId="4C6B8CA4"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Key constraint</w:t>
            </w:r>
          </w:p>
        </w:tc>
      </w:tr>
      <w:tr w:rsidR="00C65699" w:rsidRPr="00C65699" w14:paraId="5AE57534" w14:textId="77777777" w:rsidTr="008C5E8C">
        <w:tc>
          <w:tcPr>
            <w:tcW w:w="0" w:type="auto"/>
            <w:hideMark/>
          </w:tcPr>
          <w:p w14:paraId="61A1D4AE"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AI-assisted monitoring</w:t>
            </w:r>
          </w:p>
        </w:tc>
        <w:tc>
          <w:tcPr>
            <w:tcW w:w="0" w:type="auto"/>
            <w:hideMark/>
          </w:tcPr>
          <w:p w14:paraId="1868EFB4"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Camera-trap detection and classification models</w:t>
            </w:r>
          </w:p>
        </w:tc>
        <w:tc>
          <w:tcPr>
            <w:tcW w:w="0" w:type="auto"/>
            <w:hideMark/>
          </w:tcPr>
          <w:p w14:paraId="0CC093B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High precision for common taxa; variable recall across species</w:t>
            </w:r>
          </w:p>
        </w:tc>
        <w:tc>
          <w:tcPr>
            <w:tcW w:w="0" w:type="auto"/>
            <w:hideMark/>
          </w:tcPr>
          <w:p w14:paraId="52EFF70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Taxonomic and methodological skew toward mammals</w:t>
            </w:r>
          </w:p>
        </w:tc>
      </w:tr>
      <w:tr w:rsidR="00C65699" w:rsidRPr="00C65699" w14:paraId="7D6A2D3C" w14:textId="77777777" w:rsidTr="008C5E8C">
        <w:tc>
          <w:tcPr>
            <w:tcW w:w="0" w:type="auto"/>
            <w:hideMark/>
          </w:tcPr>
          <w:p w14:paraId="2FCE30A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Welfare and behavioural sensing</w:t>
            </w:r>
          </w:p>
        </w:tc>
        <w:tc>
          <w:tcPr>
            <w:tcW w:w="0" w:type="auto"/>
            <w:hideMark/>
          </w:tcPr>
          <w:p w14:paraId="142DF5BA"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Activity sensors, behaviour-tracking cameras</w:t>
            </w:r>
          </w:p>
        </w:tc>
        <w:tc>
          <w:tcPr>
            <w:tcW w:w="0" w:type="auto"/>
            <w:hideMark/>
          </w:tcPr>
          <w:p w14:paraId="42389FB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Potential for early detection of climate-related stress</w:t>
            </w:r>
          </w:p>
        </w:tc>
        <w:tc>
          <w:tcPr>
            <w:tcW w:w="0" w:type="auto"/>
            <w:hideMark/>
          </w:tcPr>
          <w:p w14:paraId="1154CDD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Uneven translation into husbandry action</w:t>
            </w:r>
          </w:p>
        </w:tc>
      </w:tr>
      <w:tr w:rsidR="00C65699" w:rsidRPr="00C65699" w14:paraId="5C17D049" w14:textId="77777777" w:rsidTr="008C5E8C">
        <w:tc>
          <w:tcPr>
            <w:tcW w:w="0" w:type="auto"/>
            <w:hideMark/>
          </w:tcPr>
          <w:p w14:paraId="6D565F77"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Immersive visitor experiences</w:t>
            </w:r>
          </w:p>
        </w:tc>
        <w:tc>
          <w:tcPr>
            <w:tcW w:w="0" w:type="auto"/>
            <w:hideMark/>
          </w:tcPr>
          <w:p w14:paraId="25993E0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Virtual and augmented reality encounters</w:t>
            </w:r>
          </w:p>
        </w:tc>
        <w:tc>
          <w:tcPr>
            <w:tcW w:w="0" w:type="auto"/>
            <w:hideMark/>
          </w:tcPr>
          <w:p w14:paraId="02EE9999"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Enhanced emotional engagement and enjoyment</w:t>
            </w:r>
          </w:p>
        </w:tc>
        <w:tc>
          <w:tcPr>
            <w:tcW w:w="0" w:type="auto"/>
            <w:hideMark/>
          </w:tcPr>
          <w:p w14:paraId="1687356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Limited evidence of durable attitude change</w:t>
            </w:r>
          </w:p>
        </w:tc>
      </w:tr>
      <w:tr w:rsidR="00C65699" w:rsidRPr="00C65699" w14:paraId="63E6049A" w14:textId="77777777" w:rsidTr="008C5E8C">
        <w:tc>
          <w:tcPr>
            <w:tcW w:w="0" w:type="auto"/>
            <w:hideMark/>
          </w:tcPr>
          <w:p w14:paraId="189E6FA4"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Mobile and location-based applications</w:t>
            </w:r>
          </w:p>
        </w:tc>
        <w:tc>
          <w:tcPr>
            <w:tcW w:w="0" w:type="auto"/>
            <w:hideMark/>
          </w:tcPr>
          <w:p w14:paraId="112DA85E"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Smartphone interpretive apps, gamified content</w:t>
            </w:r>
          </w:p>
        </w:tc>
        <w:tc>
          <w:tcPr>
            <w:tcW w:w="0" w:type="auto"/>
            <w:hideMark/>
          </w:tcPr>
          <w:p w14:paraId="1FA0E40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Supports structured, exploratory learning</w:t>
            </w:r>
          </w:p>
        </w:tc>
        <w:tc>
          <w:tcPr>
            <w:tcW w:w="0" w:type="auto"/>
            <w:hideMark/>
          </w:tcPr>
          <w:p w14:paraId="7A59D8FB"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Fragmented, non-integrated deployment</w:t>
            </w:r>
          </w:p>
        </w:tc>
      </w:tr>
      <w:tr w:rsidR="00C65699" w:rsidRPr="00C65699" w14:paraId="2A82C1FC" w14:textId="77777777" w:rsidTr="008C5E8C">
        <w:tc>
          <w:tcPr>
            <w:tcW w:w="0" w:type="auto"/>
            <w:hideMark/>
          </w:tcPr>
          <w:p w14:paraId="0A4B65A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and conservation communication</w:t>
            </w:r>
          </w:p>
        </w:tc>
        <w:tc>
          <w:tcPr>
            <w:tcW w:w="0" w:type="auto"/>
            <w:hideMark/>
          </w:tcPr>
          <w:p w14:paraId="0988A6F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Interpretive messaging, connection-based framing</w:t>
            </w:r>
          </w:p>
        </w:tc>
        <w:tc>
          <w:tcPr>
            <w:tcW w:w="0" w:type="auto"/>
            <w:hideMark/>
          </w:tcPr>
          <w:p w14:paraId="5A7A3B01"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Significant association with self-reported pro-environmental behaviour</w:t>
            </w:r>
          </w:p>
        </w:tc>
        <w:tc>
          <w:tcPr>
            <w:tcW w:w="0" w:type="auto"/>
            <w:hideMark/>
          </w:tcPr>
          <w:p w14:paraId="1E36771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Heterogeneous primary evidence base</w:t>
            </w:r>
          </w:p>
        </w:tc>
      </w:tr>
    </w:tbl>
    <w:p w14:paraId="7558AF3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lastRenderedPageBreak/>
        <w:t xml:space="preserve">Sources: Carter et al. (2020); Diana et al. </w:t>
      </w:r>
      <w:r w:rsidRPr="00CB6CC5">
        <w:rPr>
          <w:rFonts w:ascii="Times New Roman" w:eastAsia="Times New Roman" w:hAnsi="Times New Roman" w:cs="Times New Roman"/>
          <w:i/>
          <w:iCs/>
          <w:sz w:val="24"/>
          <w:szCs w:val="24"/>
          <w:lang w:val="nl-BE" w:eastAsia="en-GB"/>
        </w:rPr>
        <w:t xml:space="preserve">(2021); </w:t>
      </w:r>
      <w:r w:rsidR="008C5E8C" w:rsidRPr="00CB6CC5">
        <w:rPr>
          <w:rFonts w:ascii="Times New Roman" w:eastAsia="Times New Roman" w:hAnsi="Times New Roman" w:cs="Times New Roman"/>
          <w:i/>
          <w:iCs/>
          <w:sz w:val="24"/>
          <w:szCs w:val="24"/>
          <w:lang w:val="nl-BE" w:eastAsia="en-GB"/>
        </w:rPr>
        <w:t xml:space="preserve">Taylor &amp; Duram </w:t>
      </w:r>
      <w:r w:rsidRPr="00CB6CC5">
        <w:rPr>
          <w:rFonts w:ascii="Times New Roman" w:eastAsia="Times New Roman" w:hAnsi="Times New Roman" w:cs="Times New Roman"/>
          <w:i/>
          <w:iCs/>
          <w:sz w:val="24"/>
          <w:szCs w:val="24"/>
          <w:lang w:val="nl-BE" w:eastAsia="en-GB"/>
        </w:rPr>
        <w:t xml:space="preserve">(2021); Grajal et al. </w:t>
      </w:r>
      <w:r w:rsidRPr="00C65699">
        <w:rPr>
          <w:rFonts w:ascii="Times New Roman" w:eastAsia="Times New Roman" w:hAnsi="Times New Roman" w:cs="Times New Roman"/>
          <w:i/>
          <w:iCs/>
          <w:sz w:val="24"/>
          <w:szCs w:val="24"/>
          <w:lang w:eastAsia="en-GB"/>
        </w:rPr>
        <w:t xml:space="preserve">(2017); </w:t>
      </w:r>
      <w:proofErr w:type="spellStart"/>
      <w:r w:rsidRPr="00C65699">
        <w:rPr>
          <w:rFonts w:ascii="Times New Roman" w:eastAsia="Times New Roman" w:hAnsi="Times New Roman" w:cs="Times New Roman"/>
          <w:i/>
          <w:iCs/>
          <w:sz w:val="24"/>
          <w:szCs w:val="24"/>
          <w:lang w:eastAsia="en-GB"/>
        </w:rPr>
        <w:t>Gyurián</w:t>
      </w:r>
      <w:proofErr w:type="spellEnd"/>
      <w:r w:rsidRPr="00C65699">
        <w:rPr>
          <w:rFonts w:ascii="Times New Roman" w:eastAsia="Times New Roman" w:hAnsi="Times New Roman" w:cs="Times New Roman"/>
          <w:i/>
          <w:iCs/>
          <w:sz w:val="24"/>
          <w:szCs w:val="24"/>
          <w:lang w:eastAsia="en-GB"/>
        </w:rPr>
        <w:t xml:space="preserve"> Nagy (2026); Hassinger and Nippert-Eng (2025); Lugosi and Lee (2021); McNally et al. (2025); Vélez et al. (2023); Webber et al. (2017); Zhou et al. (2025).</w:t>
      </w:r>
    </w:p>
    <w:p w14:paraId="6646ECE7"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What stands out across the five clusters in Table 3 is a consistent pattern: the technical capability to monitor, immerse and communicate has advanced faster than the institutional and evaluative infrastructure needed to make full use of it, leaving most clusters with promising short-term results but a thinner evidence base on durability and cross-institutional integration.</w:t>
      </w:r>
    </w:p>
    <w:p w14:paraId="49FB59F8"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4AB76931"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6. Aquariums, Coral Biobanks and Marine Climate Refugia</w:t>
      </w:r>
    </w:p>
    <w:p w14:paraId="794B5E6E"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Public aquaria occupy a distinctive place in this sector because their signature exhibits, coral reef displays above all, depict an ecosystem whose degradation under ocean warming and acidification is among the most visible and scientifically unambiguous consequences of climate change. That visibility has translated into a substantive technological role, with aquaria increasingly involved in ex situ coral propagation and assisted evolution research aimed at building thermal resilience into the restoration stock destined for degraded reefs. Recent horizon-scanning work has catalogued the maturing suite of coral restoration innovations: assisted evolution approaches targeting the coral host and its associated microbial symbionts, biobanking of coral gametes and tissue, and scalable propagation and </w:t>
      </w:r>
      <w:proofErr w:type="spellStart"/>
      <w:r w:rsidRPr="00C65699">
        <w:rPr>
          <w:rFonts w:ascii="Times New Roman" w:eastAsia="Times New Roman" w:hAnsi="Times New Roman" w:cs="Times New Roman"/>
          <w:sz w:val="24"/>
          <w:szCs w:val="24"/>
          <w:lang w:eastAsia="en-GB"/>
        </w:rPr>
        <w:t>outplanting</w:t>
      </w:r>
      <w:proofErr w:type="spellEnd"/>
      <w:r w:rsidRPr="00C65699">
        <w:rPr>
          <w:rFonts w:ascii="Times New Roman" w:eastAsia="Times New Roman" w:hAnsi="Times New Roman" w:cs="Times New Roman"/>
          <w:sz w:val="24"/>
          <w:szCs w:val="24"/>
          <w:lang w:eastAsia="en-GB"/>
        </w:rPr>
        <w:t xml:space="preserve"> methods. The same work notes that aquarium and nursery-based ex situ culture, whether in flow-through aquaria or land-based facilities, provides an intermediate recovery phase before transplantation that improves the survival prospects of restoration stock relative to direct transplantation alone (Suggett &amp; van Oppen, 2022). This nursery function places public aquaria, and the specialised marine science facilities often attached to them, as practical contributors to a restoration pipeline whose ultimate goal is rebuilding degraded reef ecosystems under continuing climatic stress.</w:t>
      </w:r>
    </w:p>
    <w:p w14:paraId="5B7295CC"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strategic logic behind coral biobanking parallels what Section 4 already described for terrestrial species: cryopreservation and controlled propagation are used to preserve genetic material and thermally tolerant genotypes that might otherwise be lost before restoration interventions can be scaled up. Suggett and van Oppen (2022) are candid that cost remains a fundamental constraint on equitable global deployment, noting that restoration techniques refined in well-resourced research aquaria do not automatically transfer to the reef systems and institutional contexts of the Global South that bear a disproportionate share of climate-driven reef loss — a concern this review picks up again in the equity discussion in Section 9. Beyond direct restoration, aquaria also serve a sentinel role: the controlled conditions achievable in aquarium systems let researchers isolate the physiological effects of warming and acidification on coral and other marine taxa with a precision difficult to achieve in variable field conditions, building the mechanistic understanding that later feeds back into both restoration practice and broader climate impact assessment. Coral-focused programmes remain concentrated in a relatively small number of well-resourced institutions, but the underlying biobanking and propagation logic is, in principle, transferable to other climate-vulnerable marine taxa held in aquarium collections, pointing toward a trajectory of expansion as techniques mature and costs come down.</w:t>
      </w:r>
    </w:p>
    <w:p w14:paraId="55E9AC6B"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008861A3"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lastRenderedPageBreak/>
        <w:t>7. Operational Sustainability: Renewable Energy, Circular Resource Flows and Green Infrastructure</w:t>
      </w:r>
    </w:p>
    <w:p w14:paraId="0B1658C0"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7.1 Energy transition within zoo and aquarium operations</w:t>
      </w:r>
    </w:p>
    <w:p w14:paraId="73576982"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Beyond their conservation and educational work, zoos and aquariums are substantial consumers of energy and water, running climate-controlled enclosures, filtration systems and visitor facilities whose carbon footprint has come under growing institutional scrutiny. The adoption of rooftop solar generation, energy-efficient lighting and electrified or solar-powered visitor transport is the most visible and widely documented category of operational mitigation effort across the sector, part of a broader institutional push to cut emissions tied to facility operations. Any single institution's energy transition is modest in absolute global terms, but its cumulative and demonstrative value lies in its visibility: a visitor who sees a solar array, an electric visitor vehicle or a water-efficient exhibit encounters a tangible, legible model of decarbonised infrastructure that can reinforce the educational messaging discussed in Section 5.</w:t>
      </w:r>
    </w:p>
    <w:p w14:paraId="7B778890"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7.2 Circular resource flows and the waste-to-energy case of zoo-derived biogas</w:t>
      </w:r>
    </w:p>
    <w:p w14:paraId="33BEE6F0"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particularly instructive case of circular economy thinking in this sector is the anaerobic digestion of zoo-generated organic waste — uneaten food, bedding material, animal excreta — to produce biogas usable for heating, cooking or electricity. A recent comprehensive review of this practice found zoo-derived organic waste to be a viable, if still underexploited, substrate for anaerobic digestion, capable of feeding a sustainable on-site energy system while cutting the greenhouse gas emissions, methane above all, that would otherwise arise from this same waste stream decomposing uncontrolled (Tin et al., 2024). The review frames biogas capture explicitly as a mechanism through which zoological institutions can curb greenhouse gas emissions, raise resource efficiency and demonstrate environmental responsibility, while noting that getting it right requires careful attention to the operational, technical and maintenance demands of biogas plant installation in a setting with variable feedstock composition and a need to integrate digestate management with existing horticultural operations (Tin et al., 2024). This case captures the broader testbed function set out in this review's introduction rather neatly: a technology already established in agricultural and municipal waste management is adapted, tested and documented within the bounded setting of a zoo, producing operational knowledge that other urban green-space managers can borrow.</w:t>
      </w:r>
    </w:p>
    <w:p w14:paraId="3DAE4AF2"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7.3 Green infrastructure, urban biodiversity and microclimate regulation</w:t>
      </w:r>
    </w:p>
    <w:p w14:paraId="627E03DF"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further operational dimension is the substantial designated green area many zoos maintain, which delivers climate and biodiversity co-benefits well beyond the institution's conservation breeding remit. Urban green spaces of the kind found within zoo grounds have been shown, across a substantial empirical literature, to support measurable biodiversity gains, with meta-analytic evidence confirming that the spatial extent of urban green areas is among the strongest predictors of intra-urban biodiversity variation across taxa (</w:t>
      </w:r>
      <w:proofErr w:type="spellStart"/>
      <w:r w:rsidRPr="00C65699">
        <w:rPr>
          <w:rFonts w:ascii="Times New Roman" w:eastAsia="Times New Roman" w:hAnsi="Times New Roman" w:cs="Times New Roman"/>
          <w:sz w:val="24"/>
          <w:szCs w:val="24"/>
          <w:lang w:eastAsia="en-GB"/>
        </w:rPr>
        <w:t>Beninde</w:t>
      </w:r>
      <w:proofErr w:type="spellEnd"/>
      <w:r w:rsidRPr="00C65699">
        <w:rPr>
          <w:rFonts w:ascii="Times New Roman" w:eastAsia="Times New Roman" w:hAnsi="Times New Roman" w:cs="Times New Roman"/>
          <w:sz w:val="24"/>
          <w:szCs w:val="24"/>
          <w:lang w:eastAsia="en-GB"/>
        </w:rPr>
        <w:t xml:space="preserve"> et al., 2015). That relationship has been confirmed specifically within Indian zoos, where designated green area correlated significantly with the richness of free-ranging mammal and bird species observed on zoo grounds, even though the same relationship did not extend to reptiles, whose habitat needs are governed more by microhabitat features such as thermal refugia and structural complexity than by patch area alone (Gupta et al., 2025). The same taxon-specific </w:t>
      </w:r>
      <w:r w:rsidRPr="00C65699">
        <w:rPr>
          <w:rFonts w:ascii="Times New Roman" w:eastAsia="Times New Roman" w:hAnsi="Times New Roman" w:cs="Times New Roman"/>
          <w:sz w:val="24"/>
          <w:szCs w:val="24"/>
          <w:lang w:eastAsia="en-GB"/>
        </w:rPr>
        <w:lastRenderedPageBreak/>
        <w:t>pattern echoes findings from urban ecology more broadly, where reptile and amphibian diversity in fragmented landscapes has been shown to depend heavily on the conservation value of even small habitat patches, provided the right microhabitat conditions are present, rather than on patch size as such (Delaney et al., 2021). Comparable evidence from the United Kingdom indicates that zoo grounds can also function as functioning habitat for free-living native small mammal species, reinforcing the case that designated green space within zoos is ecologically active rather than merely ornamental (Elwell et al., 2021). Foundational work examining the value of urban and peri-urban parks for wildlife had already shown that park size can override the negative effects of habitat isolation in shaping vertebrate community composition, lending broader empirical support to the minimum green-area requirements written into zoo design standards (Sorace, 2001).</w:t>
      </w:r>
    </w:p>
    <w:p w14:paraId="176779AD"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Beyond their direct biodiversity contribution, these green spaces deliver recognised climate mitigation and adaptation services, including carbon sequestration in woody vegetation and soil, </w:t>
      </w:r>
      <w:proofErr w:type="spellStart"/>
      <w:r w:rsidRPr="00C65699">
        <w:rPr>
          <w:rFonts w:ascii="Times New Roman" w:eastAsia="Times New Roman" w:hAnsi="Times New Roman" w:cs="Times New Roman"/>
          <w:sz w:val="24"/>
          <w:szCs w:val="24"/>
          <w:lang w:eastAsia="en-GB"/>
        </w:rPr>
        <w:t>evapotranspirative</w:t>
      </w:r>
      <w:proofErr w:type="spellEnd"/>
      <w:r w:rsidRPr="00C65699">
        <w:rPr>
          <w:rFonts w:ascii="Times New Roman" w:eastAsia="Times New Roman" w:hAnsi="Times New Roman" w:cs="Times New Roman"/>
          <w:sz w:val="24"/>
          <w:szCs w:val="24"/>
          <w:lang w:eastAsia="en-GB"/>
        </w:rPr>
        <w:t xml:space="preserve"> cooling that softens the urban heat island, and stormwater attenuation — services extensively documented in the urban green infrastructure literature and increasingly treated as essential, not incidental, components of sustainable urban planning (Davies &amp; </w:t>
      </w:r>
      <w:proofErr w:type="spellStart"/>
      <w:r w:rsidRPr="00C65699">
        <w:rPr>
          <w:rFonts w:ascii="Times New Roman" w:eastAsia="Times New Roman" w:hAnsi="Times New Roman" w:cs="Times New Roman"/>
          <w:sz w:val="24"/>
          <w:szCs w:val="24"/>
          <w:lang w:eastAsia="en-GB"/>
        </w:rPr>
        <w:t>Lafortezza</w:t>
      </w:r>
      <w:proofErr w:type="spellEnd"/>
      <w:r w:rsidRPr="00C65699">
        <w:rPr>
          <w:rFonts w:ascii="Times New Roman" w:eastAsia="Times New Roman" w:hAnsi="Times New Roman" w:cs="Times New Roman"/>
          <w:sz w:val="24"/>
          <w:szCs w:val="24"/>
          <w:lang w:eastAsia="en-GB"/>
        </w:rPr>
        <w:t>, 2017; Godoi et al., 2025). The conservation literature has long insisted that meaningful biodiversity outcomes depend on attention to the places people actually live and work, rather than being confined to remote protected areas, a principle that gives particular weight to the role zoos can play as accessible urban green infrastructure embedded within dense metropolitan settings (Miller &amp; Hobbs, 2002). Within the Indian regulatory context specifically, mandated minimum green-area thresholds for recognised zoos institutionalise this function, requiring that a substantial share of total zoo land be kept as ecologically functional green space rather than purely ornamental or built infrastructure (Gupta et al., 2025).</w:t>
      </w:r>
    </w:p>
    <w:p w14:paraId="77B39864"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Table 4 brings together the operational mitigation interventions discussed in this section, alongside the primary climate-benefit mechanism and the type of evidence available for each.</w:t>
      </w:r>
    </w:p>
    <w:p w14:paraId="3FEA3D86"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4. Operational sustainability interventions in zoos and aquariums with mitigation relevance</w:t>
      </w:r>
    </w:p>
    <w:tbl>
      <w:tblPr>
        <w:tblStyle w:val="TableGrid"/>
        <w:tblW w:w="0" w:type="auto"/>
        <w:tblLook w:val="04A0" w:firstRow="1" w:lastRow="0" w:firstColumn="1" w:lastColumn="0" w:noHBand="0" w:noVBand="1"/>
      </w:tblPr>
      <w:tblGrid>
        <w:gridCol w:w="2110"/>
        <w:gridCol w:w="2380"/>
        <w:gridCol w:w="2348"/>
        <w:gridCol w:w="2404"/>
      </w:tblGrid>
      <w:tr w:rsidR="00C65699" w:rsidRPr="00C65699" w14:paraId="3AC58AED" w14:textId="77777777" w:rsidTr="008C5E8C">
        <w:tc>
          <w:tcPr>
            <w:tcW w:w="0" w:type="auto"/>
            <w:hideMark/>
          </w:tcPr>
          <w:p w14:paraId="184707A3"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Intervention</w:t>
            </w:r>
          </w:p>
        </w:tc>
        <w:tc>
          <w:tcPr>
            <w:tcW w:w="0" w:type="auto"/>
            <w:hideMark/>
          </w:tcPr>
          <w:p w14:paraId="77FCB667"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Mechanism of climate benefit</w:t>
            </w:r>
          </w:p>
        </w:tc>
        <w:tc>
          <w:tcPr>
            <w:tcW w:w="0" w:type="auto"/>
            <w:hideMark/>
          </w:tcPr>
          <w:p w14:paraId="34EE847B"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Documented co-benefit</w:t>
            </w:r>
          </w:p>
        </w:tc>
        <w:tc>
          <w:tcPr>
            <w:tcW w:w="0" w:type="auto"/>
            <w:hideMark/>
          </w:tcPr>
          <w:p w14:paraId="3D5D2E49" w14:textId="77777777" w:rsidR="00C65699" w:rsidRPr="00C65699" w:rsidRDefault="00C65699" w:rsidP="00AC0E27">
            <w:pPr>
              <w:jc w:val="both"/>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Evidentiary basis</w:t>
            </w:r>
          </w:p>
        </w:tc>
      </w:tr>
      <w:tr w:rsidR="00C65699" w:rsidRPr="00C65699" w14:paraId="4B5233FC" w14:textId="77777777" w:rsidTr="008C5E8C">
        <w:tc>
          <w:tcPr>
            <w:tcW w:w="0" w:type="auto"/>
            <w:hideMark/>
          </w:tcPr>
          <w:p w14:paraId="476F68D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Renewable electricity generation (solar)</w:t>
            </w:r>
          </w:p>
        </w:tc>
        <w:tc>
          <w:tcPr>
            <w:tcW w:w="0" w:type="auto"/>
            <w:hideMark/>
          </w:tcPr>
          <w:p w14:paraId="181693B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Displacement of grid-supplied fossil generation</w:t>
            </w:r>
          </w:p>
        </w:tc>
        <w:tc>
          <w:tcPr>
            <w:tcW w:w="0" w:type="auto"/>
            <w:hideMark/>
          </w:tcPr>
          <w:p w14:paraId="352CC9FD"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Visible demonstration effect for visitors</w:t>
            </w:r>
          </w:p>
        </w:tc>
        <w:tc>
          <w:tcPr>
            <w:tcW w:w="0" w:type="auto"/>
            <w:hideMark/>
          </w:tcPr>
          <w:p w14:paraId="124DBCD7"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Institutional case documentation</w:t>
            </w:r>
          </w:p>
        </w:tc>
      </w:tr>
      <w:tr w:rsidR="00C65699" w:rsidRPr="00C65699" w14:paraId="02644A71" w14:textId="77777777" w:rsidTr="008C5E8C">
        <w:tc>
          <w:tcPr>
            <w:tcW w:w="0" w:type="auto"/>
            <w:hideMark/>
          </w:tcPr>
          <w:p w14:paraId="2BA1270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Anaerobic digestion of organic waste (biogas)</w:t>
            </w:r>
          </w:p>
        </w:tc>
        <w:tc>
          <w:tcPr>
            <w:tcW w:w="0" w:type="auto"/>
            <w:hideMark/>
          </w:tcPr>
          <w:p w14:paraId="6062571C"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Methane capture and substitution of fossil fuel use</w:t>
            </w:r>
          </w:p>
        </w:tc>
        <w:tc>
          <w:tcPr>
            <w:tcW w:w="0" w:type="auto"/>
            <w:hideMark/>
          </w:tcPr>
          <w:p w14:paraId="37B4AFC7"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Reduced waste disposal burden; nutrient-rich digestate</w:t>
            </w:r>
          </w:p>
        </w:tc>
        <w:tc>
          <w:tcPr>
            <w:tcW w:w="0" w:type="auto"/>
            <w:hideMark/>
          </w:tcPr>
          <w:p w14:paraId="29C840A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Sector-wide review of biogas implementation</w:t>
            </w:r>
          </w:p>
        </w:tc>
      </w:tr>
      <w:tr w:rsidR="00C65699" w:rsidRPr="00C65699" w14:paraId="346C91E8" w14:textId="77777777" w:rsidTr="008C5E8C">
        <w:tc>
          <w:tcPr>
            <w:tcW w:w="0" w:type="auto"/>
            <w:hideMark/>
          </w:tcPr>
          <w:p w14:paraId="5C887E6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Designated green area expansion</w:t>
            </w:r>
          </w:p>
        </w:tc>
        <w:tc>
          <w:tcPr>
            <w:tcW w:w="0" w:type="auto"/>
            <w:hideMark/>
          </w:tcPr>
          <w:p w14:paraId="7B654B5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Carbon sequestration; urban heat moderation</w:t>
            </w:r>
          </w:p>
        </w:tc>
        <w:tc>
          <w:tcPr>
            <w:tcW w:w="0" w:type="auto"/>
            <w:hideMark/>
          </w:tcPr>
          <w:p w14:paraId="780771D6"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Habitat for free-ranging native fauna</w:t>
            </w:r>
          </w:p>
        </w:tc>
        <w:tc>
          <w:tcPr>
            <w:tcW w:w="0" w:type="auto"/>
            <w:hideMark/>
          </w:tcPr>
          <w:p w14:paraId="50A7120E"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Meta-analytic and India-specific empirical evidence</w:t>
            </w:r>
          </w:p>
        </w:tc>
      </w:tr>
      <w:tr w:rsidR="00C65699" w:rsidRPr="00C65699" w14:paraId="5778D638" w14:textId="77777777" w:rsidTr="008C5E8C">
        <w:tc>
          <w:tcPr>
            <w:tcW w:w="0" w:type="auto"/>
            <w:hideMark/>
          </w:tcPr>
          <w:p w14:paraId="44263D8F"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Water-efficient and recirculating systems</w:t>
            </w:r>
          </w:p>
        </w:tc>
        <w:tc>
          <w:tcPr>
            <w:tcW w:w="0" w:type="auto"/>
            <w:hideMark/>
          </w:tcPr>
          <w:p w14:paraId="0A146D58"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Reduced energy demand for water treatment and pumping</w:t>
            </w:r>
          </w:p>
        </w:tc>
        <w:tc>
          <w:tcPr>
            <w:tcW w:w="0" w:type="auto"/>
            <w:hideMark/>
          </w:tcPr>
          <w:p w14:paraId="4CB38D01"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Resilience to drought and water stress</w:t>
            </w:r>
          </w:p>
        </w:tc>
        <w:tc>
          <w:tcPr>
            <w:tcW w:w="0" w:type="auto"/>
            <w:hideMark/>
          </w:tcPr>
          <w:p w14:paraId="1F353682"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Cross-sector aquaculture and facility studies</w:t>
            </w:r>
          </w:p>
        </w:tc>
      </w:tr>
      <w:tr w:rsidR="00C65699" w:rsidRPr="00C65699" w14:paraId="4F98D8C3" w14:textId="77777777" w:rsidTr="008C5E8C">
        <w:tc>
          <w:tcPr>
            <w:tcW w:w="0" w:type="auto"/>
            <w:hideMark/>
          </w:tcPr>
          <w:p w14:paraId="51BEF6A3"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Sustainable visitor </w:t>
            </w:r>
            <w:r w:rsidRPr="00C65699">
              <w:rPr>
                <w:rFonts w:ascii="Times New Roman" w:eastAsia="Times New Roman" w:hAnsi="Times New Roman" w:cs="Times New Roman"/>
                <w:sz w:val="24"/>
                <w:szCs w:val="24"/>
                <w:lang w:eastAsia="en-GB"/>
              </w:rPr>
              <w:lastRenderedPageBreak/>
              <w:t>transport</w:t>
            </w:r>
          </w:p>
        </w:tc>
        <w:tc>
          <w:tcPr>
            <w:tcW w:w="0" w:type="auto"/>
            <w:hideMark/>
          </w:tcPr>
          <w:p w14:paraId="2608B251"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Reduced on-site and </w:t>
            </w:r>
            <w:r w:rsidRPr="00C65699">
              <w:rPr>
                <w:rFonts w:ascii="Times New Roman" w:eastAsia="Times New Roman" w:hAnsi="Times New Roman" w:cs="Times New Roman"/>
                <w:sz w:val="24"/>
                <w:szCs w:val="24"/>
                <w:lang w:eastAsia="en-GB"/>
              </w:rPr>
              <w:lastRenderedPageBreak/>
              <w:t>access-related emissions</w:t>
            </w:r>
          </w:p>
        </w:tc>
        <w:tc>
          <w:tcPr>
            <w:tcW w:w="0" w:type="auto"/>
            <w:hideMark/>
          </w:tcPr>
          <w:p w14:paraId="36ADA4DE"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Improved air quality </w:t>
            </w:r>
            <w:r w:rsidRPr="00C65699">
              <w:rPr>
                <w:rFonts w:ascii="Times New Roman" w:eastAsia="Times New Roman" w:hAnsi="Times New Roman" w:cs="Times New Roman"/>
                <w:sz w:val="24"/>
                <w:szCs w:val="24"/>
                <w:lang w:eastAsia="en-GB"/>
              </w:rPr>
              <w:lastRenderedPageBreak/>
              <w:t>within visitor areas</w:t>
            </w:r>
          </w:p>
        </w:tc>
        <w:tc>
          <w:tcPr>
            <w:tcW w:w="0" w:type="auto"/>
            <w:hideMark/>
          </w:tcPr>
          <w:p w14:paraId="3E9AB184" w14:textId="77777777" w:rsidR="00C65699" w:rsidRPr="00C65699" w:rsidRDefault="00C65699" w:rsidP="00AC0E27">
            <w:pPr>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Institutional </w:t>
            </w:r>
            <w:r w:rsidRPr="00C65699">
              <w:rPr>
                <w:rFonts w:ascii="Times New Roman" w:eastAsia="Times New Roman" w:hAnsi="Times New Roman" w:cs="Times New Roman"/>
                <w:sz w:val="24"/>
                <w:szCs w:val="24"/>
                <w:lang w:eastAsia="en-GB"/>
              </w:rPr>
              <w:lastRenderedPageBreak/>
              <w:t>sustainability reporting</w:t>
            </w:r>
          </w:p>
        </w:tc>
      </w:tr>
    </w:tbl>
    <w:p w14:paraId="35C09971"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lastRenderedPageBreak/>
        <w:t xml:space="preserve">Sources: </w:t>
      </w:r>
      <w:proofErr w:type="spellStart"/>
      <w:r w:rsidRPr="00C65699">
        <w:rPr>
          <w:rFonts w:ascii="Times New Roman" w:eastAsia="Times New Roman" w:hAnsi="Times New Roman" w:cs="Times New Roman"/>
          <w:i/>
          <w:iCs/>
          <w:sz w:val="24"/>
          <w:szCs w:val="24"/>
          <w:lang w:eastAsia="en-GB"/>
        </w:rPr>
        <w:t>Beninde</w:t>
      </w:r>
      <w:proofErr w:type="spellEnd"/>
      <w:r w:rsidRPr="00C65699">
        <w:rPr>
          <w:rFonts w:ascii="Times New Roman" w:eastAsia="Times New Roman" w:hAnsi="Times New Roman" w:cs="Times New Roman"/>
          <w:i/>
          <w:iCs/>
          <w:sz w:val="24"/>
          <w:szCs w:val="24"/>
          <w:lang w:eastAsia="en-GB"/>
        </w:rPr>
        <w:t xml:space="preserve"> et al. (2015); Davies and </w:t>
      </w:r>
      <w:proofErr w:type="spellStart"/>
      <w:r w:rsidRPr="00C65699">
        <w:rPr>
          <w:rFonts w:ascii="Times New Roman" w:eastAsia="Times New Roman" w:hAnsi="Times New Roman" w:cs="Times New Roman"/>
          <w:i/>
          <w:iCs/>
          <w:sz w:val="24"/>
          <w:szCs w:val="24"/>
          <w:lang w:eastAsia="en-GB"/>
        </w:rPr>
        <w:t>Lafortezza</w:t>
      </w:r>
      <w:proofErr w:type="spellEnd"/>
      <w:r w:rsidRPr="00C65699">
        <w:rPr>
          <w:rFonts w:ascii="Times New Roman" w:eastAsia="Times New Roman" w:hAnsi="Times New Roman" w:cs="Times New Roman"/>
          <w:i/>
          <w:iCs/>
          <w:sz w:val="24"/>
          <w:szCs w:val="24"/>
          <w:lang w:eastAsia="en-GB"/>
        </w:rPr>
        <w:t xml:space="preserve"> (2017); Delaney et al. (2021); Elwell et al. (2021); Godoi et al. (2025); Gupta et al. (2025); Miller and Hobbs (2002); Sorace (2001); Tin et al. (2024).</w:t>
      </w:r>
    </w:p>
    <w:p w14:paraId="38CB4D6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five interventions in Table 4 differ considerably in evidentiary maturity: renewable energy and biogas capture rest on documented engineering and waste-management practice, whereas the biodiversity co-benefits of green-space expansion are now supported by directly comparable Indian and international data, making this category arguably the most rigorously evidenced operational pathway examined in the review.</w:t>
      </w:r>
    </w:p>
    <w:p w14:paraId="6A6561F3"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4E6B98F1"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8. The Indian Context: Institutional Architecture, Conservation Breeding and Technological Uptake</w:t>
      </w:r>
    </w:p>
    <w:p w14:paraId="10D74473"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8.1 Regulatory architecture and the Central Zoo Authority</w:t>
      </w:r>
    </w:p>
    <w:p w14:paraId="2D699CA9"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India's zoo sector stands out internationally for its comparatively centralised regulatory architecture, built around the Central Zoo Authority, a statutory body established to oversee the recognition, monitoring and conservation contribution of zoos nationwide. This model imposes standardised minimum requirements on green space allocation, conservation breeding participation and visitor infrastructure across a categorised system of large, medium, small and mini zoos — administratively demanding, but it produces an unusually consistent evidentiary basis for cross-institutional comparison (Gupta et al., 2025). A recent empirical assessment of twenty-three Central Zoo Authority-recognised zoos, selected to represent the full spread of institutional scale across India's biogeographic zones, found a statistically significant association between participation in conservation breeding programmes and the proportion of threatened species held under protection, alongside a positive correlation between designated green area and the richness of free-ranging mammal and bird species observed on zoo grounds (Gupta et al., 2025). These findings provide some of the most direct quantitative evidence available anywhere in the global literature for a claim made throughout this review: that zoo institutional characteristics translate into measurable biodiversity and conservation outcomes. The same study also flags an important caveat, finding no significant relationship between green area and plant species diversity — a result its authors attribute to variation in habitat management practice and plant species selection across institutions, rather than to any inherent limit on what green-area provision can achieve.</w:t>
      </w:r>
    </w:p>
    <w:p w14:paraId="47ABD1AA"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8.2 Conservation breeding case studies and their technological dimensions</w:t>
      </w:r>
    </w:p>
    <w:p w14:paraId="2597518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Several Indian conservation breeding programmes show how the biotechnological pathways discussed in Section 4 play out in practice within a developing-country institutional context. The captive breeding and subsequent reintroduction of the Indian gharial (</w:t>
      </w:r>
      <w:r w:rsidRPr="00C65699">
        <w:rPr>
          <w:rFonts w:ascii="Times New Roman" w:eastAsia="Times New Roman" w:hAnsi="Times New Roman" w:cs="Times New Roman"/>
          <w:i/>
          <w:iCs/>
          <w:sz w:val="24"/>
          <w:szCs w:val="24"/>
          <w:lang w:eastAsia="en-GB"/>
        </w:rPr>
        <w:t>Gavialis gangeticus</w:t>
      </w:r>
      <w:r w:rsidRPr="00C65699">
        <w:rPr>
          <w:rFonts w:ascii="Times New Roman" w:eastAsia="Times New Roman" w:hAnsi="Times New Roman" w:cs="Times New Roman"/>
          <w:sz w:val="24"/>
          <w:szCs w:val="24"/>
          <w:lang w:eastAsia="en-GB"/>
        </w:rPr>
        <w:t xml:space="preserve">), pursued through coordinated programmes including those at </w:t>
      </w:r>
      <w:proofErr w:type="spellStart"/>
      <w:r w:rsidRPr="00C65699">
        <w:rPr>
          <w:rFonts w:ascii="Times New Roman" w:eastAsia="Times New Roman" w:hAnsi="Times New Roman" w:cs="Times New Roman"/>
          <w:sz w:val="24"/>
          <w:szCs w:val="24"/>
          <w:lang w:eastAsia="en-GB"/>
        </w:rPr>
        <w:t>Nandankanan</w:t>
      </w:r>
      <w:proofErr w:type="spellEnd"/>
      <w:r w:rsidRPr="00C65699">
        <w:rPr>
          <w:rFonts w:ascii="Times New Roman" w:eastAsia="Times New Roman" w:hAnsi="Times New Roman" w:cs="Times New Roman"/>
          <w:sz w:val="24"/>
          <w:szCs w:val="24"/>
          <w:lang w:eastAsia="en-GB"/>
        </w:rPr>
        <w:t xml:space="preserve"> Zoological Park and the Madras Crocodile Bank Trust, has substantially increased population numbers since the 1970s, though the programme's long-term success has been tempered by post-release survival challenges and continuing pressure on riverine nesting habitat. The lesson here is a recurring one in this review: ex situ technological success does not </w:t>
      </w:r>
      <w:r w:rsidRPr="00C65699">
        <w:rPr>
          <w:rFonts w:ascii="Times New Roman" w:eastAsia="Times New Roman" w:hAnsi="Times New Roman" w:cs="Times New Roman"/>
          <w:sz w:val="24"/>
          <w:szCs w:val="24"/>
          <w:lang w:eastAsia="en-GB"/>
        </w:rPr>
        <w:lastRenderedPageBreak/>
        <w:t>automatically translate into self-sustaining wild populations without parallel in situ habitat protection (Stevenson, 2015). Indeed, the broader argument that ex situ and in situ data management need to be integrated, rather than run as parallel but disconnected efforts, applies directly to gharial and other crocodilian conservation, where breeding records held by zoos are of limited use unless linked systematically to field monitoring of nesting success and habitat condition (Schwartz et al., 2017). Genetic assessment of the mugger crocodile (</w:t>
      </w:r>
      <w:r w:rsidRPr="00C65699">
        <w:rPr>
          <w:rFonts w:ascii="Times New Roman" w:eastAsia="Times New Roman" w:hAnsi="Times New Roman" w:cs="Times New Roman"/>
          <w:i/>
          <w:iCs/>
          <w:sz w:val="24"/>
          <w:szCs w:val="24"/>
          <w:lang w:eastAsia="en-GB"/>
        </w:rPr>
        <w:t>Crocodylus palustris</w:t>
      </w:r>
      <w:r w:rsidRPr="00C65699">
        <w:rPr>
          <w:rFonts w:ascii="Times New Roman" w:eastAsia="Times New Roman" w:hAnsi="Times New Roman" w:cs="Times New Roman"/>
          <w:sz w:val="24"/>
          <w:szCs w:val="24"/>
          <w:lang w:eastAsia="en-GB"/>
        </w:rPr>
        <w:t xml:space="preserve">) population within a regulated stretch of a North Indian river system shows a related point in action: population genetic monitoring, itself reliant on molecular techniques closely related to the environmental DNA approaches discussed in Section 4.4, can inform conservation management for a species whose riverine habitat is increasingly subject to both anthropogenic regulation and climate-driven hydrological variability (Sharma et al., 2024). The Indian mouse deer breeding and reintroduction programme has likewise generated practical insights into genetic management and reproductive biology that feed directly into broader regional conservation strategy for a poorly studied species (Kumar &amp; Umapathy, 2023). Across these case studies, a consistent pattern emerges: Indian institutions have successfully adopted core conservation breeding methodology, but continue to face genetic bottleneck management challenges in small founder populations, as the documented concerns around limited gene flow within the Asiatic lion breeding programme at </w:t>
      </w:r>
      <w:proofErr w:type="spellStart"/>
      <w:r w:rsidRPr="00C65699">
        <w:rPr>
          <w:rFonts w:ascii="Times New Roman" w:eastAsia="Times New Roman" w:hAnsi="Times New Roman" w:cs="Times New Roman"/>
          <w:sz w:val="24"/>
          <w:szCs w:val="24"/>
          <w:lang w:eastAsia="en-GB"/>
        </w:rPr>
        <w:t>Sakkarbaug</w:t>
      </w:r>
      <w:proofErr w:type="spellEnd"/>
      <w:r w:rsidRPr="00C65699">
        <w:rPr>
          <w:rFonts w:ascii="Times New Roman" w:eastAsia="Times New Roman" w:hAnsi="Times New Roman" w:cs="Times New Roman"/>
          <w:sz w:val="24"/>
          <w:szCs w:val="24"/>
          <w:lang w:eastAsia="en-GB"/>
        </w:rPr>
        <w:t xml:space="preserve"> Zoo make clear (Gupta et al., 2025).</w:t>
      </w:r>
    </w:p>
    <w:p w14:paraId="391FA207"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8.3 Barriers and opportunities for technological scaling</w:t>
      </w:r>
    </w:p>
    <w:p w14:paraId="0D97B54C"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The Indian experience illustrates both the opportunities and the structural constraints attached to technological scaling within a large, biodiversity-rich but resource-constrained zoo network. On the opportunity side, a unified national regulatory authority, standardised reporting requirements and a national studbook programme together provide an institutional infrastructure through which technological innovations, once validated, could in principle be disseminated systematically across the recognised zoo network — a capacity not uniformly available even in higher-income jurisdictions, where zoo governance is often fragmented across independent accrediting bodies. That same centralisation, though, concentrates technical capacity, particularly for advanced biotechnologies such as </w:t>
      </w:r>
      <w:proofErr w:type="spellStart"/>
      <w:r w:rsidRPr="00C65699">
        <w:rPr>
          <w:rFonts w:ascii="Times New Roman" w:eastAsia="Times New Roman" w:hAnsi="Times New Roman" w:cs="Times New Roman"/>
          <w:sz w:val="24"/>
          <w:szCs w:val="24"/>
          <w:lang w:eastAsia="en-GB"/>
        </w:rPr>
        <w:t>cryobanking</w:t>
      </w:r>
      <w:proofErr w:type="spellEnd"/>
      <w:r w:rsidRPr="00C65699">
        <w:rPr>
          <w:rFonts w:ascii="Times New Roman" w:eastAsia="Times New Roman" w:hAnsi="Times New Roman" w:cs="Times New Roman"/>
          <w:sz w:val="24"/>
          <w:szCs w:val="24"/>
          <w:lang w:eastAsia="en-GB"/>
        </w:rPr>
        <w:t xml:space="preserve"> infrastructure and genomic analysis, within a small number of better-resourced coordinating institutions, leaving many recognised zoos dependent on technical support that is not always accessible across a geographically dispersed national network. The self-reported and methodologically variable nature of biodiversity documentation across institutions, itself an acknowledged limitation of the existing empirical literature on Indian zoos, further constrains the rigorous, comparable evaluation that would be needed to identify which technological interventions merit priority investment (Gupta et al., 2025). Digital and computational technologies of the kind discussed in Section 5, while increasingly common in well-resourced international institutions, remain comparatively </w:t>
      </w:r>
      <w:proofErr w:type="spellStart"/>
      <w:r w:rsidRPr="00C65699">
        <w:rPr>
          <w:rFonts w:ascii="Times New Roman" w:eastAsia="Times New Roman" w:hAnsi="Times New Roman" w:cs="Times New Roman"/>
          <w:sz w:val="24"/>
          <w:szCs w:val="24"/>
          <w:lang w:eastAsia="en-GB"/>
        </w:rPr>
        <w:t>underdocumented</w:t>
      </w:r>
      <w:proofErr w:type="spellEnd"/>
      <w:r w:rsidRPr="00C65699">
        <w:rPr>
          <w:rFonts w:ascii="Times New Roman" w:eastAsia="Times New Roman" w:hAnsi="Times New Roman" w:cs="Times New Roman"/>
          <w:sz w:val="24"/>
          <w:szCs w:val="24"/>
          <w:lang w:eastAsia="en-GB"/>
        </w:rPr>
        <w:t xml:space="preserve"> in the published Indian zoo literature, which could mean either a genuine gap in adoption or a publication gap in which practice has simply outpaced the peer-reviewed record — a distinction the existing literature does not yet allow this review to resolve with confidence.</w:t>
      </w:r>
    </w:p>
    <w:p w14:paraId="1012D46B"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3D6BBC00"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9. Governance, Ethics and Critical Perspectives</w:t>
      </w:r>
    </w:p>
    <w:p w14:paraId="69182F81"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9.1 Equity and the uneven geography of technological capacity</w:t>
      </w:r>
    </w:p>
    <w:p w14:paraId="5FE34A1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A concern that runs through several of the technological domains examined in this review is the markedly uneven global distribution of the capacity needed to develop, validate and deploy advanced conservation technologies. Coral restoration research using assisted evolution and biobanking techniques has been explicitly flagged as facing a fundamental cost constraint, one that risks concentrating restoration capacity in well-resourced research institutions while leaving the reef systems of the Global South, which bear a disproportionate share of climate-driven degradation, comparatively underserved unless deliberate investment in distributed restoration infrastructure becomes a priority (Suggett &amp; van Oppen, 2022). A parallel concern applies to advanced genomic and reproductive biotechnologies more broadly, where </w:t>
      </w:r>
      <w:proofErr w:type="spellStart"/>
      <w:r w:rsidRPr="00C65699">
        <w:rPr>
          <w:rFonts w:ascii="Times New Roman" w:eastAsia="Times New Roman" w:hAnsi="Times New Roman" w:cs="Times New Roman"/>
          <w:sz w:val="24"/>
          <w:szCs w:val="24"/>
          <w:lang w:eastAsia="en-GB"/>
        </w:rPr>
        <w:t>cryobanking</w:t>
      </w:r>
      <w:proofErr w:type="spellEnd"/>
      <w:r w:rsidRPr="00C65699">
        <w:rPr>
          <w:rFonts w:ascii="Times New Roman" w:eastAsia="Times New Roman" w:hAnsi="Times New Roman" w:cs="Times New Roman"/>
          <w:sz w:val="24"/>
          <w:szCs w:val="24"/>
          <w:lang w:eastAsia="en-GB"/>
        </w:rPr>
        <w:t xml:space="preserve"> and genome-editing infrastructure remain concentrated in a small number of specialised laboratories, mostly located in higher-income countries — raising a fair question about whether the genetic material and benefits derived from biodiversity-rich but lower-income regions actually return, in equal measure, to the institutions and communities the founder populations came from. The Indian experience, in which a national regulatory authority has sought to build domestic biobanking and studbook infrastructure rather than relying solely on external technical partnership, offers one institutional model for narrowing this gap, though the country's own internal disparities in technical capacity across its zoo network suggest that equity concerns operate at several nested scales, not only at the international level.</w:t>
      </w:r>
    </w:p>
    <w:p w14:paraId="2D9E5994"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9.2 Animal welfare and the limits of technological solutionism</w:t>
      </w:r>
    </w:p>
    <w:p w14:paraId="2EDF5AF5"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 second critical perspective concerns the relationship between technological deployment and animal welfare, and here the literature </w:t>
      </w:r>
      <w:proofErr w:type="gramStart"/>
      <w:r w:rsidRPr="00C65699">
        <w:rPr>
          <w:rFonts w:ascii="Times New Roman" w:eastAsia="Times New Roman" w:hAnsi="Times New Roman" w:cs="Times New Roman"/>
          <w:sz w:val="24"/>
          <w:szCs w:val="24"/>
          <w:lang w:eastAsia="en-GB"/>
        </w:rPr>
        <w:t>counsels</w:t>
      </w:r>
      <w:proofErr w:type="gramEnd"/>
      <w:r w:rsidRPr="00C65699">
        <w:rPr>
          <w:rFonts w:ascii="Times New Roman" w:eastAsia="Times New Roman" w:hAnsi="Times New Roman" w:cs="Times New Roman"/>
          <w:sz w:val="24"/>
          <w:szCs w:val="24"/>
          <w:lang w:eastAsia="en-GB"/>
        </w:rPr>
        <w:t xml:space="preserve"> real caution. Systematic review evidence indicates that the welfare benefits of monitoring technology depend heavily on whether the resulting data feed back into concrete husbandry change, rather than remaining a diagnostic exercise disconnected from management practice, and there is considerable room for improvement on this front across the existing literature (Diana et al., 2021). The proliferation of digital and immersive visitor technologies raises a related ethical question about the right balance between technologically mediated and direct encounters with live animals, with some evidence suggesting that excessive or poorly designed technological mediation can distract from, rather than reinforce, the conservation messaging such technologies are meant to support (Webber et al., 2017). More fundamentally, the persistence of negative and welfare-compromising visitor behaviours documented across a substantial sample of Southeast Asian zoos and aquariums is a useful corrective: institutional technological sophistication does not, by itself, guarantee better welfare outcomes at the level of the individual animal-visitor interaction, and governance, staff training and enforcement remain at least as important as technological capability (</w:t>
      </w:r>
      <w:proofErr w:type="spellStart"/>
      <w:r w:rsidRPr="00C65699">
        <w:rPr>
          <w:rFonts w:ascii="Times New Roman" w:eastAsia="Times New Roman" w:hAnsi="Times New Roman" w:cs="Times New Roman"/>
          <w:sz w:val="24"/>
          <w:szCs w:val="24"/>
          <w:lang w:eastAsia="en-GB"/>
        </w:rPr>
        <w:t>Fourage</w:t>
      </w:r>
      <w:proofErr w:type="spellEnd"/>
      <w:r w:rsidRPr="00C65699">
        <w:rPr>
          <w:rFonts w:ascii="Times New Roman" w:eastAsia="Times New Roman" w:hAnsi="Times New Roman" w:cs="Times New Roman"/>
          <w:sz w:val="24"/>
          <w:szCs w:val="24"/>
          <w:lang w:eastAsia="en-GB"/>
        </w:rPr>
        <w:t xml:space="preserve"> et al., 2024).</w:t>
      </w:r>
    </w:p>
    <w:p w14:paraId="49B13AD3" w14:textId="77777777" w:rsidR="00C65699" w:rsidRPr="00C65699" w:rsidRDefault="00C65699" w:rsidP="00AC0E2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9.3 Effectiveness debates and the limits of evidence</w:t>
      </w:r>
    </w:p>
    <w:p w14:paraId="2F2A97FB"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 third, and perhaps the most consequential, critical perspective concerns how strong the evidence really is that zoo-based interventions — technological or otherwise — produce durable, conservation-relevant behaviour change in visitors. The most recent and methodologically rigorous meta-analytic synthesis available does find a genuine, if modest, positive effect of zoo-led interventions on conservation knowledge, beliefs and self-reported behaviour, but is explicit that effect sizes are heterogeneous, that the underlying primary literature varies considerably in design quality, and that the larger effects tend to come from single-institution studies whose generalisability to the sector as a whole is uncertain (McNally et al., 2025). Pilot research on the long-term relationship between childhood zoo </w:t>
      </w:r>
      <w:r w:rsidRPr="00C65699">
        <w:rPr>
          <w:rFonts w:ascii="Times New Roman" w:eastAsia="Times New Roman" w:hAnsi="Times New Roman" w:cs="Times New Roman"/>
          <w:sz w:val="24"/>
          <w:szCs w:val="24"/>
          <w:lang w:eastAsia="en-GB"/>
        </w:rPr>
        <w:lastRenderedPageBreak/>
        <w:t>visitation and adult sustainability behaviour points in a similar direction: while most respondents perceived zoos as having shaped their environmental attitudes, comparatively few could attribute specific present-day sustainable behaviours directly to zoo-based learning, a gap between perceived influence and demonstrable causal attribution that complicates any straightforward claim about the climate-behavioural impact of zoo education (</w:t>
      </w:r>
      <w:r w:rsidR="008C5E8C">
        <w:rPr>
          <w:rFonts w:ascii="Times New Roman" w:eastAsia="Times New Roman" w:hAnsi="Times New Roman" w:cs="Times New Roman"/>
          <w:sz w:val="24"/>
          <w:szCs w:val="24"/>
          <w:lang w:eastAsia="en-GB"/>
        </w:rPr>
        <w:t>Taylor &amp; Duram</w:t>
      </w:r>
      <w:r w:rsidRPr="00C65699">
        <w:rPr>
          <w:rFonts w:ascii="Times New Roman" w:eastAsia="Times New Roman" w:hAnsi="Times New Roman" w:cs="Times New Roman"/>
          <w:sz w:val="24"/>
          <w:szCs w:val="24"/>
          <w:lang w:eastAsia="en-GB"/>
        </w:rPr>
        <w:t>, 2021). Together, these findings suggest the technological pathways examined throughout this review should be understood as contributing probabilistically and incrementally to climate-relevant outcomes, not as guaranteed mechanisms of behaviour change, and that continued investment in rigorous, longitudinal, cross-institutional evaluation remains essential if the sector's claims to mitigation and sustainable development relevance are to hold up under closer scrutiny.</w:t>
      </w:r>
    </w:p>
    <w:p w14:paraId="10153E2B"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19FEC420"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10. Towards an Integrated Socio-Ecological Testbed Framework</w:t>
      </w:r>
    </w:p>
    <w:p w14:paraId="5DB6C48F"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preceding sections, taken together, support a framework in which zoos and aquariums function as bounded socio-ecological testbeds operating across at least three interacting layers. The biological layer covers the genetic and reproductive biotechnologies examined in Section 4, through which institutions trial and refine techniques for preserving and managing genetic diversity under mounting climatic and demographic pressure. The informational layer covers the digital and computational technologies examined in Section 5, through which institutions generate evidence about animal status and visitor psychology while doubling as a communication infrastructure for climate science. The infrastructural layer covers the operational sustainability measures examined in Section 7, through which institutions model decarbonised energy systems, circular resource flows and biodiversity-supportive green infrastructure in a visible, publicly accessible setting. These three layers reinforce one another rather than operating in isolation: monitoring technologies generate the data that justify and refine genetic management decisions; sustainable infrastructure provides the physical and financial stability that allows long-term conservation breeding programmes to be sustained; and visitor-facing communication translates work that would otherwise be invisible within the biological and infrastructural layers into public understanding and, potentially, broader behavioural and political support for climate action.</w:t>
      </w:r>
    </w:p>
    <w:p w14:paraId="479F7FFC"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The Indian case examined in Section 8 shows this integrated framework is not contingent on the resource levels typical of the best-funded institutions in higher-income countries. Centralised regulatory coordination, standardised reporting and a national studbook system have produced meaningful conservation breeding and green infrastructure outcomes even where advanced digital and genomic technologies remain comparatively </w:t>
      </w:r>
      <w:proofErr w:type="spellStart"/>
      <w:r w:rsidRPr="00C65699">
        <w:rPr>
          <w:rFonts w:ascii="Times New Roman" w:eastAsia="Times New Roman" w:hAnsi="Times New Roman" w:cs="Times New Roman"/>
          <w:sz w:val="24"/>
          <w:szCs w:val="24"/>
          <w:lang w:eastAsia="en-GB"/>
        </w:rPr>
        <w:t>underdeployed</w:t>
      </w:r>
      <w:proofErr w:type="spellEnd"/>
      <w:r w:rsidRPr="00C65699">
        <w:rPr>
          <w:rFonts w:ascii="Times New Roman" w:eastAsia="Times New Roman" w:hAnsi="Times New Roman" w:cs="Times New Roman"/>
          <w:sz w:val="24"/>
          <w:szCs w:val="24"/>
          <w:lang w:eastAsia="en-GB"/>
        </w:rPr>
        <w:t>. The testbed function of zoos and aquariums is therefore best understood as a continuum of technological sophistication rather than a simple presence-or-absence of advanced capability, with institutions across that continuum still capable of generating real, if varying, contributions to climate mitigation and sustainable development objectives. The critical perspectives raised in Section 9 — equity, welfare, the limits of behavioural evidence — are not objections to the testbed concept itself but the governance conditions that determine whether its outputs are equitably distributed, ethically sound and rigorously validated before being scaled up or replicated elsewhere.</w:t>
      </w:r>
    </w:p>
    <w:p w14:paraId="4CFDBED0"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3D8E0A5A"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lastRenderedPageBreak/>
        <w:t>11. Conclusions</w:t>
      </w:r>
    </w:p>
    <w:p w14:paraId="0D3001E7"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This review set out to test the proposition that zoos and aquariums function as socio-ecological testbeds whose technological activity carries meaningful, if uneven, relevance to climate change mitigation and sustainable development. The evidence assembled across genetic and reproductive biotechnology, digital and computational monitoring, marine and coral-focused restoration science, and operational sustainability practice supports a measured but genuinely affirmative answer. </w:t>
      </w:r>
      <w:proofErr w:type="spellStart"/>
      <w:r w:rsidRPr="00C65699">
        <w:rPr>
          <w:rFonts w:ascii="Times New Roman" w:eastAsia="Times New Roman" w:hAnsi="Times New Roman" w:cs="Times New Roman"/>
          <w:sz w:val="24"/>
          <w:szCs w:val="24"/>
          <w:lang w:eastAsia="en-GB"/>
        </w:rPr>
        <w:t>Cryobanking</w:t>
      </w:r>
      <w:proofErr w:type="spellEnd"/>
      <w:r w:rsidRPr="00C65699">
        <w:rPr>
          <w:rFonts w:ascii="Times New Roman" w:eastAsia="Times New Roman" w:hAnsi="Times New Roman" w:cs="Times New Roman"/>
          <w:sz w:val="24"/>
          <w:szCs w:val="24"/>
          <w:lang w:eastAsia="en-GB"/>
        </w:rPr>
        <w:t>, assisted reproduction and emerging genome-editing capability extend the temporal and genetic reach of conservation breeding precisely as climate-driven habitat loss compresses the window within which in situ intervention alone remains sufficient. Artificial intelligence-assisted monitoring, immersive visitor technologies and increasingly sophisticated climate communication strengthen both the scientific and the public-engagement sides of institutional practice, even though the durability of resulting behaviour change is only partly established. Aquarium-based coral propagation and assisted evolution research places public aquaria within an active global restoration pipeline for one of the ecosystems most visibly imperilled by warming and acidification. Operational measures spanning renewable energy adoption, circular waste-to-energy systems and green infrastructure deliver direct mitigation and biodiversity co-benefits while modelling decarbonised practice for a broad visiting public.</w:t>
      </w:r>
    </w:p>
    <w:p w14:paraId="05C5C148"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Indian context examined here shows that meaningful contributions along each of these pathways are achievable outside the highest-resource institutional settings usually associated with sector-leading technological innovation, provided coordinated regulatory architecture, standardised reporting and sustained investment in conservation breeding infrastructure are in place. At the same time, this review has tried to be honest about what qualifies enthusiasm for any of these pathways taken alone: persistent global inequity in access to advanced biotechnological and restoration capacity, unresolved questions about whether monitoring data actually improve welfare practice, and a primary evidence base on visitor behaviour change that, while encouragingly positive in aggregate, remains heterogeneous and only partially generalisable. Zoos and aquariums are not, and should not be presented as, a substitute for systemic decarbonisation, habitat protection or international climate policy. They are, instead, a distinctive and currently underappreciated node within the broader sustainability infrastructure — one whose testbed function, properly governed and rigorously evaluated, deserves closer integration into national biodiversity action plans and climate strategies, including, with particular relevance to this review's comparative focus, the continuing evolution of India's zoo governance architecture as it tries to align an already substantial conservation breeding and green infrastructure base with an expanding technological frontier.</w:t>
      </w:r>
    </w:p>
    <w:p w14:paraId="0E9489C7" w14:textId="77777777" w:rsidR="00C65699" w:rsidRP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12. Limitations</w:t>
      </w:r>
    </w:p>
    <w:p w14:paraId="7376479E" w14:textId="77777777" w:rsidR="00C65699" w:rsidRPr="00C65699" w:rsidRDefault="00C65699" w:rsidP="00AC0E2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Several limitations qualify the conclusions drawn here. The narrative methodology, while well suited to the interdisciplinary breadth of the subject, does not allow the systematic risk-of-bias assessment or quantitative effect-size pooling available to formal systematic reviews and meta-analyses, so the synthesis offered is an interpretive integration of the literature rather than a statistically aggregated estimate of technological impact. The search, though extensive, was restricted to English-language publications, and almost certainly </w:t>
      </w:r>
      <w:r w:rsidR="008C5E8C" w:rsidRPr="00C65699">
        <w:rPr>
          <w:rFonts w:ascii="Times New Roman" w:eastAsia="Times New Roman" w:hAnsi="Times New Roman" w:cs="Times New Roman"/>
          <w:sz w:val="24"/>
          <w:szCs w:val="24"/>
          <w:lang w:eastAsia="en-GB"/>
        </w:rPr>
        <w:t>under represents</w:t>
      </w:r>
      <w:r w:rsidRPr="00C65699">
        <w:rPr>
          <w:rFonts w:ascii="Times New Roman" w:eastAsia="Times New Roman" w:hAnsi="Times New Roman" w:cs="Times New Roman"/>
          <w:sz w:val="24"/>
          <w:szCs w:val="24"/>
          <w:lang w:eastAsia="en-GB"/>
        </w:rPr>
        <w:t xml:space="preserve"> relevant work in other languages, including potentially significant Indian regional-language literature on zoo management and conservation breeding that falls outside the major international databases searched. The evidence base itself is uneven across the technological </w:t>
      </w:r>
      <w:r w:rsidRPr="00C65699">
        <w:rPr>
          <w:rFonts w:ascii="Times New Roman" w:eastAsia="Times New Roman" w:hAnsi="Times New Roman" w:cs="Times New Roman"/>
          <w:sz w:val="24"/>
          <w:szCs w:val="24"/>
          <w:lang w:eastAsia="en-GB"/>
        </w:rPr>
        <w:lastRenderedPageBreak/>
        <w:t>domains covered: digital visitor technologies and artificial intelligence-assisted monitoring rest on a comparatively recent and still-maturing literature, while assisted reproductive technology and biobanking draw on a longer but taxonomically uneven foundation concentrated in a relatively small number of well-studied species and institutions. Much of the empirical literature on visitor behaviour change relies on self-reported measures collected shortly after an intervention, with longitudinal follow-up data still scarce, which limits confidence in claims about durable, climate-relevant behavioural impact. The Indian case material drawn on here, while based on the most comprehensive currently available empirical assessment of the national zoo network, rests on a sample of twenty-three institutions and itself acknowledges self-reported and methodologically inconsistent biodiversity documentation across zoos — a constraint this review necessarily inherits wherever it draws on that source. Finally, several of the technologies discussed, genome editing, de-extinction-derived methodology and digital visitor engagement platforms in particular, are evolving quickly enough that specific findings reported here may be superseded relatively soon, which underscores the value of periodic re-review as this literature continues to mature.</w:t>
      </w:r>
    </w:p>
    <w:p w14:paraId="1507D50E" w14:textId="77777777" w:rsidR="00076B33" w:rsidRPr="000839CE" w:rsidRDefault="00076B33" w:rsidP="00AC0E27">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68854769" w14:textId="77777777" w:rsidR="00076B33" w:rsidRPr="000839CE" w:rsidRDefault="00076B33" w:rsidP="00AC0E27">
      <w:pPr>
        <w:spacing w:after="0" w:line="240" w:lineRule="auto"/>
        <w:jc w:val="both"/>
        <w:rPr>
          <w:rFonts w:ascii="Times New Roman" w:hAnsi="Times New Roman" w:cs="Times New Roman"/>
        </w:rPr>
      </w:pPr>
    </w:p>
    <w:p w14:paraId="5C11725E" w14:textId="77777777" w:rsidR="00076B33" w:rsidRPr="000839CE" w:rsidRDefault="00076B33" w:rsidP="00AC0E2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A67EAC" w14:textId="77777777" w:rsidR="00C65699" w:rsidRPr="00C65699" w:rsidRDefault="00C65699" w:rsidP="00AC0E27">
      <w:pPr>
        <w:spacing w:after="0" w:line="240" w:lineRule="auto"/>
        <w:jc w:val="both"/>
        <w:rPr>
          <w:rFonts w:ascii="Times New Roman" w:eastAsia="Times New Roman" w:hAnsi="Times New Roman" w:cs="Times New Roman"/>
          <w:sz w:val="24"/>
          <w:szCs w:val="24"/>
          <w:lang w:eastAsia="en-GB"/>
        </w:rPr>
      </w:pPr>
    </w:p>
    <w:p w14:paraId="5D565324" w14:textId="77777777" w:rsidR="00C65699" w:rsidRDefault="00C65699" w:rsidP="00AC0E2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References</w:t>
      </w:r>
    </w:p>
    <w:p w14:paraId="38A0D6B8"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Beer, H. N., Shrader, T. C., Schmidt, T. B., &amp; Yates, D. T. (2023). The evolution of zoos as conservation institutions: A summary of the transition from menageries to zoological gardens and parallel improvement of mammalian welfare management. </w:t>
      </w:r>
      <w:r w:rsidRPr="00CB6CC5">
        <w:rPr>
          <w:rFonts w:ascii="Times New Roman" w:eastAsia="Times New Roman" w:hAnsi="Times New Roman" w:cs="Times New Roman"/>
          <w:i/>
          <w:iCs/>
          <w:sz w:val="24"/>
          <w:szCs w:val="24"/>
          <w:lang w:val="en-US"/>
        </w:rPr>
        <w:t>Journal of Zoological and Botanical Gardens, 4</w:t>
      </w:r>
      <w:r w:rsidRPr="00CB6CC5">
        <w:rPr>
          <w:rFonts w:ascii="Times New Roman" w:eastAsia="Times New Roman" w:hAnsi="Times New Roman" w:cs="Times New Roman"/>
          <w:sz w:val="24"/>
          <w:szCs w:val="24"/>
          <w:lang w:val="en-US"/>
        </w:rPr>
        <w:t xml:space="preserve">(4), 648–664. </w:t>
      </w:r>
      <w:hyperlink r:id="rId7" w:history="1">
        <w:r w:rsidRPr="00CB6CC5">
          <w:rPr>
            <w:rFonts w:ascii="Times New Roman" w:eastAsia="Times New Roman" w:hAnsi="Times New Roman" w:cs="Times New Roman"/>
            <w:color w:val="0000FF"/>
            <w:sz w:val="24"/>
            <w:szCs w:val="24"/>
            <w:u w:val="single"/>
            <w:lang w:val="en-US"/>
          </w:rPr>
          <w:t>https://doi.org/10.3390/jzbg4040046</w:t>
        </w:r>
      </w:hyperlink>
    </w:p>
    <w:p w14:paraId="0D5A2644"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CB6CC5">
        <w:rPr>
          <w:rFonts w:ascii="Times New Roman" w:eastAsia="Times New Roman" w:hAnsi="Times New Roman" w:cs="Times New Roman"/>
          <w:sz w:val="24"/>
          <w:szCs w:val="24"/>
          <w:lang w:val="en-US"/>
        </w:rPr>
        <w:t>Beninde</w:t>
      </w:r>
      <w:proofErr w:type="spellEnd"/>
      <w:r w:rsidRPr="00CB6CC5">
        <w:rPr>
          <w:rFonts w:ascii="Times New Roman" w:eastAsia="Times New Roman" w:hAnsi="Times New Roman" w:cs="Times New Roman"/>
          <w:sz w:val="24"/>
          <w:szCs w:val="24"/>
          <w:lang w:val="en-US"/>
        </w:rPr>
        <w:t xml:space="preserve">, J., Veith, M., &amp; </w:t>
      </w:r>
      <w:proofErr w:type="spellStart"/>
      <w:r w:rsidRPr="00CB6CC5">
        <w:rPr>
          <w:rFonts w:ascii="Times New Roman" w:eastAsia="Times New Roman" w:hAnsi="Times New Roman" w:cs="Times New Roman"/>
          <w:sz w:val="24"/>
          <w:szCs w:val="24"/>
          <w:lang w:val="en-US"/>
        </w:rPr>
        <w:t>Hochkirch</w:t>
      </w:r>
      <w:proofErr w:type="spellEnd"/>
      <w:r w:rsidRPr="00CB6CC5">
        <w:rPr>
          <w:rFonts w:ascii="Times New Roman" w:eastAsia="Times New Roman" w:hAnsi="Times New Roman" w:cs="Times New Roman"/>
          <w:sz w:val="24"/>
          <w:szCs w:val="24"/>
          <w:lang w:val="en-US"/>
        </w:rPr>
        <w:t xml:space="preserve">, A. (2015). Biodiversity in cities needs space: A meta-analysis of factors determining intra-urban biodiversity variation. </w:t>
      </w:r>
      <w:r w:rsidRPr="00CB6CC5">
        <w:rPr>
          <w:rFonts w:ascii="Times New Roman" w:eastAsia="Times New Roman" w:hAnsi="Times New Roman" w:cs="Times New Roman"/>
          <w:i/>
          <w:iCs/>
          <w:sz w:val="24"/>
          <w:szCs w:val="24"/>
          <w:lang w:val="en-US"/>
        </w:rPr>
        <w:t>Ecology Letters, 18</w:t>
      </w:r>
      <w:r w:rsidRPr="00CB6CC5">
        <w:rPr>
          <w:rFonts w:ascii="Times New Roman" w:eastAsia="Times New Roman" w:hAnsi="Times New Roman" w:cs="Times New Roman"/>
          <w:sz w:val="24"/>
          <w:szCs w:val="24"/>
          <w:lang w:val="en-US"/>
        </w:rPr>
        <w:t xml:space="preserve">(6), 581–592. </w:t>
      </w:r>
      <w:hyperlink r:id="rId8" w:history="1">
        <w:r w:rsidRPr="00CB6CC5">
          <w:rPr>
            <w:rFonts w:ascii="Times New Roman" w:eastAsia="Times New Roman" w:hAnsi="Times New Roman" w:cs="Times New Roman"/>
            <w:color w:val="0000FF"/>
            <w:sz w:val="24"/>
            <w:szCs w:val="24"/>
            <w:u w:val="single"/>
            <w:lang w:val="en-US"/>
          </w:rPr>
          <w:t>https://doi.org/10.1111/ele.12427</w:t>
        </w:r>
      </w:hyperlink>
    </w:p>
    <w:p w14:paraId="567AB4E0"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Carter, M., Webber, S., Rawson, S., Smith, W., </w:t>
      </w:r>
      <w:proofErr w:type="spellStart"/>
      <w:r w:rsidRPr="00CB6CC5">
        <w:rPr>
          <w:rFonts w:ascii="Times New Roman" w:eastAsia="Times New Roman" w:hAnsi="Times New Roman" w:cs="Times New Roman"/>
          <w:sz w:val="24"/>
          <w:szCs w:val="24"/>
          <w:lang w:val="en-US"/>
        </w:rPr>
        <w:t>Purdam</w:t>
      </w:r>
      <w:proofErr w:type="spellEnd"/>
      <w:r w:rsidRPr="00CB6CC5">
        <w:rPr>
          <w:rFonts w:ascii="Times New Roman" w:eastAsia="Times New Roman" w:hAnsi="Times New Roman" w:cs="Times New Roman"/>
          <w:sz w:val="24"/>
          <w:szCs w:val="24"/>
          <w:lang w:val="en-US"/>
        </w:rPr>
        <w:t>, J., &amp; McLeod, E. (2020). Virtual reality in the zoo: A qualitative evaluation of a stereoscopic virtual reality video encounter with little penguins (</w:t>
      </w:r>
      <w:proofErr w:type="spellStart"/>
      <w:r w:rsidRPr="00CB6CC5">
        <w:rPr>
          <w:rFonts w:ascii="Times New Roman" w:eastAsia="Times New Roman" w:hAnsi="Times New Roman" w:cs="Times New Roman"/>
          <w:i/>
          <w:iCs/>
          <w:sz w:val="24"/>
          <w:szCs w:val="24"/>
          <w:lang w:val="en-US"/>
        </w:rPr>
        <w:t>Eudyptula</w:t>
      </w:r>
      <w:proofErr w:type="spellEnd"/>
      <w:r w:rsidRPr="00CB6CC5">
        <w:rPr>
          <w:rFonts w:ascii="Times New Roman" w:eastAsia="Times New Roman" w:hAnsi="Times New Roman" w:cs="Times New Roman"/>
          <w:i/>
          <w:iCs/>
          <w:sz w:val="24"/>
          <w:szCs w:val="24"/>
          <w:lang w:val="en-US"/>
        </w:rPr>
        <w:t xml:space="preserve"> minor</w:t>
      </w:r>
      <w:r w:rsidRPr="00CB6CC5">
        <w:rPr>
          <w:rFonts w:ascii="Times New Roman" w:eastAsia="Times New Roman" w:hAnsi="Times New Roman" w:cs="Times New Roman"/>
          <w:sz w:val="24"/>
          <w:szCs w:val="24"/>
          <w:lang w:val="en-US"/>
        </w:rPr>
        <w:t xml:space="preserve">). </w:t>
      </w:r>
      <w:r w:rsidRPr="00CB6CC5">
        <w:rPr>
          <w:rFonts w:ascii="Times New Roman" w:eastAsia="Times New Roman" w:hAnsi="Times New Roman" w:cs="Times New Roman"/>
          <w:i/>
          <w:iCs/>
          <w:sz w:val="24"/>
          <w:szCs w:val="24"/>
          <w:lang w:val="en-US"/>
        </w:rPr>
        <w:t>Journal of Zoo and Aquarium Research, 8</w:t>
      </w:r>
      <w:r w:rsidRPr="00CB6CC5">
        <w:rPr>
          <w:rFonts w:ascii="Times New Roman" w:eastAsia="Times New Roman" w:hAnsi="Times New Roman" w:cs="Times New Roman"/>
          <w:sz w:val="24"/>
          <w:szCs w:val="24"/>
          <w:lang w:val="en-US"/>
        </w:rPr>
        <w:t xml:space="preserve">(4), 239–245. </w:t>
      </w:r>
      <w:hyperlink r:id="rId9" w:history="1">
        <w:r w:rsidRPr="00CB6CC5">
          <w:rPr>
            <w:rFonts w:ascii="Times New Roman" w:eastAsia="Times New Roman" w:hAnsi="Times New Roman" w:cs="Times New Roman"/>
            <w:color w:val="0000FF"/>
            <w:sz w:val="24"/>
            <w:szCs w:val="24"/>
            <w:u w:val="single"/>
            <w:lang w:val="en-US"/>
          </w:rPr>
          <w:t>https://doi.org/10.19227/jzar.v8i4.500</w:t>
        </w:r>
      </w:hyperlink>
    </w:p>
    <w:p w14:paraId="3C79DBB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Chavez, D. E., Carrión-Olmedo, J. C., Cabezas, M. B., </w:t>
      </w:r>
      <w:proofErr w:type="spellStart"/>
      <w:r w:rsidRPr="00CB6CC5">
        <w:rPr>
          <w:rFonts w:ascii="Times New Roman" w:eastAsia="Times New Roman" w:hAnsi="Times New Roman" w:cs="Times New Roman"/>
          <w:sz w:val="24"/>
          <w:szCs w:val="24"/>
          <w:lang w:val="en-US"/>
        </w:rPr>
        <w:t>Apunte</w:t>
      </w:r>
      <w:proofErr w:type="spellEnd"/>
      <w:r w:rsidRPr="00CB6CC5">
        <w:rPr>
          <w:rFonts w:ascii="Times New Roman" w:eastAsia="Times New Roman" w:hAnsi="Times New Roman" w:cs="Times New Roman"/>
          <w:sz w:val="24"/>
          <w:szCs w:val="24"/>
          <w:lang w:val="en-US"/>
        </w:rPr>
        <w:t xml:space="preserve">-Ramos, K., Reyes-Barriga, D., Lojan-Cueva, P., Mora, D., Bustamante, M., Pinto, C. M., &amp; Jarrín-V, P. (2026). Museums and zoos: A formula for rapid genetic identification of elusive species and practical applications for conservation and systematics in the Global South. </w:t>
      </w:r>
      <w:r w:rsidRPr="00CB6CC5">
        <w:rPr>
          <w:rFonts w:ascii="Times New Roman" w:eastAsia="Times New Roman" w:hAnsi="Times New Roman" w:cs="Times New Roman"/>
          <w:i/>
          <w:iCs/>
          <w:sz w:val="24"/>
          <w:szCs w:val="24"/>
          <w:lang w:val="en-US"/>
        </w:rPr>
        <w:t>Biological Journal of the Linnean Society, 147</w:t>
      </w:r>
      <w:r w:rsidRPr="00CB6CC5">
        <w:rPr>
          <w:rFonts w:ascii="Times New Roman" w:eastAsia="Times New Roman" w:hAnsi="Times New Roman" w:cs="Times New Roman"/>
          <w:sz w:val="24"/>
          <w:szCs w:val="24"/>
          <w:lang w:val="en-US"/>
        </w:rPr>
        <w:t xml:space="preserve">(1), blaf150. </w:t>
      </w:r>
      <w:hyperlink r:id="rId10" w:history="1">
        <w:r w:rsidRPr="00CB6CC5">
          <w:rPr>
            <w:rFonts w:ascii="Times New Roman" w:eastAsia="Times New Roman" w:hAnsi="Times New Roman" w:cs="Times New Roman"/>
            <w:color w:val="0000FF"/>
            <w:sz w:val="24"/>
            <w:szCs w:val="24"/>
            <w:u w:val="single"/>
            <w:lang w:val="en-US"/>
          </w:rPr>
          <w:t>https://doi.org/10.1093/biolinnean/blaf150</w:t>
        </w:r>
      </w:hyperlink>
    </w:p>
    <w:p w14:paraId="29EF4D0E"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lastRenderedPageBreak/>
        <w:t xml:space="preserve">Çevik, T., &amp; Çevik, N. (2025). Environmental DNA (eDNA): A review of ecosystem biodiversity detection and applications. </w:t>
      </w:r>
      <w:r w:rsidRPr="00CB6CC5">
        <w:rPr>
          <w:rFonts w:ascii="Times New Roman" w:eastAsia="Times New Roman" w:hAnsi="Times New Roman" w:cs="Times New Roman"/>
          <w:i/>
          <w:iCs/>
          <w:sz w:val="24"/>
          <w:szCs w:val="24"/>
          <w:lang w:val="en-US"/>
        </w:rPr>
        <w:t>Biodiversity and Conservation, 34</w:t>
      </w:r>
      <w:r w:rsidRPr="00CB6CC5">
        <w:rPr>
          <w:rFonts w:ascii="Times New Roman" w:eastAsia="Times New Roman" w:hAnsi="Times New Roman" w:cs="Times New Roman"/>
          <w:sz w:val="24"/>
          <w:szCs w:val="24"/>
          <w:lang w:val="en-US"/>
        </w:rPr>
        <w:t xml:space="preserve">(9), 2999–3035. </w:t>
      </w:r>
      <w:hyperlink r:id="rId11" w:history="1">
        <w:r w:rsidRPr="00CB6CC5">
          <w:rPr>
            <w:rFonts w:ascii="Times New Roman" w:eastAsia="Times New Roman" w:hAnsi="Times New Roman" w:cs="Times New Roman"/>
            <w:color w:val="0000FF"/>
            <w:sz w:val="24"/>
            <w:szCs w:val="24"/>
            <w:u w:val="single"/>
            <w:lang w:val="en-US"/>
          </w:rPr>
          <w:t>https://doi.org/10.1007/s10531-025-03112-y</w:t>
        </w:r>
      </w:hyperlink>
    </w:p>
    <w:p w14:paraId="5C6BEDCC"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CB6CC5">
        <w:rPr>
          <w:rFonts w:ascii="Times New Roman" w:eastAsia="Times New Roman" w:hAnsi="Times New Roman" w:cs="Times New Roman"/>
          <w:sz w:val="24"/>
          <w:szCs w:val="24"/>
          <w:lang w:val="en-US"/>
        </w:rPr>
        <w:t>Comizzoli</w:t>
      </w:r>
      <w:proofErr w:type="spellEnd"/>
      <w:r w:rsidRPr="00CB6CC5">
        <w:rPr>
          <w:rFonts w:ascii="Times New Roman" w:eastAsia="Times New Roman" w:hAnsi="Times New Roman" w:cs="Times New Roman"/>
          <w:sz w:val="24"/>
          <w:szCs w:val="24"/>
          <w:lang w:val="en-US"/>
        </w:rPr>
        <w:t xml:space="preserve">, P., &amp; Holt, W. V. (2019). Breakthroughs and new horizons in reproductive biology of rare and endangered animal species. </w:t>
      </w:r>
      <w:r w:rsidRPr="00CB6CC5">
        <w:rPr>
          <w:rFonts w:ascii="Times New Roman" w:eastAsia="Times New Roman" w:hAnsi="Times New Roman" w:cs="Times New Roman"/>
          <w:i/>
          <w:iCs/>
          <w:sz w:val="24"/>
          <w:szCs w:val="24"/>
          <w:lang w:val="en-US"/>
        </w:rPr>
        <w:t>Biology of Reproduction, 101</w:t>
      </w:r>
      <w:r w:rsidRPr="00CB6CC5">
        <w:rPr>
          <w:rFonts w:ascii="Times New Roman" w:eastAsia="Times New Roman" w:hAnsi="Times New Roman" w:cs="Times New Roman"/>
          <w:sz w:val="24"/>
          <w:szCs w:val="24"/>
          <w:lang w:val="en-US"/>
        </w:rPr>
        <w:t xml:space="preserve">(3), 514–525. </w:t>
      </w:r>
      <w:hyperlink r:id="rId12" w:history="1">
        <w:r w:rsidRPr="00CB6CC5">
          <w:rPr>
            <w:rFonts w:ascii="Times New Roman" w:eastAsia="Times New Roman" w:hAnsi="Times New Roman" w:cs="Times New Roman"/>
            <w:color w:val="0000FF"/>
            <w:sz w:val="24"/>
            <w:szCs w:val="24"/>
            <w:u w:val="single"/>
            <w:lang w:val="en-US"/>
          </w:rPr>
          <w:t>https://doi.org/10.1093/biolre/ioz031</w:t>
        </w:r>
      </w:hyperlink>
    </w:p>
    <w:p w14:paraId="338E918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Conde, D. A., </w:t>
      </w:r>
      <w:proofErr w:type="spellStart"/>
      <w:r w:rsidRPr="00CB6CC5">
        <w:rPr>
          <w:rFonts w:ascii="Times New Roman" w:eastAsia="Times New Roman" w:hAnsi="Times New Roman" w:cs="Times New Roman"/>
          <w:sz w:val="24"/>
          <w:szCs w:val="24"/>
          <w:lang w:val="en-US"/>
        </w:rPr>
        <w:t>Flesness</w:t>
      </w:r>
      <w:proofErr w:type="spellEnd"/>
      <w:r w:rsidRPr="00CB6CC5">
        <w:rPr>
          <w:rFonts w:ascii="Times New Roman" w:eastAsia="Times New Roman" w:hAnsi="Times New Roman" w:cs="Times New Roman"/>
          <w:sz w:val="24"/>
          <w:szCs w:val="24"/>
          <w:lang w:val="en-US"/>
        </w:rPr>
        <w:t xml:space="preserve">, N., </w:t>
      </w:r>
      <w:proofErr w:type="spellStart"/>
      <w:r w:rsidRPr="00CB6CC5">
        <w:rPr>
          <w:rFonts w:ascii="Times New Roman" w:eastAsia="Times New Roman" w:hAnsi="Times New Roman" w:cs="Times New Roman"/>
          <w:sz w:val="24"/>
          <w:szCs w:val="24"/>
          <w:lang w:val="en-US"/>
        </w:rPr>
        <w:t>Colchero</w:t>
      </w:r>
      <w:proofErr w:type="spellEnd"/>
      <w:r w:rsidRPr="00CB6CC5">
        <w:rPr>
          <w:rFonts w:ascii="Times New Roman" w:eastAsia="Times New Roman" w:hAnsi="Times New Roman" w:cs="Times New Roman"/>
          <w:sz w:val="24"/>
          <w:szCs w:val="24"/>
          <w:lang w:val="en-US"/>
        </w:rPr>
        <w:t xml:space="preserve">, F., Jones, O. R., &amp; Scheuerlein, A. (2011). An emerging role of zoos to conserve biodiversity. </w:t>
      </w:r>
      <w:r w:rsidRPr="00CB6CC5">
        <w:rPr>
          <w:rFonts w:ascii="Times New Roman" w:eastAsia="Times New Roman" w:hAnsi="Times New Roman" w:cs="Times New Roman"/>
          <w:i/>
          <w:iCs/>
          <w:sz w:val="24"/>
          <w:szCs w:val="24"/>
          <w:lang w:val="en-US"/>
        </w:rPr>
        <w:t>Science, 331</w:t>
      </w:r>
      <w:r w:rsidRPr="00CB6CC5">
        <w:rPr>
          <w:rFonts w:ascii="Times New Roman" w:eastAsia="Times New Roman" w:hAnsi="Times New Roman" w:cs="Times New Roman"/>
          <w:sz w:val="24"/>
          <w:szCs w:val="24"/>
          <w:lang w:val="en-US"/>
        </w:rPr>
        <w:t xml:space="preserve">(6023), 1390–1391. </w:t>
      </w:r>
      <w:hyperlink r:id="rId13" w:history="1">
        <w:r w:rsidRPr="00CB6CC5">
          <w:rPr>
            <w:rFonts w:ascii="Times New Roman" w:eastAsia="Times New Roman" w:hAnsi="Times New Roman" w:cs="Times New Roman"/>
            <w:color w:val="0000FF"/>
            <w:sz w:val="24"/>
            <w:szCs w:val="24"/>
            <w:u w:val="single"/>
            <w:lang w:val="en-US"/>
          </w:rPr>
          <w:t>https://doi.org/10.1126/science.1200674</w:t>
        </w:r>
      </w:hyperlink>
    </w:p>
    <w:p w14:paraId="7F721A38"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Convention on Biological Diversity. (2022). </w:t>
      </w:r>
      <w:r w:rsidRPr="00CB6CC5">
        <w:rPr>
          <w:rFonts w:ascii="Times New Roman" w:eastAsia="Times New Roman" w:hAnsi="Times New Roman" w:cs="Times New Roman"/>
          <w:i/>
          <w:iCs/>
          <w:sz w:val="24"/>
          <w:szCs w:val="24"/>
          <w:lang w:val="en-US"/>
        </w:rPr>
        <w:t>Decision adopted by the Conference of the Parties to the Convention on Biological Diversity: 15/4. Kunming-Montreal Global Biodiversity Framework</w:t>
      </w:r>
      <w:r w:rsidRPr="00CB6CC5">
        <w:rPr>
          <w:rFonts w:ascii="Times New Roman" w:eastAsia="Times New Roman" w:hAnsi="Times New Roman" w:cs="Times New Roman"/>
          <w:sz w:val="24"/>
          <w:szCs w:val="24"/>
          <w:lang w:val="en-US"/>
        </w:rPr>
        <w:t xml:space="preserve"> (CBD/COP/DEC/15/4). Secretariat of the Convention on Biological Diversity. </w:t>
      </w:r>
      <w:hyperlink r:id="rId14" w:history="1">
        <w:r w:rsidRPr="00CB6CC5">
          <w:rPr>
            <w:rFonts w:ascii="Times New Roman" w:eastAsia="Times New Roman" w:hAnsi="Times New Roman" w:cs="Times New Roman"/>
            <w:color w:val="0000FF"/>
            <w:sz w:val="24"/>
            <w:szCs w:val="24"/>
            <w:u w:val="single"/>
            <w:lang w:val="en-US"/>
          </w:rPr>
          <w:t>https://www.cbd.int/doc/decisions/cop-15/cop-15-dec-04-en.pdf</w:t>
        </w:r>
      </w:hyperlink>
    </w:p>
    <w:p w14:paraId="5764D44C"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Cowl, V. B., </w:t>
      </w:r>
      <w:proofErr w:type="spellStart"/>
      <w:r w:rsidRPr="00CB6CC5">
        <w:rPr>
          <w:rFonts w:ascii="Times New Roman" w:eastAsia="Times New Roman" w:hAnsi="Times New Roman" w:cs="Times New Roman"/>
          <w:sz w:val="24"/>
          <w:szCs w:val="24"/>
          <w:lang w:val="en-US"/>
        </w:rPr>
        <w:t>Comizzoli</w:t>
      </w:r>
      <w:proofErr w:type="spellEnd"/>
      <w:r w:rsidRPr="00CB6CC5">
        <w:rPr>
          <w:rFonts w:ascii="Times New Roman" w:eastAsia="Times New Roman" w:hAnsi="Times New Roman" w:cs="Times New Roman"/>
          <w:sz w:val="24"/>
          <w:szCs w:val="24"/>
          <w:lang w:val="en-US"/>
        </w:rPr>
        <w:t xml:space="preserve">, P., </w:t>
      </w:r>
      <w:proofErr w:type="spellStart"/>
      <w:r w:rsidRPr="00CB6CC5">
        <w:rPr>
          <w:rFonts w:ascii="Times New Roman" w:eastAsia="Times New Roman" w:hAnsi="Times New Roman" w:cs="Times New Roman"/>
          <w:sz w:val="24"/>
          <w:szCs w:val="24"/>
          <w:lang w:val="en-US"/>
        </w:rPr>
        <w:t>Appeltant</w:t>
      </w:r>
      <w:proofErr w:type="spellEnd"/>
      <w:r w:rsidRPr="00CB6CC5">
        <w:rPr>
          <w:rFonts w:ascii="Times New Roman" w:eastAsia="Times New Roman" w:hAnsi="Times New Roman" w:cs="Times New Roman"/>
          <w:sz w:val="24"/>
          <w:szCs w:val="24"/>
          <w:lang w:val="en-US"/>
        </w:rPr>
        <w:t xml:space="preserve">, R., Bolton, R. L., Browne, R. K., Holt, W. V., Penfold, L. M., </w:t>
      </w:r>
      <w:proofErr w:type="spellStart"/>
      <w:r w:rsidRPr="00CB6CC5">
        <w:rPr>
          <w:rFonts w:ascii="Times New Roman" w:eastAsia="Times New Roman" w:hAnsi="Times New Roman" w:cs="Times New Roman"/>
          <w:sz w:val="24"/>
          <w:szCs w:val="24"/>
          <w:lang w:val="en-US"/>
        </w:rPr>
        <w:t>Swegen</w:t>
      </w:r>
      <w:proofErr w:type="spellEnd"/>
      <w:r w:rsidRPr="00CB6CC5">
        <w:rPr>
          <w:rFonts w:ascii="Times New Roman" w:eastAsia="Times New Roman" w:hAnsi="Times New Roman" w:cs="Times New Roman"/>
          <w:sz w:val="24"/>
          <w:szCs w:val="24"/>
          <w:lang w:val="en-US"/>
        </w:rPr>
        <w:t xml:space="preserve">, A., Walker, S. L., &amp; Williams, S. A. (2024). Cloning for the twenty-first century and its place in endangered species conservation. </w:t>
      </w:r>
      <w:r w:rsidRPr="00CB6CC5">
        <w:rPr>
          <w:rFonts w:ascii="Times New Roman" w:eastAsia="Times New Roman" w:hAnsi="Times New Roman" w:cs="Times New Roman"/>
          <w:i/>
          <w:iCs/>
          <w:sz w:val="24"/>
          <w:szCs w:val="24"/>
          <w:lang w:val="en-US"/>
        </w:rPr>
        <w:t>Annual Review of Animal Biosciences, 12</w:t>
      </w:r>
      <w:r w:rsidRPr="00CB6CC5">
        <w:rPr>
          <w:rFonts w:ascii="Times New Roman" w:eastAsia="Times New Roman" w:hAnsi="Times New Roman" w:cs="Times New Roman"/>
          <w:sz w:val="24"/>
          <w:szCs w:val="24"/>
          <w:lang w:val="en-US"/>
        </w:rPr>
        <w:t xml:space="preserve">, 91–112. </w:t>
      </w:r>
      <w:hyperlink r:id="rId15" w:history="1">
        <w:r w:rsidRPr="00CB6CC5">
          <w:rPr>
            <w:rFonts w:ascii="Times New Roman" w:eastAsia="Times New Roman" w:hAnsi="Times New Roman" w:cs="Times New Roman"/>
            <w:color w:val="0000FF"/>
            <w:sz w:val="24"/>
            <w:szCs w:val="24"/>
            <w:u w:val="single"/>
            <w:lang w:val="en-US"/>
          </w:rPr>
          <w:t>https://doi.org/10.1146/annurev-animal-071423-093523</w:t>
        </w:r>
      </w:hyperlink>
    </w:p>
    <w:p w14:paraId="52314E7C"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Davies, C., Lafortezza, R., Hansen, R., Rall, E., &amp; </w:t>
      </w:r>
      <w:proofErr w:type="spellStart"/>
      <w:r w:rsidRPr="00CB6CC5">
        <w:rPr>
          <w:rFonts w:ascii="Times New Roman" w:eastAsia="Times New Roman" w:hAnsi="Times New Roman" w:cs="Times New Roman"/>
          <w:sz w:val="24"/>
          <w:szCs w:val="24"/>
          <w:lang w:val="en-US"/>
        </w:rPr>
        <w:t>Pauleit</w:t>
      </w:r>
      <w:proofErr w:type="spellEnd"/>
      <w:r w:rsidRPr="00CB6CC5">
        <w:rPr>
          <w:rFonts w:ascii="Times New Roman" w:eastAsia="Times New Roman" w:hAnsi="Times New Roman" w:cs="Times New Roman"/>
          <w:sz w:val="24"/>
          <w:szCs w:val="24"/>
          <w:lang w:val="en-US"/>
        </w:rPr>
        <w:t xml:space="preserve">, S. (2017). Urban green infrastructure in Europe: Is greenspace planning and policy compliant? </w:t>
      </w:r>
      <w:r w:rsidRPr="00CB6CC5">
        <w:rPr>
          <w:rFonts w:ascii="Times New Roman" w:eastAsia="Times New Roman" w:hAnsi="Times New Roman" w:cs="Times New Roman"/>
          <w:i/>
          <w:iCs/>
          <w:sz w:val="24"/>
          <w:szCs w:val="24"/>
          <w:lang w:val="en-US"/>
        </w:rPr>
        <w:t>Land Use Policy, 69</w:t>
      </w:r>
      <w:r w:rsidRPr="00CB6CC5">
        <w:rPr>
          <w:rFonts w:ascii="Times New Roman" w:eastAsia="Times New Roman" w:hAnsi="Times New Roman" w:cs="Times New Roman"/>
          <w:sz w:val="24"/>
          <w:szCs w:val="24"/>
          <w:lang w:val="en-US"/>
        </w:rPr>
        <w:t xml:space="preserve">, 93–101. </w:t>
      </w:r>
      <w:hyperlink r:id="rId16" w:history="1">
        <w:r w:rsidRPr="00CB6CC5">
          <w:rPr>
            <w:rFonts w:ascii="Times New Roman" w:eastAsia="Times New Roman" w:hAnsi="Times New Roman" w:cs="Times New Roman"/>
            <w:color w:val="0000FF"/>
            <w:sz w:val="24"/>
            <w:szCs w:val="24"/>
            <w:u w:val="single"/>
            <w:lang w:val="en-US"/>
          </w:rPr>
          <w:t>https://doi.org/10.1016/j.landusepol.2017.08.018</w:t>
        </w:r>
      </w:hyperlink>
    </w:p>
    <w:p w14:paraId="489CD3F2"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Delaney, K. S., Busteed, G., Fisher, R. N., &amp; Riley, S. P. D. (2021). Reptile and amphibian diversity and abundance in an urban landscape: Impacts of fragmentation and the conservation value of small patches. </w:t>
      </w:r>
      <w:r w:rsidRPr="00CB6CC5">
        <w:rPr>
          <w:rFonts w:ascii="Times New Roman" w:eastAsia="Times New Roman" w:hAnsi="Times New Roman" w:cs="Times New Roman"/>
          <w:i/>
          <w:iCs/>
          <w:sz w:val="24"/>
          <w:szCs w:val="24"/>
          <w:lang w:val="en-US"/>
        </w:rPr>
        <w:t>Ichthyology &amp; Herpetology, 109</w:t>
      </w:r>
      <w:r w:rsidRPr="00CB6CC5">
        <w:rPr>
          <w:rFonts w:ascii="Times New Roman" w:eastAsia="Times New Roman" w:hAnsi="Times New Roman" w:cs="Times New Roman"/>
          <w:sz w:val="24"/>
          <w:szCs w:val="24"/>
          <w:lang w:val="en-US"/>
        </w:rPr>
        <w:t xml:space="preserve">(2), 424–435. </w:t>
      </w:r>
      <w:hyperlink r:id="rId17" w:history="1">
        <w:r w:rsidRPr="00CB6CC5">
          <w:rPr>
            <w:rFonts w:ascii="Times New Roman" w:eastAsia="Times New Roman" w:hAnsi="Times New Roman" w:cs="Times New Roman"/>
            <w:color w:val="0000FF"/>
            <w:sz w:val="24"/>
            <w:szCs w:val="24"/>
            <w:u w:val="single"/>
            <w:lang w:val="en-US"/>
          </w:rPr>
          <w:t>https://doi.org/10.1643/h2019261</w:t>
        </w:r>
      </w:hyperlink>
    </w:p>
    <w:p w14:paraId="437BD024"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Diana, A., Salas, M., </w:t>
      </w:r>
      <w:proofErr w:type="spellStart"/>
      <w:r w:rsidRPr="00CB6CC5">
        <w:rPr>
          <w:rFonts w:ascii="Times New Roman" w:eastAsia="Times New Roman" w:hAnsi="Times New Roman" w:cs="Times New Roman"/>
          <w:sz w:val="24"/>
          <w:szCs w:val="24"/>
          <w:lang w:val="en-US"/>
        </w:rPr>
        <w:t>Pereboom</w:t>
      </w:r>
      <w:proofErr w:type="spellEnd"/>
      <w:r w:rsidRPr="00CB6CC5">
        <w:rPr>
          <w:rFonts w:ascii="Times New Roman" w:eastAsia="Times New Roman" w:hAnsi="Times New Roman" w:cs="Times New Roman"/>
          <w:sz w:val="24"/>
          <w:szCs w:val="24"/>
          <w:lang w:val="en-US"/>
        </w:rPr>
        <w:t xml:space="preserve">, Z., Mendl, M., &amp; Norton, T. (2021). A systematic review of the use of technology to monitor welfare in zoo animals: Is there space for improvement? </w:t>
      </w:r>
      <w:r w:rsidRPr="00CB6CC5">
        <w:rPr>
          <w:rFonts w:ascii="Times New Roman" w:eastAsia="Times New Roman" w:hAnsi="Times New Roman" w:cs="Times New Roman"/>
          <w:i/>
          <w:iCs/>
          <w:sz w:val="24"/>
          <w:szCs w:val="24"/>
          <w:lang w:val="en-US"/>
        </w:rPr>
        <w:t>Animals, 11</w:t>
      </w:r>
      <w:r w:rsidRPr="00CB6CC5">
        <w:rPr>
          <w:rFonts w:ascii="Times New Roman" w:eastAsia="Times New Roman" w:hAnsi="Times New Roman" w:cs="Times New Roman"/>
          <w:sz w:val="24"/>
          <w:szCs w:val="24"/>
          <w:lang w:val="en-US"/>
        </w:rPr>
        <w:t xml:space="preserve">(11), Article 3048. </w:t>
      </w:r>
      <w:hyperlink r:id="rId18" w:history="1">
        <w:r w:rsidRPr="00CB6CC5">
          <w:rPr>
            <w:rFonts w:ascii="Times New Roman" w:eastAsia="Times New Roman" w:hAnsi="Times New Roman" w:cs="Times New Roman"/>
            <w:color w:val="0000FF"/>
            <w:sz w:val="24"/>
            <w:szCs w:val="24"/>
            <w:u w:val="single"/>
            <w:lang w:val="en-US"/>
          </w:rPr>
          <w:t>https://doi.org/10.3390/ani11113048</w:t>
        </w:r>
      </w:hyperlink>
    </w:p>
    <w:p w14:paraId="7FECDE20"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Taylor, J. A., &amp; Duram, L. A. (2021). Linking personal experience to global concern: </w:t>
      </w:r>
      <w:proofErr w:type="gramStart"/>
      <w:r w:rsidRPr="00CB6CC5">
        <w:rPr>
          <w:rFonts w:ascii="Times New Roman" w:eastAsia="Times New Roman" w:hAnsi="Times New Roman" w:cs="Times New Roman"/>
          <w:sz w:val="24"/>
          <w:szCs w:val="24"/>
          <w:lang w:val="en-US"/>
        </w:rPr>
        <w:t>How zoo</w:t>
      </w:r>
      <w:proofErr w:type="gramEnd"/>
      <w:r w:rsidRPr="00CB6CC5">
        <w:rPr>
          <w:rFonts w:ascii="Times New Roman" w:eastAsia="Times New Roman" w:hAnsi="Times New Roman" w:cs="Times New Roman"/>
          <w:sz w:val="24"/>
          <w:szCs w:val="24"/>
          <w:lang w:val="en-US"/>
        </w:rPr>
        <w:t xml:space="preserve"> visits affect sustainability behavior and views of climate change. </w:t>
      </w:r>
      <w:r w:rsidRPr="00CB6CC5">
        <w:rPr>
          <w:rFonts w:ascii="Times New Roman" w:eastAsia="Times New Roman" w:hAnsi="Times New Roman" w:cs="Times New Roman"/>
          <w:i/>
          <w:iCs/>
          <w:sz w:val="24"/>
          <w:szCs w:val="24"/>
          <w:lang w:val="en-US"/>
        </w:rPr>
        <w:t>Sustainability, 13</w:t>
      </w:r>
      <w:r w:rsidRPr="00CB6CC5">
        <w:rPr>
          <w:rFonts w:ascii="Times New Roman" w:eastAsia="Times New Roman" w:hAnsi="Times New Roman" w:cs="Times New Roman"/>
          <w:sz w:val="24"/>
          <w:szCs w:val="24"/>
          <w:lang w:val="en-US"/>
        </w:rPr>
        <w:t xml:space="preserve">(13), Article 7117. </w:t>
      </w:r>
      <w:hyperlink r:id="rId19" w:history="1">
        <w:r w:rsidRPr="00CB6CC5">
          <w:rPr>
            <w:rFonts w:ascii="Times New Roman" w:eastAsia="Times New Roman" w:hAnsi="Times New Roman" w:cs="Times New Roman"/>
            <w:color w:val="0000FF"/>
            <w:sz w:val="24"/>
            <w:szCs w:val="24"/>
            <w:u w:val="single"/>
            <w:lang w:val="en-US"/>
          </w:rPr>
          <w:t>https://doi.org/10.3390/su13137117</w:t>
        </w:r>
      </w:hyperlink>
    </w:p>
    <w:p w14:paraId="3D1264C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Elwell, E., Leeson, C., &amp; Vaglio, S. (2021). The effects of a zoo environment on free-living, native small mammal species. </w:t>
      </w:r>
      <w:r w:rsidRPr="00CB6CC5">
        <w:rPr>
          <w:rFonts w:ascii="Times New Roman" w:eastAsia="Times New Roman" w:hAnsi="Times New Roman" w:cs="Times New Roman"/>
          <w:i/>
          <w:iCs/>
          <w:sz w:val="24"/>
          <w:szCs w:val="24"/>
          <w:lang w:val="en-US"/>
        </w:rPr>
        <w:t>Zoo Biology, 40</w:t>
      </w:r>
      <w:r w:rsidRPr="00CB6CC5">
        <w:rPr>
          <w:rFonts w:ascii="Times New Roman" w:eastAsia="Times New Roman" w:hAnsi="Times New Roman" w:cs="Times New Roman"/>
          <w:sz w:val="24"/>
          <w:szCs w:val="24"/>
          <w:lang w:val="en-US"/>
        </w:rPr>
        <w:t xml:space="preserve">(4), 263–272. </w:t>
      </w:r>
      <w:hyperlink r:id="rId20" w:history="1">
        <w:r w:rsidRPr="00CB6CC5">
          <w:rPr>
            <w:rFonts w:ascii="Times New Roman" w:eastAsia="Times New Roman" w:hAnsi="Times New Roman" w:cs="Times New Roman"/>
            <w:color w:val="0000FF"/>
            <w:sz w:val="24"/>
            <w:szCs w:val="24"/>
            <w:u w:val="single"/>
            <w:lang w:val="en-US"/>
          </w:rPr>
          <w:t>https://doi.org/10.1002/zoo.21603</w:t>
        </w:r>
      </w:hyperlink>
    </w:p>
    <w:p w14:paraId="05B17A45"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CB6CC5">
        <w:rPr>
          <w:rFonts w:ascii="Times New Roman" w:eastAsia="Times New Roman" w:hAnsi="Times New Roman" w:cs="Times New Roman"/>
          <w:sz w:val="24"/>
          <w:szCs w:val="24"/>
          <w:lang w:val="en-US"/>
        </w:rPr>
        <w:t>Fourage</w:t>
      </w:r>
      <w:proofErr w:type="spellEnd"/>
      <w:r w:rsidRPr="00CB6CC5">
        <w:rPr>
          <w:rFonts w:ascii="Times New Roman" w:eastAsia="Times New Roman" w:hAnsi="Times New Roman" w:cs="Times New Roman"/>
          <w:sz w:val="24"/>
          <w:szCs w:val="24"/>
          <w:lang w:val="en-US"/>
        </w:rPr>
        <w:t xml:space="preserve">, A., </w:t>
      </w:r>
      <w:proofErr w:type="spellStart"/>
      <w:r w:rsidRPr="00CB6CC5">
        <w:rPr>
          <w:rFonts w:ascii="Times New Roman" w:eastAsia="Times New Roman" w:hAnsi="Times New Roman" w:cs="Times New Roman"/>
          <w:sz w:val="24"/>
          <w:szCs w:val="24"/>
          <w:lang w:val="en-US"/>
        </w:rPr>
        <w:t>Erzinclioglu</w:t>
      </w:r>
      <w:proofErr w:type="spellEnd"/>
      <w:r w:rsidRPr="00CB6CC5">
        <w:rPr>
          <w:rFonts w:ascii="Times New Roman" w:eastAsia="Times New Roman" w:hAnsi="Times New Roman" w:cs="Times New Roman"/>
          <w:sz w:val="24"/>
          <w:szCs w:val="24"/>
          <w:lang w:val="en-US"/>
        </w:rPr>
        <w:t xml:space="preserve">, T., Fairey, A., </w:t>
      </w:r>
      <w:proofErr w:type="spellStart"/>
      <w:r w:rsidRPr="00CB6CC5">
        <w:rPr>
          <w:rFonts w:ascii="Times New Roman" w:eastAsia="Times New Roman" w:hAnsi="Times New Roman" w:cs="Times New Roman"/>
          <w:sz w:val="24"/>
          <w:szCs w:val="24"/>
          <w:lang w:val="en-US"/>
        </w:rPr>
        <w:t>Campera</w:t>
      </w:r>
      <w:proofErr w:type="spellEnd"/>
      <w:r w:rsidRPr="00CB6CC5">
        <w:rPr>
          <w:rFonts w:ascii="Times New Roman" w:eastAsia="Times New Roman" w:hAnsi="Times New Roman" w:cs="Times New Roman"/>
          <w:sz w:val="24"/>
          <w:szCs w:val="24"/>
          <w:lang w:val="en-US"/>
        </w:rPr>
        <w:t xml:space="preserve">, M., </w:t>
      </w:r>
      <w:proofErr w:type="spellStart"/>
      <w:r w:rsidRPr="00CB6CC5">
        <w:rPr>
          <w:rFonts w:ascii="Times New Roman" w:eastAsia="Times New Roman" w:hAnsi="Times New Roman" w:cs="Times New Roman"/>
          <w:sz w:val="24"/>
          <w:szCs w:val="24"/>
          <w:lang w:val="en-US"/>
        </w:rPr>
        <w:t>Nekaris</w:t>
      </w:r>
      <w:proofErr w:type="spellEnd"/>
      <w:r w:rsidRPr="00CB6CC5">
        <w:rPr>
          <w:rFonts w:ascii="Times New Roman" w:eastAsia="Times New Roman" w:hAnsi="Times New Roman" w:cs="Times New Roman"/>
          <w:sz w:val="24"/>
          <w:szCs w:val="24"/>
          <w:lang w:val="en-US"/>
        </w:rPr>
        <w:t xml:space="preserve">, K. A.-I., &amp; Nijman, V. (2024). High prevalence of dysfunctional animal–visitor interactions in 225 Southeast Asian zoos and aquariums. </w:t>
      </w:r>
      <w:r w:rsidRPr="00CB6CC5">
        <w:rPr>
          <w:rFonts w:ascii="Times New Roman" w:eastAsia="Times New Roman" w:hAnsi="Times New Roman" w:cs="Times New Roman"/>
          <w:i/>
          <w:iCs/>
          <w:sz w:val="24"/>
          <w:szCs w:val="24"/>
          <w:lang w:val="en-US"/>
        </w:rPr>
        <w:t>Animals, 14</w:t>
      </w:r>
      <w:r w:rsidRPr="00CB6CC5">
        <w:rPr>
          <w:rFonts w:ascii="Times New Roman" w:eastAsia="Times New Roman" w:hAnsi="Times New Roman" w:cs="Times New Roman"/>
          <w:sz w:val="24"/>
          <w:szCs w:val="24"/>
          <w:lang w:val="en-US"/>
        </w:rPr>
        <w:t xml:space="preserve">(22), Article 3167. </w:t>
      </w:r>
      <w:hyperlink r:id="rId21" w:history="1">
        <w:r w:rsidRPr="00CB6CC5">
          <w:rPr>
            <w:rFonts w:ascii="Times New Roman" w:eastAsia="Times New Roman" w:hAnsi="Times New Roman" w:cs="Times New Roman"/>
            <w:color w:val="0000FF"/>
            <w:sz w:val="24"/>
            <w:szCs w:val="24"/>
            <w:u w:val="single"/>
            <w:lang w:val="en-US"/>
          </w:rPr>
          <w:t>https://doi.org/10.3390/ani14223167</w:t>
        </w:r>
      </w:hyperlink>
    </w:p>
    <w:p w14:paraId="04AC573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lastRenderedPageBreak/>
        <w:t xml:space="preserve">Godoi, N. M. I., Gomes, R. C., &amp; Longo, R. M. (2025). Contributions of urban green spaces to cities: A literature review. </w:t>
      </w:r>
      <w:r w:rsidRPr="00CB6CC5">
        <w:rPr>
          <w:rFonts w:ascii="Times New Roman" w:eastAsia="Times New Roman" w:hAnsi="Times New Roman" w:cs="Times New Roman"/>
          <w:i/>
          <w:iCs/>
          <w:sz w:val="24"/>
          <w:szCs w:val="24"/>
          <w:lang w:val="en-US"/>
        </w:rPr>
        <w:t>Sustainable Environment, 11</w:t>
      </w:r>
      <w:r w:rsidRPr="00CB6CC5">
        <w:rPr>
          <w:rFonts w:ascii="Times New Roman" w:eastAsia="Times New Roman" w:hAnsi="Times New Roman" w:cs="Times New Roman"/>
          <w:sz w:val="24"/>
          <w:szCs w:val="24"/>
          <w:lang w:val="en-US"/>
        </w:rPr>
        <w:t xml:space="preserve">(1), Article 2464418. </w:t>
      </w:r>
      <w:hyperlink r:id="rId22" w:history="1">
        <w:r w:rsidRPr="00CB6CC5">
          <w:rPr>
            <w:rFonts w:ascii="Times New Roman" w:eastAsia="Times New Roman" w:hAnsi="Times New Roman" w:cs="Times New Roman"/>
            <w:color w:val="0000FF"/>
            <w:sz w:val="24"/>
            <w:szCs w:val="24"/>
            <w:u w:val="single"/>
            <w:lang w:val="en-US"/>
          </w:rPr>
          <w:t>https://doi.org/10.1080/27658511.2025.2464418</w:t>
        </w:r>
      </w:hyperlink>
    </w:p>
    <w:p w14:paraId="629AFB59"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Grajal, A., Luebke, J. F., Kelly, L.-A. D., </w:t>
      </w:r>
      <w:proofErr w:type="spellStart"/>
      <w:r w:rsidRPr="00CB6CC5">
        <w:rPr>
          <w:rFonts w:ascii="Times New Roman" w:eastAsia="Times New Roman" w:hAnsi="Times New Roman" w:cs="Times New Roman"/>
          <w:sz w:val="24"/>
          <w:szCs w:val="24"/>
          <w:lang w:val="en-US"/>
        </w:rPr>
        <w:t>Matiasek</w:t>
      </w:r>
      <w:proofErr w:type="spellEnd"/>
      <w:r w:rsidRPr="00CB6CC5">
        <w:rPr>
          <w:rFonts w:ascii="Times New Roman" w:eastAsia="Times New Roman" w:hAnsi="Times New Roman" w:cs="Times New Roman"/>
          <w:sz w:val="24"/>
          <w:szCs w:val="24"/>
          <w:lang w:val="en-US"/>
        </w:rPr>
        <w:t xml:space="preserve">, J., Clayton, S., </w:t>
      </w:r>
      <w:proofErr w:type="spellStart"/>
      <w:r w:rsidRPr="00CB6CC5">
        <w:rPr>
          <w:rFonts w:ascii="Times New Roman" w:eastAsia="Times New Roman" w:hAnsi="Times New Roman" w:cs="Times New Roman"/>
          <w:sz w:val="24"/>
          <w:szCs w:val="24"/>
          <w:lang w:val="en-US"/>
        </w:rPr>
        <w:t>Karazsia</w:t>
      </w:r>
      <w:proofErr w:type="spellEnd"/>
      <w:r w:rsidRPr="00CB6CC5">
        <w:rPr>
          <w:rFonts w:ascii="Times New Roman" w:eastAsia="Times New Roman" w:hAnsi="Times New Roman" w:cs="Times New Roman"/>
          <w:sz w:val="24"/>
          <w:szCs w:val="24"/>
          <w:lang w:val="en-US"/>
        </w:rPr>
        <w:t xml:space="preserve">, B. T., Saunders, C. D., Goldman, S. R., Mann, M. E., &amp; </w:t>
      </w:r>
      <w:proofErr w:type="spellStart"/>
      <w:r w:rsidRPr="00CB6CC5">
        <w:rPr>
          <w:rFonts w:ascii="Times New Roman" w:eastAsia="Times New Roman" w:hAnsi="Times New Roman" w:cs="Times New Roman"/>
          <w:sz w:val="24"/>
          <w:szCs w:val="24"/>
          <w:lang w:val="en-US"/>
        </w:rPr>
        <w:t>Stanoss</w:t>
      </w:r>
      <w:proofErr w:type="spellEnd"/>
      <w:r w:rsidRPr="00CB6CC5">
        <w:rPr>
          <w:rFonts w:ascii="Times New Roman" w:eastAsia="Times New Roman" w:hAnsi="Times New Roman" w:cs="Times New Roman"/>
          <w:sz w:val="24"/>
          <w:szCs w:val="24"/>
          <w:lang w:val="en-US"/>
        </w:rPr>
        <w:t xml:space="preserve">, R. (2017). The complex relationship between personal sense of connection to animals and self-reported </w:t>
      </w:r>
      <w:proofErr w:type="spellStart"/>
      <w:r w:rsidRPr="00CB6CC5">
        <w:rPr>
          <w:rFonts w:ascii="Times New Roman" w:eastAsia="Times New Roman" w:hAnsi="Times New Roman" w:cs="Times New Roman"/>
          <w:sz w:val="24"/>
          <w:szCs w:val="24"/>
          <w:lang w:val="en-US"/>
        </w:rPr>
        <w:t>proenvironmental</w:t>
      </w:r>
      <w:proofErr w:type="spellEnd"/>
      <w:r w:rsidRPr="00CB6CC5">
        <w:rPr>
          <w:rFonts w:ascii="Times New Roman" w:eastAsia="Times New Roman" w:hAnsi="Times New Roman" w:cs="Times New Roman"/>
          <w:sz w:val="24"/>
          <w:szCs w:val="24"/>
          <w:lang w:val="en-US"/>
        </w:rPr>
        <w:t xml:space="preserve"> behaviors by zoo visitors. </w:t>
      </w:r>
      <w:r w:rsidRPr="00CB6CC5">
        <w:rPr>
          <w:rFonts w:ascii="Times New Roman" w:eastAsia="Times New Roman" w:hAnsi="Times New Roman" w:cs="Times New Roman"/>
          <w:i/>
          <w:iCs/>
          <w:sz w:val="24"/>
          <w:szCs w:val="24"/>
          <w:lang w:val="en-US"/>
        </w:rPr>
        <w:t>Conservation Biology, 31</w:t>
      </w:r>
      <w:r w:rsidRPr="00CB6CC5">
        <w:rPr>
          <w:rFonts w:ascii="Times New Roman" w:eastAsia="Times New Roman" w:hAnsi="Times New Roman" w:cs="Times New Roman"/>
          <w:sz w:val="24"/>
          <w:szCs w:val="24"/>
          <w:lang w:val="en-US"/>
        </w:rPr>
        <w:t xml:space="preserve">(2), 322–330. </w:t>
      </w:r>
      <w:hyperlink r:id="rId23" w:history="1">
        <w:r w:rsidRPr="00CB6CC5">
          <w:rPr>
            <w:rFonts w:ascii="Times New Roman" w:eastAsia="Times New Roman" w:hAnsi="Times New Roman" w:cs="Times New Roman"/>
            <w:color w:val="0000FF"/>
            <w:sz w:val="24"/>
            <w:szCs w:val="24"/>
            <w:u w:val="single"/>
            <w:lang w:val="en-US"/>
          </w:rPr>
          <w:t>https://doi.org/10.1111/cobi.12780</w:t>
        </w:r>
      </w:hyperlink>
    </w:p>
    <w:p w14:paraId="6EA976C5"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Greenwell, P. J., Riley, L. M., Lemos de Figueiredo, R., Brereton, J. E., Mooney, A., &amp; Rose, P. E. (2023). The societal value of the modern zoo: A commentary on how zoos can positively impact on human populations locally and globally. </w:t>
      </w:r>
      <w:r w:rsidRPr="00CB6CC5">
        <w:rPr>
          <w:rFonts w:ascii="Times New Roman" w:eastAsia="Times New Roman" w:hAnsi="Times New Roman" w:cs="Times New Roman"/>
          <w:i/>
          <w:iCs/>
          <w:sz w:val="24"/>
          <w:szCs w:val="24"/>
          <w:lang w:val="en-US"/>
        </w:rPr>
        <w:t>Journal of Zoological and Botanical Gardens, 4</w:t>
      </w:r>
      <w:r w:rsidRPr="00CB6CC5">
        <w:rPr>
          <w:rFonts w:ascii="Times New Roman" w:eastAsia="Times New Roman" w:hAnsi="Times New Roman" w:cs="Times New Roman"/>
          <w:sz w:val="24"/>
          <w:szCs w:val="24"/>
          <w:lang w:val="en-US"/>
        </w:rPr>
        <w:t xml:space="preserve">(1), 53–69. </w:t>
      </w:r>
      <w:hyperlink r:id="rId24" w:history="1">
        <w:r w:rsidRPr="00CB6CC5">
          <w:rPr>
            <w:rFonts w:ascii="Times New Roman" w:eastAsia="Times New Roman" w:hAnsi="Times New Roman" w:cs="Times New Roman"/>
            <w:color w:val="0000FF"/>
            <w:sz w:val="24"/>
            <w:szCs w:val="24"/>
            <w:u w:val="single"/>
            <w:lang w:val="en-US"/>
          </w:rPr>
          <w:t>https://doi.org/10.3390/jzbg4010006</w:t>
        </w:r>
      </w:hyperlink>
    </w:p>
    <w:p w14:paraId="763E63E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Gupta, B. K., </w:t>
      </w:r>
      <w:proofErr w:type="spellStart"/>
      <w:r w:rsidRPr="00CB6CC5">
        <w:rPr>
          <w:rFonts w:ascii="Times New Roman" w:eastAsia="Times New Roman" w:hAnsi="Times New Roman" w:cs="Times New Roman"/>
          <w:sz w:val="24"/>
          <w:szCs w:val="24"/>
          <w:lang w:val="en-US"/>
        </w:rPr>
        <w:t>Gnanaolivu</w:t>
      </w:r>
      <w:proofErr w:type="spellEnd"/>
      <w:r w:rsidRPr="00CB6CC5">
        <w:rPr>
          <w:rFonts w:ascii="Times New Roman" w:eastAsia="Times New Roman" w:hAnsi="Times New Roman" w:cs="Times New Roman"/>
          <w:sz w:val="24"/>
          <w:szCs w:val="24"/>
          <w:lang w:val="en-US"/>
        </w:rPr>
        <w:t xml:space="preserve">, S. D., &amp; Shukla, S. K. (2025). Assessing the contribution of Indian zoos to achieving international biodiversity conservation goals. </w:t>
      </w:r>
      <w:r w:rsidRPr="00CB6CC5">
        <w:rPr>
          <w:rFonts w:ascii="Times New Roman" w:eastAsia="Times New Roman" w:hAnsi="Times New Roman" w:cs="Times New Roman"/>
          <w:i/>
          <w:iCs/>
          <w:sz w:val="24"/>
          <w:szCs w:val="24"/>
          <w:lang w:val="en-US"/>
        </w:rPr>
        <w:t>Discover Conservation, 2</w:t>
      </w:r>
      <w:r w:rsidRPr="00CB6CC5">
        <w:rPr>
          <w:rFonts w:ascii="Times New Roman" w:eastAsia="Times New Roman" w:hAnsi="Times New Roman" w:cs="Times New Roman"/>
          <w:sz w:val="24"/>
          <w:szCs w:val="24"/>
          <w:lang w:val="en-US"/>
        </w:rPr>
        <w:t xml:space="preserve">, Article 41. </w:t>
      </w:r>
      <w:hyperlink r:id="rId25" w:history="1">
        <w:r w:rsidRPr="00CB6CC5">
          <w:rPr>
            <w:rFonts w:ascii="Times New Roman" w:eastAsia="Times New Roman" w:hAnsi="Times New Roman" w:cs="Times New Roman"/>
            <w:color w:val="0000FF"/>
            <w:sz w:val="24"/>
            <w:szCs w:val="24"/>
            <w:u w:val="single"/>
            <w:lang w:val="en-US"/>
          </w:rPr>
          <w:t>https://doi.org/10.1007/s44353-025-00063-x</w:t>
        </w:r>
      </w:hyperlink>
    </w:p>
    <w:p w14:paraId="528C0E0E"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CB6CC5">
        <w:rPr>
          <w:rFonts w:ascii="Times New Roman" w:eastAsia="Times New Roman" w:hAnsi="Times New Roman" w:cs="Times New Roman"/>
          <w:sz w:val="24"/>
          <w:szCs w:val="24"/>
          <w:lang w:val="en-US"/>
        </w:rPr>
        <w:t>Gyurián</w:t>
      </w:r>
      <w:proofErr w:type="spellEnd"/>
      <w:r w:rsidRPr="00CB6CC5">
        <w:rPr>
          <w:rFonts w:ascii="Times New Roman" w:eastAsia="Times New Roman" w:hAnsi="Times New Roman" w:cs="Times New Roman"/>
          <w:sz w:val="24"/>
          <w:szCs w:val="24"/>
          <w:lang w:val="en-US"/>
        </w:rPr>
        <w:t xml:space="preserve"> Nagy, N. (2026). Digital transformation and sustainable visitor engagement in zoological parks: A systematic review and conceptual framework. </w:t>
      </w:r>
      <w:r w:rsidRPr="00CB6CC5">
        <w:rPr>
          <w:rFonts w:ascii="Times New Roman" w:eastAsia="Times New Roman" w:hAnsi="Times New Roman" w:cs="Times New Roman"/>
          <w:i/>
          <w:iCs/>
          <w:sz w:val="24"/>
          <w:szCs w:val="24"/>
          <w:lang w:val="en-US"/>
        </w:rPr>
        <w:t>Sustainability, 18</w:t>
      </w:r>
      <w:r w:rsidRPr="00CB6CC5">
        <w:rPr>
          <w:rFonts w:ascii="Times New Roman" w:eastAsia="Times New Roman" w:hAnsi="Times New Roman" w:cs="Times New Roman"/>
          <w:sz w:val="24"/>
          <w:szCs w:val="24"/>
          <w:lang w:val="en-US"/>
        </w:rPr>
        <w:t xml:space="preserve">(9), Article 4336. </w:t>
      </w:r>
      <w:hyperlink r:id="rId26" w:history="1">
        <w:r w:rsidRPr="00CB6CC5">
          <w:rPr>
            <w:rFonts w:ascii="Times New Roman" w:eastAsia="Times New Roman" w:hAnsi="Times New Roman" w:cs="Times New Roman"/>
            <w:color w:val="0000FF"/>
            <w:sz w:val="24"/>
            <w:szCs w:val="24"/>
            <w:u w:val="single"/>
            <w:lang w:val="en-US"/>
          </w:rPr>
          <w:t>https://doi.org/10.3390/su18094336</w:t>
        </w:r>
      </w:hyperlink>
    </w:p>
    <w:p w14:paraId="62040746"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Hassinger, L., &amp; Nippert-Eng, C. (2025). Beyond the camera trap: A systematic review of computing technology used to monitor and interact with (more) varied taxa in zoos and aquariums. </w:t>
      </w:r>
      <w:r w:rsidRPr="00CB6CC5">
        <w:rPr>
          <w:rFonts w:ascii="Times New Roman" w:eastAsia="Times New Roman" w:hAnsi="Times New Roman" w:cs="Times New Roman"/>
          <w:i/>
          <w:iCs/>
          <w:sz w:val="24"/>
          <w:szCs w:val="24"/>
          <w:lang w:val="en-US"/>
        </w:rPr>
        <w:t>Animals, 15</w:t>
      </w:r>
      <w:r w:rsidRPr="00CB6CC5">
        <w:rPr>
          <w:rFonts w:ascii="Times New Roman" w:eastAsia="Times New Roman" w:hAnsi="Times New Roman" w:cs="Times New Roman"/>
          <w:sz w:val="24"/>
          <w:szCs w:val="24"/>
          <w:lang w:val="en-US"/>
        </w:rPr>
        <w:t xml:space="preserve">(12), Article 1721. </w:t>
      </w:r>
      <w:hyperlink r:id="rId27" w:history="1">
        <w:r w:rsidRPr="00CB6CC5">
          <w:rPr>
            <w:rFonts w:ascii="Times New Roman" w:eastAsia="Times New Roman" w:hAnsi="Times New Roman" w:cs="Times New Roman"/>
            <w:color w:val="0000FF"/>
            <w:sz w:val="24"/>
            <w:szCs w:val="24"/>
            <w:u w:val="single"/>
            <w:lang w:val="en-US"/>
          </w:rPr>
          <w:t>https://doi.org/10.3390/ani15121721</w:t>
        </w:r>
      </w:hyperlink>
    </w:p>
    <w:p w14:paraId="4F98009D"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Hua, L., Gong, S., Wang, F., Li, W., Ge, Y., Li, X., &amp; Hou, F. (2015). Captive breeding of pangolins: Current status, problems and future prospects. </w:t>
      </w:r>
      <w:proofErr w:type="spellStart"/>
      <w:r w:rsidRPr="00CB6CC5">
        <w:rPr>
          <w:rFonts w:ascii="Times New Roman" w:eastAsia="Times New Roman" w:hAnsi="Times New Roman" w:cs="Times New Roman"/>
          <w:i/>
          <w:iCs/>
          <w:sz w:val="24"/>
          <w:szCs w:val="24"/>
          <w:lang w:val="en-US"/>
        </w:rPr>
        <w:t>ZooKeys</w:t>
      </w:r>
      <w:proofErr w:type="spellEnd"/>
      <w:r w:rsidRPr="00CB6CC5">
        <w:rPr>
          <w:rFonts w:ascii="Times New Roman" w:eastAsia="Times New Roman" w:hAnsi="Times New Roman" w:cs="Times New Roman"/>
          <w:i/>
          <w:iCs/>
          <w:sz w:val="24"/>
          <w:szCs w:val="24"/>
          <w:lang w:val="en-US"/>
        </w:rPr>
        <w:t>, 507</w:t>
      </w:r>
      <w:r w:rsidRPr="00CB6CC5">
        <w:rPr>
          <w:rFonts w:ascii="Times New Roman" w:eastAsia="Times New Roman" w:hAnsi="Times New Roman" w:cs="Times New Roman"/>
          <w:sz w:val="24"/>
          <w:szCs w:val="24"/>
          <w:lang w:val="en-US"/>
        </w:rPr>
        <w:t xml:space="preserve">, 99–114. </w:t>
      </w:r>
      <w:hyperlink r:id="rId28" w:history="1">
        <w:r w:rsidRPr="00CB6CC5">
          <w:rPr>
            <w:rFonts w:ascii="Times New Roman" w:eastAsia="Times New Roman" w:hAnsi="Times New Roman" w:cs="Times New Roman"/>
            <w:color w:val="0000FF"/>
            <w:sz w:val="24"/>
            <w:szCs w:val="24"/>
            <w:u w:val="single"/>
            <w:lang w:val="en-US"/>
          </w:rPr>
          <w:t>https://doi.org/10.3897/zookeys.507.6970</w:t>
        </w:r>
      </w:hyperlink>
    </w:p>
    <w:p w14:paraId="155C6E5D"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CB6CC5">
        <w:rPr>
          <w:rFonts w:ascii="Times New Roman" w:eastAsia="Times New Roman" w:hAnsi="Times New Roman" w:cs="Times New Roman"/>
          <w:sz w:val="24"/>
          <w:szCs w:val="24"/>
          <w:lang w:val="en-US"/>
        </w:rPr>
        <w:t xml:space="preserve">Intergovernmental Panel on Climate Change. (2023). </w:t>
      </w:r>
      <w:r w:rsidRPr="00CB6CC5">
        <w:rPr>
          <w:rFonts w:ascii="Times New Roman" w:eastAsia="Times New Roman" w:hAnsi="Times New Roman" w:cs="Times New Roman"/>
          <w:i/>
          <w:iCs/>
          <w:sz w:val="24"/>
          <w:szCs w:val="24"/>
          <w:lang w:val="en-US"/>
        </w:rPr>
        <w:t>Climate change 2023: Synthesis report. Contribution of Working Groups I, II and III to the Sixth Assessment Report of the Intergovernmental Panel on Climate Change</w:t>
      </w:r>
      <w:r w:rsidRPr="00CB6CC5">
        <w:rPr>
          <w:rFonts w:ascii="Times New Roman" w:eastAsia="Times New Roman" w:hAnsi="Times New Roman" w:cs="Times New Roman"/>
          <w:sz w:val="24"/>
          <w:szCs w:val="24"/>
          <w:lang w:val="en-US"/>
        </w:rPr>
        <w:t xml:space="preserve"> (Core Writing Team, H. Lee, &amp; J. Romero, Eds.). </w:t>
      </w:r>
      <w:r w:rsidRPr="00CB6CC5">
        <w:rPr>
          <w:rFonts w:ascii="Times New Roman" w:eastAsia="Times New Roman" w:hAnsi="Times New Roman" w:cs="Times New Roman"/>
          <w:sz w:val="24"/>
          <w:szCs w:val="24"/>
          <w:lang w:val="nl-BE"/>
        </w:rPr>
        <w:t xml:space="preserve">IPCC. </w:t>
      </w:r>
      <w:r w:rsidRPr="00CB6CC5">
        <w:rPr>
          <w:rFonts w:ascii="Times New Roman" w:eastAsia="Times New Roman" w:hAnsi="Times New Roman" w:cs="Times New Roman"/>
          <w:sz w:val="24"/>
          <w:szCs w:val="24"/>
          <w:lang w:val="en-US"/>
        </w:rPr>
        <w:fldChar w:fldCharType="begin"/>
      </w:r>
      <w:r w:rsidRPr="00CB6CC5">
        <w:rPr>
          <w:rFonts w:ascii="Times New Roman" w:eastAsia="Times New Roman" w:hAnsi="Times New Roman" w:cs="Times New Roman"/>
          <w:sz w:val="24"/>
          <w:szCs w:val="24"/>
          <w:lang w:val="nl-BE"/>
        </w:rPr>
        <w:instrText>HYPERLINK "https://doi.org/10.59327/IPCC/AR6-9789291691647"</w:instrText>
      </w:r>
      <w:r w:rsidRPr="00CB6CC5">
        <w:rPr>
          <w:rFonts w:ascii="Times New Roman" w:eastAsia="Times New Roman" w:hAnsi="Times New Roman" w:cs="Times New Roman"/>
          <w:sz w:val="24"/>
          <w:szCs w:val="24"/>
          <w:lang w:val="en-US"/>
        </w:rPr>
      </w:r>
      <w:r w:rsidRPr="00CB6CC5">
        <w:rPr>
          <w:rFonts w:ascii="Times New Roman" w:eastAsia="Times New Roman" w:hAnsi="Times New Roman" w:cs="Times New Roman"/>
          <w:sz w:val="24"/>
          <w:szCs w:val="24"/>
          <w:lang w:val="en-US"/>
        </w:rPr>
        <w:fldChar w:fldCharType="separate"/>
      </w:r>
      <w:r w:rsidRPr="00CB6CC5">
        <w:rPr>
          <w:rFonts w:ascii="Times New Roman" w:eastAsia="Times New Roman" w:hAnsi="Times New Roman" w:cs="Times New Roman"/>
          <w:color w:val="0000FF"/>
          <w:sz w:val="24"/>
          <w:szCs w:val="24"/>
          <w:u w:val="single"/>
          <w:lang w:val="nl-BE"/>
        </w:rPr>
        <w:t>https://doi.org/10.59327/IPCC/AR6-9789291691647</w:t>
      </w:r>
      <w:r w:rsidRPr="00CB6CC5">
        <w:rPr>
          <w:rFonts w:ascii="Times New Roman" w:eastAsia="Times New Roman" w:hAnsi="Times New Roman" w:cs="Times New Roman"/>
          <w:sz w:val="24"/>
          <w:szCs w:val="24"/>
          <w:lang w:val="en-US"/>
        </w:rPr>
        <w:fldChar w:fldCharType="end"/>
      </w:r>
    </w:p>
    <w:p w14:paraId="1602ABC5"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nl-BE"/>
        </w:rPr>
        <w:t xml:space="preserve">Kleespies, M. W., &amp; Dierkes, P. W. (2026). </w:t>
      </w:r>
      <w:r w:rsidRPr="00CB6CC5">
        <w:rPr>
          <w:rFonts w:ascii="Times New Roman" w:eastAsia="Times New Roman" w:hAnsi="Times New Roman" w:cs="Times New Roman"/>
          <w:sz w:val="24"/>
          <w:szCs w:val="24"/>
          <w:lang w:val="en-US"/>
        </w:rPr>
        <w:t xml:space="preserve">Connection to nature in zoos: A systematic review of empirical research. </w:t>
      </w:r>
      <w:r w:rsidRPr="00CB6CC5">
        <w:rPr>
          <w:rFonts w:ascii="Times New Roman" w:eastAsia="Times New Roman" w:hAnsi="Times New Roman" w:cs="Times New Roman"/>
          <w:i/>
          <w:iCs/>
          <w:sz w:val="24"/>
          <w:szCs w:val="24"/>
          <w:lang w:val="en-US"/>
        </w:rPr>
        <w:t>Zoo Biology</w:t>
      </w:r>
      <w:r w:rsidRPr="00CB6CC5">
        <w:rPr>
          <w:rFonts w:ascii="Times New Roman" w:eastAsia="Times New Roman" w:hAnsi="Times New Roman" w:cs="Times New Roman"/>
          <w:sz w:val="24"/>
          <w:szCs w:val="24"/>
          <w:lang w:val="en-US"/>
        </w:rPr>
        <w:t xml:space="preserve">. </w:t>
      </w:r>
      <w:hyperlink r:id="rId29" w:history="1">
        <w:r w:rsidRPr="00CB6CC5">
          <w:rPr>
            <w:rFonts w:ascii="Times New Roman" w:eastAsia="Times New Roman" w:hAnsi="Times New Roman" w:cs="Times New Roman"/>
            <w:color w:val="0000FF"/>
            <w:sz w:val="24"/>
            <w:szCs w:val="24"/>
            <w:u w:val="single"/>
            <w:lang w:val="en-US"/>
          </w:rPr>
          <w:t>https://doi.org/10.1002/zoo.70079</w:t>
        </w:r>
      </w:hyperlink>
    </w:p>
    <w:p w14:paraId="7F847111"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Kumar, V., &amp; Umapathy, G. (2023). From captivity to conservation success: A review on the mouse deer breeding program and its implications for biodiversity preservation. </w:t>
      </w:r>
      <w:r w:rsidRPr="00CB6CC5">
        <w:rPr>
          <w:rFonts w:ascii="Times New Roman" w:eastAsia="Times New Roman" w:hAnsi="Times New Roman" w:cs="Times New Roman"/>
          <w:i/>
          <w:iCs/>
          <w:sz w:val="24"/>
          <w:szCs w:val="24"/>
          <w:lang w:val="en-US"/>
        </w:rPr>
        <w:t>Journal of Endocrinology and Reproduction, 27</w:t>
      </w:r>
      <w:r w:rsidRPr="00CB6CC5">
        <w:rPr>
          <w:rFonts w:ascii="Times New Roman" w:eastAsia="Times New Roman" w:hAnsi="Times New Roman" w:cs="Times New Roman"/>
          <w:sz w:val="24"/>
          <w:szCs w:val="24"/>
          <w:lang w:val="en-US"/>
        </w:rPr>
        <w:t xml:space="preserve">(3), 179–185. </w:t>
      </w:r>
      <w:hyperlink r:id="rId30" w:history="1">
        <w:r w:rsidRPr="00CB6CC5">
          <w:rPr>
            <w:rFonts w:ascii="Times New Roman" w:eastAsia="Times New Roman" w:hAnsi="Times New Roman" w:cs="Times New Roman"/>
            <w:color w:val="0000FF"/>
            <w:sz w:val="24"/>
            <w:szCs w:val="24"/>
            <w:u w:val="single"/>
            <w:lang w:val="en-US"/>
          </w:rPr>
          <w:t>https://doi.org/10.18311/jer/2023/34990</w:t>
        </w:r>
      </w:hyperlink>
    </w:p>
    <w:p w14:paraId="16F2847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CB6CC5">
        <w:rPr>
          <w:rFonts w:ascii="Times New Roman" w:eastAsia="Times New Roman" w:hAnsi="Times New Roman" w:cs="Times New Roman"/>
          <w:sz w:val="24"/>
          <w:szCs w:val="24"/>
          <w:lang w:val="en-US"/>
        </w:rPr>
        <w:t>Leberg</w:t>
      </w:r>
      <w:proofErr w:type="spellEnd"/>
      <w:r w:rsidRPr="00CB6CC5">
        <w:rPr>
          <w:rFonts w:ascii="Times New Roman" w:eastAsia="Times New Roman" w:hAnsi="Times New Roman" w:cs="Times New Roman"/>
          <w:sz w:val="24"/>
          <w:szCs w:val="24"/>
          <w:lang w:val="en-US"/>
        </w:rPr>
        <w:t xml:space="preserve">, P. L., &amp; Firmin, B. D. (2008). Role of inbreeding depression and purging in captive breeding and restoration </w:t>
      </w:r>
      <w:proofErr w:type="spellStart"/>
      <w:r w:rsidRPr="00CB6CC5">
        <w:rPr>
          <w:rFonts w:ascii="Times New Roman" w:eastAsia="Times New Roman" w:hAnsi="Times New Roman" w:cs="Times New Roman"/>
          <w:sz w:val="24"/>
          <w:szCs w:val="24"/>
          <w:lang w:val="en-US"/>
        </w:rPr>
        <w:t>programmes</w:t>
      </w:r>
      <w:proofErr w:type="spellEnd"/>
      <w:r w:rsidRPr="00CB6CC5">
        <w:rPr>
          <w:rFonts w:ascii="Times New Roman" w:eastAsia="Times New Roman" w:hAnsi="Times New Roman" w:cs="Times New Roman"/>
          <w:sz w:val="24"/>
          <w:szCs w:val="24"/>
          <w:lang w:val="en-US"/>
        </w:rPr>
        <w:t xml:space="preserve">. </w:t>
      </w:r>
      <w:r w:rsidRPr="00CB6CC5">
        <w:rPr>
          <w:rFonts w:ascii="Times New Roman" w:eastAsia="Times New Roman" w:hAnsi="Times New Roman" w:cs="Times New Roman"/>
          <w:i/>
          <w:iCs/>
          <w:sz w:val="24"/>
          <w:szCs w:val="24"/>
          <w:lang w:val="en-US"/>
        </w:rPr>
        <w:t>Molecular Ecology, 17</w:t>
      </w:r>
      <w:r w:rsidRPr="00CB6CC5">
        <w:rPr>
          <w:rFonts w:ascii="Times New Roman" w:eastAsia="Times New Roman" w:hAnsi="Times New Roman" w:cs="Times New Roman"/>
          <w:sz w:val="24"/>
          <w:szCs w:val="24"/>
          <w:lang w:val="en-US"/>
        </w:rPr>
        <w:t xml:space="preserve">(1), 334–343. </w:t>
      </w:r>
      <w:hyperlink r:id="rId31" w:history="1">
        <w:r w:rsidRPr="00CB6CC5">
          <w:rPr>
            <w:rFonts w:ascii="Times New Roman" w:eastAsia="Times New Roman" w:hAnsi="Times New Roman" w:cs="Times New Roman"/>
            <w:color w:val="0000FF"/>
            <w:sz w:val="24"/>
            <w:szCs w:val="24"/>
            <w:u w:val="single"/>
            <w:lang w:val="en-US"/>
          </w:rPr>
          <w:t>https://doi.org/10.1111/j.1365-294X.2007.03433.x</w:t>
        </w:r>
      </w:hyperlink>
    </w:p>
    <w:p w14:paraId="70D0F3FD"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lastRenderedPageBreak/>
        <w:t xml:space="preserve">Lugosi, Z., &amp; Lee, P. C. (2021). A case study exploring the use of virtual reality in the zoo context. </w:t>
      </w:r>
      <w:r w:rsidRPr="00CB6CC5">
        <w:rPr>
          <w:rFonts w:ascii="Times New Roman" w:eastAsia="Times New Roman" w:hAnsi="Times New Roman" w:cs="Times New Roman"/>
          <w:i/>
          <w:iCs/>
          <w:sz w:val="24"/>
          <w:szCs w:val="24"/>
          <w:lang w:val="en-US"/>
        </w:rPr>
        <w:t>Animal Behavior and Cognition, 8</w:t>
      </w:r>
      <w:r w:rsidRPr="00CB6CC5">
        <w:rPr>
          <w:rFonts w:ascii="Times New Roman" w:eastAsia="Times New Roman" w:hAnsi="Times New Roman" w:cs="Times New Roman"/>
          <w:sz w:val="24"/>
          <w:szCs w:val="24"/>
          <w:lang w:val="en-US"/>
        </w:rPr>
        <w:t xml:space="preserve">(4), 576–588. </w:t>
      </w:r>
      <w:hyperlink r:id="rId32" w:history="1">
        <w:r w:rsidRPr="00CB6CC5">
          <w:rPr>
            <w:rFonts w:ascii="Times New Roman" w:eastAsia="Times New Roman" w:hAnsi="Times New Roman" w:cs="Times New Roman"/>
            <w:color w:val="0000FF"/>
            <w:sz w:val="24"/>
            <w:szCs w:val="24"/>
            <w:u w:val="single"/>
            <w:lang w:val="en-US"/>
          </w:rPr>
          <w:t>https://doi.org/10.26451/abc.08.04.09.2021</w:t>
        </w:r>
      </w:hyperlink>
    </w:p>
    <w:p w14:paraId="1B2D2F8B"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McNally, X., Webb, T. L., Smith, C., Moss, A., &amp; Gibson-Miller, J. (2025). A meta-analysis of the effect of visiting zoos and aquariums on visitors’ conservation knowledge, beliefs, and behavior. </w:t>
      </w:r>
      <w:r w:rsidRPr="00CB6CC5">
        <w:rPr>
          <w:rFonts w:ascii="Times New Roman" w:eastAsia="Times New Roman" w:hAnsi="Times New Roman" w:cs="Times New Roman"/>
          <w:i/>
          <w:iCs/>
          <w:sz w:val="24"/>
          <w:szCs w:val="24"/>
          <w:lang w:val="en-US"/>
        </w:rPr>
        <w:t>Conservation Biology, 39</w:t>
      </w:r>
      <w:r w:rsidRPr="00CB6CC5">
        <w:rPr>
          <w:rFonts w:ascii="Times New Roman" w:eastAsia="Times New Roman" w:hAnsi="Times New Roman" w:cs="Times New Roman"/>
          <w:sz w:val="24"/>
          <w:szCs w:val="24"/>
          <w:lang w:val="en-US"/>
        </w:rPr>
        <w:t xml:space="preserve">(1), Article e14237. </w:t>
      </w:r>
      <w:hyperlink r:id="rId33" w:history="1">
        <w:r w:rsidRPr="00CB6CC5">
          <w:rPr>
            <w:rFonts w:ascii="Times New Roman" w:eastAsia="Times New Roman" w:hAnsi="Times New Roman" w:cs="Times New Roman"/>
            <w:color w:val="0000FF"/>
            <w:sz w:val="24"/>
            <w:szCs w:val="24"/>
            <w:u w:val="single"/>
            <w:lang w:val="en-US"/>
          </w:rPr>
          <w:t>https://doi.org/10.1111/cobi.14237</w:t>
        </w:r>
      </w:hyperlink>
    </w:p>
    <w:p w14:paraId="2F859A13"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Miller, J. R., &amp; Hobbs, R. J. (2002). Conservation where people live and work. </w:t>
      </w:r>
      <w:r w:rsidRPr="00CB6CC5">
        <w:rPr>
          <w:rFonts w:ascii="Times New Roman" w:eastAsia="Times New Roman" w:hAnsi="Times New Roman" w:cs="Times New Roman"/>
          <w:i/>
          <w:iCs/>
          <w:sz w:val="24"/>
          <w:szCs w:val="24"/>
          <w:lang w:val="en-US"/>
        </w:rPr>
        <w:t>Conservation Biology, 16</w:t>
      </w:r>
      <w:r w:rsidRPr="00CB6CC5">
        <w:rPr>
          <w:rFonts w:ascii="Times New Roman" w:eastAsia="Times New Roman" w:hAnsi="Times New Roman" w:cs="Times New Roman"/>
          <w:sz w:val="24"/>
          <w:szCs w:val="24"/>
          <w:lang w:val="en-US"/>
        </w:rPr>
        <w:t xml:space="preserve">(2), 330–337. </w:t>
      </w:r>
      <w:hyperlink r:id="rId34" w:history="1">
        <w:r w:rsidRPr="00CB6CC5">
          <w:rPr>
            <w:rFonts w:ascii="Times New Roman" w:eastAsia="Times New Roman" w:hAnsi="Times New Roman" w:cs="Times New Roman"/>
            <w:color w:val="0000FF"/>
            <w:sz w:val="24"/>
            <w:szCs w:val="24"/>
            <w:u w:val="single"/>
            <w:lang w:val="en-US"/>
          </w:rPr>
          <w:t>https://doi.org/10.1046/j.1523-1739.2002.00420.x</w:t>
        </w:r>
      </w:hyperlink>
    </w:p>
    <w:p w14:paraId="337495AF"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Miranda, R., Escribano, N., Casas, M., Pino-del-Carpio, A., &amp; </w:t>
      </w:r>
      <w:proofErr w:type="spellStart"/>
      <w:r w:rsidRPr="00CB6CC5">
        <w:rPr>
          <w:rFonts w:ascii="Times New Roman" w:eastAsia="Times New Roman" w:hAnsi="Times New Roman" w:cs="Times New Roman"/>
          <w:sz w:val="24"/>
          <w:szCs w:val="24"/>
          <w:lang w:val="en-US"/>
        </w:rPr>
        <w:t>Villarroya</w:t>
      </w:r>
      <w:proofErr w:type="spellEnd"/>
      <w:r w:rsidRPr="00CB6CC5">
        <w:rPr>
          <w:rFonts w:ascii="Times New Roman" w:eastAsia="Times New Roman" w:hAnsi="Times New Roman" w:cs="Times New Roman"/>
          <w:sz w:val="24"/>
          <w:szCs w:val="24"/>
          <w:lang w:val="en-US"/>
        </w:rPr>
        <w:t xml:space="preserve">, A. (2023). The role of zoos and aquariums in a changing world. </w:t>
      </w:r>
      <w:r w:rsidRPr="00CB6CC5">
        <w:rPr>
          <w:rFonts w:ascii="Times New Roman" w:eastAsia="Times New Roman" w:hAnsi="Times New Roman" w:cs="Times New Roman"/>
          <w:i/>
          <w:iCs/>
          <w:sz w:val="24"/>
          <w:szCs w:val="24"/>
          <w:lang w:val="en-US"/>
        </w:rPr>
        <w:t>Annual Review of Animal Biosciences, 11</w:t>
      </w:r>
      <w:r w:rsidRPr="00CB6CC5">
        <w:rPr>
          <w:rFonts w:ascii="Times New Roman" w:eastAsia="Times New Roman" w:hAnsi="Times New Roman" w:cs="Times New Roman"/>
          <w:sz w:val="24"/>
          <w:szCs w:val="24"/>
          <w:lang w:val="en-US"/>
        </w:rPr>
        <w:t xml:space="preserve">, 287–306. </w:t>
      </w:r>
      <w:hyperlink r:id="rId35" w:history="1">
        <w:r w:rsidRPr="00CB6CC5">
          <w:rPr>
            <w:rFonts w:ascii="Times New Roman" w:eastAsia="Times New Roman" w:hAnsi="Times New Roman" w:cs="Times New Roman"/>
            <w:color w:val="0000FF"/>
            <w:sz w:val="24"/>
            <w:szCs w:val="24"/>
            <w:u w:val="single"/>
            <w:lang w:val="en-US"/>
          </w:rPr>
          <w:t>https://doi.org/10.1146/annurev-animal-050622-104306</w:t>
        </w:r>
      </w:hyperlink>
    </w:p>
    <w:p w14:paraId="1A9F18B1"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Mondal, K., Rawat, S., </w:t>
      </w:r>
      <w:proofErr w:type="spellStart"/>
      <w:r w:rsidRPr="00CB6CC5">
        <w:rPr>
          <w:rFonts w:ascii="Times New Roman" w:eastAsia="Times New Roman" w:hAnsi="Times New Roman" w:cs="Times New Roman"/>
          <w:sz w:val="24"/>
          <w:szCs w:val="24"/>
          <w:lang w:val="en-US"/>
        </w:rPr>
        <w:t>Khose</w:t>
      </w:r>
      <w:proofErr w:type="spellEnd"/>
      <w:r w:rsidRPr="00CB6CC5">
        <w:rPr>
          <w:rFonts w:ascii="Times New Roman" w:eastAsia="Times New Roman" w:hAnsi="Times New Roman" w:cs="Times New Roman"/>
          <w:sz w:val="24"/>
          <w:szCs w:val="24"/>
          <w:lang w:val="en-US"/>
        </w:rPr>
        <w:t xml:space="preserve">, S. B., </w:t>
      </w:r>
      <w:proofErr w:type="spellStart"/>
      <w:r w:rsidRPr="00CB6CC5">
        <w:rPr>
          <w:rFonts w:ascii="Times New Roman" w:eastAsia="Times New Roman" w:hAnsi="Times New Roman" w:cs="Times New Roman"/>
          <w:sz w:val="24"/>
          <w:szCs w:val="24"/>
          <w:lang w:val="en-US"/>
        </w:rPr>
        <w:t>Tateh</w:t>
      </w:r>
      <w:proofErr w:type="spellEnd"/>
      <w:r w:rsidRPr="00CB6CC5">
        <w:rPr>
          <w:rFonts w:ascii="Times New Roman" w:eastAsia="Times New Roman" w:hAnsi="Times New Roman" w:cs="Times New Roman"/>
          <w:sz w:val="24"/>
          <w:szCs w:val="24"/>
          <w:lang w:val="en-US"/>
        </w:rPr>
        <w:t xml:space="preserve">, S., Saha, S., Choubey, S., </w:t>
      </w:r>
      <w:proofErr w:type="spellStart"/>
      <w:r w:rsidRPr="00CB6CC5">
        <w:rPr>
          <w:rFonts w:ascii="Times New Roman" w:eastAsia="Times New Roman" w:hAnsi="Times New Roman" w:cs="Times New Roman"/>
          <w:sz w:val="24"/>
          <w:szCs w:val="24"/>
          <w:lang w:val="en-US"/>
        </w:rPr>
        <w:t>Nagawade</w:t>
      </w:r>
      <w:proofErr w:type="spellEnd"/>
      <w:r w:rsidRPr="00CB6CC5">
        <w:rPr>
          <w:rFonts w:ascii="Times New Roman" w:eastAsia="Times New Roman" w:hAnsi="Times New Roman" w:cs="Times New Roman"/>
          <w:sz w:val="24"/>
          <w:szCs w:val="24"/>
          <w:lang w:val="en-US"/>
        </w:rPr>
        <w:t xml:space="preserve">, O., &amp; Vishwakarma, S. K. (2025). Urban green infrastructure for climate change adaptation and mitigation: Roles, innovations, and challenges in sustainable cities. </w:t>
      </w:r>
      <w:r w:rsidRPr="00CB6CC5">
        <w:rPr>
          <w:rFonts w:ascii="Times New Roman" w:eastAsia="Times New Roman" w:hAnsi="Times New Roman" w:cs="Times New Roman"/>
          <w:i/>
          <w:iCs/>
          <w:sz w:val="24"/>
          <w:szCs w:val="24"/>
          <w:lang w:val="en-US"/>
        </w:rPr>
        <w:t>International Journal of Environment and Climate Change, 15</w:t>
      </w:r>
      <w:r w:rsidRPr="00CB6CC5">
        <w:rPr>
          <w:rFonts w:ascii="Times New Roman" w:eastAsia="Times New Roman" w:hAnsi="Times New Roman" w:cs="Times New Roman"/>
          <w:sz w:val="24"/>
          <w:szCs w:val="24"/>
          <w:lang w:val="en-US"/>
        </w:rPr>
        <w:t xml:space="preserve">(12), 19–33. </w:t>
      </w:r>
      <w:hyperlink r:id="rId36" w:history="1">
        <w:r w:rsidRPr="00CB6CC5">
          <w:rPr>
            <w:rFonts w:ascii="Times New Roman" w:eastAsia="Times New Roman" w:hAnsi="Times New Roman" w:cs="Times New Roman"/>
            <w:color w:val="0000FF"/>
            <w:sz w:val="24"/>
            <w:szCs w:val="24"/>
            <w:u w:val="single"/>
            <w:lang w:val="en-US"/>
          </w:rPr>
          <w:t>https://doi.org/10.9734/ijecc/2025/v15i125144</w:t>
        </w:r>
      </w:hyperlink>
    </w:p>
    <w:p w14:paraId="64830807"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Mooney, A., Conde, D. A., Healy, K., &amp; Buckley, Y. M. (2020). A system wide approach to managing zoo collections for visitor attendance and in situ conservation. </w:t>
      </w:r>
      <w:r w:rsidRPr="00CB6CC5">
        <w:rPr>
          <w:rFonts w:ascii="Times New Roman" w:eastAsia="Times New Roman" w:hAnsi="Times New Roman" w:cs="Times New Roman"/>
          <w:i/>
          <w:iCs/>
          <w:sz w:val="24"/>
          <w:szCs w:val="24"/>
          <w:lang w:val="en-US"/>
        </w:rPr>
        <w:t>Nature Communications, 11</w:t>
      </w:r>
      <w:r w:rsidRPr="00CB6CC5">
        <w:rPr>
          <w:rFonts w:ascii="Times New Roman" w:eastAsia="Times New Roman" w:hAnsi="Times New Roman" w:cs="Times New Roman"/>
          <w:sz w:val="24"/>
          <w:szCs w:val="24"/>
          <w:lang w:val="en-US"/>
        </w:rPr>
        <w:t xml:space="preserve">, Article 584. </w:t>
      </w:r>
      <w:hyperlink r:id="rId37" w:history="1">
        <w:r w:rsidRPr="00CB6CC5">
          <w:rPr>
            <w:rFonts w:ascii="Times New Roman" w:eastAsia="Times New Roman" w:hAnsi="Times New Roman" w:cs="Times New Roman"/>
            <w:color w:val="0000FF"/>
            <w:sz w:val="24"/>
            <w:szCs w:val="24"/>
            <w:u w:val="single"/>
            <w:lang w:val="en-US"/>
          </w:rPr>
          <w:t>https://doi.org/10.1038/s41467-020-14303-2</w:t>
        </w:r>
      </w:hyperlink>
    </w:p>
    <w:p w14:paraId="11D7EA8F"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Moss, A., Jensen, E., &amp; Gusset, M. (2017). Impact of a global biodiversity education campaign on zoo and aquarium visitors. </w:t>
      </w:r>
      <w:r w:rsidRPr="00CB6CC5">
        <w:rPr>
          <w:rFonts w:ascii="Times New Roman" w:eastAsia="Times New Roman" w:hAnsi="Times New Roman" w:cs="Times New Roman"/>
          <w:i/>
          <w:iCs/>
          <w:sz w:val="24"/>
          <w:szCs w:val="24"/>
          <w:lang w:val="en-US"/>
        </w:rPr>
        <w:t>Frontiers in Ecology and the Environment, 15</w:t>
      </w:r>
      <w:r w:rsidRPr="00CB6CC5">
        <w:rPr>
          <w:rFonts w:ascii="Times New Roman" w:eastAsia="Times New Roman" w:hAnsi="Times New Roman" w:cs="Times New Roman"/>
          <w:sz w:val="24"/>
          <w:szCs w:val="24"/>
          <w:lang w:val="en-US"/>
        </w:rPr>
        <w:t xml:space="preserve">(5), 243–247. </w:t>
      </w:r>
      <w:hyperlink r:id="rId38" w:history="1">
        <w:r w:rsidRPr="00CB6CC5">
          <w:rPr>
            <w:rFonts w:ascii="Times New Roman" w:eastAsia="Times New Roman" w:hAnsi="Times New Roman" w:cs="Times New Roman"/>
            <w:color w:val="0000FF"/>
            <w:sz w:val="24"/>
            <w:szCs w:val="24"/>
            <w:u w:val="single"/>
            <w:lang w:val="en-US"/>
          </w:rPr>
          <w:t>https://doi.org/10.1002/fee.1493</w:t>
        </w:r>
      </w:hyperlink>
    </w:p>
    <w:p w14:paraId="234E26A6"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Nageotte, N. L., Steele-Inama, M., Frederick, B., </w:t>
      </w:r>
      <w:proofErr w:type="spellStart"/>
      <w:r w:rsidRPr="00CB6CC5">
        <w:rPr>
          <w:rFonts w:ascii="Times New Roman" w:eastAsia="Times New Roman" w:hAnsi="Times New Roman" w:cs="Times New Roman"/>
          <w:sz w:val="24"/>
          <w:szCs w:val="24"/>
          <w:lang w:val="en-US"/>
        </w:rPr>
        <w:t>Elvove</w:t>
      </w:r>
      <w:proofErr w:type="spellEnd"/>
      <w:r w:rsidRPr="00CB6CC5">
        <w:rPr>
          <w:rFonts w:ascii="Times New Roman" w:eastAsia="Times New Roman" w:hAnsi="Times New Roman" w:cs="Times New Roman"/>
          <w:sz w:val="24"/>
          <w:szCs w:val="24"/>
          <w:lang w:val="en-US"/>
        </w:rPr>
        <w:t xml:space="preserve">, E., &amp; McDonald, S. E. (2024). Engaging internal and external audiences to develop and promote zoo-based conservation efforts. </w:t>
      </w:r>
      <w:r w:rsidRPr="00CB6CC5">
        <w:rPr>
          <w:rFonts w:ascii="Times New Roman" w:eastAsia="Times New Roman" w:hAnsi="Times New Roman" w:cs="Times New Roman"/>
          <w:i/>
          <w:iCs/>
          <w:sz w:val="24"/>
          <w:szCs w:val="24"/>
          <w:lang w:val="en-US"/>
        </w:rPr>
        <w:t>PLOS ONE, 19</w:t>
      </w:r>
      <w:r w:rsidRPr="00CB6CC5">
        <w:rPr>
          <w:rFonts w:ascii="Times New Roman" w:eastAsia="Times New Roman" w:hAnsi="Times New Roman" w:cs="Times New Roman"/>
          <w:sz w:val="24"/>
          <w:szCs w:val="24"/>
          <w:lang w:val="en-US"/>
        </w:rPr>
        <w:t xml:space="preserve">(4), Article e0298813. </w:t>
      </w:r>
      <w:hyperlink r:id="rId39" w:history="1">
        <w:r w:rsidRPr="00CB6CC5">
          <w:rPr>
            <w:rFonts w:ascii="Times New Roman" w:eastAsia="Times New Roman" w:hAnsi="Times New Roman" w:cs="Times New Roman"/>
            <w:color w:val="0000FF"/>
            <w:sz w:val="24"/>
            <w:szCs w:val="24"/>
            <w:u w:val="single"/>
            <w:lang w:val="en-US"/>
          </w:rPr>
          <w:t>https://doi.org/10.1371/journal.pone.0298813</w:t>
        </w:r>
      </w:hyperlink>
    </w:p>
    <w:p w14:paraId="082D78B6"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Pawar, P., &amp; Mule, M. (2026). Dynamics of leopard occupancy and detection amid human disturbance and habitat fragmentation in </w:t>
      </w:r>
      <w:proofErr w:type="spellStart"/>
      <w:r w:rsidRPr="00CB6CC5">
        <w:rPr>
          <w:rFonts w:ascii="Times New Roman" w:eastAsia="Times New Roman" w:hAnsi="Times New Roman" w:cs="Times New Roman"/>
          <w:sz w:val="24"/>
          <w:szCs w:val="24"/>
          <w:lang w:val="en-US"/>
        </w:rPr>
        <w:t>Gautala-Autramghat</w:t>
      </w:r>
      <w:proofErr w:type="spellEnd"/>
      <w:r w:rsidRPr="00CB6CC5">
        <w:rPr>
          <w:rFonts w:ascii="Times New Roman" w:eastAsia="Times New Roman" w:hAnsi="Times New Roman" w:cs="Times New Roman"/>
          <w:sz w:val="24"/>
          <w:szCs w:val="24"/>
          <w:lang w:val="en-US"/>
        </w:rPr>
        <w:t xml:space="preserve"> Wildlife Sanctuary, Maharashtra, Western India. </w:t>
      </w:r>
      <w:r w:rsidRPr="00CB6CC5">
        <w:rPr>
          <w:rFonts w:ascii="Times New Roman" w:eastAsia="Times New Roman" w:hAnsi="Times New Roman" w:cs="Times New Roman"/>
          <w:i/>
          <w:iCs/>
          <w:sz w:val="24"/>
          <w:szCs w:val="24"/>
          <w:lang w:val="en-US"/>
        </w:rPr>
        <w:t>Journal of Biology and Nature, 18</w:t>
      </w:r>
      <w:r w:rsidRPr="00CB6CC5">
        <w:rPr>
          <w:rFonts w:ascii="Times New Roman" w:eastAsia="Times New Roman" w:hAnsi="Times New Roman" w:cs="Times New Roman"/>
          <w:sz w:val="24"/>
          <w:szCs w:val="24"/>
          <w:lang w:val="en-US"/>
        </w:rPr>
        <w:t xml:space="preserve">(1), 425–440. </w:t>
      </w:r>
      <w:hyperlink r:id="rId40" w:history="1">
        <w:r w:rsidRPr="00CB6CC5">
          <w:rPr>
            <w:rFonts w:ascii="Times New Roman" w:eastAsia="Times New Roman" w:hAnsi="Times New Roman" w:cs="Times New Roman"/>
            <w:color w:val="0000FF"/>
            <w:sz w:val="24"/>
            <w:szCs w:val="24"/>
            <w:u w:val="single"/>
            <w:lang w:val="en-US"/>
          </w:rPr>
          <w:t>https://doi.org/10.56557/joban/2026/v18i110465</w:t>
        </w:r>
      </w:hyperlink>
    </w:p>
    <w:p w14:paraId="537C9FC1"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Pritchard, D. J., Fa, J. E., Oldfield, S., &amp; Harrop, S. R. (2012). Bring the captive closer to the wild: Redefining the role of ex situ conservation. </w:t>
      </w:r>
      <w:r w:rsidRPr="00CB6CC5">
        <w:rPr>
          <w:rFonts w:ascii="Times New Roman" w:eastAsia="Times New Roman" w:hAnsi="Times New Roman" w:cs="Times New Roman"/>
          <w:i/>
          <w:iCs/>
          <w:sz w:val="24"/>
          <w:szCs w:val="24"/>
          <w:lang w:val="en-US"/>
        </w:rPr>
        <w:t>Oryx, 46</w:t>
      </w:r>
      <w:r w:rsidRPr="00CB6CC5">
        <w:rPr>
          <w:rFonts w:ascii="Times New Roman" w:eastAsia="Times New Roman" w:hAnsi="Times New Roman" w:cs="Times New Roman"/>
          <w:sz w:val="24"/>
          <w:szCs w:val="24"/>
          <w:lang w:val="en-US"/>
        </w:rPr>
        <w:t xml:space="preserve">(1), 18–23. </w:t>
      </w:r>
      <w:hyperlink r:id="rId41" w:history="1">
        <w:r w:rsidRPr="00CB6CC5">
          <w:rPr>
            <w:rFonts w:ascii="Times New Roman" w:eastAsia="Times New Roman" w:hAnsi="Times New Roman" w:cs="Times New Roman"/>
            <w:color w:val="0000FF"/>
            <w:sz w:val="24"/>
            <w:szCs w:val="24"/>
            <w:u w:val="single"/>
            <w:lang w:val="en-US"/>
          </w:rPr>
          <w:t>https://doi.org/10.1017/S0030605310001766</w:t>
        </w:r>
      </w:hyperlink>
    </w:p>
    <w:p w14:paraId="6F098D72"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Rose, P. E., &amp; Riley, L. M. (2022). Expanding the role of the future zoo: Wellbeing should become the fifth aim for modern zoos. </w:t>
      </w:r>
      <w:r w:rsidRPr="00CB6CC5">
        <w:rPr>
          <w:rFonts w:ascii="Times New Roman" w:eastAsia="Times New Roman" w:hAnsi="Times New Roman" w:cs="Times New Roman"/>
          <w:i/>
          <w:iCs/>
          <w:sz w:val="24"/>
          <w:szCs w:val="24"/>
          <w:lang w:val="en-US"/>
        </w:rPr>
        <w:t>Frontiers in Psychology, 13</w:t>
      </w:r>
      <w:r w:rsidRPr="00CB6CC5">
        <w:rPr>
          <w:rFonts w:ascii="Times New Roman" w:eastAsia="Times New Roman" w:hAnsi="Times New Roman" w:cs="Times New Roman"/>
          <w:sz w:val="24"/>
          <w:szCs w:val="24"/>
          <w:lang w:val="en-US"/>
        </w:rPr>
        <w:t xml:space="preserve">, Article 1018722. </w:t>
      </w:r>
      <w:hyperlink r:id="rId42" w:history="1">
        <w:r w:rsidRPr="00CB6CC5">
          <w:rPr>
            <w:rFonts w:ascii="Times New Roman" w:eastAsia="Times New Roman" w:hAnsi="Times New Roman" w:cs="Times New Roman"/>
            <w:color w:val="0000FF"/>
            <w:sz w:val="24"/>
            <w:szCs w:val="24"/>
            <w:u w:val="single"/>
            <w:lang w:val="en-US"/>
          </w:rPr>
          <w:t>https://doi.org/10.3389/fpsyg.2022.1018722</w:t>
        </w:r>
      </w:hyperlink>
    </w:p>
    <w:p w14:paraId="5C84428D"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lastRenderedPageBreak/>
        <w:t xml:space="preserve">Schwartz, K. R., Parsons, E. C. M., Rockwood, L., &amp; Wood, T. C. (2017). Integrating in-situ and ex-situ data management processes for biodiversity conservation. </w:t>
      </w:r>
      <w:r w:rsidRPr="00CB6CC5">
        <w:rPr>
          <w:rFonts w:ascii="Times New Roman" w:eastAsia="Times New Roman" w:hAnsi="Times New Roman" w:cs="Times New Roman"/>
          <w:i/>
          <w:iCs/>
          <w:sz w:val="24"/>
          <w:szCs w:val="24"/>
          <w:lang w:val="en-US"/>
        </w:rPr>
        <w:t>Frontiers in Ecology and Evolution, 5</w:t>
      </w:r>
      <w:r w:rsidRPr="00CB6CC5">
        <w:rPr>
          <w:rFonts w:ascii="Times New Roman" w:eastAsia="Times New Roman" w:hAnsi="Times New Roman" w:cs="Times New Roman"/>
          <w:sz w:val="24"/>
          <w:szCs w:val="24"/>
          <w:lang w:val="en-US"/>
        </w:rPr>
        <w:t xml:space="preserve">, Article 120. </w:t>
      </w:r>
      <w:hyperlink r:id="rId43" w:history="1">
        <w:r w:rsidRPr="00CB6CC5">
          <w:rPr>
            <w:rFonts w:ascii="Times New Roman" w:eastAsia="Times New Roman" w:hAnsi="Times New Roman" w:cs="Times New Roman"/>
            <w:color w:val="0000FF"/>
            <w:sz w:val="24"/>
            <w:szCs w:val="24"/>
            <w:u w:val="single"/>
            <w:lang w:val="en-US"/>
          </w:rPr>
          <w:t>https://doi.org/10.3389/fevo.2017.00120</w:t>
        </w:r>
      </w:hyperlink>
    </w:p>
    <w:p w14:paraId="58FA0A0A"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Sharma, S. P., Ghazi, M. G., </w:t>
      </w:r>
      <w:proofErr w:type="spellStart"/>
      <w:r w:rsidRPr="00CB6CC5">
        <w:rPr>
          <w:rFonts w:ascii="Times New Roman" w:eastAsia="Times New Roman" w:hAnsi="Times New Roman" w:cs="Times New Roman"/>
          <w:sz w:val="24"/>
          <w:szCs w:val="24"/>
          <w:lang w:val="en-US"/>
        </w:rPr>
        <w:t>Katdare</w:t>
      </w:r>
      <w:proofErr w:type="spellEnd"/>
      <w:r w:rsidRPr="00CB6CC5">
        <w:rPr>
          <w:rFonts w:ascii="Times New Roman" w:eastAsia="Times New Roman" w:hAnsi="Times New Roman" w:cs="Times New Roman"/>
          <w:sz w:val="24"/>
          <w:szCs w:val="24"/>
          <w:lang w:val="en-US"/>
        </w:rPr>
        <w:t xml:space="preserve">, S., </w:t>
      </w:r>
      <w:proofErr w:type="spellStart"/>
      <w:r w:rsidRPr="00CB6CC5">
        <w:rPr>
          <w:rFonts w:ascii="Times New Roman" w:eastAsia="Times New Roman" w:hAnsi="Times New Roman" w:cs="Times New Roman"/>
          <w:sz w:val="24"/>
          <w:szCs w:val="24"/>
          <w:lang w:val="en-US"/>
        </w:rPr>
        <w:t>Badola</w:t>
      </w:r>
      <w:proofErr w:type="spellEnd"/>
      <w:r w:rsidRPr="00CB6CC5">
        <w:rPr>
          <w:rFonts w:ascii="Times New Roman" w:eastAsia="Times New Roman" w:hAnsi="Times New Roman" w:cs="Times New Roman"/>
          <w:sz w:val="24"/>
          <w:szCs w:val="24"/>
          <w:lang w:val="en-US"/>
        </w:rPr>
        <w:t>, R., &amp; Hussain, S. A. (2024). Population status and genetic assessment of mugger (</w:t>
      </w:r>
      <w:r w:rsidRPr="00CB6CC5">
        <w:rPr>
          <w:rFonts w:ascii="Times New Roman" w:eastAsia="Times New Roman" w:hAnsi="Times New Roman" w:cs="Times New Roman"/>
          <w:i/>
          <w:iCs/>
          <w:sz w:val="24"/>
          <w:szCs w:val="24"/>
          <w:lang w:val="en-US"/>
        </w:rPr>
        <w:t>Crocodylus palustris</w:t>
      </w:r>
      <w:r w:rsidRPr="00CB6CC5">
        <w:rPr>
          <w:rFonts w:ascii="Times New Roman" w:eastAsia="Times New Roman" w:hAnsi="Times New Roman" w:cs="Times New Roman"/>
          <w:sz w:val="24"/>
          <w:szCs w:val="24"/>
          <w:lang w:val="en-US"/>
        </w:rPr>
        <w:t xml:space="preserve">) in a tropical regulated river system in North India. </w:t>
      </w:r>
      <w:r w:rsidRPr="00CB6CC5">
        <w:rPr>
          <w:rFonts w:ascii="Times New Roman" w:eastAsia="Times New Roman" w:hAnsi="Times New Roman" w:cs="Times New Roman"/>
          <w:i/>
          <w:iCs/>
          <w:sz w:val="24"/>
          <w:szCs w:val="24"/>
          <w:lang w:val="en-US"/>
        </w:rPr>
        <w:t>Scientific Reports, 14</w:t>
      </w:r>
      <w:r w:rsidRPr="00CB6CC5">
        <w:rPr>
          <w:rFonts w:ascii="Times New Roman" w:eastAsia="Times New Roman" w:hAnsi="Times New Roman" w:cs="Times New Roman"/>
          <w:sz w:val="24"/>
          <w:szCs w:val="24"/>
          <w:lang w:val="en-US"/>
        </w:rPr>
        <w:t xml:space="preserve">, Article 7438. </w:t>
      </w:r>
      <w:hyperlink r:id="rId44" w:history="1">
        <w:r w:rsidRPr="00CB6CC5">
          <w:rPr>
            <w:rFonts w:ascii="Times New Roman" w:eastAsia="Times New Roman" w:hAnsi="Times New Roman" w:cs="Times New Roman"/>
            <w:color w:val="0000FF"/>
            <w:sz w:val="24"/>
            <w:szCs w:val="24"/>
            <w:u w:val="single"/>
            <w:lang w:val="en-US"/>
          </w:rPr>
          <w:t>https://doi.org/10.1038/s41598-024-57983-2</w:t>
        </w:r>
      </w:hyperlink>
    </w:p>
    <w:p w14:paraId="0B601447"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Snyder, H. (2019). Literature review as a research methodology: An overview and guidelines. </w:t>
      </w:r>
      <w:r w:rsidRPr="00CB6CC5">
        <w:rPr>
          <w:rFonts w:ascii="Times New Roman" w:eastAsia="Times New Roman" w:hAnsi="Times New Roman" w:cs="Times New Roman"/>
          <w:i/>
          <w:iCs/>
          <w:sz w:val="24"/>
          <w:szCs w:val="24"/>
          <w:lang w:val="en-US"/>
        </w:rPr>
        <w:t>Journal of Business Research, 104</w:t>
      </w:r>
      <w:r w:rsidRPr="00CB6CC5">
        <w:rPr>
          <w:rFonts w:ascii="Times New Roman" w:eastAsia="Times New Roman" w:hAnsi="Times New Roman" w:cs="Times New Roman"/>
          <w:sz w:val="24"/>
          <w:szCs w:val="24"/>
          <w:lang w:val="en-US"/>
        </w:rPr>
        <w:t xml:space="preserve">, 333–339. </w:t>
      </w:r>
      <w:hyperlink r:id="rId45" w:history="1">
        <w:r w:rsidRPr="00CB6CC5">
          <w:rPr>
            <w:rFonts w:ascii="Times New Roman" w:eastAsia="Times New Roman" w:hAnsi="Times New Roman" w:cs="Times New Roman"/>
            <w:color w:val="0000FF"/>
            <w:sz w:val="24"/>
            <w:szCs w:val="24"/>
            <w:u w:val="single"/>
            <w:lang w:val="en-US"/>
          </w:rPr>
          <w:t>https://doi.org/10.1016/j.jbusres.2019.07.039</w:t>
        </w:r>
      </w:hyperlink>
    </w:p>
    <w:p w14:paraId="7FF697D2"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Sorace, A. (2001). Value to wildlife of urban-agricultural parks: A case study from Rome urban area. </w:t>
      </w:r>
      <w:r w:rsidRPr="00CB6CC5">
        <w:rPr>
          <w:rFonts w:ascii="Times New Roman" w:eastAsia="Times New Roman" w:hAnsi="Times New Roman" w:cs="Times New Roman"/>
          <w:i/>
          <w:iCs/>
          <w:sz w:val="24"/>
          <w:szCs w:val="24"/>
          <w:lang w:val="en-US"/>
        </w:rPr>
        <w:t>Environmental Management, 28</w:t>
      </w:r>
      <w:r w:rsidRPr="00CB6CC5">
        <w:rPr>
          <w:rFonts w:ascii="Times New Roman" w:eastAsia="Times New Roman" w:hAnsi="Times New Roman" w:cs="Times New Roman"/>
          <w:sz w:val="24"/>
          <w:szCs w:val="24"/>
          <w:lang w:val="en-US"/>
        </w:rPr>
        <w:t xml:space="preserve">(4), 547–560. </w:t>
      </w:r>
      <w:hyperlink r:id="rId46" w:history="1">
        <w:r w:rsidRPr="00CB6CC5">
          <w:rPr>
            <w:rFonts w:ascii="Times New Roman" w:eastAsia="Times New Roman" w:hAnsi="Times New Roman" w:cs="Times New Roman"/>
            <w:color w:val="0000FF"/>
            <w:sz w:val="24"/>
            <w:szCs w:val="24"/>
            <w:u w:val="single"/>
            <w:lang w:val="en-US"/>
          </w:rPr>
          <w:t>https://doi.org/10.1007/s002670010243</w:t>
        </w:r>
      </w:hyperlink>
    </w:p>
    <w:p w14:paraId="322B3DB0"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Spooner, S. L., Walker, S. L., Dowell, S., &amp; Moss, A. (2023). The value of zoos for species and society: The need for a new model. </w:t>
      </w:r>
      <w:r w:rsidRPr="00CB6CC5">
        <w:rPr>
          <w:rFonts w:ascii="Times New Roman" w:eastAsia="Times New Roman" w:hAnsi="Times New Roman" w:cs="Times New Roman"/>
          <w:i/>
          <w:iCs/>
          <w:sz w:val="24"/>
          <w:szCs w:val="24"/>
          <w:lang w:val="en-US"/>
        </w:rPr>
        <w:t>Biological Conservation, 279</w:t>
      </w:r>
      <w:r w:rsidRPr="00CB6CC5">
        <w:rPr>
          <w:rFonts w:ascii="Times New Roman" w:eastAsia="Times New Roman" w:hAnsi="Times New Roman" w:cs="Times New Roman"/>
          <w:sz w:val="24"/>
          <w:szCs w:val="24"/>
          <w:lang w:val="en-US"/>
        </w:rPr>
        <w:t xml:space="preserve">, Article 109925. </w:t>
      </w:r>
      <w:hyperlink r:id="rId47" w:history="1">
        <w:r w:rsidRPr="00CB6CC5">
          <w:rPr>
            <w:rFonts w:ascii="Times New Roman" w:eastAsia="Times New Roman" w:hAnsi="Times New Roman" w:cs="Times New Roman"/>
            <w:color w:val="0000FF"/>
            <w:sz w:val="24"/>
            <w:szCs w:val="24"/>
            <w:u w:val="single"/>
            <w:lang w:val="en-US"/>
          </w:rPr>
          <w:t>https://doi.org/10.1016/j.biocon.2023.109925</w:t>
        </w:r>
      </w:hyperlink>
    </w:p>
    <w:p w14:paraId="3FEA6014"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CB6CC5">
        <w:rPr>
          <w:rFonts w:ascii="Times New Roman" w:eastAsia="Times New Roman" w:hAnsi="Times New Roman" w:cs="Times New Roman"/>
          <w:sz w:val="24"/>
          <w:szCs w:val="24"/>
          <w:lang w:val="en-US"/>
        </w:rPr>
        <w:t xml:space="preserve">Stevenson, C. J. (2015). Conservation of the Indian gharial </w:t>
      </w:r>
      <w:r w:rsidRPr="00CB6CC5">
        <w:rPr>
          <w:rFonts w:ascii="Times New Roman" w:eastAsia="Times New Roman" w:hAnsi="Times New Roman" w:cs="Times New Roman"/>
          <w:i/>
          <w:iCs/>
          <w:sz w:val="24"/>
          <w:szCs w:val="24"/>
          <w:lang w:val="en-US"/>
        </w:rPr>
        <w:t>Gavialis gangeticus</w:t>
      </w:r>
      <w:r w:rsidRPr="00CB6CC5">
        <w:rPr>
          <w:rFonts w:ascii="Times New Roman" w:eastAsia="Times New Roman" w:hAnsi="Times New Roman" w:cs="Times New Roman"/>
          <w:sz w:val="24"/>
          <w:szCs w:val="24"/>
          <w:lang w:val="en-US"/>
        </w:rPr>
        <w:t xml:space="preserve">: Successes and failures. </w:t>
      </w:r>
      <w:r w:rsidRPr="00CB6CC5">
        <w:rPr>
          <w:rFonts w:ascii="Times New Roman" w:eastAsia="Times New Roman" w:hAnsi="Times New Roman" w:cs="Times New Roman"/>
          <w:i/>
          <w:iCs/>
          <w:sz w:val="24"/>
          <w:szCs w:val="24"/>
          <w:lang w:val="nl-BE"/>
        </w:rPr>
        <w:t>International Zoo Yearbook, 49</w:t>
      </w:r>
      <w:r w:rsidRPr="00CB6CC5">
        <w:rPr>
          <w:rFonts w:ascii="Times New Roman" w:eastAsia="Times New Roman" w:hAnsi="Times New Roman" w:cs="Times New Roman"/>
          <w:sz w:val="24"/>
          <w:szCs w:val="24"/>
          <w:lang w:val="nl-BE"/>
        </w:rPr>
        <w:t xml:space="preserve">(1), 150–161. </w:t>
      </w:r>
      <w:r w:rsidRPr="00CB6CC5">
        <w:rPr>
          <w:rFonts w:ascii="Times New Roman" w:eastAsia="Times New Roman" w:hAnsi="Times New Roman" w:cs="Times New Roman"/>
          <w:sz w:val="24"/>
          <w:szCs w:val="24"/>
          <w:lang w:val="en-US"/>
        </w:rPr>
        <w:fldChar w:fldCharType="begin"/>
      </w:r>
      <w:r w:rsidRPr="00CB6CC5">
        <w:rPr>
          <w:rFonts w:ascii="Times New Roman" w:eastAsia="Times New Roman" w:hAnsi="Times New Roman" w:cs="Times New Roman"/>
          <w:sz w:val="24"/>
          <w:szCs w:val="24"/>
          <w:lang w:val="nl-BE"/>
        </w:rPr>
        <w:instrText>HYPERLINK "https://doi.org/10.1111/izy.12066"</w:instrText>
      </w:r>
      <w:r w:rsidRPr="00CB6CC5">
        <w:rPr>
          <w:rFonts w:ascii="Times New Roman" w:eastAsia="Times New Roman" w:hAnsi="Times New Roman" w:cs="Times New Roman"/>
          <w:sz w:val="24"/>
          <w:szCs w:val="24"/>
          <w:lang w:val="en-US"/>
        </w:rPr>
      </w:r>
      <w:r w:rsidRPr="00CB6CC5">
        <w:rPr>
          <w:rFonts w:ascii="Times New Roman" w:eastAsia="Times New Roman" w:hAnsi="Times New Roman" w:cs="Times New Roman"/>
          <w:sz w:val="24"/>
          <w:szCs w:val="24"/>
          <w:lang w:val="en-US"/>
        </w:rPr>
        <w:fldChar w:fldCharType="separate"/>
      </w:r>
      <w:r w:rsidRPr="00CB6CC5">
        <w:rPr>
          <w:rFonts w:ascii="Times New Roman" w:eastAsia="Times New Roman" w:hAnsi="Times New Roman" w:cs="Times New Roman"/>
          <w:color w:val="0000FF"/>
          <w:sz w:val="24"/>
          <w:szCs w:val="24"/>
          <w:u w:val="single"/>
          <w:lang w:val="nl-BE"/>
        </w:rPr>
        <w:t>https://doi.org/10.1111/izy.12066</w:t>
      </w:r>
      <w:r w:rsidRPr="00CB6CC5">
        <w:rPr>
          <w:rFonts w:ascii="Times New Roman" w:eastAsia="Times New Roman" w:hAnsi="Times New Roman" w:cs="Times New Roman"/>
          <w:sz w:val="24"/>
          <w:szCs w:val="24"/>
          <w:lang w:val="en-US"/>
        </w:rPr>
        <w:fldChar w:fldCharType="end"/>
      </w:r>
    </w:p>
    <w:p w14:paraId="1D74C29F"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nl-BE"/>
        </w:rPr>
        <w:t xml:space="preserve">Suggett, D. J., &amp; van Oppen, M. J. H. (2022). </w:t>
      </w:r>
      <w:r w:rsidRPr="00CB6CC5">
        <w:rPr>
          <w:rFonts w:ascii="Times New Roman" w:eastAsia="Times New Roman" w:hAnsi="Times New Roman" w:cs="Times New Roman"/>
          <w:sz w:val="24"/>
          <w:szCs w:val="24"/>
          <w:lang w:val="en-US"/>
        </w:rPr>
        <w:t xml:space="preserve">Horizon scan of rapidly advancing coral restoration approaches for 21st century reef management. </w:t>
      </w:r>
      <w:r w:rsidRPr="00CB6CC5">
        <w:rPr>
          <w:rFonts w:ascii="Times New Roman" w:eastAsia="Times New Roman" w:hAnsi="Times New Roman" w:cs="Times New Roman"/>
          <w:i/>
          <w:iCs/>
          <w:sz w:val="24"/>
          <w:szCs w:val="24"/>
          <w:lang w:val="en-US"/>
        </w:rPr>
        <w:t>Emerging Topics in Life Sciences, 6</w:t>
      </w:r>
      <w:r w:rsidRPr="00CB6CC5">
        <w:rPr>
          <w:rFonts w:ascii="Times New Roman" w:eastAsia="Times New Roman" w:hAnsi="Times New Roman" w:cs="Times New Roman"/>
          <w:sz w:val="24"/>
          <w:szCs w:val="24"/>
          <w:lang w:val="en-US"/>
        </w:rPr>
        <w:t xml:space="preserve">(1), 125–136. </w:t>
      </w:r>
      <w:hyperlink r:id="rId48" w:history="1">
        <w:r w:rsidRPr="00CB6CC5">
          <w:rPr>
            <w:rFonts w:ascii="Times New Roman" w:eastAsia="Times New Roman" w:hAnsi="Times New Roman" w:cs="Times New Roman"/>
            <w:color w:val="0000FF"/>
            <w:sz w:val="24"/>
            <w:szCs w:val="24"/>
            <w:u w:val="single"/>
            <w:lang w:val="en-US"/>
          </w:rPr>
          <w:t>https://doi.org/10.1042/ETLS20210240</w:t>
        </w:r>
      </w:hyperlink>
    </w:p>
    <w:p w14:paraId="235B220F"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Tin, K. K., </w:t>
      </w:r>
      <w:proofErr w:type="spellStart"/>
      <w:r w:rsidRPr="00CB6CC5">
        <w:rPr>
          <w:rFonts w:ascii="Times New Roman" w:eastAsia="Times New Roman" w:hAnsi="Times New Roman" w:cs="Times New Roman"/>
          <w:sz w:val="24"/>
          <w:szCs w:val="24"/>
          <w:lang w:val="en-US"/>
        </w:rPr>
        <w:t>Taweepreda</w:t>
      </w:r>
      <w:proofErr w:type="spellEnd"/>
      <w:r w:rsidRPr="00CB6CC5">
        <w:rPr>
          <w:rFonts w:ascii="Times New Roman" w:eastAsia="Times New Roman" w:hAnsi="Times New Roman" w:cs="Times New Roman"/>
          <w:sz w:val="24"/>
          <w:szCs w:val="24"/>
          <w:lang w:val="en-US"/>
        </w:rPr>
        <w:t xml:space="preserve">, W., Agrahari, N., Singh, A., &amp; Kumar, A. (2024). Exploring possibilities for capturing and utilizing biogas derived from zoo waste. </w:t>
      </w:r>
      <w:r w:rsidRPr="00CB6CC5">
        <w:rPr>
          <w:rFonts w:ascii="Times New Roman" w:eastAsia="Times New Roman" w:hAnsi="Times New Roman" w:cs="Times New Roman"/>
          <w:i/>
          <w:iCs/>
          <w:sz w:val="24"/>
          <w:szCs w:val="24"/>
          <w:lang w:val="en-US"/>
        </w:rPr>
        <w:t>Environment, Development and Sustainability</w:t>
      </w:r>
      <w:r w:rsidRPr="00CB6CC5">
        <w:rPr>
          <w:rFonts w:ascii="Times New Roman" w:eastAsia="Times New Roman" w:hAnsi="Times New Roman" w:cs="Times New Roman"/>
          <w:sz w:val="24"/>
          <w:szCs w:val="24"/>
          <w:lang w:val="en-US"/>
        </w:rPr>
        <w:t xml:space="preserve">. </w:t>
      </w:r>
      <w:hyperlink r:id="rId49" w:history="1">
        <w:r w:rsidRPr="00CB6CC5">
          <w:rPr>
            <w:rFonts w:ascii="Times New Roman" w:eastAsia="Times New Roman" w:hAnsi="Times New Roman" w:cs="Times New Roman"/>
            <w:color w:val="0000FF"/>
            <w:sz w:val="24"/>
            <w:szCs w:val="24"/>
            <w:u w:val="single"/>
            <w:lang w:val="en-US"/>
          </w:rPr>
          <w:t>https://doi.org/10.1007/s10668-024-05462-z</w:t>
        </w:r>
      </w:hyperlink>
    </w:p>
    <w:p w14:paraId="7A365A2F"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Turner, S. D., Keyte, A., Pask, A., &amp; Shapiro, B. (2025). De-extinction technology and its application to conservation. </w:t>
      </w:r>
      <w:r w:rsidRPr="00CB6CC5">
        <w:rPr>
          <w:rFonts w:ascii="Times New Roman" w:eastAsia="Times New Roman" w:hAnsi="Times New Roman" w:cs="Times New Roman"/>
          <w:i/>
          <w:iCs/>
          <w:sz w:val="24"/>
          <w:szCs w:val="24"/>
          <w:lang w:val="en-US"/>
        </w:rPr>
        <w:t>Journal of Heredity</w:t>
      </w:r>
      <w:r w:rsidRPr="00CB6CC5">
        <w:rPr>
          <w:rFonts w:ascii="Times New Roman" w:eastAsia="Times New Roman" w:hAnsi="Times New Roman" w:cs="Times New Roman"/>
          <w:sz w:val="24"/>
          <w:szCs w:val="24"/>
          <w:lang w:val="en-US"/>
        </w:rPr>
        <w:t xml:space="preserve">, esaf069. </w:t>
      </w:r>
      <w:hyperlink r:id="rId50" w:history="1">
        <w:r w:rsidRPr="00CB6CC5">
          <w:rPr>
            <w:rFonts w:ascii="Times New Roman" w:eastAsia="Times New Roman" w:hAnsi="Times New Roman" w:cs="Times New Roman"/>
            <w:color w:val="0000FF"/>
            <w:sz w:val="24"/>
            <w:szCs w:val="24"/>
            <w:u w:val="single"/>
            <w:lang w:val="en-US"/>
          </w:rPr>
          <w:t>https://doi.org/10.1093/jhered/esaf069</w:t>
        </w:r>
      </w:hyperlink>
    </w:p>
    <w:p w14:paraId="122EBAE2"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Vélez, J., McShea, W., Shamon, H., Castiblanco-Camacho, P. J., Tabak, M. A., Chalmers, C., Fergus, P., &amp; </w:t>
      </w:r>
      <w:proofErr w:type="spellStart"/>
      <w:r w:rsidRPr="00CB6CC5">
        <w:rPr>
          <w:rFonts w:ascii="Times New Roman" w:eastAsia="Times New Roman" w:hAnsi="Times New Roman" w:cs="Times New Roman"/>
          <w:sz w:val="24"/>
          <w:szCs w:val="24"/>
          <w:lang w:val="en-US"/>
        </w:rPr>
        <w:t>Fieberg</w:t>
      </w:r>
      <w:proofErr w:type="spellEnd"/>
      <w:r w:rsidRPr="00CB6CC5">
        <w:rPr>
          <w:rFonts w:ascii="Times New Roman" w:eastAsia="Times New Roman" w:hAnsi="Times New Roman" w:cs="Times New Roman"/>
          <w:sz w:val="24"/>
          <w:szCs w:val="24"/>
          <w:lang w:val="en-US"/>
        </w:rPr>
        <w:t xml:space="preserve">, J. (2023). An evaluation of platforms for processing camera-trap data using artificial intelligence. </w:t>
      </w:r>
      <w:r w:rsidRPr="00CB6CC5">
        <w:rPr>
          <w:rFonts w:ascii="Times New Roman" w:eastAsia="Times New Roman" w:hAnsi="Times New Roman" w:cs="Times New Roman"/>
          <w:i/>
          <w:iCs/>
          <w:sz w:val="24"/>
          <w:szCs w:val="24"/>
          <w:lang w:val="en-US"/>
        </w:rPr>
        <w:t>Methods in Ecology and Evolution, 14</w:t>
      </w:r>
      <w:r w:rsidRPr="00CB6CC5">
        <w:rPr>
          <w:rFonts w:ascii="Times New Roman" w:eastAsia="Times New Roman" w:hAnsi="Times New Roman" w:cs="Times New Roman"/>
          <w:sz w:val="24"/>
          <w:szCs w:val="24"/>
          <w:lang w:val="en-US"/>
        </w:rPr>
        <w:t xml:space="preserve">(2), 459–477. </w:t>
      </w:r>
      <w:hyperlink r:id="rId51" w:history="1">
        <w:r w:rsidRPr="00CB6CC5">
          <w:rPr>
            <w:rFonts w:ascii="Times New Roman" w:eastAsia="Times New Roman" w:hAnsi="Times New Roman" w:cs="Times New Roman"/>
            <w:color w:val="0000FF"/>
            <w:sz w:val="24"/>
            <w:szCs w:val="24"/>
            <w:u w:val="single"/>
            <w:lang w:val="en-US"/>
          </w:rPr>
          <w:t>https://doi.org/10.1111/2041-210X.14044</w:t>
        </w:r>
      </w:hyperlink>
    </w:p>
    <w:p w14:paraId="25C422AE" w14:textId="77777777" w:rsidR="00CB6CC5"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Webber, S., Carter, M., Smith, W., &amp; Vetere, F. (2017). Interactive technology and human–animal encounters at the zoo. </w:t>
      </w:r>
      <w:r w:rsidRPr="00CB6CC5">
        <w:rPr>
          <w:rFonts w:ascii="Times New Roman" w:eastAsia="Times New Roman" w:hAnsi="Times New Roman" w:cs="Times New Roman"/>
          <w:i/>
          <w:iCs/>
          <w:sz w:val="24"/>
          <w:szCs w:val="24"/>
          <w:lang w:val="en-US"/>
        </w:rPr>
        <w:t>International Journal of Human-Computer Studies, 98</w:t>
      </w:r>
      <w:r w:rsidRPr="00CB6CC5">
        <w:rPr>
          <w:rFonts w:ascii="Times New Roman" w:eastAsia="Times New Roman" w:hAnsi="Times New Roman" w:cs="Times New Roman"/>
          <w:sz w:val="24"/>
          <w:szCs w:val="24"/>
          <w:lang w:val="en-US"/>
        </w:rPr>
        <w:t xml:space="preserve">, 150–168. </w:t>
      </w:r>
      <w:hyperlink r:id="rId52" w:history="1">
        <w:r w:rsidRPr="00CB6CC5">
          <w:rPr>
            <w:rFonts w:ascii="Times New Roman" w:eastAsia="Times New Roman" w:hAnsi="Times New Roman" w:cs="Times New Roman"/>
            <w:color w:val="0000FF"/>
            <w:sz w:val="24"/>
            <w:szCs w:val="24"/>
            <w:u w:val="single"/>
            <w:lang w:val="en-US"/>
          </w:rPr>
          <w:t>https://doi.org/10.1016/j.ijhcs.2016.05.003</w:t>
        </w:r>
      </w:hyperlink>
    </w:p>
    <w:p w14:paraId="397C601D" w14:textId="2AB2869E" w:rsidR="008C5E8C" w:rsidRPr="00CB6CC5" w:rsidRDefault="00CB6CC5" w:rsidP="00CB6CC5">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CB6CC5">
        <w:rPr>
          <w:rFonts w:ascii="Times New Roman" w:eastAsia="Times New Roman" w:hAnsi="Times New Roman" w:cs="Times New Roman"/>
          <w:sz w:val="24"/>
          <w:szCs w:val="24"/>
          <w:lang w:val="en-US"/>
        </w:rPr>
        <w:t xml:space="preserve">Zhou, K., Xu, J., Chen, Z., Williams, K. J. H., Liang, Z., Lin, W., Lee, T. M., &amp; Hu, S. (2025). From iconic species to biodiversity: The role of zoos in inspiring visitors’ affinity for a broader range of wild animals. </w:t>
      </w:r>
      <w:r w:rsidRPr="00CB6CC5">
        <w:rPr>
          <w:rFonts w:ascii="Times New Roman" w:eastAsia="Times New Roman" w:hAnsi="Times New Roman" w:cs="Times New Roman"/>
          <w:i/>
          <w:iCs/>
          <w:sz w:val="24"/>
          <w:szCs w:val="24"/>
          <w:lang w:val="en-US"/>
        </w:rPr>
        <w:t>Integrative Conservation, 4</w:t>
      </w:r>
      <w:r w:rsidRPr="00CB6CC5">
        <w:rPr>
          <w:rFonts w:ascii="Times New Roman" w:eastAsia="Times New Roman" w:hAnsi="Times New Roman" w:cs="Times New Roman"/>
          <w:sz w:val="24"/>
          <w:szCs w:val="24"/>
          <w:lang w:val="en-US"/>
        </w:rPr>
        <w:t xml:space="preserve">, 205–217. </w:t>
      </w:r>
      <w:hyperlink r:id="rId53" w:history="1">
        <w:r w:rsidRPr="00CB6CC5">
          <w:rPr>
            <w:rFonts w:ascii="Times New Roman" w:eastAsia="Times New Roman" w:hAnsi="Times New Roman" w:cs="Times New Roman"/>
            <w:color w:val="0000FF"/>
            <w:sz w:val="24"/>
            <w:szCs w:val="24"/>
            <w:u w:val="single"/>
            <w:lang w:val="en-US"/>
          </w:rPr>
          <w:t>https://doi.org/10.1002/inc3.70012</w:t>
        </w:r>
      </w:hyperlink>
    </w:p>
    <w:sectPr w:rsidR="008C5E8C" w:rsidRPr="00CB6CC5" w:rsidSect="004841B3">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0B06" w14:textId="77777777" w:rsidR="00EA6572" w:rsidRDefault="00EA6572" w:rsidP="00FB7ECB">
      <w:pPr>
        <w:spacing w:after="0" w:line="240" w:lineRule="auto"/>
      </w:pPr>
      <w:r>
        <w:separator/>
      </w:r>
    </w:p>
  </w:endnote>
  <w:endnote w:type="continuationSeparator" w:id="0">
    <w:p w14:paraId="03B09830" w14:textId="77777777" w:rsidR="00EA6572" w:rsidRDefault="00EA6572" w:rsidP="00FB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7372" w14:textId="77777777" w:rsidR="00FB7ECB" w:rsidRDefault="00FB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BBD4" w14:textId="77777777" w:rsidR="00FB7ECB" w:rsidRDefault="00FB7E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B38C" w14:textId="77777777" w:rsidR="00FB7ECB" w:rsidRDefault="00FB7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B64D" w14:textId="77777777" w:rsidR="00EA6572" w:rsidRDefault="00EA6572" w:rsidP="00FB7ECB">
      <w:pPr>
        <w:spacing w:after="0" w:line="240" w:lineRule="auto"/>
      </w:pPr>
      <w:r>
        <w:separator/>
      </w:r>
    </w:p>
  </w:footnote>
  <w:footnote w:type="continuationSeparator" w:id="0">
    <w:p w14:paraId="0B7A3D9E" w14:textId="77777777" w:rsidR="00EA6572" w:rsidRDefault="00EA6572" w:rsidP="00FB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488A" w14:textId="48C1E0E8" w:rsidR="00FB7ECB" w:rsidRDefault="00000000">
    <w:pPr>
      <w:pStyle w:val="Header"/>
    </w:pPr>
    <w:r>
      <w:rPr>
        <w:noProof/>
      </w:rPr>
      <w:pict w14:anchorId="502F7C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F114" w14:textId="6B247A0C" w:rsidR="00FB7ECB" w:rsidRDefault="00000000">
    <w:pPr>
      <w:pStyle w:val="Header"/>
    </w:pPr>
    <w:r>
      <w:rPr>
        <w:noProof/>
      </w:rPr>
      <w:pict w14:anchorId="42E52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DE3F" w14:textId="0E1C8AE7" w:rsidR="00FB7ECB" w:rsidRDefault="00000000">
    <w:pPr>
      <w:pStyle w:val="Header"/>
    </w:pPr>
    <w:r>
      <w:rPr>
        <w:noProof/>
      </w:rPr>
      <w:pict w14:anchorId="767F5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44FA6"/>
    <w:multiLevelType w:val="hybridMultilevel"/>
    <w:tmpl w:val="A824D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54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UzNjU3N7OwMDZT0lEKTi0uzszPAykwrAUAhLF5CSwAAAA="/>
  </w:docVars>
  <w:rsids>
    <w:rsidRoot w:val="00C65699"/>
    <w:rsid w:val="00057BD9"/>
    <w:rsid w:val="00076B33"/>
    <w:rsid w:val="0023316B"/>
    <w:rsid w:val="002E5CAB"/>
    <w:rsid w:val="004841B3"/>
    <w:rsid w:val="006A292D"/>
    <w:rsid w:val="00746472"/>
    <w:rsid w:val="00866596"/>
    <w:rsid w:val="008C5E8C"/>
    <w:rsid w:val="00AC0E27"/>
    <w:rsid w:val="00AC2381"/>
    <w:rsid w:val="00B54B4B"/>
    <w:rsid w:val="00C65699"/>
    <w:rsid w:val="00CB6CC5"/>
    <w:rsid w:val="00E07923"/>
    <w:rsid w:val="00E109D1"/>
    <w:rsid w:val="00EA6572"/>
    <w:rsid w:val="00F06F05"/>
    <w:rsid w:val="00F50BA5"/>
    <w:rsid w:val="00FB3956"/>
    <w:rsid w:val="00FB7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22F37"/>
  <w15:docId w15:val="{5E2517DC-828F-4E74-B29B-C731A60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656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6569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6569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569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6569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65699"/>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656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5699"/>
    <w:rPr>
      <w:b/>
      <w:bCs/>
    </w:rPr>
  </w:style>
  <w:style w:type="character" w:styleId="Emphasis">
    <w:name w:val="Emphasis"/>
    <w:basedOn w:val="DefaultParagraphFont"/>
    <w:uiPriority w:val="20"/>
    <w:qFormat/>
    <w:rsid w:val="00C65699"/>
    <w:rPr>
      <w:i/>
      <w:iCs/>
    </w:rPr>
  </w:style>
  <w:style w:type="character" w:styleId="Hyperlink">
    <w:name w:val="Hyperlink"/>
    <w:basedOn w:val="DefaultParagraphFont"/>
    <w:uiPriority w:val="99"/>
    <w:semiHidden/>
    <w:unhideWhenUsed/>
    <w:rsid w:val="00C65699"/>
    <w:rPr>
      <w:color w:val="0000FF"/>
      <w:u w:val="single"/>
    </w:rPr>
  </w:style>
  <w:style w:type="paragraph" w:styleId="ListParagraph">
    <w:name w:val="List Paragraph"/>
    <w:basedOn w:val="Normal"/>
    <w:uiPriority w:val="34"/>
    <w:qFormat/>
    <w:rsid w:val="00F06F05"/>
    <w:pPr>
      <w:ind w:left="720"/>
      <w:contextualSpacing/>
    </w:pPr>
  </w:style>
  <w:style w:type="paragraph" w:customStyle="1" w:styleId="pdq2pgselectionanchorcontainer">
    <w:name w:val="pdq2pg_selectionanchorcontainer"/>
    <w:basedOn w:val="Normal"/>
    <w:rsid w:val="002331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3316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C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ECB"/>
  </w:style>
  <w:style w:type="paragraph" w:styleId="Footer">
    <w:name w:val="footer"/>
    <w:basedOn w:val="Normal"/>
    <w:link w:val="FooterChar"/>
    <w:uiPriority w:val="99"/>
    <w:unhideWhenUsed/>
    <w:rsid w:val="00FB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59944">
      <w:bodyDiv w:val="1"/>
      <w:marLeft w:val="0"/>
      <w:marRight w:val="0"/>
      <w:marTop w:val="0"/>
      <w:marBottom w:val="0"/>
      <w:divBdr>
        <w:top w:val="none" w:sz="0" w:space="0" w:color="auto"/>
        <w:left w:val="none" w:sz="0" w:space="0" w:color="auto"/>
        <w:bottom w:val="none" w:sz="0" w:space="0" w:color="auto"/>
        <w:right w:val="none" w:sz="0" w:space="0" w:color="auto"/>
      </w:divBdr>
    </w:div>
    <w:div w:id="1680695862">
      <w:bodyDiv w:val="1"/>
      <w:marLeft w:val="0"/>
      <w:marRight w:val="0"/>
      <w:marTop w:val="0"/>
      <w:marBottom w:val="0"/>
      <w:divBdr>
        <w:top w:val="none" w:sz="0" w:space="0" w:color="auto"/>
        <w:left w:val="none" w:sz="0" w:space="0" w:color="auto"/>
        <w:bottom w:val="none" w:sz="0" w:space="0" w:color="auto"/>
        <w:right w:val="none" w:sz="0" w:space="0" w:color="auto"/>
      </w:divBdr>
      <w:divsChild>
        <w:div w:id="1892618931">
          <w:marLeft w:val="0"/>
          <w:marRight w:val="0"/>
          <w:marTop w:val="0"/>
          <w:marBottom w:val="0"/>
          <w:divBdr>
            <w:top w:val="none" w:sz="0" w:space="0" w:color="auto"/>
            <w:left w:val="none" w:sz="0" w:space="0" w:color="auto"/>
            <w:bottom w:val="none" w:sz="0" w:space="0" w:color="auto"/>
            <w:right w:val="none" w:sz="0" w:space="0" w:color="auto"/>
          </w:divBdr>
        </w:div>
        <w:div w:id="1949701433">
          <w:marLeft w:val="0"/>
          <w:marRight w:val="0"/>
          <w:marTop w:val="0"/>
          <w:marBottom w:val="0"/>
          <w:divBdr>
            <w:top w:val="none" w:sz="0" w:space="0" w:color="auto"/>
            <w:left w:val="none" w:sz="0" w:space="0" w:color="auto"/>
            <w:bottom w:val="none" w:sz="0" w:space="0" w:color="auto"/>
            <w:right w:val="none" w:sz="0" w:space="0" w:color="auto"/>
          </w:divBdr>
        </w:div>
        <w:div w:id="1047991269">
          <w:marLeft w:val="0"/>
          <w:marRight w:val="0"/>
          <w:marTop w:val="0"/>
          <w:marBottom w:val="0"/>
          <w:divBdr>
            <w:top w:val="none" w:sz="0" w:space="0" w:color="auto"/>
            <w:left w:val="none" w:sz="0" w:space="0" w:color="auto"/>
            <w:bottom w:val="none" w:sz="0" w:space="0" w:color="auto"/>
            <w:right w:val="none" w:sz="0" w:space="0" w:color="auto"/>
          </w:divBdr>
        </w:div>
        <w:div w:id="1118915031">
          <w:marLeft w:val="0"/>
          <w:marRight w:val="0"/>
          <w:marTop w:val="0"/>
          <w:marBottom w:val="0"/>
          <w:divBdr>
            <w:top w:val="none" w:sz="0" w:space="0" w:color="auto"/>
            <w:left w:val="none" w:sz="0" w:space="0" w:color="auto"/>
            <w:bottom w:val="none" w:sz="0" w:space="0" w:color="auto"/>
            <w:right w:val="none" w:sz="0" w:space="0" w:color="auto"/>
          </w:divBdr>
        </w:div>
      </w:divsChild>
    </w:div>
    <w:div w:id="2010786157">
      <w:bodyDiv w:val="1"/>
      <w:marLeft w:val="0"/>
      <w:marRight w:val="0"/>
      <w:marTop w:val="0"/>
      <w:marBottom w:val="0"/>
      <w:divBdr>
        <w:top w:val="none" w:sz="0" w:space="0" w:color="auto"/>
        <w:left w:val="none" w:sz="0" w:space="0" w:color="auto"/>
        <w:bottom w:val="none" w:sz="0" w:space="0" w:color="auto"/>
        <w:right w:val="none" w:sz="0" w:space="0" w:color="auto"/>
      </w:divBdr>
      <w:divsChild>
        <w:div w:id="1299989335">
          <w:marLeft w:val="0"/>
          <w:marRight w:val="0"/>
          <w:marTop w:val="0"/>
          <w:marBottom w:val="0"/>
          <w:divBdr>
            <w:top w:val="none" w:sz="0" w:space="0" w:color="auto"/>
            <w:left w:val="none" w:sz="0" w:space="0" w:color="auto"/>
            <w:bottom w:val="none" w:sz="0" w:space="0" w:color="auto"/>
            <w:right w:val="none" w:sz="0" w:space="0" w:color="auto"/>
          </w:divBdr>
          <w:divsChild>
            <w:div w:id="69888580">
              <w:marLeft w:val="0"/>
              <w:marRight w:val="0"/>
              <w:marTop w:val="0"/>
              <w:marBottom w:val="0"/>
              <w:divBdr>
                <w:top w:val="none" w:sz="0" w:space="0" w:color="auto"/>
                <w:left w:val="none" w:sz="0" w:space="0" w:color="auto"/>
                <w:bottom w:val="none" w:sz="0" w:space="0" w:color="auto"/>
                <w:right w:val="none" w:sz="0" w:space="0" w:color="auto"/>
              </w:divBdr>
              <w:divsChild>
                <w:div w:id="238562100">
                  <w:marLeft w:val="0"/>
                  <w:marRight w:val="0"/>
                  <w:marTop w:val="0"/>
                  <w:marBottom w:val="0"/>
                  <w:divBdr>
                    <w:top w:val="none" w:sz="0" w:space="0" w:color="auto"/>
                    <w:left w:val="none" w:sz="0" w:space="0" w:color="auto"/>
                    <w:bottom w:val="none" w:sz="0" w:space="0" w:color="auto"/>
                    <w:right w:val="none" w:sz="0" w:space="0" w:color="auto"/>
                  </w:divBdr>
                  <w:divsChild>
                    <w:div w:id="13647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26/science.1200674" TargetMode="External"/><Relationship Id="rId18" Type="http://schemas.openxmlformats.org/officeDocument/2006/relationships/hyperlink" Target="https://doi.org/10.3390/ani11113048" TargetMode="External"/><Relationship Id="rId26" Type="http://schemas.openxmlformats.org/officeDocument/2006/relationships/hyperlink" Target="https://doi.org/10.3390/su18094336" TargetMode="External"/><Relationship Id="rId39" Type="http://schemas.openxmlformats.org/officeDocument/2006/relationships/hyperlink" Target="https://doi.org/10.1371/journal.pone.0298813" TargetMode="External"/><Relationship Id="rId21" Type="http://schemas.openxmlformats.org/officeDocument/2006/relationships/hyperlink" Target="https://doi.org/10.3390/ani14223167" TargetMode="External"/><Relationship Id="rId34" Type="http://schemas.openxmlformats.org/officeDocument/2006/relationships/hyperlink" Target="https://doi.org/10.1046/j.1523-1739.2002.00420.x" TargetMode="External"/><Relationship Id="rId42" Type="http://schemas.openxmlformats.org/officeDocument/2006/relationships/hyperlink" Target="https://doi.org/10.3389/fpsyg.2022.1018722" TargetMode="External"/><Relationship Id="rId47" Type="http://schemas.openxmlformats.org/officeDocument/2006/relationships/hyperlink" Target="https://doi.org/10.1016/j.biocon.2023.109925" TargetMode="External"/><Relationship Id="rId50" Type="http://schemas.openxmlformats.org/officeDocument/2006/relationships/hyperlink" Target="https://doi.org/10.1093/jhered/esaf069" TargetMode="External"/><Relationship Id="rId55" Type="http://schemas.openxmlformats.org/officeDocument/2006/relationships/header" Target="header2.xml"/><Relationship Id="rId7" Type="http://schemas.openxmlformats.org/officeDocument/2006/relationships/hyperlink" Target="https://doi.org/10.3390/jzbg4040046" TargetMode="External"/><Relationship Id="rId2" Type="http://schemas.openxmlformats.org/officeDocument/2006/relationships/styles" Target="styles.xml"/><Relationship Id="rId16" Type="http://schemas.openxmlformats.org/officeDocument/2006/relationships/hyperlink" Target="https://doi.org/10.1016/j.landusepol.2017.08.018" TargetMode="External"/><Relationship Id="rId29" Type="http://schemas.openxmlformats.org/officeDocument/2006/relationships/hyperlink" Target="https://doi.org/10.1002/zoo.70079" TargetMode="External"/><Relationship Id="rId11" Type="http://schemas.openxmlformats.org/officeDocument/2006/relationships/hyperlink" Target="https://doi.org/10.1007/s10531-025-03112-y" TargetMode="External"/><Relationship Id="rId24" Type="http://schemas.openxmlformats.org/officeDocument/2006/relationships/hyperlink" Target="https://doi.org/10.3390/jzbg4010006" TargetMode="External"/><Relationship Id="rId32" Type="http://schemas.openxmlformats.org/officeDocument/2006/relationships/hyperlink" Target="https://doi.org/10.26451/abc.08.04.09.2021" TargetMode="External"/><Relationship Id="rId37" Type="http://schemas.openxmlformats.org/officeDocument/2006/relationships/hyperlink" Target="https://doi.org/10.1038/s41467-020-14303-2" TargetMode="External"/><Relationship Id="rId40" Type="http://schemas.openxmlformats.org/officeDocument/2006/relationships/hyperlink" Target="https://doi.org/10.56557/joban/2026/v18i110465" TargetMode="External"/><Relationship Id="rId45" Type="http://schemas.openxmlformats.org/officeDocument/2006/relationships/hyperlink" Target="https://doi.org/10.1016/j.jbusres.2019.07.039" TargetMode="External"/><Relationship Id="rId53" Type="http://schemas.openxmlformats.org/officeDocument/2006/relationships/hyperlink" Target="https://doi.org/10.1002/inc3.70012"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3390/su13137117" TargetMode="External"/><Relationship Id="rId14" Type="http://schemas.openxmlformats.org/officeDocument/2006/relationships/hyperlink" Target="https://www.cbd.int/doc/decisions/cop-15/cop-15-dec-04-en.pdf" TargetMode="External"/><Relationship Id="rId22" Type="http://schemas.openxmlformats.org/officeDocument/2006/relationships/hyperlink" Target="https://doi.org/10.1080/27658511.2025.2464418" TargetMode="External"/><Relationship Id="rId27" Type="http://schemas.openxmlformats.org/officeDocument/2006/relationships/hyperlink" Target="https://doi.org/10.3390/ani15121721" TargetMode="External"/><Relationship Id="rId30" Type="http://schemas.openxmlformats.org/officeDocument/2006/relationships/hyperlink" Target="https://doi.org/10.18311/jer/2023/34990" TargetMode="External"/><Relationship Id="rId35" Type="http://schemas.openxmlformats.org/officeDocument/2006/relationships/hyperlink" Target="https://doi.org/10.1146/annurev-animal-050622-104306" TargetMode="External"/><Relationship Id="rId43" Type="http://schemas.openxmlformats.org/officeDocument/2006/relationships/hyperlink" Target="https://doi.org/10.3389/fevo.2017.00120" TargetMode="External"/><Relationship Id="rId48" Type="http://schemas.openxmlformats.org/officeDocument/2006/relationships/hyperlink" Target="https://doi.org/10.1042/ETLS20210240" TargetMode="External"/><Relationship Id="rId56" Type="http://schemas.openxmlformats.org/officeDocument/2006/relationships/footer" Target="footer1.xml"/><Relationship Id="rId8" Type="http://schemas.openxmlformats.org/officeDocument/2006/relationships/hyperlink" Target="https://doi.org/10.1111/ele.12427" TargetMode="External"/><Relationship Id="rId51" Type="http://schemas.openxmlformats.org/officeDocument/2006/relationships/hyperlink" Target="https://doi.org/10.1111/2041-210X.14044" TargetMode="External"/><Relationship Id="rId3" Type="http://schemas.openxmlformats.org/officeDocument/2006/relationships/settings" Target="settings.xml"/><Relationship Id="rId12" Type="http://schemas.openxmlformats.org/officeDocument/2006/relationships/hyperlink" Target="https://doi.org/10.1093/biolre/ioz031" TargetMode="External"/><Relationship Id="rId17" Type="http://schemas.openxmlformats.org/officeDocument/2006/relationships/hyperlink" Target="https://doi.org/10.1643/h2019261" TargetMode="External"/><Relationship Id="rId25" Type="http://schemas.openxmlformats.org/officeDocument/2006/relationships/hyperlink" Target="https://doi.org/10.1007/s44353-025-00063-x" TargetMode="External"/><Relationship Id="rId33" Type="http://schemas.openxmlformats.org/officeDocument/2006/relationships/hyperlink" Target="https://doi.org/10.1111/cobi.14237" TargetMode="External"/><Relationship Id="rId38" Type="http://schemas.openxmlformats.org/officeDocument/2006/relationships/hyperlink" Target="https://doi.org/10.1002/fee.1493" TargetMode="External"/><Relationship Id="rId46" Type="http://schemas.openxmlformats.org/officeDocument/2006/relationships/hyperlink" Target="https://doi.org/10.1007/s002670010243" TargetMode="External"/><Relationship Id="rId59" Type="http://schemas.openxmlformats.org/officeDocument/2006/relationships/footer" Target="footer3.xml"/><Relationship Id="rId20" Type="http://schemas.openxmlformats.org/officeDocument/2006/relationships/hyperlink" Target="https://doi.org/10.1002/zoo.21603" TargetMode="External"/><Relationship Id="rId41" Type="http://schemas.openxmlformats.org/officeDocument/2006/relationships/hyperlink" Target="https://doi.org/10.1017/S0030605310001766"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46/annurev-animal-071423-093523" TargetMode="External"/><Relationship Id="rId23" Type="http://schemas.openxmlformats.org/officeDocument/2006/relationships/hyperlink" Target="https://doi.org/10.1111/cobi.12780" TargetMode="External"/><Relationship Id="rId28" Type="http://schemas.openxmlformats.org/officeDocument/2006/relationships/hyperlink" Target="https://doi.org/10.3897/zookeys.507.6970" TargetMode="External"/><Relationship Id="rId36" Type="http://schemas.openxmlformats.org/officeDocument/2006/relationships/hyperlink" Target="https://doi.org/10.9734/ijecc/2025/v15i125144" TargetMode="External"/><Relationship Id="rId49" Type="http://schemas.openxmlformats.org/officeDocument/2006/relationships/hyperlink" Target="https://doi.org/10.1007/s10668-024-05462-z" TargetMode="External"/><Relationship Id="rId57" Type="http://schemas.openxmlformats.org/officeDocument/2006/relationships/footer" Target="footer2.xml"/><Relationship Id="rId10" Type="http://schemas.openxmlformats.org/officeDocument/2006/relationships/hyperlink" Target="https://doi.org/10.1093/biolinnean/blaf150" TargetMode="External"/><Relationship Id="rId31" Type="http://schemas.openxmlformats.org/officeDocument/2006/relationships/hyperlink" Target="https://doi.org/10.1111/j.1365-294X.2007.03433.x" TargetMode="External"/><Relationship Id="rId44" Type="http://schemas.openxmlformats.org/officeDocument/2006/relationships/hyperlink" Target="https://doi.org/10.1038/s41598-024-57983-2" TargetMode="External"/><Relationship Id="rId52" Type="http://schemas.openxmlformats.org/officeDocument/2006/relationships/hyperlink" Target="https://doi.org/10.1016/j.ijhcs.2016.05.003"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9227/jzar.v8i4.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24</Pages>
  <Words>12753</Words>
  <Characters>72694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Editor-90</cp:lastModifiedBy>
  <cp:revision>11</cp:revision>
  <dcterms:created xsi:type="dcterms:W3CDTF">2026-06-22T12:01:00Z</dcterms:created>
  <dcterms:modified xsi:type="dcterms:W3CDTF">2026-06-27T09:06:00Z</dcterms:modified>
</cp:coreProperties>
</file>