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80A5A" w14:textId="77777777" w:rsidR="00F776FE" w:rsidRPr="000E4B50" w:rsidRDefault="00F776FE" w:rsidP="00F776FE">
      <w:pPr>
        <w:tabs>
          <w:tab w:val="left" w:pos="630"/>
        </w:tabs>
        <w:jc w:val="both"/>
        <w:rPr>
          <w:rFonts w:ascii="Times New Roman" w:hAnsi="Times New Roman" w:cs="Times New Roman"/>
          <w:b/>
          <w:sz w:val="24"/>
          <w:szCs w:val="24"/>
        </w:rPr>
      </w:pPr>
      <w:r w:rsidRPr="000E4B50">
        <w:rPr>
          <w:rFonts w:ascii="Times New Roman" w:hAnsi="Times New Roman" w:cs="Times New Roman"/>
          <w:b/>
          <w:color w:val="404040"/>
          <w:sz w:val="24"/>
          <w:szCs w:val="24"/>
          <w:shd w:val="clear" w:color="auto" w:fill="FFFFFF"/>
          <w:lang w:val="en-GB"/>
        </w:rPr>
        <w:t>Fuelwood Consumption and Environmental Degradation in Benue State, Nigeria: An Assessment of Linkages and Impacts</w:t>
      </w:r>
      <w:r w:rsidRPr="000E4B50">
        <w:rPr>
          <w:rFonts w:ascii="Times New Roman" w:hAnsi="Times New Roman" w:cs="Times New Roman"/>
          <w:b/>
          <w:sz w:val="24"/>
          <w:szCs w:val="24"/>
        </w:rPr>
        <w:t xml:space="preserve"> </w:t>
      </w:r>
    </w:p>
    <w:p w14:paraId="6DC1FA08" w14:textId="77777777" w:rsidR="00FE2066" w:rsidRPr="000E4B50" w:rsidRDefault="00FE2066" w:rsidP="00FE2066">
      <w:pPr>
        <w:spacing w:before="100" w:beforeAutospacing="1" w:after="100" w:afterAutospacing="1" w:line="240" w:lineRule="auto"/>
        <w:outlineLvl w:val="2"/>
        <w:rPr>
          <w:rFonts w:ascii="Times New Roman" w:eastAsia="Times New Roman" w:hAnsi="Times New Roman" w:cs="Times New Roman"/>
          <w:b/>
          <w:bCs/>
          <w:sz w:val="24"/>
          <w:szCs w:val="24"/>
          <w:lang w:eastAsia="en-GB"/>
        </w:rPr>
      </w:pPr>
      <w:r w:rsidRPr="000E4B50">
        <w:rPr>
          <w:rFonts w:ascii="Times New Roman" w:eastAsia="Times New Roman" w:hAnsi="Times New Roman" w:cs="Times New Roman"/>
          <w:b/>
          <w:bCs/>
          <w:sz w:val="24"/>
          <w:szCs w:val="24"/>
          <w:lang w:eastAsia="en-GB"/>
        </w:rPr>
        <w:t>Abstract</w:t>
      </w:r>
    </w:p>
    <w:p w14:paraId="53993424" w14:textId="77777777" w:rsidR="000E7E91" w:rsidRDefault="000E7E91" w:rsidP="000D45C9">
      <w:pPr>
        <w:spacing w:after="120"/>
        <w:jc w:val="both"/>
      </w:pPr>
      <w:r w:rsidRPr="000E7E91">
        <w:t xml:space="preserve">This study examined the relationship between fuelwood consumption and environmental degradation in Benue State, Nigeria. It focused on five Local Government Areas: Guma, Otukpo, Katsina-Ala, </w:t>
      </w:r>
      <w:proofErr w:type="spellStart"/>
      <w:r w:rsidRPr="000E7E91">
        <w:t>Oju</w:t>
      </w:r>
      <w:proofErr w:type="spellEnd"/>
      <w:r w:rsidRPr="000E7E91">
        <w:t xml:space="preserve"> and Gwer-East. The study investigated the factors responsible for fuelwood use, the major forms and frequency of consumption, perceived environmental effects and possible control measures. A mixed-methods research design was adopted, combining a questionnaire-based survey with oral interviews. A total of 400 questionnaires were administered, of which 392 were retrieved and </w:t>
      </w:r>
      <w:proofErr w:type="spellStart"/>
      <w:r w:rsidRPr="000E7E91">
        <w:t>analysed</w:t>
      </w:r>
      <w:proofErr w:type="spellEnd"/>
      <w:r w:rsidRPr="000E7E91">
        <w:t xml:space="preserve">, while 10 respondents were interviewed to provide qualitative insights. Quantitative data were presented using frequency and percentage tables, and interview responses were discussed descriptively. The findings showed that poverty and low income, free or easy access to firewood, the high cost of alternative fuels and limited support infrastructure for cleaner energy sources were major factors encouraging fuelwood consumption. Fuelwood was used mainly as firewood for cooking, processed into charcoal and used for brick burning and other heat-generating activities. Respondents associated fuelwood consumption with air pollution, deforestation, wall blackening, soil erosion, ecological imbalance, desertification, greenhouse gas emissions, disruption of the water cycle, land degradation and biodiversity loss. Suggested control measures included </w:t>
      </w:r>
      <w:proofErr w:type="spellStart"/>
      <w:r w:rsidRPr="000E7E91">
        <w:t>subsidising</w:t>
      </w:r>
      <w:proofErr w:type="spellEnd"/>
      <w:r w:rsidRPr="000E7E91">
        <w:t xml:space="preserve"> alternative fuels, improving support infrastructure, regulating tree felling, promoting efficient stoves, encouraging cleaner fuels, creating public awareness and supporting economic empowerment. The study concludes that reducing fuelwood dependence in Benue State requires practical, affordable and locally acceptable energy and environmental interventions.</w:t>
      </w:r>
    </w:p>
    <w:p w14:paraId="7374D28F" w14:textId="77777777" w:rsidR="00447E13" w:rsidRDefault="00860800" w:rsidP="00447E13">
      <w:pPr>
        <w:spacing w:after="120"/>
        <w:jc w:val="both"/>
      </w:pPr>
      <w:r w:rsidRPr="000E4B50">
        <w:rPr>
          <w:rFonts w:ascii="Times New Roman" w:hAnsi="Times New Roman" w:cs="Times New Roman"/>
          <w:b/>
          <w:sz w:val="24"/>
          <w:szCs w:val="24"/>
        </w:rPr>
        <w:t>Keywords</w:t>
      </w:r>
      <w:r w:rsidRPr="000E4B50">
        <w:rPr>
          <w:rFonts w:ascii="Times New Roman" w:hAnsi="Times New Roman" w:cs="Times New Roman"/>
          <w:sz w:val="24"/>
          <w:szCs w:val="24"/>
        </w:rPr>
        <w:t xml:space="preserve">: </w:t>
      </w:r>
      <w:r w:rsidR="00447E13">
        <w:t>Fuelwood consumption; environmental degradation; deforestation; household energy; biomass fuels; charcoal; clean energy transition; land degradation; air pollution.</w:t>
      </w:r>
    </w:p>
    <w:p w14:paraId="0C092213" w14:textId="4757195D" w:rsidR="00860800" w:rsidRPr="000E4B50" w:rsidRDefault="00860800" w:rsidP="00447E13">
      <w:pPr>
        <w:spacing w:after="120"/>
        <w:jc w:val="both"/>
        <w:rPr>
          <w:rFonts w:ascii="Times New Roman" w:hAnsi="Times New Roman" w:cs="Times New Roman"/>
          <w:b/>
          <w:sz w:val="24"/>
          <w:szCs w:val="24"/>
        </w:rPr>
      </w:pPr>
      <w:r w:rsidRPr="000E4B50">
        <w:rPr>
          <w:rFonts w:ascii="Times New Roman" w:hAnsi="Times New Roman" w:cs="Times New Roman"/>
          <w:b/>
          <w:sz w:val="24"/>
          <w:szCs w:val="24"/>
        </w:rPr>
        <w:t>Introduction</w:t>
      </w:r>
    </w:p>
    <w:p w14:paraId="556CFCDB" w14:textId="711EC619" w:rsidR="00860800" w:rsidRPr="000E4B50" w:rsidRDefault="00860800" w:rsidP="000D45C9">
      <w:pPr>
        <w:spacing w:after="120" w:line="480" w:lineRule="auto"/>
        <w:jc w:val="both"/>
        <w:rPr>
          <w:rFonts w:ascii="Times New Roman" w:hAnsi="Times New Roman" w:cs="Times New Roman"/>
          <w:sz w:val="24"/>
          <w:szCs w:val="24"/>
        </w:rPr>
      </w:pPr>
      <w:r w:rsidRPr="000E4B50">
        <w:t xml:space="preserve">All forms of life, including plants and animals, require a suitable environment to thrive. For this reason, some living species that cannot control their environment are forced to migrate when it can no longer adequately support their existence. Humans, however, have some capacity to manage environmental challenges caused by their activities. Nevertheless, the use of different forms of fuel has continued to increase because of rapid urbanisation, industrialisation and the resulting demand for different sources of energy (Cline-Cole et al., 1990; Yaduma et al., 2017). Although the sun has always existed, humanity's ability to control fire made fuelwood, mainly exploited as firewood and charcoal, a primary source of energy. For a long period, fuelwood was used by human societies for heating before energy sources such as coal, fossil fuels and electricity became widely available. However, rapid population expansion, with a corresponding increase in the </w:t>
      </w:r>
      <w:r w:rsidRPr="000E4B50">
        <w:lastRenderedPageBreak/>
        <w:t xml:space="preserve">exploitation of energy sources, especially fuelwood, has continued to pose significant consequences for the environment (Cooke et al., 2008; </w:t>
      </w:r>
      <w:proofErr w:type="spellStart"/>
      <w:r w:rsidR="004D4A6E" w:rsidRPr="004D4A6E">
        <w:t>Baiyegunhi</w:t>
      </w:r>
      <w:proofErr w:type="spellEnd"/>
      <w:r w:rsidR="004D4A6E" w:rsidRPr="004D4A6E">
        <w:t xml:space="preserve"> </w:t>
      </w:r>
      <w:r w:rsidRPr="000E4B50">
        <w:t>&amp; Hovorka, 2009).</w:t>
      </w:r>
    </w:p>
    <w:p w14:paraId="512D421D" w14:textId="5F2EF6A5" w:rsidR="00A9420F" w:rsidRPr="000E4B50" w:rsidRDefault="00860800">
      <w:pPr>
        <w:spacing w:after="120" w:line="480" w:lineRule="auto"/>
        <w:jc w:val="both"/>
        <w:rPr>
          <w:rFonts w:ascii="Times New Roman" w:hAnsi="Times New Roman" w:cs="Times New Roman"/>
          <w:bCs/>
          <w:sz w:val="24"/>
          <w:szCs w:val="24"/>
        </w:rPr>
      </w:pPr>
      <w:r w:rsidRPr="000E4B50">
        <w:t>Although many developed societies have shifted to cleaner sources of energy for cooking, large volumes of greenhouse gases are still produced from industrial activities (</w:t>
      </w:r>
      <w:proofErr w:type="spellStart"/>
      <w:r w:rsidR="004D4A6E" w:rsidRPr="004D4A6E">
        <w:t>Baiyegunhi</w:t>
      </w:r>
      <w:proofErr w:type="spellEnd"/>
      <w:r w:rsidR="004D4A6E" w:rsidRPr="004D4A6E">
        <w:t xml:space="preserve"> </w:t>
      </w:r>
      <w:r w:rsidRPr="000E4B50">
        <w:t>&amp; Hovorka, 2014; International Renewable Energy Agency, 2023). Nigeria continues to grapple with the continuous exploitation of fuelwood in both rural and urban areas. A large proportion of Nigeria's rural population depends on fuelwood, particularly as Dual Purpose Kerosene (DPK) has become costly and, in many places, difficult to access. This situation, together with cases of kerosene explosions arising from adulteration, has contributed to increased dependence on fuelwood in both rural and urban areas. The demand for fuelwood in rural areas, however, is lower than that in urban areas, which often depend on surrounding rural environments for supply. In contrast to rural areas, where firewood dominates, fuelwood in urban areas is used mainly as firewood and charcoal. Apart from cooking, industries such as bakeries and brick burning contribute to high urban demand for fuelwood. Recent evidence from public residential estates in Maiduguri similarly shows that household size, income, education, residence and the prices of alternative fuels influence the quantity of fuelwood consumed, reinforcing the need to examine local determinants of fuelwood use in Nigerian settings (Akeh et al., 2023). Comparable evidence from Bamenda III Municipality in Cameroon also indicates that firewood remains a dominant household fuel and that low income constrains the adoption of cleaner alternatives, including LPG (Temgoua et al., 2022).</w:t>
      </w:r>
    </w:p>
    <w:p w14:paraId="504E233B" w14:textId="77777777" w:rsidR="00860800" w:rsidRPr="000E4B50" w:rsidRDefault="00860800" w:rsidP="000D45C9">
      <w:pPr>
        <w:spacing w:after="120" w:line="480" w:lineRule="auto"/>
        <w:jc w:val="both"/>
        <w:rPr>
          <w:rFonts w:ascii="Times New Roman" w:hAnsi="Times New Roman" w:cs="Times New Roman"/>
          <w:sz w:val="24"/>
          <w:szCs w:val="24"/>
        </w:rPr>
      </w:pPr>
      <w:r w:rsidRPr="000E4B50">
        <w:t xml:space="preserve">Faced with the threat of desert encroachment in the Sahelian north, the Guinea Savannah zone, where Benue State is located, serves as an ecological transition between the forest belt in southern Nigeria and the Sahel in the north. Without adequate measures, the environment in Benue State may be exposed to different forms of degradation. As kerosene (DPK), LPG and electricity continue to become less affordable while incomes decline, fuelwood remains one of the most dependable and affordable sources of energy for many people in Benue State. However, continuous tree felling for fuel without replacement can lead to deforestation and environmental degradation, although environmental degradation can also be caused by </w:t>
      </w:r>
      <w:r w:rsidRPr="000E4B50">
        <w:lastRenderedPageBreak/>
        <w:t>other factors (Orimoogunje &amp; Asifat, 2015). Deforestation has also been identified as the first step in a sequence of processes that may lead to land degradation (Ouedraogo, 2006; Wajim, 2020).</w:t>
      </w:r>
    </w:p>
    <w:p w14:paraId="60AA8053" w14:textId="77777777" w:rsidR="00987320" w:rsidRPr="000E4B50" w:rsidRDefault="00860800" w:rsidP="000D45C9">
      <w:pPr>
        <w:spacing w:after="120" w:line="480" w:lineRule="auto"/>
        <w:jc w:val="both"/>
        <w:rPr>
          <w:rFonts w:ascii="Times New Roman" w:hAnsi="Times New Roman" w:cs="Times New Roman"/>
          <w:sz w:val="24"/>
          <w:szCs w:val="24"/>
        </w:rPr>
      </w:pPr>
      <w:r w:rsidRPr="000E4B50">
        <w:t>The economy of Benue State is largely based on agriculture, which depends on land. Thus, environmental degradation poses serious challenges to the economy of the area because of the adverse effects of degradation, including erosion and deforestation. Recognising the consequences of deforestation, the British colonial administration introduced a forestry policy in Nigeria. The policy required each province to reserve a minimum of 25% of its forests (Lugard, 1917; Main, 1993). It was intended to check indiscriminate tree felling and protect communal forest areas by promoting tree planting through the introduction of previously alien tree species such as teak, gmelina and neem. Despite these efforts, the increasing use of forest resources as fuelwood continues to pose environmental challenges. Fuelwood drives deforestation, soil erosion and desertification when trees are harvested faster than they can regrow, thereby destroying habitats and farmland. It also releases smoke that causes indoor air pollution, respiratory illness and climate-warming gases such as carbon dioxide (CO₂) and black carbon (Leach &amp; Mearns, 1988; Cline-Cole et al., 1990; Epe, 2001; Matinga, 2010; Smith et al., 2013; Specht et al., 2015; Sedano et al., 2016).</w:t>
      </w:r>
    </w:p>
    <w:p w14:paraId="0809CD97" w14:textId="27948F2C" w:rsidR="00A9420F" w:rsidRPr="000E4B50" w:rsidRDefault="00CC62D5">
      <w:pPr>
        <w:spacing w:line="480" w:lineRule="auto"/>
        <w:jc w:val="both"/>
        <w:rPr>
          <w:rFonts w:ascii="Times New Roman" w:hAnsi="Times New Roman" w:cs="Times New Roman"/>
          <w:bCs/>
          <w:sz w:val="24"/>
          <w:szCs w:val="24"/>
        </w:rPr>
      </w:pPr>
      <w:r w:rsidRPr="000E4B50">
        <w:t xml:space="preserve">Recent international scholarship continues to highlight persistent dependence on fuelwood and charcoal as primary energy sources for over 2.6 billion people globally, with more than 264 million households relying on them in 2021 (WHO, 2022). This dependence is framed not only as an energy issue but also as an intersection of energy poverty, biomass utilisation and environmental sustainability. Empirical studies show that unsustainable fuelwood harvesting remains a leading driver of forest cover loss, soil degradation and desertification. In Nigeria, approximately 60% of households resort to fuelwood because of the unavailability or high cost of kerosene, contributing to forest loss and high deforestation pressure (WHO, 2022; IEA, 2023; Bauer, 2025). The ecological impacts extend beyond deforestation to include reduced watershed protection, increased surface runoff, severe soil erosion and disruption of local hydrological cycles, thereby undermining agricultural productivity and climate resilience (Ramanathan &amp; Carmichael, 2008; Bailis et al., 2015; FAO, 2020; </w:t>
      </w:r>
      <w:proofErr w:type="spellStart"/>
      <w:r w:rsidR="006533AC" w:rsidRPr="006533AC">
        <w:t>Orimoogunje</w:t>
      </w:r>
      <w:proofErr w:type="spellEnd"/>
      <w:r w:rsidR="006533AC" w:rsidRPr="006533AC">
        <w:t xml:space="preserve"> &amp; </w:t>
      </w:r>
      <w:proofErr w:type="spellStart"/>
      <w:r w:rsidR="006533AC" w:rsidRPr="006533AC">
        <w:t>Asifat</w:t>
      </w:r>
      <w:proofErr w:type="spellEnd"/>
      <w:r w:rsidRPr="000E4B50">
        <w:t>, 20</w:t>
      </w:r>
      <w:r w:rsidR="006533AC">
        <w:t>15</w:t>
      </w:r>
      <w:r w:rsidRPr="000E4B50">
        <w:t xml:space="preserve">). Recent global modelling of wood fuel production further shows that </w:t>
      </w:r>
      <w:r w:rsidRPr="000E4B50">
        <w:lastRenderedPageBreak/>
        <w:t>reliable estimates of wood fuel removals and charcoal production remain important for forest management, energy access and sustainable development monitoring (Steel et al., 2025).</w:t>
      </w:r>
    </w:p>
    <w:p w14:paraId="7B20E0BC" w14:textId="7985C5D5" w:rsidR="00A9420F" w:rsidRPr="000E4B50" w:rsidRDefault="00CC62D5">
      <w:pPr>
        <w:spacing w:line="480" w:lineRule="auto"/>
        <w:jc w:val="both"/>
        <w:rPr>
          <w:rFonts w:ascii="Times New Roman" w:hAnsi="Times New Roman" w:cs="Times New Roman"/>
          <w:bCs/>
          <w:sz w:val="24"/>
          <w:szCs w:val="24"/>
        </w:rPr>
      </w:pPr>
      <w:r w:rsidRPr="000E4B50">
        <w:t>Parallel to ecological concerns, recent literature emphasises the health and climate dimensions of biomass utilisation. Inefficient combustion of fuelwood in traditional stoves produces high concentrations of PM</w:t>
      </w:r>
      <w:proofErr w:type="gramStart"/>
      <w:r w:rsidRPr="000E4B50">
        <w:t>₂.₅</w:t>
      </w:r>
      <w:proofErr w:type="gramEnd"/>
      <w:r w:rsidRPr="000E4B50">
        <w:t>, carbon monoxide and black carbon, contributing to premature mortality associated with household air pollution (WHO, 2022). Fuelwood use also generated substantial CO₂ emissions in 2021 and significantly undermined global biodiversity integrity (IPCC, 2021; WHO, 2022; Mulatu et al., 2025). Within the energy transition discourse, scholars argue that fuelwood dependence represents a transition barrier in low-income contexts, where affordability, cultural cooking preferences and weak LPG/electricity infrastructure limit the uptake of cleaner alternatives (Heltberg, 2004; Puzzolo et al., 201</w:t>
      </w:r>
      <w:r w:rsidR="004D4A6E">
        <w:t>8</w:t>
      </w:r>
      <w:r w:rsidRPr="000E4B50">
        <w:t>). Consequently, contemporary literature advocates for a biomass modernisation pathway rather than outright fuel substitution, focusing on improved cookstoves, sustainable forest management, forest certification and clean energy substitution to reconcile energy access with SDG 7 and environmental sustainability goals (Lewis &amp; Pattanayak, 2012; Chidumayo &amp; Gumbo, 2013; Zhang et al., 2026). Recent Nigeria-focused research also demonstrates that wood-fuel-related interventions need to be evaluated in relation to their co-benefits, trade-offs and barriers rather than as single-sector energy solutions (Carr et al., 2025).</w:t>
      </w:r>
    </w:p>
    <w:p w14:paraId="375A860E" w14:textId="77777777" w:rsidR="0047369C" w:rsidRPr="000E4B50" w:rsidRDefault="00987320" w:rsidP="000D45C9">
      <w:pPr>
        <w:spacing w:after="120" w:line="480" w:lineRule="auto"/>
        <w:jc w:val="both"/>
        <w:rPr>
          <w:rFonts w:ascii="Times New Roman" w:hAnsi="Times New Roman" w:cs="Times New Roman"/>
          <w:sz w:val="24"/>
          <w:szCs w:val="24"/>
        </w:rPr>
      </w:pPr>
      <w:r w:rsidRPr="000E4B50">
        <w:t>This research attempts to expand awareness of environmental conservation while identifying fuelwood consumption as one of the major perceived causes of environmental degradation. The study also suggests ways of addressing this challenge.</w:t>
      </w:r>
    </w:p>
    <w:p w14:paraId="26D5A75F" w14:textId="77777777" w:rsidR="00860800" w:rsidRPr="000E4B50" w:rsidRDefault="00860800" w:rsidP="000D45C9">
      <w:pPr>
        <w:spacing w:after="120" w:line="480" w:lineRule="auto"/>
        <w:jc w:val="both"/>
        <w:rPr>
          <w:rFonts w:ascii="Times New Roman" w:hAnsi="Times New Roman" w:cs="Times New Roman"/>
          <w:sz w:val="24"/>
          <w:szCs w:val="24"/>
        </w:rPr>
      </w:pPr>
      <w:r w:rsidRPr="000E4B50">
        <w:rPr>
          <w:rFonts w:asciiTheme="majorBidi" w:hAnsiTheme="majorBidi" w:cstheme="majorBidi"/>
          <w:b/>
          <w:bCs/>
          <w:sz w:val="24"/>
          <w:szCs w:val="24"/>
        </w:rPr>
        <w:t>Statement of the Problem</w:t>
      </w:r>
    </w:p>
    <w:p w14:paraId="6D82AAA5" w14:textId="77777777" w:rsidR="0047369C" w:rsidRPr="000E4B50" w:rsidRDefault="00860800" w:rsidP="000D45C9">
      <w:pPr>
        <w:spacing w:line="480" w:lineRule="auto"/>
        <w:jc w:val="both"/>
        <w:rPr>
          <w:rFonts w:asciiTheme="majorBidi" w:hAnsiTheme="majorBidi" w:cstheme="majorBidi"/>
          <w:b/>
          <w:bCs/>
          <w:sz w:val="24"/>
          <w:szCs w:val="24"/>
        </w:rPr>
      </w:pPr>
      <w:r w:rsidRPr="000E4B50">
        <w:t xml:space="preserve">Benue State faces various environmental problems, including flooding, deforestation, leaching, erosion and loss of soil fertility. The predominant collective consequence of these challenges is land degradation, which can be attributed to different factors. This problem is exacerbated by the fact that Benue State is essentially an agricultural state that depends on land as a crucial factor of production. Land degradation in any form </w:t>
      </w:r>
      <w:r w:rsidRPr="000E4B50">
        <w:lastRenderedPageBreak/>
        <w:t>poses challenges to the state's economy because it compromises the ability of the soil to produce optimally. At the same time, practices responsible for land degradation, such as the felling of trees for fuelwood, are increasing. Against this background, the status of the state as the “Food Basket of the Nation” is threatened. It is therefore important to examine this problem, particularly by understanding the causes of fuelwood consumption, its implications for environmental degradation and possible ways forward.</w:t>
      </w:r>
    </w:p>
    <w:p w14:paraId="48D9728D" w14:textId="77777777" w:rsidR="00A9420F" w:rsidRPr="000E4B50" w:rsidRDefault="00000000">
      <w:pPr>
        <w:spacing w:line="480" w:lineRule="auto"/>
        <w:jc w:val="both"/>
        <w:rPr>
          <w:bCs/>
        </w:rPr>
      </w:pPr>
      <w:r w:rsidRPr="000E4B50">
        <w:t>Although the existing discussion establishes a broad link between fuelwood use and environmental degradation, there remains a need for a clearer local empirical assessment of how the drivers, forms, frequency and perceived environmental consequences of fuelwood consumption are connected within Benue State. This study addresses this gap by examining fuelwood consumption and its perceived environmental implications across selected Local Government Areas of the state.</w:t>
      </w:r>
    </w:p>
    <w:p w14:paraId="590C79BE" w14:textId="77777777" w:rsidR="0047369C" w:rsidRPr="000E4B50" w:rsidRDefault="00860800" w:rsidP="0047369C">
      <w:pPr>
        <w:spacing w:line="480" w:lineRule="auto"/>
        <w:jc w:val="both"/>
        <w:rPr>
          <w:rFonts w:asciiTheme="majorBidi" w:hAnsiTheme="majorBidi" w:cstheme="majorBidi"/>
          <w:b/>
          <w:bCs/>
          <w:sz w:val="24"/>
          <w:szCs w:val="24"/>
        </w:rPr>
      </w:pPr>
      <w:r w:rsidRPr="000E4B50">
        <w:rPr>
          <w:rFonts w:asciiTheme="majorBidi" w:hAnsiTheme="majorBidi" w:cstheme="majorBidi"/>
          <w:b/>
          <w:bCs/>
          <w:sz w:val="24"/>
          <w:szCs w:val="24"/>
        </w:rPr>
        <w:t>Objectives of the Research</w:t>
      </w:r>
    </w:p>
    <w:p w14:paraId="4EA744CA" w14:textId="77777777" w:rsidR="0047369C" w:rsidRPr="000E4B50" w:rsidRDefault="00450908" w:rsidP="0047369C">
      <w:pPr>
        <w:spacing w:line="480" w:lineRule="auto"/>
        <w:jc w:val="both"/>
        <w:rPr>
          <w:rFonts w:asciiTheme="majorBidi" w:hAnsiTheme="majorBidi" w:cstheme="majorBidi"/>
          <w:b/>
          <w:bCs/>
          <w:sz w:val="24"/>
          <w:szCs w:val="24"/>
        </w:rPr>
      </w:pPr>
      <w:r w:rsidRPr="000E4B50">
        <w:t>The research examined the relationship between fuelwood consumption and environmental degradation in Benue State. The specific objectives were to:</w:t>
      </w:r>
    </w:p>
    <w:p w14:paraId="0206E043" w14:textId="77777777" w:rsidR="0047369C" w:rsidRPr="000E4B50"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0E4B50">
        <w:rPr>
          <w:rFonts w:ascii="Times New Roman" w:hAnsi="Times New Roman"/>
          <w:sz w:val="24"/>
          <w:szCs w:val="24"/>
        </w:rPr>
        <w:t>Ascertain the factors responsible for fuelwood consumption in Benue State.</w:t>
      </w:r>
    </w:p>
    <w:p w14:paraId="5CD62CE0" w14:textId="77777777" w:rsidR="0047369C" w:rsidRPr="000E4B50"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0E4B50">
        <w:t>Explain the major ways in which fuelwood is consumed in Benue State.</w:t>
      </w:r>
    </w:p>
    <w:p w14:paraId="1F84729C" w14:textId="77777777" w:rsidR="0047369C" w:rsidRPr="000E4B50"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0E4B50">
        <w:rPr>
          <w:rFonts w:ascii="Times New Roman" w:hAnsi="Times New Roman"/>
          <w:sz w:val="24"/>
          <w:szCs w:val="24"/>
        </w:rPr>
        <w:t>Determine how often fuelwood is consumed in Benue State.</w:t>
      </w:r>
    </w:p>
    <w:p w14:paraId="372D7E00" w14:textId="77777777" w:rsidR="0047369C" w:rsidRPr="000E4B50"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0E4B50">
        <w:t>Examine the contributions of fuelwood consumption to environmental degradation in Benue State; and</w:t>
      </w:r>
    </w:p>
    <w:p w14:paraId="674789BC" w14:textId="77777777" w:rsidR="0047369C" w:rsidRPr="000E4B50" w:rsidRDefault="00860800" w:rsidP="0047369C">
      <w:pPr>
        <w:pStyle w:val="ListParagraph"/>
        <w:numPr>
          <w:ilvl w:val="0"/>
          <w:numId w:val="18"/>
        </w:numPr>
        <w:spacing w:line="480" w:lineRule="auto"/>
        <w:jc w:val="both"/>
        <w:rPr>
          <w:rFonts w:asciiTheme="majorBidi" w:hAnsiTheme="majorBidi" w:cstheme="majorBidi"/>
          <w:b/>
          <w:bCs/>
          <w:sz w:val="24"/>
          <w:szCs w:val="24"/>
        </w:rPr>
      </w:pPr>
      <w:r w:rsidRPr="000E4B50">
        <w:t>Suggest ways of controlling fuelwood consumption in Benue State.</w:t>
      </w:r>
    </w:p>
    <w:p w14:paraId="3E7BD2EE" w14:textId="77777777" w:rsidR="0047369C" w:rsidRPr="000E4B50" w:rsidRDefault="00860800" w:rsidP="000D45C9">
      <w:pPr>
        <w:autoSpaceDE w:val="0"/>
        <w:autoSpaceDN w:val="0"/>
        <w:adjustRightInd w:val="0"/>
        <w:jc w:val="both"/>
        <w:rPr>
          <w:rFonts w:ascii="Times New Roman" w:hAnsi="Times New Roman"/>
          <w:sz w:val="24"/>
          <w:szCs w:val="24"/>
        </w:rPr>
      </w:pPr>
      <w:r w:rsidRPr="000E4B50">
        <w:rPr>
          <w:rFonts w:asciiTheme="majorBidi" w:hAnsiTheme="majorBidi" w:cstheme="majorBidi"/>
          <w:b/>
          <w:bCs/>
          <w:sz w:val="24"/>
          <w:szCs w:val="24"/>
        </w:rPr>
        <w:t>Research Questions</w:t>
      </w:r>
    </w:p>
    <w:p w14:paraId="2F57C1F0" w14:textId="77777777" w:rsidR="0047369C" w:rsidRPr="000E4B50" w:rsidRDefault="00860800" w:rsidP="000D45C9">
      <w:pPr>
        <w:pStyle w:val="ListParagraph"/>
        <w:numPr>
          <w:ilvl w:val="0"/>
          <w:numId w:val="19"/>
        </w:numPr>
        <w:autoSpaceDE w:val="0"/>
        <w:autoSpaceDN w:val="0"/>
        <w:adjustRightInd w:val="0"/>
        <w:jc w:val="both"/>
        <w:rPr>
          <w:rFonts w:ascii="Times New Roman" w:hAnsi="Times New Roman"/>
          <w:sz w:val="24"/>
          <w:szCs w:val="24"/>
        </w:rPr>
      </w:pPr>
      <w:r w:rsidRPr="000E4B50">
        <w:rPr>
          <w:rFonts w:ascii="Times New Roman" w:hAnsi="Times New Roman"/>
          <w:sz w:val="24"/>
          <w:szCs w:val="24"/>
        </w:rPr>
        <w:t>What are the factors responsible for fuelwood consumption in Benue State?</w:t>
      </w:r>
    </w:p>
    <w:p w14:paraId="54B7E6FB" w14:textId="77777777" w:rsidR="0047369C" w:rsidRPr="000E4B50" w:rsidRDefault="00860800" w:rsidP="000D45C9">
      <w:pPr>
        <w:pStyle w:val="ListParagraph"/>
        <w:numPr>
          <w:ilvl w:val="0"/>
          <w:numId w:val="19"/>
        </w:numPr>
        <w:autoSpaceDE w:val="0"/>
        <w:autoSpaceDN w:val="0"/>
        <w:adjustRightInd w:val="0"/>
        <w:jc w:val="both"/>
        <w:rPr>
          <w:rFonts w:ascii="Times New Roman" w:hAnsi="Times New Roman"/>
          <w:sz w:val="24"/>
          <w:szCs w:val="24"/>
        </w:rPr>
      </w:pPr>
      <w:r w:rsidRPr="000E4B50">
        <w:rPr>
          <w:rFonts w:ascii="Times New Roman" w:hAnsi="Times New Roman"/>
          <w:sz w:val="24"/>
          <w:szCs w:val="24"/>
        </w:rPr>
        <w:t>In what major ways is fuel wood consumed in Benue State?</w:t>
      </w:r>
    </w:p>
    <w:p w14:paraId="2E25205F" w14:textId="77777777" w:rsidR="0047369C" w:rsidRPr="000E4B50" w:rsidRDefault="00860800" w:rsidP="000D45C9">
      <w:pPr>
        <w:pStyle w:val="ListParagraph"/>
        <w:numPr>
          <w:ilvl w:val="0"/>
          <w:numId w:val="19"/>
        </w:numPr>
        <w:autoSpaceDE w:val="0"/>
        <w:autoSpaceDN w:val="0"/>
        <w:adjustRightInd w:val="0"/>
        <w:jc w:val="both"/>
        <w:rPr>
          <w:rFonts w:ascii="Times New Roman" w:hAnsi="Times New Roman"/>
          <w:sz w:val="24"/>
          <w:szCs w:val="24"/>
        </w:rPr>
      </w:pPr>
      <w:r w:rsidRPr="000E4B50">
        <w:rPr>
          <w:rFonts w:ascii="Times New Roman" w:hAnsi="Times New Roman"/>
          <w:sz w:val="24"/>
          <w:szCs w:val="24"/>
        </w:rPr>
        <w:t>How often is fuelwood consumed in Benue State?</w:t>
      </w:r>
    </w:p>
    <w:p w14:paraId="6157B9A5" w14:textId="77777777" w:rsidR="0047369C" w:rsidRPr="000E4B50" w:rsidRDefault="00860800" w:rsidP="000D45C9">
      <w:pPr>
        <w:pStyle w:val="ListParagraph"/>
        <w:numPr>
          <w:ilvl w:val="0"/>
          <w:numId w:val="19"/>
        </w:numPr>
        <w:autoSpaceDE w:val="0"/>
        <w:autoSpaceDN w:val="0"/>
        <w:adjustRightInd w:val="0"/>
        <w:jc w:val="both"/>
        <w:rPr>
          <w:rFonts w:ascii="Times New Roman" w:hAnsi="Times New Roman"/>
          <w:sz w:val="24"/>
          <w:szCs w:val="24"/>
        </w:rPr>
      </w:pPr>
      <w:r w:rsidRPr="000E4B50">
        <w:rPr>
          <w:rFonts w:ascii="Times New Roman" w:hAnsi="Times New Roman"/>
          <w:sz w:val="24"/>
          <w:szCs w:val="24"/>
        </w:rPr>
        <w:t>In what ways does fuelwood consumption contribute to environmental degradation in Benue State?</w:t>
      </w:r>
      <w:r w:rsidR="0047369C" w:rsidRPr="000E4B50">
        <w:rPr>
          <w:rFonts w:ascii="Times New Roman" w:hAnsi="Times New Roman"/>
          <w:sz w:val="24"/>
          <w:szCs w:val="24"/>
        </w:rPr>
        <w:t xml:space="preserve">  </w:t>
      </w:r>
    </w:p>
    <w:p w14:paraId="7D79E6AC" w14:textId="77777777" w:rsidR="00860800" w:rsidRPr="000E4B50" w:rsidRDefault="00860800" w:rsidP="000D45C9">
      <w:pPr>
        <w:pStyle w:val="ListParagraph"/>
        <w:numPr>
          <w:ilvl w:val="0"/>
          <w:numId w:val="19"/>
        </w:numPr>
        <w:autoSpaceDE w:val="0"/>
        <w:autoSpaceDN w:val="0"/>
        <w:adjustRightInd w:val="0"/>
        <w:jc w:val="both"/>
        <w:rPr>
          <w:rFonts w:ascii="Times New Roman" w:hAnsi="Times New Roman"/>
          <w:sz w:val="24"/>
          <w:szCs w:val="24"/>
        </w:rPr>
      </w:pPr>
      <w:r w:rsidRPr="000E4B50">
        <w:rPr>
          <w:rFonts w:ascii="Times New Roman" w:hAnsi="Times New Roman"/>
          <w:sz w:val="24"/>
          <w:szCs w:val="24"/>
        </w:rPr>
        <w:lastRenderedPageBreak/>
        <w:t>In what ways can fuelwood consumption in Benue State be controlled?</w:t>
      </w:r>
    </w:p>
    <w:p w14:paraId="48935EBA" w14:textId="77777777" w:rsidR="00860800" w:rsidRPr="000E4B50" w:rsidRDefault="00860800" w:rsidP="000D45C9">
      <w:pPr>
        <w:pStyle w:val="ListParagraph"/>
        <w:autoSpaceDE w:val="0"/>
        <w:autoSpaceDN w:val="0"/>
        <w:adjustRightInd w:val="0"/>
        <w:ind w:left="1800"/>
        <w:jc w:val="both"/>
        <w:rPr>
          <w:rFonts w:ascii="Times New Roman" w:hAnsi="Times New Roman"/>
          <w:sz w:val="24"/>
          <w:szCs w:val="24"/>
        </w:rPr>
      </w:pPr>
    </w:p>
    <w:p w14:paraId="58A5E45A" w14:textId="77777777" w:rsidR="00860800" w:rsidRPr="000E4B50" w:rsidRDefault="00B87964" w:rsidP="000D45C9">
      <w:pPr>
        <w:ind w:left="180"/>
        <w:jc w:val="both"/>
        <w:rPr>
          <w:rFonts w:ascii="Times New Roman" w:hAnsi="Times New Roman" w:cs="Times New Roman"/>
          <w:b/>
          <w:sz w:val="24"/>
          <w:szCs w:val="24"/>
        </w:rPr>
      </w:pPr>
      <w:r w:rsidRPr="000E4B50">
        <w:rPr>
          <w:rFonts w:ascii="Times New Roman" w:hAnsi="Times New Roman" w:cs="Times New Roman"/>
          <w:b/>
          <w:sz w:val="24"/>
          <w:szCs w:val="24"/>
        </w:rPr>
        <w:t>Research Hypothese</w:t>
      </w:r>
      <w:r w:rsidR="00860800" w:rsidRPr="000E4B50">
        <w:rPr>
          <w:rFonts w:ascii="Times New Roman" w:hAnsi="Times New Roman" w:cs="Times New Roman"/>
          <w:b/>
          <w:sz w:val="24"/>
          <w:szCs w:val="24"/>
        </w:rPr>
        <w:t>s</w:t>
      </w:r>
    </w:p>
    <w:p w14:paraId="6F364847" w14:textId="77777777" w:rsidR="00860800" w:rsidRPr="000E4B50" w:rsidRDefault="00860800" w:rsidP="000D45C9">
      <w:pPr>
        <w:ind w:left="180"/>
        <w:jc w:val="both"/>
        <w:rPr>
          <w:rFonts w:ascii="Times New Roman" w:hAnsi="Times New Roman"/>
          <w:sz w:val="24"/>
          <w:szCs w:val="24"/>
        </w:rPr>
      </w:pPr>
      <w:r w:rsidRPr="000E4B50">
        <w:rPr>
          <w:rFonts w:ascii="Times New Roman" w:hAnsi="Times New Roman"/>
          <w:sz w:val="24"/>
          <w:szCs w:val="24"/>
        </w:rPr>
        <w:t xml:space="preserve">The </w:t>
      </w:r>
      <w:r w:rsidR="000C16D9" w:rsidRPr="000E4B50">
        <w:rPr>
          <w:rFonts w:ascii="Times New Roman" w:hAnsi="Times New Roman"/>
          <w:sz w:val="24"/>
          <w:szCs w:val="24"/>
        </w:rPr>
        <w:t>following</w:t>
      </w:r>
      <w:r w:rsidRPr="000E4B50">
        <w:rPr>
          <w:rFonts w:ascii="Times New Roman" w:hAnsi="Times New Roman"/>
          <w:sz w:val="24"/>
          <w:szCs w:val="24"/>
        </w:rPr>
        <w:t xml:space="preserve"> </w:t>
      </w:r>
      <w:r w:rsidR="000C16D9" w:rsidRPr="000E4B50">
        <w:rPr>
          <w:rFonts w:ascii="Times New Roman" w:hAnsi="Times New Roman"/>
          <w:sz w:val="24"/>
          <w:szCs w:val="24"/>
        </w:rPr>
        <w:t>hypothese</w:t>
      </w:r>
      <w:r w:rsidRPr="000E4B50">
        <w:rPr>
          <w:rFonts w:ascii="Times New Roman" w:hAnsi="Times New Roman"/>
          <w:sz w:val="24"/>
          <w:szCs w:val="24"/>
        </w:rPr>
        <w:t xml:space="preserve">s </w:t>
      </w:r>
      <w:r w:rsidR="000C16D9" w:rsidRPr="000E4B50">
        <w:rPr>
          <w:rFonts w:ascii="Times New Roman" w:hAnsi="Times New Roman"/>
          <w:sz w:val="24"/>
          <w:szCs w:val="24"/>
        </w:rPr>
        <w:t>were</w:t>
      </w:r>
      <w:r w:rsidRPr="000E4B50">
        <w:rPr>
          <w:rFonts w:ascii="Times New Roman" w:hAnsi="Times New Roman"/>
          <w:sz w:val="24"/>
          <w:szCs w:val="24"/>
        </w:rPr>
        <w:t xml:space="preserve"> formulated for the study:</w:t>
      </w:r>
    </w:p>
    <w:p w14:paraId="107FC81A" w14:textId="77777777" w:rsidR="00860800" w:rsidRPr="000E4B50" w:rsidRDefault="00860800" w:rsidP="000D45C9">
      <w:pPr>
        <w:ind w:left="540" w:hanging="360"/>
        <w:jc w:val="both"/>
        <w:rPr>
          <w:rFonts w:ascii="Times New Roman" w:hAnsi="Times New Roman"/>
          <w:sz w:val="24"/>
          <w:szCs w:val="24"/>
        </w:rPr>
      </w:pPr>
      <w:r w:rsidRPr="000E4B50">
        <w:rPr>
          <w:rFonts w:ascii="Times New Roman" w:hAnsi="Times New Roman"/>
          <w:sz w:val="24"/>
          <w:szCs w:val="24"/>
        </w:rPr>
        <w:t>H</w:t>
      </w:r>
      <w:r w:rsidRPr="000E4B50">
        <w:rPr>
          <w:rFonts w:ascii="Times New Roman" w:hAnsi="Times New Roman"/>
          <w:sz w:val="24"/>
          <w:szCs w:val="24"/>
          <w:vertAlign w:val="subscript"/>
        </w:rPr>
        <w:t>0</w:t>
      </w:r>
      <w:r w:rsidR="0047369C" w:rsidRPr="000E4B50">
        <w:rPr>
          <w:rFonts w:ascii="Times New Roman" w:hAnsi="Times New Roman"/>
          <w:sz w:val="24"/>
          <w:szCs w:val="24"/>
        </w:rPr>
        <w:t>:</w:t>
      </w:r>
      <w:r w:rsidR="0047369C" w:rsidRPr="000E4B50">
        <w:rPr>
          <w:rFonts w:ascii="Times New Roman" w:hAnsi="Times New Roman"/>
          <w:sz w:val="24"/>
          <w:szCs w:val="24"/>
          <w:vertAlign w:val="subscript"/>
        </w:rPr>
        <w:t xml:space="preserve"> </w:t>
      </w:r>
      <w:r w:rsidRPr="000E4B50">
        <w:rPr>
          <w:rFonts w:ascii="Times New Roman" w:hAnsi="Times New Roman"/>
          <w:sz w:val="24"/>
          <w:szCs w:val="24"/>
        </w:rPr>
        <w:t xml:space="preserve">There is no </w:t>
      </w:r>
      <w:r w:rsidR="00976DCF" w:rsidRPr="000E4B50">
        <w:rPr>
          <w:rFonts w:ascii="Times New Roman" w:hAnsi="Times New Roman"/>
          <w:sz w:val="24"/>
          <w:szCs w:val="24"/>
        </w:rPr>
        <w:t xml:space="preserve">relationship </w:t>
      </w:r>
      <w:r w:rsidRPr="000E4B50">
        <w:rPr>
          <w:rFonts w:ascii="Times New Roman" w:hAnsi="Times New Roman"/>
          <w:sz w:val="24"/>
          <w:szCs w:val="24"/>
        </w:rPr>
        <w:t>between fuelwood consumption and environmental degradation in Benue State.</w:t>
      </w:r>
    </w:p>
    <w:p w14:paraId="112C4E1D" w14:textId="77777777" w:rsidR="001653C6" w:rsidRPr="000E4B50" w:rsidRDefault="00860800" w:rsidP="000D45C9">
      <w:pPr>
        <w:ind w:left="540" w:hanging="360"/>
        <w:jc w:val="both"/>
        <w:rPr>
          <w:rFonts w:ascii="Times New Roman" w:hAnsi="Times New Roman" w:cs="Times New Roman"/>
          <w:sz w:val="24"/>
          <w:szCs w:val="24"/>
        </w:rPr>
      </w:pPr>
      <w:r w:rsidRPr="000E4B50">
        <w:rPr>
          <w:rFonts w:ascii="Times New Roman" w:hAnsi="Times New Roman"/>
          <w:sz w:val="24"/>
          <w:szCs w:val="24"/>
        </w:rPr>
        <w:t>H</w:t>
      </w:r>
      <w:r w:rsidRPr="000E4B50">
        <w:rPr>
          <w:rFonts w:ascii="Times New Roman" w:hAnsi="Times New Roman"/>
          <w:sz w:val="24"/>
          <w:szCs w:val="24"/>
          <w:vertAlign w:val="subscript"/>
        </w:rPr>
        <w:t>1</w:t>
      </w:r>
      <w:r w:rsidR="0047369C" w:rsidRPr="000E4B50">
        <w:rPr>
          <w:rFonts w:ascii="Times New Roman" w:hAnsi="Times New Roman"/>
          <w:sz w:val="24"/>
          <w:szCs w:val="24"/>
          <w:vertAlign w:val="subscript"/>
        </w:rPr>
        <w:t xml:space="preserve">: </w:t>
      </w:r>
      <w:r w:rsidRPr="000E4B50">
        <w:rPr>
          <w:rFonts w:ascii="Times New Roman" w:hAnsi="Times New Roman"/>
          <w:sz w:val="24"/>
          <w:szCs w:val="24"/>
        </w:rPr>
        <w:t>Th</w:t>
      </w:r>
      <w:r w:rsidR="00976DCF" w:rsidRPr="000E4B50">
        <w:rPr>
          <w:rFonts w:ascii="Times New Roman" w:hAnsi="Times New Roman"/>
          <w:sz w:val="24"/>
          <w:szCs w:val="24"/>
        </w:rPr>
        <w:t xml:space="preserve">ere is a relationship </w:t>
      </w:r>
      <w:r w:rsidRPr="000E4B50">
        <w:rPr>
          <w:rFonts w:ascii="Times New Roman" w:hAnsi="Times New Roman"/>
          <w:sz w:val="24"/>
          <w:szCs w:val="24"/>
        </w:rPr>
        <w:t>between fuelwood consumption and environmental degradation in Benue State.</w:t>
      </w:r>
    </w:p>
    <w:p w14:paraId="6BBD58A4" w14:textId="77777777" w:rsidR="00860800" w:rsidRPr="000E4B50" w:rsidRDefault="00860800" w:rsidP="000D45C9">
      <w:pPr>
        <w:jc w:val="both"/>
        <w:rPr>
          <w:rFonts w:ascii="Times New Roman" w:hAnsi="Times New Roman" w:cs="Times New Roman"/>
          <w:sz w:val="24"/>
          <w:szCs w:val="24"/>
        </w:rPr>
      </w:pPr>
      <w:r w:rsidRPr="000E4B50">
        <w:rPr>
          <w:rFonts w:ascii="Times New Roman" w:hAnsi="Times New Roman" w:cs="Times New Roman"/>
          <w:b/>
          <w:sz w:val="24"/>
          <w:szCs w:val="24"/>
        </w:rPr>
        <w:t>Conceptual framework</w:t>
      </w:r>
    </w:p>
    <w:p w14:paraId="59FE8EED" w14:textId="771A643D" w:rsidR="00860800" w:rsidRPr="000E4B50" w:rsidRDefault="00860800" w:rsidP="000D45C9">
      <w:pPr>
        <w:tabs>
          <w:tab w:val="left" w:pos="6690"/>
        </w:tabs>
        <w:spacing w:line="360" w:lineRule="auto"/>
        <w:jc w:val="both"/>
        <w:rPr>
          <w:rFonts w:ascii="Times New Roman" w:hAnsi="Times New Roman" w:cs="Times New Roman"/>
          <w:sz w:val="24"/>
          <w:szCs w:val="24"/>
        </w:rPr>
      </w:pPr>
      <w:r w:rsidRPr="000E4B50">
        <w:t>According to the United Nations International Strategy for Disaster Reduction, environmental degradation is the reduction of the capacity of the environment to meet social and ecological objectives and needs (Choudhary et al., 201</w:t>
      </w:r>
      <w:r w:rsidR="004D4A6E">
        <w:t>5</w:t>
      </w:r>
      <w:r w:rsidRPr="000E4B50">
        <w:t>). This means that environmental degradation is the deterioration of the environment through the depletion of resources, including air, water and soil; the destruction of ecosystems; and the extinction of wildlife. Environmental degradation is caused by both human and natural factors. Human factors include urbanisation, population growth, economic growth, agricultural intensification, increased energy use and increased transportation. Natural factors include floods, typhoons, droughts, rising temperatures and fires. The degree of impact of environmental degradation varies according to the drivers, habitats, plants and animals in the specific settings in which they occur (</w:t>
      </w:r>
      <w:r w:rsidR="004D4A6E" w:rsidRPr="004D4A6E">
        <w:t>Scoones</w:t>
      </w:r>
      <w:r w:rsidRPr="000E4B50">
        <w:t>, 202</w:t>
      </w:r>
      <w:r w:rsidR="004D4A6E">
        <w:t>2</w:t>
      </w:r>
      <w:r w:rsidRPr="000E4B50">
        <w:t>).</w:t>
      </w:r>
    </w:p>
    <w:p w14:paraId="15BE03F9" w14:textId="77777777" w:rsidR="00860800" w:rsidRPr="000E4B50" w:rsidRDefault="00860800" w:rsidP="000D45C9">
      <w:pPr>
        <w:autoSpaceDE w:val="0"/>
        <w:autoSpaceDN w:val="0"/>
        <w:adjustRightInd w:val="0"/>
        <w:spacing w:line="360" w:lineRule="auto"/>
        <w:jc w:val="both"/>
        <w:rPr>
          <w:rFonts w:ascii="Times New Roman" w:hAnsi="Times New Roman" w:cs="Times New Roman"/>
          <w:sz w:val="24"/>
          <w:szCs w:val="24"/>
        </w:rPr>
      </w:pPr>
      <w:r w:rsidRPr="000E4B50">
        <w:t xml:space="preserve">Environmental degradation is sometimes expressed through land degradation. The United Nations Convention to Combat Desertification in Countries Experiencing Serious Drought and/or Desertification, </w:t>
      </w:r>
      <w:proofErr w:type="gramStart"/>
      <w:r w:rsidRPr="000E4B50">
        <w:t>Particularly</w:t>
      </w:r>
      <w:proofErr w:type="gramEnd"/>
      <w:r w:rsidRPr="000E4B50">
        <w:t xml:space="preserve"> in Africa (UNCCD), provides a relevant definition. It defines land degradation as the reduction or loss of the biological or economic productivity and complexity of rain-fed cropland, irrigated cropland, range, forest and woodland resulting from land use or from a process or combination of processes, including processes arising from human activities and habitation patterns, such as soil erosion caused by wind and/or water, deterioration of the physical, chemical, biological or economic properties of soil, and long-term loss of natural vegetation (Hasnat et al., 2022).</w:t>
      </w:r>
    </w:p>
    <w:p w14:paraId="35AB342F" w14:textId="77777777" w:rsidR="00860800" w:rsidRPr="000E4B50" w:rsidRDefault="00860800" w:rsidP="000D45C9">
      <w:pPr>
        <w:autoSpaceDE w:val="0"/>
        <w:autoSpaceDN w:val="0"/>
        <w:adjustRightInd w:val="0"/>
        <w:spacing w:line="360" w:lineRule="auto"/>
        <w:jc w:val="both"/>
        <w:rPr>
          <w:rFonts w:ascii="Times New Roman" w:hAnsi="Times New Roman" w:cs="Times New Roman"/>
          <w:sz w:val="24"/>
          <w:szCs w:val="24"/>
        </w:rPr>
      </w:pPr>
      <w:r w:rsidRPr="000E4B50">
        <w:t xml:space="preserve">Some scholars argue that environmental degradation is not purely a biophysical phenomenon, despite common assumptions. According to Scoones (2022), environmental degradation refers to an effectively permanent decline in the rate at which land yields products under a given system. This means that natural processes will not rehabilitate the land within a timeframe relevant to humans and that the capital and labour required for rehabilitation may not be justified. This definition excludes reversible vegetation changes, even if they result in temporary declines, but includes irreversible changes in both soils and vegetation </w:t>
      </w:r>
      <w:r w:rsidRPr="000E4B50">
        <w:lastRenderedPageBreak/>
        <w:t>(Plesnik, 2011; Scoones, 2022). Available literature indicates that the world's environment has deteriorated over the last two centuries, affecting every part of the planet in ways that influence important aspects of human existence, including social, economic and political conditions such as migration, conflict, war, poor economic production systems, poverty and human ill-health.</w:t>
      </w:r>
    </w:p>
    <w:p w14:paraId="03FDC8EB" w14:textId="77777777" w:rsidR="00860800" w:rsidRPr="000E4B50" w:rsidRDefault="00860800" w:rsidP="000D45C9">
      <w:pPr>
        <w:spacing w:line="480" w:lineRule="auto"/>
        <w:jc w:val="both"/>
        <w:rPr>
          <w:rFonts w:ascii="Times New Roman" w:hAnsi="Times New Roman" w:cs="Times New Roman"/>
          <w:b/>
          <w:sz w:val="24"/>
          <w:szCs w:val="24"/>
        </w:rPr>
      </w:pPr>
      <w:r w:rsidRPr="000E4B50">
        <w:rPr>
          <w:rFonts w:ascii="Times New Roman" w:hAnsi="Times New Roman" w:cs="Times New Roman"/>
          <w:b/>
          <w:sz w:val="24"/>
          <w:szCs w:val="24"/>
        </w:rPr>
        <w:t>Review of Empirical studies</w:t>
      </w:r>
    </w:p>
    <w:p w14:paraId="3A118AAE" w14:textId="58B03AEB" w:rsidR="00110BD2" w:rsidRPr="000E4B50" w:rsidRDefault="00110BD2" w:rsidP="000D45C9">
      <w:pPr>
        <w:autoSpaceDE w:val="0"/>
        <w:autoSpaceDN w:val="0"/>
        <w:adjustRightInd w:val="0"/>
        <w:spacing w:line="480" w:lineRule="auto"/>
        <w:jc w:val="both"/>
        <w:rPr>
          <w:rFonts w:ascii="Times New Roman" w:hAnsi="Times New Roman" w:cs="Times New Roman"/>
          <w:bCs/>
          <w:sz w:val="24"/>
          <w:szCs w:val="24"/>
        </w:rPr>
      </w:pPr>
      <w:r w:rsidRPr="000E4B50">
        <w:t xml:space="preserve">The study by </w:t>
      </w:r>
      <w:proofErr w:type="spellStart"/>
      <w:r w:rsidR="006533AC" w:rsidRPr="006533AC">
        <w:t>Orimoogunje</w:t>
      </w:r>
      <w:proofErr w:type="spellEnd"/>
      <w:r w:rsidR="006533AC" w:rsidRPr="006533AC">
        <w:t xml:space="preserve"> &amp; </w:t>
      </w:r>
      <w:proofErr w:type="spellStart"/>
      <w:r w:rsidR="006533AC" w:rsidRPr="006533AC">
        <w:t>Asifat</w:t>
      </w:r>
      <w:proofErr w:type="spellEnd"/>
      <w:r w:rsidRPr="000E4B50">
        <w:t xml:space="preserve"> (2015), titled “Deforestation and Greening the Nigerian Environment,” examined deforestation in Nigeria and its implications for environmental sustainability and the depletion of green resources. The study emphasised that trees in forested and agricultural landscapes provide ecosystem services and support biodiversity conservation. </w:t>
      </w:r>
      <w:proofErr w:type="spellStart"/>
      <w:r w:rsidR="006533AC" w:rsidRPr="006533AC">
        <w:t>Orimoogunje</w:t>
      </w:r>
      <w:proofErr w:type="spellEnd"/>
      <w:r w:rsidR="006533AC" w:rsidRPr="006533AC">
        <w:t xml:space="preserve"> &amp; </w:t>
      </w:r>
      <w:proofErr w:type="spellStart"/>
      <w:r w:rsidR="006533AC" w:rsidRPr="006533AC">
        <w:t>Asifat</w:t>
      </w:r>
      <w:proofErr w:type="spellEnd"/>
      <w:r w:rsidRPr="000E4B50">
        <w:t xml:space="preserve"> further argued that, although forest conservation and protection laws have been introduced in Nigeria over the years, enforcement remains inadequate. Using primary data collected through questionnaires and interviews across the six geopolitical zones of Nigeria, the findings showed that poverty, limited public awareness and weak policy enforcement significantly influence environmental greening efforts. The study concluded that sustainable forest management can be achieved through coordinated action among government institutions, communities and individuals. However, although the study identified major drivers of deforestation, it did not comprehensively discuss broader environmental consequences.</w:t>
      </w:r>
    </w:p>
    <w:p w14:paraId="4E020E9A" w14:textId="77777777" w:rsidR="00110BD2" w:rsidRPr="000E4B50" w:rsidRDefault="00110BD2" w:rsidP="000D45C9">
      <w:pPr>
        <w:autoSpaceDE w:val="0"/>
        <w:autoSpaceDN w:val="0"/>
        <w:adjustRightInd w:val="0"/>
        <w:spacing w:line="480" w:lineRule="auto"/>
        <w:jc w:val="both"/>
        <w:rPr>
          <w:rFonts w:ascii="Times New Roman" w:hAnsi="Times New Roman" w:cs="Times New Roman"/>
          <w:bCs/>
          <w:sz w:val="24"/>
          <w:szCs w:val="24"/>
        </w:rPr>
      </w:pPr>
      <w:r w:rsidRPr="000E4B50">
        <w:t>Recent studies support and extend these observations. Studies from West Africa and Nigeria indicate that ineffective environmental governance, expanding settlements and continued dependence on forest resources remain major contributors to forest loss and ecosystem degradation (Akomolafe &amp; Anumeh, 2025; Alage et al., 2025). Similarly, evidence from tropical regions in South America and Central Africa shows that weak institutional capacity and land-use change accelerate biodiversity loss and reduce ecosystem resilience.</w:t>
      </w:r>
    </w:p>
    <w:p w14:paraId="3FF6F82C" w14:textId="77777777" w:rsidR="00110BD2" w:rsidRPr="000E4B50" w:rsidRDefault="00110BD2" w:rsidP="000D45C9">
      <w:pPr>
        <w:autoSpaceDE w:val="0"/>
        <w:autoSpaceDN w:val="0"/>
        <w:adjustRightInd w:val="0"/>
        <w:spacing w:line="480" w:lineRule="auto"/>
        <w:jc w:val="both"/>
        <w:rPr>
          <w:rFonts w:ascii="Times New Roman" w:hAnsi="Times New Roman" w:cs="Times New Roman"/>
          <w:bCs/>
          <w:sz w:val="24"/>
          <w:szCs w:val="24"/>
        </w:rPr>
      </w:pPr>
      <w:r w:rsidRPr="000E4B50">
        <w:t xml:space="preserve">Michael and Matthew (2016), in their work “Deforestation in Nigeria: The Need for Urgent Mitigating Measures,” observed that persistent forest depletion remains one of the most visible manifestations of environmental degradation. The study identified urbanisation, population growth, infrastructural development, agricultural expansion, mining activities, bush burning, logging and fuelwood extraction as </w:t>
      </w:r>
      <w:r w:rsidRPr="000E4B50">
        <w:lastRenderedPageBreak/>
        <w:t>major pressures on forest ecosystems. The authors argued that preserving forest resources is essential because forests contribute to employment generation, poverty reduction, rural welfare and sustainable livelihoods.</w:t>
      </w:r>
    </w:p>
    <w:p w14:paraId="009B7BBE" w14:textId="77777777" w:rsidR="00860800" w:rsidRDefault="00110BD2" w:rsidP="000D45C9">
      <w:pPr>
        <w:autoSpaceDE w:val="0"/>
        <w:autoSpaceDN w:val="0"/>
        <w:adjustRightInd w:val="0"/>
        <w:spacing w:line="480" w:lineRule="auto"/>
        <w:jc w:val="both"/>
      </w:pPr>
      <w:r w:rsidRPr="000E4B50">
        <w:t>Recent evidence from different geographical regions reinforces these concerns. Studies conducted in Sub-Saharan Africa, Nigeria and Southeast Asia between 2020 and 2025 demonstrate that rapid land conversion and population growth continue to reduce forest cover while increasing land surface temperature and environmental vulnerability (Bologna &amp; Aquino, 2020; Nathaniel &amp; Bekun, 2020; Adekugbe et al., 2020; Birnintsaba et al., 2021; Oloyede et al., 2025; Yabo et al., 2025; Joseph et al., 2025). Research in Brazil and the Amazon basin further suggests that stronger environmental monitoring and enforcement mechanisms can significantly reduce forest loss and associated socio-ecological consequences (Assis et al., 2022; Qin et al., 2023; Silva et al., 2023; Gonçalves &amp; Silva, 2024; Du et al., 2025; Barreto et al., 2025).</w:t>
      </w:r>
    </w:p>
    <w:p w14:paraId="29106DE0" w14:textId="77777777" w:rsidR="00637F89" w:rsidRDefault="00637F89" w:rsidP="000D45C9">
      <w:pPr>
        <w:autoSpaceDE w:val="0"/>
        <w:autoSpaceDN w:val="0"/>
        <w:adjustRightInd w:val="0"/>
        <w:spacing w:line="480" w:lineRule="auto"/>
        <w:jc w:val="both"/>
      </w:pPr>
    </w:p>
    <w:p w14:paraId="0D63E3FD" w14:textId="25F98548" w:rsidR="00637F89" w:rsidRPr="00637F89" w:rsidRDefault="00637F89" w:rsidP="000D45C9">
      <w:pPr>
        <w:autoSpaceDE w:val="0"/>
        <w:autoSpaceDN w:val="0"/>
        <w:adjustRightInd w:val="0"/>
        <w:spacing w:line="480" w:lineRule="auto"/>
        <w:jc w:val="both"/>
        <w:rPr>
          <w:rFonts w:ascii="Times New Roman" w:hAnsi="Times New Roman" w:cs="Times New Roman"/>
          <w:b/>
          <w:bCs/>
          <w:sz w:val="24"/>
          <w:szCs w:val="24"/>
        </w:rPr>
      </w:pPr>
      <w:r w:rsidRPr="00637F89">
        <w:rPr>
          <w:b/>
          <w:bCs/>
        </w:rPr>
        <w:t xml:space="preserve">Methodology </w:t>
      </w:r>
    </w:p>
    <w:p w14:paraId="67E6CDA3" w14:textId="77777777" w:rsidR="00860800" w:rsidRPr="000E4B50" w:rsidRDefault="00860800" w:rsidP="000D45C9">
      <w:pPr>
        <w:jc w:val="both"/>
        <w:rPr>
          <w:rFonts w:ascii="Times New Roman" w:hAnsi="Times New Roman" w:cs="Times New Roman"/>
          <w:b/>
          <w:sz w:val="24"/>
          <w:szCs w:val="24"/>
        </w:rPr>
      </w:pPr>
      <w:r w:rsidRPr="000E4B50">
        <w:rPr>
          <w:rFonts w:ascii="Times New Roman" w:hAnsi="Times New Roman" w:cs="Times New Roman"/>
          <w:b/>
          <w:sz w:val="24"/>
          <w:szCs w:val="24"/>
        </w:rPr>
        <w:t>Design of the study</w:t>
      </w:r>
    </w:p>
    <w:p w14:paraId="1C6BC71A" w14:textId="77777777" w:rsidR="00860800" w:rsidRPr="000E4B50" w:rsidRDefault="00860800" w:rsidP="000D45C9">
      <w:pPr>
        <w:spacing w:line="480" w:lineRule="auto"/>
        <w:jc w:val="both"/>
        <w:rPr>
          <w:rFonts w:ascii="Times New Roman" w:hAnsi="Times New Roman" w:cs="Times New Roman"/>
          <w:b/>
          <w:sz w:val="24"/>
          <w:szCs w:val="24"/>
        </w:rPr>
      </w:pPr>
      <w:r w:rsidRPr="000E4B50">
        <w:t>The design of this research was both quantitative and qualitative. In quantitative terms, the researcher employed the survey research method, using a closed-ended questionnaire to obtain data for the study. The qualitative aspect involved the use of 10 open-ended oral interviews, as well as the analysis of primary and secondary sources of information. The information collected in the quantitative part of the research was presented using frequency and percentage tables. The qualitative and narrative aspects of the research were subjected to an analytical and descriptive approach.</w:t>
      </w:r>
    </w:p>
    <w:p w14:paraId="6DC1EA10" w14:textId="77777777" w:rsidR="00860800" w:rsidRPr="000E4B50" w:rsidRDefault="00860800" w:rsidP="000D45C9">
      <w:pPr>
        <w:jc w:val="both"/>
        <w:rPr>
          <w:rFonts w:ascii="Times New Roman" w:hAnsi="Times New Roman" w:cs="Times New Roman"/>
          <w:b/>
          <w:sz w:val="24"/>
          <w:szCs w:val="24"/>
        </w:rPr>
      </w:pPr>
      <w:r w:rsidRPr="000E4B50">
        <w:rPr>
          <w:rFonts w:ascii="Times New Roman" w:hAnsi="Times New Roman" w:cs="Times New Roman"/>
          <w:b/>
          <w:sz w:val="24"/>
          <w:szCs w:val="24"/>
        </w:rPr>
        <w:t>Description of Study area</w:t>
      </w:r>
    </w:p>
    <w:p w14:paraId="433D5BCD" w14:textId="77777777" w:rsidR="00860800" w:rsidRPr="000E4B50" w:rsidRDefault="00860800" w:rsidP="000D45C9">
      <w:pPr>
        <w:spacing w:after="120" w:line="480" w:lineRule="auto"/>
        <w:ind w:left="342"/>
        <w:jc w:val="both"/>
        <w:rPr>
          <w:rFonts w:ascii="Times New Roman" w:hAnsi="Times New Roman" w:cs="Times New Roman"/>
          <w:sz w:val="10"/>
          <w:szCs w:val="24"/>
        </w:rPr>
      </w:pPr>
    </w:p>
    <w:p w14:paraId="23F7A835" w14:textId="77777777" w:rsidR="00860800" w:rsidRPr="000E4B50" w:rsidRDefault="00860800" w:rsidP="000D45C9">
      <w:pPr>
        <w:spacing w:after="120" w:line="480" w:lineRule="auto"/>
        <w:jc w:val="both"/>
        <w:rPr>
          <w:rFonts w:ascii="Times New Roman" w:hAnsi="Times New Roman" w:cs="Times New Roman"/>
          <w:sz w:val="24"/>
          <w:szCs w:val="24"/>
        </w:rPr>
      </w:pPr>
      <w:r w:rsidRPr="000E4B50">
        <w:t xml:space="preserve">The study area, Benue State, lies within the lower Benue trough in the Middle Belt of Nigeria. The state lies between longitude 7°40' and 10°00' east and latitude 6°25' and 8°08' north of the Equator. The state covers a </w:t>
      </w:r>
      <w:r w:rsidRPr="000E4B50">
        <w:lastRenderedPageBreak/>
        <w:t>total area of 34,059 square kilometres and is bounded by Nasarawa State to the north and Taraba State to the north-east. It is bounded by Cross River State to the south, Enugu State to the south-west and Kogi State to the west. The state also shares a section of Nigeria's international boundary with the Republic of Cameroon to the south-east. Benue State is drained predominantly by the River Benue and the Katsina-Ala River, in addition to several smaller rivers. The state receives about seven months of rainfall annually, while the dry season extends from December to March. Benue State lies in the Guinea Savannah, characterised by tall grasses, shrubs and scattered trees. High tree density, which characterises large forest areas, is generally uncommon.</w:t>
      </w:r>
    </w:p>
    <w:p w14:paraId="6EFCBFD5" w14:textId="77777777" w:rsidR="00860800" w:rsidRPr="000E4B50" w:rsidRDefault="00860800" w:rsidP="000D45C9">
      <w:pPr>
        <w:spacing w:after="120" w:line="480" w:lineRule="auto"/>
        <w:jc w:val="both"/>
        <w:rPr>
          <w:rFonts w:ascii="Times New Roman" w:hAnsi="Times New Roman" w:cs="Times New Roman"/>
          <w:sz w:val="24"/>
          <w:szCs w:val="24"/>
        </w:rPr>
      </w:pPr>
      <w:r w:rsidRPr="000E4B50">
        <w:t>Benue State was created out of the defunct Benue-Plateau State in 1976. The state currently has twenty-three Local Government Areas (LGAs). There are three major ethnic groups in the state, namely Tiv, Idoma and Igede, who are spread across the 23 LGAs. The Tiv occupy Makurdi, Gwer, Guma, Gwer-West, Konshisha, Vandeikya, Kwande, Ushongo, Gboko, Tarka, Ukum, Katsina-Ala, Logo and Buruku LGAs. The Idoma people are found in Ado, Agatu, Apa, Otukpo, Ogbadibo, Ohimini and Okpokwu LGAs, while the Igede occupy Oju and Obi LGAs. However, other smaller ethnic groups can be found in some of these LGAs. This study was strategically limited to five LGAs of the state, purposively drawn from the northern, eastern, western, southern and central parts of the state. These LGAs are Guma, Otukpo, Katsina-Ala, Oju and Gwer-East.</w:t>
      </w:r>
    </w:p>
    <w:p w14:paraId="715852A0" w14:textId="77777777" w:rsidR="00860800" w:rsidRPr="000E4B50" w:rsidRDefault="00860800" w:rsidP="000D45C9">
      <w:pPr>
        <w:spacing w:after="120" w:line="480" w:lineRule="auto"/>
        <w:jc w:val="both"/>
        <w:rPr>
          <w:rFonts w:ascii="Times New Roman" w:hAnsi="Times New Roman" w:cs="Times New Roman"/>
          <w:sz w:val="24"/>
          <w:szCs w:val="24"/>
        </w:rPr>
      </w:pPr>
      <w:r w:rsidRPr="000E4B50">
        <w:t>Generally, peasant food-crop production is the major occupation of the Benue people. They produce crops such as yam, cassava, potatoes, millet, rice and maize. Other crops include groundnuts, beniseed, soybeans, beans, melon and varieties of vegetables. Some communities in the state produce tree crops such as oranges, mangoes and oil palm. In terms of animal husbandry, the Benue people keep cattle, goats, sheep, pigs and poultry. Apart from agriculture, they engage in other economic activities, including fishing, trade and local industries such as blacksmithing, pottery, basket weaving, textile production, soap making, local beer brewing and woodwork.</w:t>
      </w:r>
    </w:p>
    <w:p w14:paraId="6466B4E4" w14:textId="77777777" w:rsidR="00860800" w:rsidRPr="000E4B50" w:rsidRDefault="00860800" w:rsidP="000D45C9">
      <w:pPr>
        <w:jc w:val="both"/>
        <w:rPr>
          <w:rFonts w:ascii="Times New Roman" w:hAnsi="Times New Roman" w:cs="Times New Roman"/>
          <w:b/>
          <w:sz w:val="24"/>
          <w:szCs w:val="24"/>
        </w:rPr>
      </w:pPr>
      <w:r w:rsidRPr="000E4B50">
        <w:rPr>
          <w:rFonts w:ascii="Times New Roman" w:hAnsi="Times New Roman" w:cs="Times New Roman"/>
          <w:b/>
          <w:sz w:val="24"/>
          <w:szCs w:val="24"/>
        </w:rPr>
        <w:t>Population and Sample Size</w:t>
      </w:r>
    </w:p>
    <w:p w14:paraId="533676E7" w14:textId="77777777" w:rsidR="00414BDC" w:rsidRPr="000E4B50" w:rsidRDefault="00414BDC" w:rsidP="000D45C9">
      <w:pPr>
        <w:spacing w:line="480" w:lineRule="auto"/>
        <w:jc w:val="both"/>
        <w:rPr>
          <w:rFonts w:ascii="Times New Roman" w:hAnsi="Times New Roman" w:cs="Times New Roman"/>
          <w:sz w:val="24"/>
          <w:szCs w:val="24"/>
        </w:rPr>
      </w:pPr>
      <w:r w:rsidRPr="000E4B50">
        <w:lastRenderedPageBreak/>
        <w:t>For this research, Guma, Otukpo, Katsina-Ala, Oju and Gwer-East Local Government Areas (LGAs) of Benue State were selected to provide a representative assessment of spatial variations in the study phenomenon across different ecological and socioeconomic settings within the state. The selection was informed by both ecological and socioeconomic considerations to ensure broader coverage and improve the validity of the findings.</w:t>
      </w:r>
    </w:p>
    <w:p w14:paraId="6B7C6138" w14:textId="77777777" w:rsidR="00414BDC" w:rsidRPr="000E4B50" w:rsidRDefault="00414BDC" w:rsidP="000D45C9">
      <w:pPr>
        <w:spacing w:line="480" w:lineRule="auto"/>
        <w:jc w:val="both"/>
        <w:rPr>
          <w:rFonts w:ascii="Times New Roman" w:hAnsi="Times New Roman" w:cs="Times New Roman"/>
          <w:sz w:val="24"/>
          <w:szCs w:val="24"/>
        </w:rPr>
      </w:pPr>
      <w:r w:rsidRPr="000E4B50">
        <w:t>From an ecological perspective, the selected LGAs differ in vegetation characteristics, land-use patterns, population pressure on natural resources, agricultural intensity and levels of environmental change. These areas represent varying ecological zones and environmental conditions across Benue State, allowing comparison of how resource-utilisation patterns influence environmental outcomes.</w:t>
      </w:r>
    </w:p>
    <w:p w14:paraId="1DAA915D" w14:textId="77777777" w:rsidR="00414BDC" w:rsidRPr="000E4B50" w:rsidRDefault="00414BDC" w:rsidP="000D45C9">
      <w:pPr>
        <w:spacing w:line="480" w:lineRule="auto"/>
        <w:jc w:val="both"/>
        <w:rPr>
          <w:rFonts w:ascii="Times New Roman" w:hAnsi="Times New Roman" w:cs="Times New Roman"/>
          <w:sz w:val="24"/>
          <w:szCs w:val="24"/>
        </w:rPr>
      </w:pPr>
      <w:r w:rsidRPr="000E4B50">
        <w:t>From a socioeconomic perspective, the selected LGAs exhibit differences in population density, household energy dependence, economic activities, access to alternative energy sources, income levels and settlement structures (urban-rural characteristics). Agriculture remains the dominant livelihood across these locations, but variations in economic opportunities and infrastructure influence the extent of reliance on natural resources such as fuelwood.</w:t>
      </w:r>
    </w:p>
    <w:p w14:paraId="3397658B" w14:textId="77777777" w:rsidR="00414BDC" w:rsidRPr="000E4B50" w:rsidRDefault="00414BDC" w:rsidP="000D45C9">
      <w:pPr>
        <w:spacing w:line="480" w:lineRule="auto"/>
        <w:jc w:val="both"/>
        <w:rPr>
          <w:rFonts w:ascii="Times New Roman" w:hAnsi="Times New Roman" w:cs="Times New Roman"/>
          <w:sz w:val="24"/>
          <w:szCs w:val="24"/>
        </w:rPr>
      </w:pPr>
      <w:r w:rsidRPr="000E4B50">
        <w:t>Additionally, the selected LGAs are geographically distributed across different parts of Benue State, improving representativeness and reducing location bias. This combination of ecological diversity and socioeconomic variation strengthens the reliability of the study by enabling analysis of how environmental and human factors interact within the selected study area.</w:t>
      </w:r>
    </w:p>
    <w:p w14:paraId="521F4748" w14:textId="77777777" w:rsidR="00860800" w:rsidRPr="000E4B50" w:rsidRDefault="00860800" w:rsidP="000D45C9">
      <w:pPr>
        <w:jc w:val="both"/>
        <w:rPr>
          <w:rFonts w:ascii="Times New Roman" w:hAnsi="Times New Roman" w:cs="Times New Roman"/>
          <w:b/>
          <w:sz w:val="24"/>
          <w:szCs w:val="24"/>
        </w:rPr>
      </w:pPr>
      <w:r w:rsidRPr="000E4B50">
        <w:rPr>
          <w:rFonts w:ascii="Times New Roman" w:hAnsi="Times New Roman" w:cs="Times New Roman"/>
          <w:b/>
          <w:sz w:val="24"/>
          <w:szCs w:val="24"/>
        </w:rPr>
        <w:t xml:space="preserve">Sampling Technique </w:t>
      </w:r>
    </w:p>
    <w:p w14:paraId="14FE816E" w14:textId="77777777" w:rsidR="00860800" w:rsidRPr="000E4B50" w:rsidRDefault="00860800" w:rsidP="000D45C9">
      <w:pPr>
        <w:spacing w:line="480" w:lineRule="auto"/>
        <w:jc w:val="both"/>
        <w:rPr>
          <w:rFonts w:ascii="Times New Roman" w:hAnsi="Times New Roman" w:cs="Times New Roman"/>
          <w:sz w:val="24"/>
          <w:szCs w:val="24"/>
        </w:rPr>
      </w:pPr>
      <w:r w:rsidRPr="000E4B50">
        <w:t xml:space="preserve">A two-layered sampling method involving purposive and simple random sampling techniques was used to select a sample size of 400 respondents. Random sampling was adopted to provide all members of the target population with an equal probability of selection, thereby minimising sampling bias and improving representativeness. This approach enhanced the validity and reliability of the findings and ensured that conclusions drawn regarding fuelwood consumption and environmental degradation reflected the broader </w:t>
      </w:r>
      <w:r w:rsidRPr="000E4B50">
        <w:lastRenderedPageBreak/>
        <w:t>population within the selected Local Government Areas of Benue State. The purposive sampling method was used to select five LGAs, namely Guma, Otukpo, Katsina-Ala, Oju and Gwer-East. The random sampling method was deployed during questionnaire administration.</w:t>
      </w:r>
    </w:p>
    <w:p w14:paraId="02B81E80" w14:textId="77777777" w:rsidR="00860800" w:rsidRPr="000E4B50" w:rsidRDefault="00860800" w:rsidP="000D45C9">
      <w:pPr>
        <w:jc w:val="both"/>
        <w:rPr>
          <w:rFonts w:ascii="Times New Roman" w:hAnsi="Times New Roman" w:cs="Times New Roman"/>
          <w:b/>
          <w:sz w:val="24"/>
          <w:szCs w:val="24"/>
        </w:rPr>
      </w:pPr>
      <w:r w:rsidRPr="000E4B50">
        <w:rPr>
          <w:rFonts w:ascii="Times New Roman" w:hAnsi="Times New Roman" w:cs="Times New Roman"/>
          <w:b/>
          <w:sz w:val="24"/>
          <w:szCs w:val="24"/>
        </w:rPr>
        <w:t xml:space="preserve">Instrument for data collection </w:t>
      </w:r>
    </w:p>
    <w:p w14:paraId="6C76B730" w14:textId="77777777" w:rsidR="00414BDC" w:rsidRPr="000E4B50" w:rsidRDefault="00860800" w:rsidP="000D45C9">
      <w:pPr>
        <w:spacing w:line="480" w:lineRule="auto"/>
        <w:jc w:val="both"/>
        <w:rPr>
          <w:rFonts w:ascii="Times New Roman" w:hAnsi="Times New Roman" w:cs="Times New Roman"/>
          <w:sz w:val="24"/>
          <w:szCs w:val="24"/>
        </w:rPr>
      </w:pPr>
      <w:r w:rsidRPr="000E4B50">
        <w:t>Data for this study were mainly collected from primary and secondary sources. The instruments for obtaining primary data were the questionnaire and oral interviews. The questionnaire used for data collection was developed based on the study objectives, research questions, hypotheses and relevant literature on fuelwood consumption, household energy use and environmental degradation. The instrument contained sections covering respondents' demographic characteristics, patterns of fuelwood consumption, perceived environmental impacts and factors influencing energy choices.</w:t>
      </w:r>
    </w:p>
    <w:p w14:paraId="215EB077" w14:textId="77777777" w:rsidR="000D45C9" w:rsidRPr="000E4B50" w:rsidRDefault="000D45C9" w:rsidP="000D45C9">
      <w:pPr>
        <w:spacing w:line="480" w:lineRule="auto"/>
        <w:jc w:val="both"/>
        <w:rPr>
          <w:rFonts w:ascii="Times New Roman" w:hAnsi="Times New Roman" w:cs="Times New Roman"/>
          <w:sz w:val="24"/>
          <w:szCs w:val="24"/>
        </w:rPr>
      </w:pPr>
      <w:r w:rsidRPr="000E4B50">
        <w:t>A total of 400 copies of the questionnaire were distributed to respondents in the selected LGAs. The questionnaire was used because it was easy to administer, given the resources available to the researcher. It had two sections, A and B. Section A was designed to obtain the biodata of respondents, while Section B contained questions that generated the data used for analysis. The questionnaire consisted of closed-ended or structured questions, with responses tabulated using frequency and simple percentage tables. The decision to use closed-ended questions was based on the ease of computing the results and the fact that the responses have uniform measurability and can be easily converted into quantitative data for statistical analysis. However, closed-ended questions have a weakness because they do not offer flexibility to respondents and are therefore limited in qualitative depth.</w:t>
      </w:r>
    </w:p>
    <w:p w14:paraId="48A491BB" w14:textId="77777777" w:rsidR="00414BDC" w:rsidRPr="000E4B50" w:rsidRDefault="00414BDC" w:rsidP="000D45C9">
      <w:pPr>
        <w:spacing w:line="480" w:lineRule="auto"/>
        <w:jc w:val="both"/>
        <w:rPr>
          <w:rFonts w:ascii="Times New Roman" w:hAnsi="Times New Roman" w:cs="Times New Roman"/>
          <w:sz w:val="24"/>
          <w:szCs w:val="24"/>
        </w:rPr>
      </w:pPr>
      <w:r w:rsidRPr="000E4B50">
        <w:t>Content and face validity were established through expert review. The draft questionnaire was evaluated by specialists in environmental management, agricultural extension, social science research methodology and statistics to determine the appropriateness, clarity, relevance and adequacy of the items. Their observations and recommendations were incorporated to improve wording, remove ambiguity and ensure alignment with the study objectives.</w:t>
      </w:r>
    </w:p>
    <w:p w14:paraId="6C779E3B" w14:textId="77777777" w:rsidR="00414BDC" w:rsidRPr="000E4B50" w:rsidRDefault="00414BDC" w:rsidP="000D45C9">
      <w:pPr>
        <w:spacing w:line="480" w:lineRule="auto"/>
        <w:jc w:val="both"/>
        <w:rPr>
          <w:rFonts w:ascii="Times New Roman" w:hAnsi="Times New Roman" w:cs="Times New Roman"/>
          <w:sz w:val="24"/>
          <w:szCs w:val="24"/>
        </w:rPr>
      </w:pPr>
      <w:r w:rsidRPr="000E4B50">
        <w:lastRenderedPageBreak/>
        <w:t>A pilot study was conducted before the main survey using respondents drawn from a local government area with similar socioeconomic and environmental characteristics but excluded from the final study sample to avoid contamination of results. The pilot exercise assessed the clarity of questions, sequence of items, response time, respondents' level of comprehension and logistical feasibility of data collection. Feedback obtained from the pilot survey led to modifications in question structure, simplification of technical expressions, elimination of repetitive items and improvement of response categories.</w:t>
      </w:r>
    </w:p>
    <w:p w14:paraId="43FE1B78" w14:textId="77777777" w:rsidR="003E26FA" w:rsidRPr="000E4B50" w:rsidRDefault="003E26FA" w:rsidP="000D45C9">
      <w:pPr>
        <w:spacing w:line="480" w:lineRule="auto"/>
        <w:jc w:val="both"/>
        <w:rPr>
          <w:rFonts w:ascii="Times New Roman" w:hAnsi="Times New Roman" w:cs="Times New Roman"/>
          <w:sz w:val="24"/>
          <w:szCs w:val="24"/>
        </w:rPr>
      </w:pPr>
      <w:r w:rsidRPr="000E4B50">
        <w:t>The reliability of the questionnaire was evaluated to determine the internal consistency of the measurement items. Responses obtained during pilot testing were subjected to reliability analysis using Cronbach's alpha coefficient. A Cronbach's alpha value of 0.70 or above was considered acceptable for internal consistency in accordance with established social science research standards. Items that reduced overall reliability were revised or removed before administration of the final instrument.</w:t>
      </w:r>
    </w:p>
    <w:p w14:paraId="0670A2F0" w14:textId="77777777" w:rsidR="00B87964" w:rsidRPr="000E4B50" w:rsidRDefault="00860800" w:rsidP="00B87964">
      <w:pPr>
        <w:spacing w:line="480" w:lineRule="auto"/>
        <w:jc w:val="both"/>
        <w:rPr>
          <w:rFonts w:ascii="Times New Roman" w:hAnsi="Times New Roman" w:cs="Times New Roman"/>
          <w:sz w:val="24"/>
          <w:szCs w:val="24"/>
        </w:rPr>
      </w:pPr>
      <w:r w:rsidRPr="000E4B50">
        <w:t>The research hypothesis was tested using chi-square (χ²). To provide a qualitative dimension to the study, 10 oral interviews were also randomly administered to some respondents. Secondary sources of information were mainly used in the literature review section of the research.</w:t>
      </w:r>
    </w:p>
    <w:p w14:paraId="2A278A96" w14:textId="77777777" w:rsidR="00E8312F" w:rsidRPr="000E4B50" w:rsidRDefault="00E8312F" w:rsidP="00E8312F">
      <w:pPr>
        <w:spacing w:line="480" w:lineRule="auto"/>
        <w:jc w:val="both"/>
        <w:rPr>
          <w:rFonts w:ascii="Times New Roman" w:hAnsi="Times New Roman" w:cs="Times New Roman"/>
          <w:sz w:val="24"/>
          <w:szCs w:val="24"/>
        </w:rPr>
      </w:pPr>
      <w:r w:rsidRPr="000E4B50">
        <w:rPr>
          <w:rFonts w:ascii="Times New Roman" w:hAnsi="Times New Roman" w:cs="Times New Roman"/>
          <w:sz w:val="24"/>
          <w:szCs w:val="24"/>
        </w:rPr>
        <w:t>Several procedures were adopted to maintain data quality throughout the study:</w:t>
      </w:r>
    </w:p>
    <w:p w14:paraId="49FC5536" w14:textId="77777777" w:rsidR="00E8312F" w:rsidRPr="000E4B50" w:rsidRDefault="00E8312F" w:rsidP="00E8312F">
      <w:pPr>
        <w:spacing w:line="480" w:lineRule="auto"/>
        <w:jc w:val="both"/>
        <w:rPr>
          <w:rFonts w:ascii="Times New Roman" w:hAnsi="Times New Roman" w:cs="Times New Roman"/>
          <w:sz w:val="24"/>
          <w:szCs w:val="24"/>
        </w:rPr>
      </w:pPr>
      <w:r w:rsidRPr="000E4B50">
        <w:rPr>
          <w:rFonts w:ascii="Times New Roman" w:hAnsi="Times New Roman" w:cs="Times New Roman"/>
          <w:sz w:val="24"/>
          <w:szCs w:val="24"/>
        </w:rPr>
        <w:t>1. Training of research assistants on questionnaire administration procedures, ethical conduct, and respondent engagement.</w:t>
      </w:r>
    </w:p>
    <w:p w14:paraId="705DE5B6" w14:textId="77777777" w:rsidR="00E8312F" w:rsidRPr="000E4B50" w:rsidRDefault="00E8312F" w:rsidP="00E8312F">
      <w:pPr>
        <w:spacing w:line="480" w:lineRule="auto"/>
        <w:jc w:val="both"/>
        <w:rPr>
          <w:rFonts w:ascii="Times New Roman" w:hAnsi="Times New Roman" w:cs="Times New Roman"/>
          <w:sz w:val="24"/>
          <w:szCs w:val="24"/>
        </w:rPr>
      </w:pPr>
      <w:r w:rsidRPr="000E4B50">
        <w:rPr>
          <w:rFonts w:ascii="Times New Roman" w:hAnsi="Times New Roman" w:cs="Times New Roman"/>
          <w:sz w:val="24"/>
          <w:szCs w:val="24"/>
        </w:rPr>
        <w:t>2. Pre-field briefing and supervision to ensure uniform interpretation of questions and adherence to data collection protocols.</w:t>
      </w:r>
    </w:p>
    <w:p w14:paraId="5D4262F0" w14:textId="77777777" w:rsidR="00E8312F" w:rsidRPr="000E4B50" w:rsidRDefault="00E8312F" w:rsidP="00E8312F">
      <w:pPr>
        <w:spacing w:line="480" w:lineRule="auto"/>
        <w:jc w:val="both"/>
        <w:rPr>
          <w:rFonts w:ascii="Times New Roman" w:hAnsi="Times New Roman" w:cs="Times New Roman"/>
          <w:sz w:val="24"/>
          <w:szCs w:val="24"/>
        </w:rPr>
      </w:pPr>
      <w:r w:rsidRPr="000E4B50">
        <w:rPr>
          <w:rFonts w:ascii="Times New Roman" w:hAnsi="Times New Roman" w:cs="Times New Roman"/>
          <w:sz w:val="24"/>
          <w:szCs w:val="24"/>
        </w:rPr>
        <w:t>3. Standardization of data collection procedures across all selected local government areas.</w:t>
      </w:r>
    </w:p>
    <w:p w14:paraId="56DA79B6" w14:textId="77777777" w:rsidR="00E8312F" w:rsidRPr="000E4B50" w:rsidRDefault="00E8312F" w:rsidP="00E8312F">
      <w:pPr>
        <w:spacing w:line="480" w:lineRule="auto"/>
        <w:jc w:val="both"/>
        <w:rPr>
          <w:rFonts w:ascii="Times New Roman" w:hAnsi="Times New Roman" w:cs="Times New Roman"/>
          <w:sz w:val="24"/>
          <w:szCs w:val="24"/>
        </w:rPr>
      </w:pPr>
      <w:r w:rsidRPr="000E4B50">
        <w:rPr>
          <w:rFonts w:ascii="Times New Roman" w:hAnsi="Times New Roman" w:cs="Times New Roman"/>
          <w:sz w:val="24"/>
          <w:szCs w:val="24"/>
        </w:rPr>
        <w:t>4. Daily review and verification of completed questionnaires to identify omissions, inconsistencies, and incomplete responses.</w:t>
      </w:r>
    </w:p>
    <w:p w14:paraId="167C23DF" w14:textId="77777777" w:rsidR="00E8312F" w:rsidRPr="000E4B50" w:rsidRDefault="00E8312F" w:rsidP="00E8312F">
      <w:pPr>
        <w:spacing w:line="480" w:lineRule="auto"/>
        <w:jc w:val="both"/>
        <w:rPr>
          <w:rFonts w:ascii="Times New Roman" w:hAnsi="Times New Roman" w:cs="Times New Roman"/>
          <w:sz w:val="24"/>
          <w:szCs w:val="24"/>
        </w:rPr>
      </w:pPr>
      <w:r w:rsidRPr="000E4B50">
        <w:rPr>
          <w:rFonts w:ascii="Times New Roman" w:hAnsi="Times New Roman" w:cs="Times New Roman"/>
          <w:sz w:val="24"/>
          <w:szCs w:val="24"/>
        </w:rPr>
        <w:lastRenderedPageBreak/>
        <w:t>5. Data cleaning and coding procedures were conducted before statistical analysis to eliminate errors and missing entries.</w:t>
      </w:r>
    </w:p>
    <w:p w14:paraId="3378D2F1" w14:textId="77777777" w:rsidR="00E8312F" w:rsidRPr="000E4B50" w:rsidRDefault="00E8312F" w:rsidP="00E8312F">
      <w:pPr>
        <w:spacing w:line="480" w:lineRule="auto"/>
        <w:jc w:val="both"/>
        <w:rPr>
          <w:rFonts w:ascii="Times New Roman" w:hAnsi="Times New Roman" w:cs="Times New Roman"/>
          <w:sz w:val="24"/>
          <w:szCs w:val="24"/>
        </w:rPr>
      </w:pPr>
      <w:r w:rsidRPr="000E4B50">
        <w:rPr>
          <w:rFonts w:ascii="Times New Roman" w:hAnsi="Times New Roman" w:cs="Times New Roman"/>
          <w:sz w:val="24"/>
          <w:szCs w:val="24"/>
        </w:rPr>
        <w:t>6. Confidentiality and informed consent procedures were maintained to encourage honest and unbiased responses.</w:t>
      </w:r>
    </w:p>
    <w:p w14:paraId="3D41327B" w14:textId="77777777" w:rsidR="00427971" w:rsidRPr="000E4B50" w:rsidRDefault="00E8312F" w:rsidP="00E8312F">
      <w:pPr>
        <w:spacing w:line="480" w:lineRule="auto"/>
        <w:jc w:val="both"/>
        <w:rPr>
          <w:rFonts w:ascii="Times New Roman" w:hAnsi="Times New Roman" w:cs="Times New Roman"/>
          <w:sz w:val="24"/>
          <w:szCs w:val="24"/>
        </w:rPr>
      </w:pPr>
      <w:r w:rsidRPr="000E4B50">
        <w:rPr>
          <w:rFonts w:ascii="Times New Roman" w:hAnsi="Times New Roman" w:cs="Times New Roman"/>
          <w:sz w:val="24"/>
          <w:szCs w:val="24"/>
        </w:rPr>
        <w:t>7. Cross-checking and validation of field records were carried out to imp</w:t>
      </w:r>
      <w:r w:rsidR="00427971" w:rsidRPr="000E4B50">
        <w:rPr>
          <w:rFonts w:ascii="Times New Roman" w:hAnsi="Times New Roman" w:cs="Times New Roman"/>
          <w:sz w:val="24"/>
          <w:szCs w:val="24"/>
        </w:rPr>
        <w:t>rove completeness and accuracy.</w:t>
      </w:r>
    </w:p>
    <w:p w14:paraId="093A64BD" w14:textId="77777777" w:rsidR="00E8312F" w:rsidRPr="000E4B50" w:rsidRDefault="00E8312F" w:rsidP="00B87964">
      <w:pPr>
        <w:spacing w:line="480" w:lineRule="auto"/>
        <w:jc w:val="both"/>
        <w:rPr>
          <w:rFonts w:ascii="Times New Roman" w:hAnsi="Times New Roman" w:cs="Times New Roman"/>
          <w:sz w:val="24"/>
          <w:szCs w:val="24"/>
        </w:rPr>
      </w:pPr>
      <w:r w:rsidRPr="000E4B50">
        <w:t>These procedures enhanced the validity, reliability and overall quality of the data used for analysing the relationship between fuelwood consumption and environmental degradation in Benue State.</w:t>
      </w:r>
    </w:p>
    <w:p w14:paraId="20376826" w14:textId="77777777" w:rsidR="00860800" w:rsidRPr="000E4B50" w:rsidRDefault="00860800" w:rsidP="00B87964">
      <w:pPr>
        <w:spacing w:line="480" w:lineRule="auto"/>
        <w:jc w:val="both"/>
        <w:rPr>
          <w:rFonts w:ascii="Times New Roman" w:hAnsi="Times New Roman" w:cs="Times New Roman"/>
          <w:sz w:val="24"/>
          <w:szCs w:val="24"/>
        </w:rPr>
      </w:pPr>
      <w:r w:rsidRPr="000E4B50">
        <w:rPr>
          <w:rFonts w:ascii="Times New Roman" w:hAnsi="Times New Roman" w:cs="Times New Roman"/>
          <w:b/>
          <w:sz w:val="24"/>
          <w:szCs w:val="24"/>
        </w:rPr>
        <w:t>Instrument for data analysis</w:t>
      </w:r>
    </w:p>
    <w:p w14:paraId="08A34A35" w14:textId="77777777" w:rsidR="00083016" w:rsidRPr="000E4B50" w:rsidRDefault="00860800" w:rsidP="00083016">
      <w:pPr>
        <w:spacing w:line="480" w:lineRule="auto"/>
        <w:jc w:val="both"/>
        <w:rPr>
          <w:rFonts w:ascii="Times New Roman" w:hAnsi="Times New Roman" w:cs="Times New Roman"/>
          <w:sz w:val="24"/>
          <w:szCs w:val="24"/>
        </w:rPr>
      </w:pPr>
      <w:r w:rsidRPr="000E4B50">
        <w:t>Data generated for the research were carefully sorted and extracted. The data were then quantitatively tabulated using frequency and simple percentage tables. Fifty-one per cent (51%) was considered affirmation, while scores below 50% were considered rejection. A score of 50% was considered undecided or neutral on a Likert scale, analysed and presented. The research hypothesis was tested using frequency, percentage and mean tables to determine the standard deviation and chi-square (χ²). The question used in testing the hypothesis had a rating scale of Strongly Agree (SA) = 4, Agree (A) = 3, Disagree (D) = 2 and Strongly Disagree (SD) = 1. The cut-off point considered as agreement for the mean was 2.50. The basis for arriving at 2.50 was 4 + 3 + 2 + 1 = 10/4 = 2.50. Thus, the interpretation of mean scores was based on a cut-off point of 2.50. A mean score of 2.50 or above was considered positive, while a mean score below 2.50 was considered negative. Chi-square (χ²) was used to test the hypotheses at the 0.05 level of significance.</w:t>
      </w:r>
    </w:p>
    <w:p w14:paraId="7B6282E8" w14:textId="77777777" w:rsidR="00083016" w:rsidRPr="000E4B50" w:rsidRDefault="00083016" w:rsidP="00083016">
      <w:pPr>
        <w:spacing w:line="480" w:lineRule="auto"/>
        <w:jc w:val="both"/>
        <w:rPr>
          <w:rFonts w:ascii="Times New Roman" w:hAnsi="Times New Roman" w:cs="Times New Roman"/>
          <w:sz w:val="24"/>
          <w:szCs w:val="24"/>
        </w:rPr>
      </w:pPr>
      <w:r w:rsidRPr="000E4B50">
        <w:t xml:space="preserve">The chi-square (χ²) statistical test was employed because the study data were generated primarily from questionnaire-based responses, which captured respondents' perceptions, experiences and reported observations regarding fuelwood consumption and its environmental consequences. The variables analysed were categorical in nature, such as levels of agreement, frequency categories and perceived environmental </w:t>
      </w:r>
      <w:r w:rsidRPr="000E4B50">
        <w:lastRenderedPageBreak/>
        <w:t>changes, making chi-square appropriate for examining associations and testing hypotheses between these response variables.</w:t>
      </w:r>
    </w:p>
    <w:p w14:paraId="0D44EC34" w14:textId="77777777" w:rsidR="00860800" w:rsidRDefault="00083016" w:rsidP="00083016">
      <w:pPr>
        <w:spacing w:line="480" w:lineRule="auto"/>
        <w:jc w:val="both"/>
      </w:pPr>
      <w:r w:rsidRPr="000E4B50">
        <w:t>It is important to note that the statistical analysis did not measure actual quantities of fuelwood extracted or directly quantify environmental degradation indicators, such as forest cover loss, soil degradation rates or biodiversity decline. Rather, the analysis evaluated whether there was a statistically significant relationship between respondents' reported fuelwood consumption patterns and their perceived environmental impacts. Therefore, findings should be interpreted as evidence of social and perceptual associations rather than direct biophysical measurements of environmental degradation.</w:t>
      </w:r>
    </w:p>
    <w:p w14:paraId="277060AC" w14:textId="77777777" w:rsidR="00637F89" w:rsidRPr="000E4B50" w:rsidRDefault="00637F89" w:rsidP="00083016">
      <w:pPr>
        <w:spacing w:line="480" w:lineRule="auto"/>
        <w:jc w:val="both"/>
        <w:rPr>
          <w:rFonts w:ascii="Times New Roman" w:hAnsi="Times New Roman" w:cs="Times New Roman"/>
          <w:sz w:val="24"/>
          <w:szCs w:val="24"/>
        </w:rPr>
      </w:pPr>
    </w:p>
    <w:p w14:paraId="28264C5A" w14:textId="77777777" w:rsidR="00F95589" w:rsidRPr="000E4B50" w:rsidRDefault="00F95589" w:rsidP="00F95589">
      <w:pPr>
        <w:spacing w:line="480" w:lineRule="auto"/>
        <w:jc w:val="both"/>
        <w:rPr>
          <w:rFonts w:ascii="Times New Roman" w:hAnsi="Times New Roman" w:cs="Times New Roman"/>
          <w:b/>
          <w:sz w:val="24"/>
          <w:szCs w:val="24"/>
        </w:rPr>
      </w:pPr>
      <w:r w:rsidRPr="000E4B50">
        <w:rPr>
          <w:rFonts w:ascii="Times New Roman" w:hAnsi="Times New Roman" w:cs="Times New Roman"/>
          <w:b/>
          <w:sz w:val="24"/>
          <w:szCs w:val="24"/>
        </w:rPr>
        <w:t>Perceived Environmental Impacts and Actual Mea</w:t>
      </w:r>
      <w:r w:rsidR="00083016" w:rsidRPr="000E4B50">
        <w:rPr>
          <w:rFonts w:ascii="Times New Roman" w:hAnsi="Times New Roman" w:cs="Times New Roman"/>
          <w:b/>
          <w:sz w:val="24"/>
          <w:szCs w:val="24"/>
        </w:rPr>
        <w:t>sured Environmental Degradation</w:t>
      </w:r>
    </w:p>
    <w:p w14:paraId="604BDAC8" w14:textId="77777777" w:rsidR="00F95589" w:rsidRPr="000E4B50" w:rsidRDefault="00F95589" w:rsidP="00F95589">
      <w:pPr>
        <w:spacing w:line="480" w:lineRule="auto"/>
        <w:jc w:val="both"/>
        <w:rPr>
          <w:rFonts w:ascii="Times New Roman" w:hAnsi="Times New Roman" w:cs="Times New Roman"/>
          <w:sz w:val="24"/>
          <w:szCs w:val="24"/>
        </w:rPr>
      </w:pPr>
      <w:r w:rsidRPr="000E4B50">
        <w:t>This study distinguishes between perceived environmental impacts and actual measured environmental degradation. Perceived environmental impacts refer to respondents' observations, experiences and opinions regarding environmental changes associated with fuelwood consumption, such as declining vegetation cover, increased soil exposure, reduced tree availability and changes in local climatic conditions. These perceptions provide valuable insight into community-level experiences and environmental awareness.</w:t>
      </w:r>
    </w:p>
    <w:p w14:paraId="59150C70" w14:textId="77777777" w:rsidR="00F95589" w:rsidRDefault="00F95589" w:rsidP="00F95589">
      <w:pPr>
        <w:spacing w:line="480" w:lineRule="auto"/>
        <w:jc w:val="both"/>
      </w:pPr>
      <w:r w:rsidRPr="000E4B50">
        <w:t>In contrast, actual measured environmental degradation refers to objectively quantified environmental changes determined through scientific assessment methods, such as land-use analysis, vegetation surveys, remote sensing, soil-quality measurements, biodiversity assessment and other environmental monitoring techniques. Since the present study relied primarily on questionnaire responses and field-based social data, findings on environmental degradation should be interpreted as reflecting respondents' perceptions and reported experiences rather than direct biophysical measurements of environmental change. This distinction is important for ensuring appropriate interpretation of the study findings and avoiding overgeneralisation of perceived environmental conditions as empirically measured environmental outcomes.</w:t>
      </w:r>
    </w:p>
    <w:p w14:paraId="417E4784" w14:textId="3EF39B7C" w:rsidR="00637F89" w:rsidRPr="00637F89" w:rsidRDefault="00637F89" w:rsidP="00F95589">
      <w:pPr>
        <w:spacing w:line="480" w:lineRule="auto"/>
        <w:jc w:val="both"/>
        <w:rPr>
          <w:rFonts w:ascii="Times New Roman" w:hAnsi="Times New Roman" w:cs="Times New Roman"/>
          <w:b/>
          <w:bCs/>
          <w:sz w:val="24"/>
          <w:szCs w:val="24"/>
        </w:rPr>
      </w:pPr>
      <w:r w:rsidRPr="00637F89">
        <w:rPr>
          <w:b/>
          <w:bCs/>
        </w:rPr>
        <w:lastRenderedPageBreak/>
        <w:t xml:space="preserve">Result </w:t>
      </w:r>
    </w:p>
    <w:p w14:paraId="178B001A" w14:textId="77777777" w:rsidR="00860800" w:rsidRPr="000E4B50" w:rsidRDefault="00860800" w:rsidP="00860800">
      <w:pPr>
        <w:spacing w:line="480" w:lineRule="auto"/>
        <w:jc w:val="both"/>
        <w:rPr>
          <w:rFonts w:asciiTheme="majorBidi" w:hAnsiTheme="majorBidi" w:cstheme="majorBidi"/>
          <w:b/>
          <w:bCs/>
          <w:sz w:val="24"/>
          <w:szCs w:val="24"/>
        </w:rPr>
      </w:pPr>
      <w:r w:rsidRPr="000E4B50">
        <w:rPr>
          <w:rFonts w:asciiTheme="majorBidi" w:hAnsiTheme="majorBidi" w:cstheme="majorBidi"/>
          <w:b/>
          <w:bCs/>
          <w:sz w:val="24"/>
          <w:szCs w:val="24"/>
        </w:rPr>
        <w:t>Presentation and Analysis of Research Question One</w:t>
      </w:r>
    </w:p>
    <w:p w14:paraId="4A8FB000" w14:textId="77777777" w:rsidR="00860800" w:rsidRPr="000E4B50" w:rsidRDefault="00860800" w:rsidP="00B87964">
      <w:pPr>
        <w:spacing w:after="0" w:line="480" w:lineRule="auto"/>
        <w:ind w:right="180"/>
        <w:jc w:val="both"/>
        <w:rPr>
          <w:rFonts w:ascii="Times New Roman" w:hAnsi="Times New Roman"/>
          <w:sz w:val="24"/>
          <w:szCs w:val="24"/>
        </w:rPr>
      </w:pPr>
      <w:r w:rsidRPr="000E4B50">
        <w:t>Only 392 of the 400 copies of the questionnaire that were randomly administered to the sample were returned, representing a 98% response rate. The eight copies of the questionnaire that could not be retrieved constituted only 2% of the number administered and were therefore considered insufficient to significantly affect the outcome of the research.</w:t>
      </w:r>
    </w:p>
    <w:p w14:paraId="055FBF94" w14:textId="77777777" w:rsidR="00B87964" w:rsidRPr="000E4B50" w:rsidRDefault="00860800" w:rsidP="00B87964">
      <w:pPr>
        <w:autoSpaceDE w:val="0"/>
        <w:autoSpaceDN w:val="0"/>
        <w:adjustRightInd w:val="0"/>
        <w:ind w:left="2340" w:hanging="2340"/>
        <w:jc w:val="both"/>
        <w:rPr>
          <w:rFonts w:ascii="Times New Roman" w:hAnsi="Times New Roman"/>
          <w:b/>
          <w:sz w:val="24"/>
          <w:szCs w:val="24"/>
        </w:rPr>
      </w:pPr>
      <w:r w:rsidRPr="000E4B50">
        <w:rPr>
          <w:rFonts w:ascii="Times New Roman" w:hAnsi="Times New Roman"/>
          <w:b/>
        </w:rPr>
        <w:t xml:space="preserve">Research Question 1. </w:t>
      </w:r>
      <w:r w:rsidRPr="000E4B50">
        <w:rPr>
          <w:rFonts w:ascii="Times New Roman" w:hAnsi="Times New Roman"/>
          <w:b/>
          <w:sz w:val="24"/>
          <w:szCs w:val="24"/>
        </w:rPr>
        <w:t>What are the factors responsible for fuelwood consumption in Benue State?</w:t>
      </w:r>
    </w:p>
    <w:p w14:paraId="4545407F" w14:textId="77777777" w:rsidR="00860800" w:rsidRPr="000E4B50" w:rsidRDefault="00860800" w:rsidP="00B87964">
      <w:pPr>
        <w:autoSpaceDE w:val="0"/>
        <w:autoSpaceDN w:val="0"/>
        <w:adjustRightInd w:val="0"/>
        <w:ind w:left="2340" w:hanging="2340"/>
        <w:jc w:val="both"/>
        <w:rPr>
          <w:rFonts w:ascii="Times New Roman" w:hAnsi="Times New Roman"/>
          <w:b/>
          <w:sz w:val="24"/>
          <w:szCs w:val="24"/>
        </w:rPr>
      </w:pPr>
      <w:r w:rsidRPr="000E4B50">
        <w:rPr>
          <w:rFonts w:asciiTheme="majorBidi" w:hAnsiTheme="majorBidi" w:cstheme="majorBidi"/>
          <w:b/>
          <w:sz w:val="24"/>
          <w:szCs w:val="24"/>
        </w:rPr>
        <w:t>Table 1</w:t>
      </w:r>
      <w:r w:rsidR="007E6821" w:rsidRPr="000E4B50">
        <w:rPr>
          <w:rFonts w:asciiTheme="majorBidi" w:hAnsiTheme="majorBidi" w:cstheme="majorBidi"/>
          <w:b/>
          <w:sz w:val="24"/>
          <w:szCs w:val="24"/>
        </w:rPr>
        <w:t xml:space="preserve">: </w:t>
      </w:r>
      <w:r w:rsidR="007E6821" w:rsidRPr="000E4B50">
        <w:rPr>
          <w:rFonts w:ascii="Times New Roman" w:hAnsi="Times New Roman"/>
          <w:b/>
          <w:sz w:val="24"/>
          <w:szCs w:val="24"/>
        </w:rPr>
        <w:t>F</w:t>
      </w:r>
      <w:r w:rsidRPr="000E4B50">
        <w:rPr>
          <w:rFonts w:ascii="Times New Roman" w:hAnsi="Times New Roman"/>
          <w:b/>
          <w:sz w:val="24"/>
          <w:szCs w:val="24"/>
        </w:rPr>
        <w:t>actors Responsible for Fuelwood Consumption in Benue State</w:t>
      </w:r>
      <w:r w:rsidRPr="000E4B50">
        <w:rPr>
          <w:rFonts w:asciiTheme="majorBidi" w:hAnsiTheme="majorBidi" w:cstheme="majorBidi"/>
          <w:sz w:val="24"/>
          <w:szCs w:val="24"/>
        </w:rPr>
        <w:t>.</w:t>
      </w:r>
    </w:p>
    <w:tbl>
      <w:tblPr>
        <w:tblStyle w:val="TableGrid"/>
        <w:tblW w:w="9946" w:type="dxa"/>
        <w:tblInd w:w="-5" w:type="dxa"/>
        <w:tblLook w:val="04A0" w:firstRow="1" w:lastRow="0" w:firstColumn="1" w:lastColumn="0" w:noHBand="0" w:noVBand="1"/>
      </w:tblPr>
      <w:tblGrid>
        <w:gridCol w:w="626"/>
        <w:gridCol w:w="5494"/>
        <w:gridCol w:w="1185"/>
        <w:gridCol w:w="642"/>
        <w:gridCol w:w="1310"/>
        <w:gridCol w:w="689"/>
      </w:tblGrid>
      <w:tr w:rsidR="00860800" w:rsidRPr="000E4B50" w14:paraId="5336C2BE" w14:textId="77777777" w:rsidTr="00111B5C">
        <w:tc>
          <w:tcPr>
            <w:tcW w:w="626" w:type="dxa"/>
          </w:tcPr>
          <w:p w14:paraId="0CC816AA"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S/N</w:t>
            </w:r>
          </w:p>
        </w:tc>
        <w:tc>
          <w:tcPr>
            <w:tcW w:w="5494" w:type="dxa"/>
          </w:tcPr>
          <w:p w14:paraId="731A3904"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Items</w:t>
            </w:r>
          </w:p>
        </w:tc>
        <w:tc>
          <w:tcPr>
            <w:tcW w:w="1185" w:type="dxa"/>
          </w:tcPr>
          <w:p w14:paraId="500A56AC"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YES</w:t>
            </w:r>
          </w:p>
        </w:tc>
        <w:tc>
          <w:tcPr>
            <w:tcW w:w="642" w:type="dxa"/>
          </w:tcPr>
          <w:p w14:paraId="37ABE704"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w:t>
            </w:r>
          </w:p>
        </w:tc>
        <w:tc>
          <w:tcPr>
            <w:tcW w:w="1310" w:type="dxa"/>
          </w:tcPr>
          <w:p w14:paraId="58CA58D2"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NO</w:t>
            </w:r>
          </w:p>
        </w:tc>
        <w:tc>
          <w:tcPr>
            <w:tcW w:w="689" w:type="dxa"/>
          </w:tcPr>
          <w:p w14:paraId="65BE5E5B"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w:t>
            </w:r>
          </w:p>
        </w:tc>
      </w:tr>
      <w:tr w:rsidR="00860800" w:rsidRPr="000E4B50" w14:paraId="7CFB2732" w14:textId="77777777" w:rsidTr="00111B5C">
        <w:tc>
          <w:tcPr>
            <w:tcW w:w="626" w:type="dxa"/>
          </w:tcPr>
          <w:p w14:paraId="76D9CC43"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w:t>
            </w:r>
          </w:p>
        </w:tc>
        <w:tc>
          <w:tcPr>
            <w:tcW w:w="5494" w:type="dxa"/>
          </w:tcPr>
          <w:p w14:paraId="1C7E0CFE"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 xml:space="preserve">Cooking with fuelwood is considered as part of culture </w:t>
            </w:r>
          </w:p>
        </w:tc>
        <w:tc>
          <w:tcPr>
            <w:tcW w:w="1185" w:type="dxa"/>
          </w:tcPr>
          <w:p w14:paraId="2AC5406B"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258</w:t>
            </w:r>
          </w:p>
        </w:tc>
        <w:tc>
          <w:tcPr>
            <w:tcW w:w="642" w:type="dxa"/>
          </w:tcPr>
          <w:p w14:paraId="6C452209"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65.8</w:t>
            </w:r>
          </w:p>
        </w:tc>
        <w:tc>
          <w:tcPr>
            <w:tcW w:w="1310" w:type="dxa"/>
          </w:tcPr>
          <w:p w14:paraId="333792F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134</w:t>
            </w:r>
          </w:p>
        </w:tc>
        <w:tc>
          <w:tcPr>
            <w:tcW w:w="689" w:type="dxa"/>
          </w:tcPr>
          <w:p w14:paraId="760D72D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34.2</w:t>
            </w:r>
          </w:p>
        </w:tc>
      </w:tr>
      <w:tr w:rsidR="00860800" w:rsidRPr="000E4B50" w14:paraId="1AF65123" w14:textId="77777777" w:rsidTr="00111B5C">
        <w:tc>
          <w:tcPr>
            <w:tcW w:w="626" w:type="dxa"/>
          </w:tcPr>
          <w:p w14:paraId="4A1BB6DA"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w:t>
            </w:r>
          </w:p>
        </w:tc>
        <w:tc>
          <w:tcPr>
            <w:tcW w:w="5494" w:type="dxa"/>
          </w:tcPr>
          <w:p w14:paraId="2442B59E"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Some people are scared of the risks involved with LPG</w:t>
            </w:r>
          </w:p>
        </w:tc>
        <w:tc>
          <w:tcPr>
            <w:tcW w:w="1185" w:type="dxa"/>
          </w:tcPr>
          <w:p w14:paraId="2E3E41DF"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240</w:t>
            </w:r>
          </w:p>
        </w:tc>
        <w:tc>
          <w:tcPr>
            <w:tcW w:w="642" w:type="dxa"/>
          </w:tcPr>
          <w:p w14:paraId="2571C8D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61.2</w:t>
            </w:r>
          </w:p>
        </w:tc>
        <w:tc>
          <w:tcPr>
            <w:tcW w:w="1310" w:type="dxa"/>
          </w:tcPr>
          <w:p w14:paraId="19322511"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152</w:t>
            </w:r>
          </w:p>
        </w:tc>
        <w:tc>
          <w:tcPr>
            <w:tcW w:w="689" w:type="dxa"/>
          </w:tcPr>
          <w:p w14:paraId="33C4AB8F"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38.8</w:t>
            </w:r>
          </w:p>
        </w:tc>
      </w:tr>
      <w:tr w:rsidR="00860800" w:rsidRPr="000E4B50" w14:paraId="1C2F9B13" w14:textId="77777777" w:rsidTr="00111B5C">
        <w:tc>
          <w:tcPr>
            <w:tcW w:w="626" w:type="dxa"/>
          </w:tcPr>
          <w:p w14:paraId="76936A6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w:t>
            </w:r>
          </w:p>
        </w:tc>
        <w:tc>
          <w:tcPr>
            <w:tcW w:w="5494" w:type="dxa"/>
          </w:tcPr>
          <w:p w14:paraId="1066D91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Firewood is available and can be obtained for free</w:t>
            </w:r>
          </w:p>
        </w:tc>
        <w:tc>
          <w:tcPr>
            <w:tcW w:w="1185" w:type="dxa"/>
          </w:tcPr>
          <w:p w14:paraId="54A282F2"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320</w:t>
            </w:r>
          </w:p>
        </w:tc>
        <w:tc>
          <w:tcPr>
            <w:tcW w:w="642" w:type="dxa"/>
          </w:tcPr>
          <w:p w14:paraId="79865DF8"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81.6</w:t>
            </w:r>
          </w:p>
        </w:tc>
        <w:tc>
          <w:tcPr>
            <w:tcW w:w="1310" w:type="dxa"/>
          </w:tcPr>
          <w:p w14:paraId="32CFEE0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72</w:t>
            </w:r>
          </w:p>
        </w:tc>
        <w:tc>
          <w:tcPr>
            <w:tcW w:w="689" w:type="dxa"/>
          </w:tcPr>
          <w:p w14:paraId="6DEC4568"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18.4</w:t>
            </w:r>
          </w:p>
        </w:tc>
      </w:tr>
      <w:tr w:rsidR="00860800" w:rsidRPr="000E4B50" w14:paraId="1D16B5AE" w14:textId="77777777" w:rsidTr="00111B5C">
        <w:tc>
          <w:tcPr>
            <w:tcW w:w="626" w:type="dxa"/>
          </w:tcPr>
          <w:p w14:paraId="695CD7C8"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4</w:t>
            </w:r>
          </w:p>
        </w:tc>
        <w:tc>
          <w:tcPr>
            <w:tcW w:w="5494" w:type="dxa"/>
          </w:tcPr>
          <w:p w14:paraId="29CEF01F"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The alternatives to fuelwood are more expensive</w:t>
            </w:r>
          </w:p>
        </w:tc>
        <w:tc>
          <w:tcPr>
            <w:tcW w:w="1185" w:type="dxa"/>
          </w:tcPr>
          <w:p w14:paraId="02DE8E49"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302</w:t>
            </w:r>
          </w:p>
        </w:tc>
        <w:tc>
          <w:tcPr>
            <w:tcW w:w="642" w:type="dxa"/>
          </w:tcPr>
          <w:p w14:paraId="2F0542C3"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77</w:t>
            </w:r>
          </w:p>
        </w:tc>
        <w:tc>
          <w:tcPr>
            <w:tcW w:w="1310" w:type="dxa"/>
          </w:tcPr>
          <w:p w14:paraId="77DF0E2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90</w:t>
            </w:r>
          </w:p>
        </w:tc>
        <w:tc>
          <w:tcPr>
            <w:tcW w:w="689" w:type="dxa"/>
          </w:tcPr>
          <w:p w14:paraId="432FD54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23</w:t>
            </w:r>
          </w:p>
        </w:tc>
      </w:tr>
      <w:tr w:rsidR="00860800" w:rsidRPr="000E4B50" w14:paraId="412C1014" w14:textId="77777777" w:rsidTr="00111B5C">
        <w:tc>
          <w:tcPr>
            <w:tcW w:w="626" w:type="dxa"/>
          </w:tcPr>
          <w:p w14:paraId="0B448B5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5</w:t>
            </w:r>
          </w:p>
        </w:tc>
        <w:tc>
          <w:tcPr>
            <w:tcW w:w="5494" w:type="dxa"/>
          </w:tcPr>
          <w:p w14:paraId="5FA3164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Fuelwood is more reliable for large scale cooking</w:t>
            </w:r>
          </w:p>
        </w:tc>
        <w:tc>
          <w:tcPr>
            <w:tcW w:w="1185" w:type="dxa"/>
          </w:tcPr>
          <w:p w14:paraId="0E9A4AB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300</w:t>
            </w:r>
          </w:p>
        </w:tc>
        <w:tc>
          <w:tcPr>
            <w:tcW w:w="642" w:type="dxa"/>
          </w:tcPr>
          <w:p w14:paraId="5030BBF9"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76.5</w:t>
            </w:r>
          </w:p>
        </w:tc>
        <w:tc>
          <w:tcPr>
            <w:tcW w:w="1310" w:type="dxa"/>
          </w:tcPr>
          <w:p w14:paraId="78A81E77"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92</w:t>
            </w:r>
          </w:p>
        </w:tc>
        <w:tc>
          <w:tcPr>
            <w:tcW w:w="689" w:type="dxa"/>
          </w:tcPr>
          <w:p w14:paraId="64A5A15B"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23.5</w:t>
            </w:r>
          </w:p>
        </w:tc>
      </w:tr>
      <w:tr w:rsidR="00860800" w:rsidRPr="000E4B50" w14:paraId="57CF5854" w14:textId="77777777" w:rsidTr="00111B5C">
        <w:tc>
          <w:tcPr>
            <w:tcW w:w="626" w:type="dxa"/>
          </w:tcPr>
          <w:p w14:paraId="527197F2"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6</w:t>
            </w:r>
          </w:p>
        </w:tc>
        <w:tc>
          <w:tcPr>
            <w:tcW w:w="5494" w:type="dxa"/>
          </w:tcPr>
          <w:p w14:paraId="6ADF0018"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LPG Refilling stations are difficult to find in some areas</w:t>
            </w:r>
          </w:p>
        </w:tc>
        <w:tc>
          <w:tcPr>
            <w:tcW w:w="1185" w:type="dxa"/>
          </w:tcPr>
          <w:p w14:paraId="0813891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260</w:t>
            </w:r>
          </w:p>
        </w:tc>
        <w:tc>
          <w:tcPr>
            <w:tcW w:w="642" w:type="dxa"/>
          </w:tcPr>
          <w:p w14:paraId="707FE2B1"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66.3</w:t>
            </w:r>
          </w:p>
        </w:tc>
        <w:tc>
          <w:tcPr>
            <w:tcW w:w="1310" w:type="dxa"/>
          </w:tcPr>
          <w:p w14:paraId="7528933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132</w:t>
            </w:r>
          </w:p>
        </w:tc>
        <w:tc>
          <w:tcPr>
            <w:tcW w:w="689" w:type="dxa"/>
          </w:tcPr>
          <w:p w14:paraId="30A57D9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33,7</w:t>
            </w:r>
          </w:p>
        </w:tc>
      </w:tr>
      <w:tr w:rsidR="00860800" w:rsidRPr="000E4B50" w14:paraId="325D6409" w14:textId="77777777" w:rsidTr="00111B5C">
        <w:tc>
          <w:tcPr>
            <w:tcW w:w="626" w:type="dxa"/>
          </w:tcPr>
          <w:p w14:paraId="487C65E2"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7</w:t>
            </w:r>
          </w:p>
        </w:tc>
        <w:tc>
          <w:tcPr>
            <w:tcW w:w="5494" w:type="dxa"/>
          </w:tcPr>
          <w:p w14:paraId="675D60FF"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 xml:space="preserve">Poverty and low income </w:t>
            </w:r>
          </w:p>
        </w:tc>
        <w:tc>
          <w:tcPr>
            <w:tcW w:w="1185" w:type="dxa"/>
          </w:tcPr>
          <w:p w14:paraId="045F04EF"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322</w:t>
            </w:r>
          </w:p>
        </w:tc>
        <w:tc>
          <w:tcPr>
            <w:tcW w:w="642" w:type="dxa"/>
          </w:tcPr>
          <w:p w14:paraId="4C4D06B0"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82.4</w:t>
            </w:r>
          </w:p>
        </w:tc>
        <w:tc>
          <w:tcPr>
            <w:tcW w:w="1310" w:type="dxa"/>
          </w:tcPr>
          <w:p w14:paraId="42065AD0"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70</w:t>
            </w:r>
          </w:p>
        </w:tc>
        <w:tc>
          <w:tcPr>
            <w:tcW w:w="689" w:type="dxa"/>
          </w:tcPr>
          <w:p w14:paraId="08D6C558"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17,6</w:t>
            </w:r>
          </w:p>
        </w:tc>
      </w:tr>
      <w:tr w:rsidR="00860800" w:rsidRPr="000E4B50" w14:paraId="1720FA9A" w14:textId="77777777" w:rsidTr="00111B5C">
        <w:tc>
          <w:tcPr>
            <w:tcW w:w="626" w:type="dxa"/>
          </w:tcPr>
          <w:p w14:paraId="43D38769"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8</w:t>
            </w:r>
          </w:p>
        </w:tc>
        <w:tc>
          <w:tcPr>
            <w:tcW w:w="5494" w:type="dxa"/>
          </w:tcPr>
          <w:p w14:paraId="24FE8E5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Some activities such burning bricks. herbal concoctions require heating from fuelwood</w:t>
            </w:r>
          </w:p>
        </w:tc>
        <w:tc>
          <w:tcPr>
            <w:tcW w:w="1185" w:type="dxa"/>
          </w:tcPr>
          <w:p w14:paraId="54A6F56B"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260</w:t>
            </w:r>
          </w:p>
        </w:tc>
        <w:tc>
          <w:tcPr>
            <w:tcW w:w="642" w:type="dxa"/>
          </w:tcPr>
          <w:p w14:paraId="2421FFF6"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66.3</w:t>
            </w:r>
          </w:p>
        </w:tc>
        <w:tc>
          <w:tcPr>
            <w:tcW w:w="1310" w:type="dxa"/>
          </w:tcPr>
          <w:p w14:paraId="47653E08"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132</w:t>
            </w:r>
          </w:p>
        </w:tc>
        <w:tc>
          <w:tcPr>
            <w:tcW w:w="689" w:type="dxa"/>
          </w:tcPr>
          <w:p w14:paraId="1209A58E"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33,7</w:t>
            </w:r>
          </w:p>
        </w:tc>
      </w:tr>
    </w:tbl>
    <w:p w14:paraId="673A9A65" w14:textId="77777777" w:rsidR="00860800" w:rsidRPr="000E4B50" w:rsidRDefault="00860800" w:rsidP="00860800">
      <w:pPr>
        <w:tabs>
          <w:tab w:val="left" w:pos="2517"/>
        </w:tabs>
        <w:spacing w:line="480" w:lineRule="auto"/>
        <w:jc w:val="both"/>
        <w:rPr>
          <w:rFonts w:asciiTheme="majorBidi" w:hAnsiTheme="majorBidi" w:cstheme="majorBidi"/>
          <w:b/>
          <w:bCs/>
          <w:sz w:val="2"/>
          <w:szCs w:val="24"/>
        </w:rPr>
      </w:pPr>
    </w:p>
    <w:p w14:paraId="4E41F439" w14:textId="77777777" w:rsidR="00860800" w:rsidRPr="000E4B50" w:rsidRDefault="00860800" w:rsidP="00860800">
      <w:pPr>
        <w:tabs>
          <w:tab w:val="left" w:pos="2517"/>
        </w:tabs>
        <w:spacing w:line="480" w:lineRule="auto"/>
        <w:jc w:val="both"/>
        <w:rPr>
          <w:rFonts w:asciiTheme="majorBidi" w:hAnsiTheme="majorBidi" w:cstheme="majorBidi"/>
          <w:b/>
          <w:sz w:val="24"/>
          <w:szCs w:val="24"/>
        </w:rPr>
      </w:pPr>
      <w:r w:rsidRPr="000E4B50">
        <w:rPr>
          <w:rFonts w:asciiTheme="majorBidi" w:hAnsiTheme="majorBidi" w:cstheme="majorBidi"/>
          <w:b/>
          <w:bCs/>
          <w:sz w:val="24"/>
          <w:szCs w:val="24"/>
        </w:rPr>
        <w:t>S</w:t>
      </w:r>
      <w:r w:rsidRPr="000E4B50">
        <w:rPr>
          <w:rFonts w:asciiTheme="majorBidi" w:hAnsiTheme="majorBidi" w:cstheme="majorBidi"/>
          <w:b/>
          <w:sz w:val="24"/>
          <w:szCs w:val="24"/>
        </w:rPr>
        <w:t>ource</w:t>
      </w:r>
      <w:r w:rsidRPr="000E4B50">
        <w:rPr>
          <w:rFonts w:asciiTheme="majorBidi" w:hAnsiTheme="majorBidi" w:cstheme="majorBidi"/>
          <w:b/>
          <w:bCs/>
          <w:sz w:val="24"/>
          <w:szCs w:val="24"/>
        </w:rPr>
        <w:t>:</w:t>
      </w:r>
      <w:r w:rsidRPr="000E4B50">
        <w:rPr>
          <w:rFonts w:asciiTheme="majorBidi" w:hAnsiTheme="majorBidi" w:cstheme="majorBidi"/>
          <w:b/>
          <w:sz w:val="24"/>
          <w:szCs w:val="24"/>
        </w:rPr>
        <w:t xml:space="preserve"> Researchers’ Field Survey, May, 2026</w:t>
      </w:r>
    </w:p>
    <w:p w14:paraId="53431F40" w14:textId="77777777" w:rsidR="00860800" w:rsidRPr="000E4B50" w:rsidRDefault="00860800" w:rsidP="00FF1C41">
      <w:pPr>
        <w:tabs>
          <w:tab w:val="left" w:pos="2517"/>
        </w:tabs>
        <w:spacing w:line="480" w:lineRule="auto"/>
        <w:jc w:val="both"/>
        <w:rPr>
          <w:rFonts w:asciiTheme="majorBidi" w:hAnsiTheme="majorBidi" w:cstheme="majorBidi"/>
          <w:sz w:val="24"/>
          <w:szCs w:val="24"/>
        </w:rPr>
      </w:pPr>
      <w:r w:rsidRPr="000E4B50">
        <w:t>Poverty and low income had the highest percentage, with 322 respondents (82.4%) identifying them as major causes of fuelwood consumption in Benue State. Second in this ranking were 320 respondents (81.6%) who indicated that fuelwood is available and can be obtained for free. This was followed by 302 respondents (77%) who indicated that alternatives to fuelwood are more expensive. Three hundred respondents (76.5%) indicated that fuelwood is more reliable for large-scale cooking. The views that LPG refilling stations are difficult to find in some areas and that some activities, such as brick burning and the heating of herbal concoctions, require fuelwood were held by 260 respondents (66.3%). Two hundred and fifty-eight respondents (65.8%) indicated that cooking with fuelwood is considered part of culture, while 240 respondents (61.2%) indicated that some people are afraid of the risks associated with LPG and therefore opt for fuelwood.</w:t>
      </w:r>
    </w:p>
    <w:p w14:paraId="5112AD58" w14:textId="77777777" w:rsidR="00860800" w:rsidRPr="000E4B50" w:rsidRDefault="00860800" w:rsidP="00860800">
      <w:pPr>
        <w:autoSpaceDE w:val="0"/>
        <w:autoSpaceDN w:val="0"/>
        <w:adjustRightInd w:val="0"/>
        <w:jc w:val="both"/>
        <w:rPr>
          <w:rFonts w:ascii="Times New Roman" w:hAnsi="Times New Roman"/>
          <w:b/>
          <w:sz w:val="24"/>
          <w:szCs w:val="24"/>
        </w:rPr>
      </w:pPr>
      <w:r w:rsidRPr="000E4B50">
        <w:rPr>
          <w:rFonts w:ascii="Times New Roman" w:hAnsi="Times New Roman"/>
          <w:b/>
          <w:sz w:val="24"/>
          <w:szCs w:val="24"/>
        </w:rPr>
        <w:lastRenderedPageBreak/>
        <w:t>Research Question 2. In what major ways is fuelwood mainly consumed in Benue State?</w:t>
      </w:r>
    </w:p>
    <w:p w14:paraId="5490F3AA" w14:textId="77777777" w:rsidR="00860800" w:rsidRPr="000E4B50" w:rsidRDefault="00860800" w:rsidP="00DA3B27">
      <w:pPr>
        <w:spacing w:after="0" w:line="480" w:lineRule="auto"/>
        <w:jc w:val="both"/>
        <w:rPr>
          <w:rFonts w:asciiTheme="majorBidi" w:hAnsiTheme="majorBidi" w:cstheme="majorBidi"/>
          <w:b/>
          <w:sz w:val="24"/>
          <w:szCs w:val="24"/>
        </w:rPr>
      </w:pPr>
      <w:r w:rsidRPr="000E4B50">
        <w:rPr>
          <w:rFonts w:ascii="Times New Roman" w:hAnsi="Times New Roman"/>
          <w:b/>
          <w:sz w:val="24"/>
          <w:szCs w:val="24"/>
        </w:rPr>
        <w:t xml:space="preserve"> </w:t>
      </w:r>
      <w:r w:rsidR="007E6821" w:rsidRPr="000E4B50">
        <w:rPr>
          <w:rFonts w:asciiTheme="majorBidi" w:hAnsiTheme="majorBidi" w:cstheme="majorBidi"/>
          <w:b/>
          <w:sz w:val="24"/>
          <w:szCs w:val="24"/>
        </w:rPr>
        <w:t xml:space="preserve">Table 2: </w:t>
      </w:r>
      <w:r w:rsidRPr="000E4B50">
        <w:rPr>
          <w:rFonts w:asciiTheme="majorBidi" w:hAnsiTheme="majorBidi" w:cstheme="majorBidi"/>
          <w:b/>
          <w:sz w:val="24"/>
          <w:szCs w:val="24"/>
        </w:rPr>
        <w:t>Major ways in which Fuelwood is Consumed in Benue State.</w:t>
      </w:r>
    </w:p>
    <w:tbl>
      <w:tblPr>
        <w:tblStyle w:val="TableGrid"/>
        <w:tblW w:w="9946" w:type="dxa"/>
        <w:tblInd w:w="-5" w:type="dxa"/>
        <w:tblLook w:val="04A0" w:firstRow="1" w:lastRow="0" w:firstColumn="1" w:lastColumn="0" w:noHBand="0" w:noVBand="1"/>
      </w:tblPr>
      <w:tblGrid>
        <w:gridCol w:w="626"/>
        <w:gridCol w:w="5494"/>
        <w:gridCol w:w="1185"/>
        <w:gridCol w:w="642"/>
        <w:gridCol w:w="1310"/>
        <w:gridCol w:w="689"/>
      </w:tblGrid>
      <w:tr w:rsidR="00860800" w:rsidRPr="000E4B50" w14:paraId="071A84F6" w14:textId="77777777" w:rsidTr="00111B5C">
        <w:tc>
          <w:tcPr>
            <w:tcW w:w="626" w:type="dxa"/>
          </w:tcPr>
          <w:p w14:paraId="57E0B3C6"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S/N</w:t>
            </w:r>
          </w:p>
        </w:tc>
        <w:tc>
          <w:tcPr>
            <w:tcW w:w="5494" w:type="dxa"/>
          </w:tcPr>
          <w:p w14:paraId="625D85CC"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Items</w:t>
            </w:r>
          </w:p>
        </w:tc>
        <w:tc>
          <w:tcPr>
            <w:tcW w:w="1185" w:type="dxa"/>
          </w:tcPr>
          <w:p w14:paraId="38E2DF44"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YES</w:t>
            </w:r>
          </w:p>
        </w:tc>
        <w:tc>
          <w:tcPr>
            <w:tcW w:w="642" w:type="dxa"/>
          </w:tcPr>
          <w:p w14:paraId="729C0CB7"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w:t>
            </w:r>
          </w:p>
        </w:tc>
        <w:tc>
          <w:tcPr>
            <w:tcW w:w="1310" w:type="dxa"/>
          </w:tcPr>
          <w:p w14:paraId="67A0C097"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NO</w:t>
            </w:r>
          </w:p>
        </w:tc>
        <w:tc>
          <w:tcPr>
            <w:tcW w:w="689" w:type="dxa"/>
          </w:tcPr>
          <w:p w14:paraId="1D09414A"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w:t>
            </w:r>
          </w:p>
        </w:tc>
      </w:tr>
      <w:tr w:rsidR="00860800" w:rsidRPr="000E4B50" w14:paraId="537C3B2B" w14:textId="77777777" w:rsidTr="00111B5C">
        <w:tc>
          <w:tcPr>
            <w:tcW w:w="626" w:type="dxa"/>
          </w:tcPr>
          <w:p w14:paraId="1F6B7303"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w:t>
            </w:r>
          </w:p>
        </w:tc>
        <w:tc>
          <w:tcPr>
            <w:tcW w:w="5494" w:type="dxa"/>
          </w:tcPr>
          <w:p w14:paraId="782802EB"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It is directly used as firewood and used for cooking</w:t>
            </w:r>
          </w:p>
        </w:tc>
        <w:tc>
          <w:tcPr>
            <w:tcW w:w="1185" w:type="dxa"/>
          </w:tcPr>
          <w:p w14:paraId="3204E07E"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341</w:t>
            </w:r>
          </w:p>
        </w:tc>
        <w:tc>
          <w:tcPr>
            <w:tcW w:w="642" w:type="dxa"/>
          </w:tcPr>
          <w:p w14:paraId="002503A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87</w:t>
            </w:r>
          </w:p>
        </w:tc>
        <w:tc>
          <w:tcPr>
            <w:tcW w:w="1310" w:type="dxa"/>
          </w:tcPr>
          <w:p w14:paraId="27095118"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51</w:t>
            </w:r>
          </w:p>
        </w:tc>
        <w:tc>
          <w:tcPr>
            <w:tcW w:w="689" w:type="dxa"/>
          </w:tcPr>
          <w:p w14:paraId="2B78C722"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13</w:t>
            </w:r>
          </w:p>
        </w:tc>
      </w:tr>
      <w:tr w:rsidR="00860800" w:rsidRPr="000E4B50" w14:paraId="10DC1481" w14:textId="77777777" w:rsidTr="00111B5C">
        <w:tc>
          <w:tcPr>
            <w:tcW w:w="626" w:type="dxa"/>
          </w:tcPr>
          <w:p w14:paraId="5FF6B5F6"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w:t>
            </w:r>
          </w:p>
        </w:tc>
        <w:tc>
          <w:tcPr>
            <w:tcW w:w="5494" w:type="dxa"/>
          </w:tcPr>
          <w:p w14:paraId="16AF9A4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It is processed into charcoal and used for cooking</w:t>
            </w:r>
          </w:p>
        </w:tc>
        <w:tc>
          <w:tcPr>
            <w:tcW w:w="1185" w:type="dxa"/>
          </w:tcPr>
          <w:p w14:paraId="69BF401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323</w:t>
            </w:r>
          </w:p>
        </w:tc>
        <w:tc>
          <w:tcPr>
            <w:tcW w:w="642" w:type="dxa"/>
          </w:tcPr>
          <w:p w14:paraId="690A43B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82.4</w:t>
            </w:r>
          </w:p>
        </w:tc>
        <w:tc>
          <w:tcPr>
            <w:tcW w:w="1310" w:type="dxa"/>
          </w:tcPr>
          <w:p w14:paraId="49D588E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72</w:t>
            </w:r>
          </w:p>
        </w:tc>
        <w:tc>
          <w:tcPr>
            <w:tcW w:w="689" w:type="dxa"/>
          </w:tcPr>
          <w:p w14:paraId="1FF18DD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17.6</w:t>
            </w:r>
          </w:p>
        </w:tc>
      </w:tr>
      <w:tr w:rsidR="00860800" w:rsidRPr="000E4B50" w14:paraId="5DC50C67" w14:textId="77777777" w:rsidTr="00111B5C">
        <w:tc>
          <w:tcPr>
            <w:tcW w:w="626" w:type="dxa"/>
          </w:tcPr>
          <w:p w14:paraId="660B5BB3"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w:t>
            </w:r>
          </w:p>
        </w:tc>
        <w:tc>
          <w:tcPr>
            <w:tcW w:w="5494" w:type="dxa"/>
          </w:tcPr>
          <w:p w14:paraId="5CC9BCC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It is burnt as logs when burning bricks</w:t>
            </w:r>
          </w:p>
        </w:tc>
        <w:tc>
          <w:tcPr>
            <w:tcW w:w="1185" w:type="dxa"/>
          </w:tcPr>
          <w:p w14:paraId="425B83C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303</w:t>
            </w:r>
          </w:p>
        </w:tc>
        <w:tc>
          <w:tcPr>
            <w:tcW w:w="642" w:type="dxa"/>
          </w:tcPr>
          <w:p w14:paraId="4BDAEADE"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77.3</w:t>
            </w:r>
          </w:p>
        </w:tc>
        <w:tc>
          <w:tcPr>
            <w:tcW w:w="1310" w:type="dxa"/>
          </w:tcPr>
          <w:p w14:paraId="2871195F"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89</w:t>
            </w:r>
          </w:p>
        </w:tc>
        <w:tc>
          <w:tcPr>
            <w:tcW w:w="689" w:type="dxa"/>
          </w:tcPr>
          <w:p w14:paraId="15E7195F"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22.7</w:t>
            </w:r>
          </w:p>
        </w:tc>
      </w:tr>
      <w:tr w:rsidR="00860800" w:rsidRPr="000E4B50" w14:paraId="6233888C" w14:textId="77777777" w:rsidTr="00111B5C">
        <w:tc>
          <w:tcPr>
            <w:tcW w:w="626" w:type="dxa"/>
          </w:tcPr>
          <w:p w14:paraId="6B79C2C7"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4</w:t>
            </w:r>
          </w:p>
        </w:tc>
        <w:tc>
          <w:tcPr>
            <w:tcW w:w="5494" w:type="dxa"/>
          </w:tcPr>
          <w:p w14:paraId="393233B2"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It used as logs in factories to produce heat</w:t>
            </w:r>
          </w:p>
        </w:tc>
        <w:tc>
          <w:tcPr>
            <w:tcW w:w="1185" w:type="dxa"/>
          </w:tcPr>
          <w:p w14:paraId="55F6009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302</w:t>
            </w:r>
          </w:p>
        </w:tc>
        <w:tc>
          <w:tcPr>
            <w:tcW w:w="642" w:type="dxa"/>
          </w:tcPr>
          <w:p w14:paraId="598275C7"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77</w:t>
            </w:r>
          </w:p>
        </w:tc>
        <w:tc>
          <w:tcPr>
            <w:tcW w:w="1310" w:type="dxa"/>
          </w:tcPr>
          <w:p w14:paraId="7CED3EF6"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90</w:t>
            </w:r>
          </w:p>
        </w:tc>
        <w:tc>
          <w:tcPr>
            <w:tcW w:w="689" w:type="dxa"/>
          </w:tcPr>
          <w:p w14:paraId="3495643F"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23</w:t>
            </w:r>
          </w:p>
        </w:tc>
      </w:tr>
      <w:tr w:rsidR="00860800" w:rsidRPr="000E4B50" w14:paraId="39A87ECB" w14:textId="77777777" w:rsidTr="00111B5C">
        <w:tc>
          <w:tcPr>
            <w:tcW w:w="626" w:type="dxa"/>
          </w:tcPr>
          <w:p w14:paraId="6E0A3D8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5</w:t>
            </w:r>
          </w:p>
        </w:tc>
        <w:tc>
          <w:tcPr>
            <w:tcW w:w="5494" w:type="dxa"/>
          </w:tcPr>
          <w:p w14:paraId="19E70F47"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It is sold to outsiders to earn income</w:t>
            </w:r>
          </w:p>
        </w:tc>
        <w:tc>
          <w:tcPr>
            <w:tcW w:w="1185" w:type="dxa"/>
          </w:tcPr>
          <w:p w14:paraId="5041E94A"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209</w:t>
            </w:r>
          </w:p>
        </w:tc>
        <w:tc>
          <w:tcPr>
            <w:tcW w:w="642" w:type="dxa"/>
          </w:tcPr>
          <w:p w14:paraId="0B9F9533"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53.3</w:t>
            </w:r>
          </w:p>
        </w:tc>
        <w:tc>
          <w:tcPr>
            <w:tcW w:w="1310" w:type="dxa"/>
          </w:tcPr>
          <w:p w14:paraId="042B8CCA"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183</w:t>
            </w:r>
          </w:p>
        </w:tc>
        <w:tc>
          <w:tcPr>
            <w:tcW w:w="689" w:type="dxa"/>
          </w:tcPr>
          <w:p w14:paraId="15C4CAE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46.7</w:t>
            </w:r>
          </w:p>
        </w:tc>
      </w:tr>
    </w:tbl>
    <w:p w14:paraId="10151627" w14:textId="77777777" w:rsidR="00B87964" w:rsidRPr="000E4B50" w:rsidRDefault="00860800" w:rsidP="00860800">
      <w:pPr>
        <w:tabs>
          <w:tab w:val="left" w:pos="2517"/>
        </w:tabs>
        <w:spacing w:line="480" w:lineRule="auto"/>
        <w:jc w:val="both"/>
        <w:rPr>
          <w:rFonts w:asciiTheme="majorBidi" w:hAnsiTheme="majorBidi" w:cstheme="majorBidi"/>
          <w:b/>
          <w:sz w:val="24"/>
          <w:szCs w:val="24"/>
        </w:rPr>
      </w:pPr>
      <w:r w:rsidRPr="000E4B50">
        <w:rPr>
          <w:rFonts w:asciiTheme="majorBidi" w:hAnsiTheme="majorBidi" w:cstheme="majorBidi"/>
          <w:b/>
          <w:bCs/>
          <w:sz w:val="24"/>
          <w:szCs w:val="24"/>
        </w:rPr>
        <w:t>S</w:t>
      </w:r>
      <w:r w:rsidRPr="000E4B50">
        <w:rPr>
          <w:rFonts w:asciiTheme="majorBidi" w:hAnsiTheme="majorBidi" w:cstheme="majorBidi"/>
          <w:b/>
          <w:sz w:val="24"/>
          <w:szCs w:val="24"/>
        </w:rPr>
        <w:t>ource</w:t>
      </w:r>
      <w:r w:rsidRPr="000E4B50">
        <w:rPr>
          <w:rFonts w:asciiTheme="majorBidi" w:hAnsiTheme="majorBidi" w:cstheme="majorBidi"/>
          <w:b/>
          <w:bCs/>
          <w:sz w:val="24"/>
          <w:szCs w:val="24"/>
        </w:rPr>
        <w:t>:</w:t>
      </w:r>
      <w:r w:rsidRPr="000E4B50">
        <w:rPr>
          <w:rFonts w:asciiTheme="majorBidi" w:hAnsiTheme="majorBidi" w:cstheme="majorBidi"/>
          <w:b/>
          <w:sz w:val="24"/>
          <w:szCs w:val="24"/>
        </w:rPr>
        <w:t xml:space="preserve"> Researchers’ Field Survey, May, 2026</w:t>
      </w:r>
    </w:p>
    <w:p w14:paraId="13FF98EF" w14:textId="77777777" w:rsidR="00860800" w:rsidRPr="000E4B50" w:rsidRDefault="00860800" w:rsidP="00860800">
      <w:pPr>
        <w:tabs>
          <w:tab w:val="left" w:pos="2517"/>
        </w:tabs>
        <w:spacing w:line="480" w:lineRule="auto"/>
        <w:jc w:val="both"/>
        <w:rPr>
          <w:rFonts w:asciiTheme="majorBidi" w:hAnsiTheme="majorBidi" w:cstheme="majorBidi"/>
          <w:b/>
          <w:sz w:val="24"/>
          <w:szCs w:val="24"/>
        </w:rPr>
      </w:pPr>
      <w:r w:rsidRPr="000E4B50">
        <w:t>Table 2 indicates that the majority of the population, 341 respondents (87%), directly used fuelwood as firewood. This was followed by charcoal use, reported by 323 respondents (82.4%), while 303 respondents (77.3%) indicated that fuelwood is used as logs in the burnt-brick industry. This was closely followed by the use of fuelwood as logs in factories to produce heat, as indicated by 302 respondents (77%). The final form of exploitation was the sale of fuelwood to outsiders to earn income, as indicated by 209 respondents (53.3%).</w:t>
      </w:r>
    </w:p>
    <w:p w14:paraId="4F9AB63B" w14:textId="77777777" w:rsidR="00B87964" w:rsidRPr="000E4B50" w:rsidRDefault="00860800" w:rsidP="00B87964">
      <w:pPr>
        <w:pStyle w:val="ListParagraph"/>
        <w:spacing w:after="0" w:line="240" w:lineRule="auto"/>
        <w:ind w:left="2340" w:hanging="2340"/>
        <w:jc w:val="both"/>
        <w:rPr>
          <w:rFonts w:ascii="Times New Roman" w:hAnsi="Times New Roman"/>
          <w:b/>
          <w:sz w:val="24"/>
          <w:szCs w:val="24"/>
        </w:rPr>
      </w:pPr>
      <w:r w:rsidRPr="000E4B50">
        <w:rPr>
          <w:rFonts w:ascii="Times New Roman" w:hAnsi="Times New Roman"/>
          <w:b/>
          <w:sz w:val="24"/>
          <w:szCs w:val="24"/>
        </w:rPr>
        <w:t>Research Question 3. How often is fuelwood consumed in Household (Benue State)?</w:t>
      </w:r>
    </w:p>
    <w:p w14:paraId="7D4DD21E" w14:textId="77777777" w:rsidR="00DA3B27" w:rsidRPr="000E4B50" w:rsidRDefault="00DA3B27" w:rsidP="00B87964">
      <w:pPr>
        <w:pStyle w:val="ListParagraph"/>
        <w:spacing w:after="0" w:line="240" w:lineRule="auto"/>
        <w:ind w:left="2340" w:hanging="2340"/>
        <w:jc w:val="both"/>
        <w:rPr>
          <w:rFonts w:asciiTheme="majorBidi" w:hAnsiTheme="majorBidi" w:cstheme="majorBidi"/>
          <w:b/>
          <w:sz w:val="24"/>
          <w:szCs w:val="24"/>
        </w:rPr>
      </w:pPr>
    </w:p>
    <w:p w14:paraId="2D82BD30" w14:textId="77777777" w:rsidR="00860800" w:rsidRPr="000E4B50" w:rsidRDefault="007E6821" w:rsidP="00DA3B27">
      <w:pPr>
        <w:pStyle w:val="ListParagraph"/>
        <w:spacing w:after="0" w:line="240" w:lineRule="auto"/>
        <w:ind w:left="2340" w:hanging="2340"/>
        <w:jc w:val="both"/>
        <w:rPr>
          <w:rFonts w:ascii="Times New Roman" w:hAnsi="Times New Roman"/>
          <w:sz w:val="24"/>
          <w:szCs w:val="24"/>
        </w:rPr>
      </w:pPr>
      <w:r w:rsidRPr="000E4B50">
        <w:rPr>
          <w:rFonts w:asciiTheme="majorBidi" w:hAnsiTheme="majorBidi" w:cstheme="majorBidi"/>
          <w:b/>
          <w:sz w:val="24"/>
          <w:szCs w:val="24"/>
        </w:rPr>
        <w:t xml:space="preserve">Table 3: </w:t>
      </w:r>
      <w:r w:rsidRPr="000E4B50">
        <w:rPr>
          <w:rFonts w:ascii="Times New Roman" w:hAnsi="Times New Roman"/>
          <w:b/>
          <w:sz w:val="24"/>
          <w:szCs w:val="24"/>
        </w:rPr>
        <w:t xml:space="preserve">Percentage Fuelwood </w:t>
      </w:r>
      <w:r w:rsidR="001E76AB" w:rsidRPr="000E4B50">
        <w:rPr>
          <w:rFonts w:ascii="Times New Roman" w:hAnsi="Times New Roman"/>
          <w:b/>
          <w:sz w:val="24"/>
          <w:szCs w:val="24"/>
        </w:rPr>
        <w:t>consumption</w:t>
      </w:r>
      <w:r w:rsidR="00860800" w:rsidRPr="000E4B50">
        <w:rPr>
          <w:rFonts w:ascii="Times New Roman" w:hAnsi="Times New Roman"/>
          <w:b/>
          <w:sz w:val="24"/>
          <w:szCs w:val="24"/>
        </w:rPr>
        <w:t xml:space="preserve"> in Benue State</w:t>
      </w:r>
    </w:p>
    <w:tbl>
      <w:tblPr>
        <w:tblStyle w:val="TableGrid"/>
        <w:tblW w:w="9180" w:type="dxa"/>
        <w:tblInd w:w="-5" w:type="dxa"/>
        <w:tblLook w:val="04A0" w:firstRow="1" w:lastRow="0" w:firstColumn="1" w:lastColumn="0" w:noHBand="0" w:noVBand="1"/>
      </w:tblPr>
      <w:tblGrid>
        <w:gridCol w:w="626"/>
        <w:gridCol w:w="5467"/>
        <w:gridCol w:w="1467"/>
        <w:gridCol w:w="1620"/>
      </w:tblGrid>
      <w:tr w:rsidR="00860800" w:rsidRPr="000E4B50" w14:paraId="5D47ABF3" w14:textId="77777777" w:rsidTr="00111B5C">
        <w:tc>
          <w:tcPr>
            <w:tcW w:w="626" w:type="dxa"/>
          </w:tcPr>
          <w:p w14:paraId="0BA0B0AF"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S/N</w:t>
            </w:r>
          </w:p>
        </w:tc>
        <w:tc>
          <w:tcPr>
            <w:tcW w:w="5467" w:type="dxa"/>
          </w:tcPr>
          <w:p w14:paraId="2EA6DFAD"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Items</w:t>
            </w:r>
          </w:p>
        </w:tc>
        <w:tc>
          <w:tcPr>
            <w:tcW w:w="1467" w:type="dxa"/>
          </w:tcPr>
          <w:p w14:paraId="52DFA8DE"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Frequency</w:t>
            </w:r>
          </w:p>
        </w:tc>
        <w:tc>
          <w:tcPr>
            <w:tcW w:w="1620" w:type="dxa"/>
          </w:tcPr>
          <w:p w14:paraId="695E2F40"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w:t>
            </w:r>
          </w:p>
        </w:tc>
      </w:tr>
      <w:tr w:rsidR="00860800" w:rsidRPr="000E4B50" w14:paraId="50B72C86" w14:textId="77777777" w:rsidTr="00111B5C">
        <w:tc>
          <w:tcPr>
            <w:tcW w:w="626" w:type="dxa"/>
          </w:tcPr>
          <w:p w14:paraId="219C733A"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w:t>
            </w:r>
          </w:p>
        </w:tc>
        <w:tc>
          <w:tcPr>
            <w:tcW w:w="5467" w:type="dxa"/>
          </w:tcPr>
          <w:p w14:paraId="09FD4BC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 xml:space="preserve">Fuelwood is always used </w:t>
            </w:r>
          </w:p>
        </w:tc>
        <w:tc>
          <w:tcPr>
            <w:tcW w:w="1467" w:type="dxa"/>
          </w:tcPr>
          <w:p w14:paraId="555073EC"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247</w:t>
            </w:r>
          </w:p>
        </w:tc>
        <w:tc>
          <w:tcPr>
            <w:tcW w:w="1620" w:type="dxa"/>
          </w:tcPr>
          <w:p w14:paraId="0A7BF6C9"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63</w:t>
            </w:r>
          </w:p>
        </w:tc>
      </w:tr>
      <w:tr w:rsidR="00860800" w:rsidRPr="000E4B50" w14:paraId="56B74489" w14:textId="77777777" w:rsidTr="00111B5C">
        <w:tc>
          <w:tcPr>
            <w:tcW w:w="626" w:type="dxa"/>
          </w:tcPr>
          <w:p w14:paraId="1E33F0AA"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w:t>
            </w:r>
          </w:p>
        </w:tc>
        <w:tc>
          <w:tcPr>
            <w:tcW w:w="5467" w:type="dxa"/>
          </w:tcPr>
          <w:p w14:paraId="49A47762"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Fuelwood has never been used</w:t>
            </w:r>
          </w:p>
        </w:tc>
        <w:tc>
          <w:tcPr>
            <w:tcW w:w="1467" w:type="dxa"/>
          </w:tcPr>
          <w:p w14:paraId="4584CB5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24</w:t>
            </w:r>
          </w:p>
        </w:tc>
        <w:tc>
          <w:tcPr>
            <w:tcW w:w="1620" w:type="dxa"/>
          </w:tcPr>
          <w:p w14:paraId="127968D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6.</w:t>
            </w:r>
          </w:p>
        </w:tc>
      </w:tr>
      <w:tr w:rsidR="00860800" w:rsidRPr="000E4B50" w14:paraId="51954EAD" w14:textId="77777777" w:rsidTr="00111B5C">
        <w:tc>
          <w:tcPr>
            <w:tcW w:w="626" w:type="dxa"/>
          </w:tcPr>
          <w:p w14:paraId="4FCD2C76"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w:t>
            </w:r>
          </w:p>
        </w:tc>
        <w:tc>
          <w:tcPr>
            <w:tcW w:w="5467" w:type="dxa"/>
          </w:tcPr>
          <w:p w14:paraId="0D2F8BE7"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Fuelwood is sometimes used</w:t>
            </w:r>
          </w:p>
        </w:tc>
        <w:tc>
          <w:tcPr>
            <w:tcW w:w="1467" w:type="dxa"/>
          </w:tcPr>
          <w:p w14:paraId="7416D902"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47</w:t>
            </w:r>
          </w:p>
        </w:tc>
        <w:tc>
          <w:tcPr>
            <w:tcW w:w="1620" w:type="dxa"/>
          </w:tcPr>
          <w:p w14:paraId="2B90157E"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12</w:t>
            </w:r>
          </w:p>
        </w:tc>
      </w:tr>
      <w:tr w:rsidR="00860800" w:rsidRPr="000E4B50" w14:paraId="4A0F61C1" w14:textId="77777777" w:rsidTr="00111B5C">
        <w:tc>
          <w:tcPr>
            <w:tcW w:w="626" w:type="dxa"/>
          </w:tcPr>
          <w:p w14:paraId="67F81CC2"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4</w:t>
            </w:r>
          </w:p>
        </w:tc>
        <w:tc>
          <w:tcPr>
            <w:tcW w:w="5467" w:type="dxa"/>
          </w:tcPr>
          <w:p w14:paraId="34743D7B" w14:textId="77777777" w:rsidR="00860800" w:rsidRPr="000E4B50" w:rsidRDefault="00860800" w:rsidP="00860800">
            <w:pPr>
              <w:tabs>
                <w:tab w:val="left" w:pos="2517"/>
              </w:tabs>
              <w:jc w:val="both"/>
              <w:rPr>
                <w:rFonts w:asciiTheme="majorBidi" w:hAnsiTheme="majorBidi" w:cstheme="majorBidi"/>
              </w:rPr>
            </w:pPr>
            <w:proofErr w:type="gramStart"/>
            <w:r w:rsidRPr="000E4B50">
              <w:rPr>
                <w:rFonts w:asciiTheme="majorBidi" w:hAnsiTheme="majorBidi" w:cstheme="majorBidi"/>
              </w:rPr>
              <w:t>Fuelwood  is</w:t>
            </w:r>
            <w:proofErr w:type="gramEnd"/>
            <w:r w:rsidRPr="000E4B50">
              <w:rPr>
                <w:rFonts w:asciiTheme="majorBidi" w:hAnsiTheme="majorBidi" w:cstheme="majorBidi"/>
              </w:rPr>
              <w:t xml:space="preserve"> often combined with other types of fuel</w:t>
            </w:r>
          </w:p>
        </w:tc>
        <w:tc>
          <w:tcPr>
            <w:tcW w:w="1467" w:type="dxa"/>
          </w:tcPr>
          <w:p w14:paraId="6A676CF3"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31</w:t>
            </w:r>
          </w:p>
        </w:tc>
        <w:tc>
          <w:tcPr>
            <w:tcW w:w="1620" w:type="dxa"/>
          </w:tcPr>
          <w:p w14:paraId="1CCB9B3E"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8</w:t>
            </w:r>
          </w:p>
        </w:tc>
      </w:tr>
      <w:tr w:rsidR="00860800" w:rsidRPr="000E4B50" w14:paraId="56B8A316" w14:textId="77777777" w:rsidTr="00111B5C">
        <w:tc>
          <w:tcPr>
            <w:tcW w:w="626" w:type="dxa"/>
          </w:tcPr>
          <w:p w14:paraId="4B2606D9"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5</w:t>
            </w:r>
          </w:p>
        </w:tc>
        <w:tc>
          <w:tcPr>
            <w:tcW w:w="5467" w:type="dxa"/>
          </w:tcPr>
          <w:p w14:paraId="0CE19597" w14:textId="77777777" w:rsidR="00860800" w:rsidRPr="000E4B50" w:rsidRDefault="00860800" w:rsidP="00860800">
            <w:pPr>
              <w:tabs>
                <w:tab w:val="left" w:pos="2517"/>
              </w:tabs>
              <w:jc w:val="both"/>
              <w:rPr>
                <w:rFonts w:asciiTheme="majorBidi" w:hAnsiTheme="majorBidi" w:cstheme="majorBidi"/>
              </w:rPr>
            </w:pPr>
            <w:proofErr w:type="gramStart"/>
            <w:r w:rsidRPr="000E4B50">
              <w:rPr>
                <w:rFonts w:asciiTheme="majorBidi" w:hAnsiTheme="majorBidi" w:cstheme="majorBidi"/>
              </w:rPr>
              <w:t>Fuelwood  is</w:t>
            </w:r>
            <w:proofErr w:type="gramEnd"/>
            <w:r w:rsidRPr="000E4B50">
              <w:rPr>
                <w:rFonts w:asciiTheme="majorBidi" w:hAnsiTheme="majorBidi" w:cstheme="majorBidi"/>
              </w:rPr>
              <w:t xml:space="preserve"> only used in heating traditional concoctions</w:t>
            </w:r>
          </w:p>
        </w:tc>
        <w:tc>
          <w:tcPr>
            <w:tcW w:w="1467" w:type="dxa"/>
          </w:tcPr>
          <w:p w14:paraId="453484C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16</w:t>
            </w:r>
          </w:p>
        </w:tc>
        <w:tc>
          <w:tcPr>
            <w:tcW w:w="1620" w:type="dxa"/>
          </w:tcPr>
          <w:p w14:paraId="0AD634EA"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4</w:t>
            </w:r>
          </w:p>
        </w:tc>
      </w:tr>
      <w:tr w:rsidR="00860800" w:rsidRPr="000E4B50" w14:paraId="65902E89" w14:textId="77777777" w:rsidTr="00111B5C">
        <w:tc>
          <w:tcPr>
            <w:tcW w:w="626" w:type="dxa"/>
          </w:tcPr>
          <w:p w14:paraId="04557809"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6</w:t>
            </w:r>
          </w:p>
        </w:tc>
        <w:tc>
          <w:tcPr>
            <w:tcW w:w="5467" w:type="dxa"/>
          </w:tcPr>
          <w:p w14:paraId="5DEA9A1B" w14:textId="77777777" w:rsidR="00860800" w:rsidRPr="000E4B50" w:rsidRDefault="00860800" w:rsidP="00860800">
            <w:pPr>
              <w:tabs>
                <w:tab w:val="left" w:pos="2517"/>
              </w:tabs>
              <w:jc w:val="both"/>
              <w:rPr>
                <w:rFonts w:asciiTheme="majorBidi" w:hAnsiTheme="majorBidi" w:cstheme="majorBidi"/>
              </w:rPr>
            </w:pPr>
            <w:proofErr w:type="gramStart"/>
            <w:r w:rsidRPr="000E4B50">
              <w:rPr>
                <w:rFonts w:asciiTheme="majorBidi" w:hAnsiTheme="majorBidi" w:cstheme="majorBidi"/>
              </w:rPr>
              <w:t>Fuelwood  is</w:t>
            </w:r>
            <w:proofErr w:type="gramEnd"/>
            <w:r w:rsidRPr="000E4B50">
              <w:rPr>
                <w:rFonts w:asciiTheme="majorBidi" w:hAnsiTheme="majorBidi" w:cstheme="majorBidi"/>
              </w:rPr>
              <w:t xml:space="preserve"> only used for non-cooking </w:t>
            </w:r>
            <w:proofErr w:type="gramStart"/>
            <w:r w:rsidRPr="000E4B50">
              <w:rPr>
                <w:rFonts w:asciiTheme="majorBidi" w:hAnsiTheme="majorBidi" w:cstheme="majorBidi"/>
              </w:rPr>
              <w:t>purposes  only</w:t>
            </w:r>
            <w:proofErr w:type="gramEnd"/>
          </w:p>
        </w:tc>
        <w:tc>
          <w:tcPr>
            <w:tcW w:w="1467" w:type="dxa"/>
          </w:tcPr>
          <w:p w14:paraId="0C26D76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27</w:t>
            </w:r>
          </w:p>
        </w:tc>
        <w:tc>
          <w:tcPr>
            <w:tcW w:w="1620" w:type="dxa"/>
          </w:tcPr>
          <w:p w14:paraId="49232D5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7</w:t>
            </w:r>
          </w:p>
        </w:tc>
      </w:tr>
    </w:tbl>
    <w:p w14:paraId="6756313B" w14:textId="77777777" w:rsidR="00B87964" w:rsidRPr="000E4B50" w:rsidRDefault="00860800" w:rsidP="00B87964">
      <w:pPr>
        <w:tabs>
          <w:tab w:val="left" w:pos="2517"/>
        </w:tabs>
        <w:spacing w:line="480" w:lineRule="auto"/>
        <w:jc w:val="both"/>
        <w:rPr>
          <w:rFonts w:asciiTheme="majorBidi" w:hAnsiTheme="majorBidi" w:cstheme="majorBidi"/>
          <w:b/>
          <w:sz w:val="24"/>
          <w:szCs w:val="24"/>
        </w:rPr>
      </w:pPr>
      <w:r w:rsidRPr="000E4B50">
        <w:rPr>
          <w:rFonts w:asciiTheme="majorBidi" w:hAnsiTheme="majorBidi" w:cstheme="majorBidi"/>
          <w:b/>
          <w:bCs/>
          <w:sz w:val="24"/>
          <w:szCs w:val="24"/>
        </w:rPr>
        <w:t>S</w:t>
      </w:r>
      <w:r w:rsidRPr="000E4B50">
        <w:rPr>
          <w:rFonts w:asciiTheme="majorBidi" w:hAnsiTheme="majorBidi" w:cstheme="majorBidi"/>
          <w:b/>
          <w:sz w:val="24"/>
          <w:szCs w:val="24"/>
        </w:rPr>
        <w:t>ource</w:t>
      </w:r>
      <w:r w:rsidRPr="000E4B50">
        <w:rPr>
          <w:rFonts w:asciiTheme="majorBidi" w:hAnsiTheme="majorBidi" w:cstheme="majorBidi"/>
          <w:b/>
          <w:bCs/>
          <w:sz w:val="24"/>
          <w:szCs w:val="24"/>
        </w:rPr>
        <w:t>:</w:t>
      </w:r>
      <w:r w:rsidRPr="000E4B50">
        <w:rPr>
          <w:rFonts w:asciiTheme="majorBidi" w:hAnsiTheme="majorBidi" w:cstheme="majorBidi"/>
          <w:b/>
          <w:sz w:val="24"/>
          <w:szCs w:val="24"/>
        </w:rPr>
        <w:t xml:space="preserve"> Researchers’ Field Survey, May, 2026</w:t>
      </w:r>
    </w:p>
    <w:p w14:paraId="70ABA11D" w14:textId="77777777" w:rsidR="00B87964" w:rsidRPr="000E4B50" w:rsidRDefault="00860800" w:rsidP="00B87964">
      <w:pPr>
        <w:tabs>
          <w:tab w:val="left" w:pos="2517"/>
        </w:tabs>
        <w:spacing w:line="480" w:lineRule="auto"/>
        <w:jc w:val="both"/>
        <w:rPr>
          <w:rFonts w:asciiTheme="majorBidi" w:hAnsiTheme="majorBidi" w:cstheme="majorBidi"/>
          <w:b/>
          <w:sz w:val="24"/>
          <w:szCs w:val="24"/>
        </w:rPr>
      </w:pPr>
      <w:r w:rsidRPr="000E4B50">
        <w:t>From the data presented in Table 3, 247 respondents (63%) always used fuelwood, while 24 respondents (6%) had never used fuelwood. Forty-seven respondents (12%) sometimes used fuelwood, while 31 respondents (8%) indicated that fuelwood was often combined with other types of fuel. Sixteen respondents (4%) indicated that they used fuelwood only for heating traditional concoctions. Twenty-seven respondents (7%) reported that fuelwood was used only for non-cooking purposes.</w:t>
      </w:r>
    </w:p>
    <w:p w14:paraId="0350B8F8" w14:textId="77777777" w:rsidR="00860800" w:rsidRPr="000E4B50" w:rsidRDefault="00860800" w:rsidP="00DA3B27">
      <w:pPr>
        <w:tabs>
          <w:tab w:val="left" w:pos="2517"/>
        </w:tabs>
        <w:spacing w:line="480" w:lineRule="auto"/>
        <w:jc w:val="both"/>
        <w:rPr>
          <w:rFonts w:asciiTheme="majorBidi" w:hAnsiTheme="majorBidi" w:cstheme="majorBidi"/>
          <w:b/>
          <w:sz w:val="24"/>
          <w:szCs w:val="24"/>
        </w:rPr>
      </w:pPr>
      <w:r w:rsidRPr="000E4B50">
        <w:rPr>
          <w:rFonts w:ascii="Times New Roman" w:hAnsi="Times New Roman"/>
          <w:b/>
          <w:sz w:val="24"/>
          <w:szCs w:val="24"/>
        </w:rPr>
        <w:t>Research Question 4. In what ways does fuelwood consumption contribute to environmental degradation in Benue State?</w:t>
      </w:r>
    </w:p>
    <w:p w14:paraId="4AD4B711" w14:textId="77777777" w:rsidR="00860800" w:rsidRPr="000E4B50" w:rsidRDefault="00860800" w:rsidP="00860800">
      <w:pPr>
        <w:tabs>
          <w:tab w:val="left" w:pos="720"/>
        </w:tabs>
        <w:spacing w:line="240" w:lineRule="auto"/>
        <w:ind w:left="1080" w:hanging="1080"/>
        <w:jc w:val="both"/>
        <w:rPr>
          <w:rFonts w:ascii="Times New Roman" w:hAnsi="Times New Roman"/>
          <w:b/>
          <w:sz w:val="24"/>
          <w:szCs w:val="24"/>
        </w:rPr>
      </w:pPr>
      <w:r w:rsidRPr="000E4B50">
        <w:rPr>
          <w:rFonts w:asciiTheme="majorBidi" w:hAnsiTheme="majorBidi" w:cstheme="majorBidi"/>
          <w:b/>
          <w:sz w:val="24"/>
          <w:szCs w:val="24"/>
        </w:rPr>
        <w:lastRenderedPageBreak/>
        <w:t>Tab</w:t>
      </w:r>
      <w:r w:rsidR="007E6821" w:rsidRPr="000E4B50">
        <w:rPr>
          <w:rFonts w:asciiTheme="majorBidi" w:hAnsiTheme="majorBidi" w:cstheme="majorBidi"/>
          <w:b/>
          <w:sz w:val="24"/>
          <w:szCs w:val="24"/>
        </w:rPr>
        <w:t xml:space="preserve">le 4: How </w:t>
      </w:r>
      <w:r w:rsidRPr="000E4B50">
        <w:rPr>
          <w:rFonts w:ascii="Times New Roman" w:hAnsi="Times New Roman"/>
          <w:b/>
          <w:sz w:val="24"/>
          <w:szCs w:val="24"/>
        </w:rPr>
        <w:t>Fuelwood Consumption</w:t>
      </w:r>
      <w:r w:rsidR="007E6821" w:rsidRPr="000E4B50">
        <w:rPr>
          <w:rFonts w:ascii="Times New Roman" w:hAnsi="Times New Roman"/>
          <w:b/>
          <w:sz w:val="24"/>
          <w:szCs w:val="24"/>
        </w:rPr>
        <w:t xml:space="preserve"> Contributes to Environmental </w:t>
      </w:r>
      <w:r w:rsidRPr="000E4B50">
        <w:rPr>
          <w:rFonts w:ascii="Times New Roman" w:hAnsi="Times New Roman"/>
          <w:b/>
          <w:sz w:val="24"/>
          <w:szCs w:val="24"/>
        </w:rPr>
        <w:t>Degradation in Benue State</w:t>
      </w:r>
    </w:p>
    <w:tbl>
      <w:tblPr>
        <w:tblStyle w:val="TableGrid"/>
        <w:tblW w:w="9946" w:type="dxa"/>
        <w:tblInd w:w="-5" w:type="dxa"/>
        <w:tblLook w:val="04A0" w:firstRow="1" w:lastRow="0" w:firstColumn="1" w:lastColumn="0" w:noHBand="0" w:noVBand="1"/>
      </w:tblPr>
      <w:tblGrid>
        <w:gridCol w:w="626"/>
        <w:gridCol w:w="5494"/>
        <w:gridCol w:w="1185"/>
        <w:gridCol w:w="642"/>
        <w:gridCol w:w="1310"/>
        <w:gridCol w:w="689"/>
      </w:tblGrid>
      <w:tr w:rsidR="00860800" w:rsidRPr="000E4B50" w14:paraId="7C46DF1E" w14:textId="77777777" w:rsidTr="00111B5C">
        <w:tc>
          <w:tcPr>
            <w:tcW w:w="626" w:type="dxa"/>
          </w:tcPr>
          <w:p w14:paraId="5D7FF120"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S/N</w:t>
            </w:r>
          </w:p>
        </w:tc>
        <w:tc>
          <w:tcPr>
            <w:tcW w:w="5494" w:type="dxa"/>
          </w:tcPr>
          <w:p w14:paraId="10524353"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Items</w:t>
            </w:r>
          </w:p>
        </w:tc>
        <w:tc>
          <w:tcPr>
            <w:tcW w:w="1185" w:type="dxa"/>
          </w:tcPr>
          <w:p w14:paraId="3EED93CE"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YES</w:t>
            </w:r>
          </w:p>
        </w:tc>
        <w:tc>
          <w:tcPr>
            <w:tcW w:w="642" w:type="dxa"/>
          </w:tcPr>
          <w:p w14:paraId="3B4C18B5"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w:t>
            </w:r>
          </w:p>
        </w:tc>
        <w:tc>
          <w:tcPr>
            <w:tcW w:w="1310" w:type="dxa"/>
          </w:tcPr>
          <w:p w14:paraId="715CAD8B"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NO</w:t>
            </w:r>
          </w:p>
        </w:tc>
        <w:tc>
          <w:tcPr>
            <w:tcW w:w="689" w:type="dxa"/>
          </w:tcPr>
          <w:p w14:paraId="0B7AACE1"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w:t>
            </w:r>
          </w:p>
        </w:tc>
      </w:tr>
      <w:tr w:rsidR="00860800" w:rsidRPr="000E4B50" w14:paraId="3DCAB009" w14:textId="77777777" w:rsidTr="00111B5C">
        <w:tc>
          <w:tcPr>
            <w:tcW w:w="626" w:type="dxa"/>
          </w:tcPr>
          <w:p w14:paraId="45EA889F"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w:t>
            </w:r>
          </w:p>
        </w:tc>
        <w:tc>
          <w:tcPr>
            <w:tcW w:w="5494" w:type="dxa"/>
          </w:tcPr>
          <w:p w14:paraId="5188060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Desertification</w:t>
            </w:r>
          </w:p>
        </w:tc>
        <w:tc>
          <w:tcPr>
            <w:tcW w:w="1185" w:type="dxa"/>
          </w:tcPr>
          <w:p w14:paraId="6A5BA18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298</w:t>
            </w:r>
          </w:p>
        </w:tc>
        <w:tc>
          <w:tcPr>
            <w:tcW w:w="642" w:type="dxa"/>
          </w:tcPr>
          <w:p w14:paraId="58502B87"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76</w:t>
            </w:r>
          </w:p>
        </w:tc>
        <w:tc>
          <w:tcPr>
            <w:tcW w:w="1310" w:type="dxa"/>
          </w:tcPr>
          <w:p w14:paraId="16A2CD6F"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94</w:t>
            </w:r>
          </w:p>
        </w:tc>
        <w:tc>
          <w:tcPr>
            <w:tcW w:w="689" w:type="dxa"/>
          </w:tcPr>
          <w:p w14:paraId="7EAFEAAB"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24</w:t>
            </w:r>
          </w:p>
        </w:tc>
      </w:tr>
      <w:tr w:rsidR="00860800" w:rsidRPr="000E4B50" w14:paraId="44F634E3" w14:textId="77777777" w:rsidTr="00111B5C">
        <w:tc>
          <w:tcPr>
            <w:tcW w:w="626" w:type="dxa"/>
          </w:tcPr>
          <w:p w14:paraId="23D0244F"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w:t>
            </w:r>
          </w:p>
        </w:tc>
        <w:tc>
          <w:tcPr>
            <w:tcW w:w="5494" w:type="dxa"/>
          </w:tcPr>
          <w:p w14:paraId="030DB8C7"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Land Degradation</w:t>
            </w:r>
          </w:p>
        </w:tc>
        <w:tc>
          <w:tcPr>
            <w:tcW w:w="1185" w:type="dxa"/>
          </w:tcPr>
          <w:p w14:paraId="4076681C"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240</w:t>
            </w:r>
          </w:p>
        </w:tc>
        <w:tc>
          <w:tcPr>
            <w:tcW w:w="642" w:type="dxa"/>
          </w:tcPr>
          <w:p w14:paraId="1984CE6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61.2</w:t>
            </w:r>
          </w:p>
        </w:tc>
        <w:tc>
          <w:tcPr>
            <w:tcW w:w="1310" w:type="dxa"/>
          </w:tcPr>
          <w:p w14:paraId="16EEC978"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152</w:t>
            </w:r>
          </w:p>
        </w:tc>
        <w:tc>
          <w:tcPr>
            <w:tcW w:w="689" w:type="dxa"/>
          </w:tcPr>
          <w:p w14:paraId="61B3ACBA"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38.8</w:t>
            </w:r>
          </w:p>
        </w:tc>
      </w:tr>
      <w:tr w:rsidR="00860800" w:rsidRPr="000E4B50" w14:paraId="74B03B8E" w14:textId="77777777" w:rsidTr="00111B5C">
        <w:tc>
          <w:tcPr>
            <w:tcW w:w="626" w:type="dxa"/>
          </w:tcPr>
          <w:p w14:paraId="3457AFB9"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w:t>
            </w:r>
          </w:p>
        </w:tc>
        <w:tc>
          <w:tcPr>
            <w:tcW w:w="5494" w:type="dxa"/>
          </w:tcPr>
          <w:p w14:paraId="22FD1C1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Ecological Imbalance</w:t>
            </w:r>
          </w:p>
        </w:tc>
        <w:tc>
          <w:tcPr>
            <w:tcW w:w="1185" w:type="dxa"/>
          </w:tcPr>
          <w:p w14:paraId="632B1D3B"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320</w:t>
            </w:r>
          </w:p>
        </w:tc>
        <w:tc>
          <w:tcPr>
            <w:tcW w:w="642" w:type="dxa"/>
          </w:tcPr>
          <w:p w14:paraId="080D44D7"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81.6</w:t>
            </w:r>
          </w:p>
        </w:tc>
        <w:tc>
          <w:tcPr>
            <w:tcW w:w="1310" w:type="dxa"/>
          </w:tcPr>
          <w:p w14:paraId="0016AEDF"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72</w:t>
            </w:r>
          </w:p>
        </w:tc>
        <w:tc>
          <w:tcPr>
            <w:tcW w:w="689" w:type="dxa"/>
          </w:tcPr>
          <w:p w14:paraId="013F4E6C"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18.4</w:t>
            </w:r>
          </w:p>
        </w:tc>
      </w:tr>
      <w:tr w:rsidR="00860800" w:rsidRPr="000E4B50" w14:paraId="7B86E826" w14:textId="77777777" w:rsidTr="00111B5C">
        <w:tc>
          <w:tcPr>
            <w:tcW w:w="626" w:type="dxa"/>
          </w:tcPr>
          <w:p w14:paraId="27E9B888"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4</w:t>
            </w:r>
          </w:p>
        </w:tc>
        <w:tc>
          <w:tcPr>
            <w:tcW w:w="5494" w:type="dxa"/>
          </w:tcPr>
          <w:p w14:paraId="4C58FE91"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Deforestation</w:t>
            </w:r>
          </w:p>
        </w:tc>
        <w:tc>
          <w:tcPr>
            <w:tcW w:w="1185" w:type="dxa"/>
          </w:tcPr>
          <w:p w14:paraId="0D2ACD42"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341</w:t>
            </w:r>
          </w:p>
        </w:tc>
        <w:tc>
          <w:tcPr>
            <w:tcW w:w="642" w:type="dxa"/>
          </w:tcPr>
          <w:p w14:paraId="3E11028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87</w:t>
            </w:r>
          </w:p>
        </w:tc>
        <w:tc>
          <w:tcPr>
            <w:tcW w:w="1310" w:type="dxa"/>
          </w:tcPr>
          <w:p w14:paraId="2D9A5BDE"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51</w:t>
            </w:r>
          </w:p>
        </w:tc>
        <w:tc>
          <w:tcPr>
            <w:tcW w:w="689" w:type="dxa"/>
          </w:tcPr>
          <w:p w14:paraId="15C32C4B"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13</w:t>
            </w:r>
          </w:p>
        </w:tc>
      </w:tr>
      <w:tr w:rsidR="00860800" w:rsidRPr="000E4B50" w14:paraId="7AD4AD59" w14:textId="77777777" w:rsidTr="00111B5C">
        <w:tc>
          <w:tcPr>
            <w:tcW w:w="626" w:type="dxa"/>
          </w:tcPr>
          <w:p w14:paraId="0184EEC6"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5</w:t>
            </w:r>
          </w:p>
        </w:tc>
        <w:tc>
          <w:tcPr>
            <w:tcW w:w="5494" w:type="dxa"/>
          </w:tcPr>
          <w:p w14:paraId="63C8C3DF"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Air Pollution</w:t>
            </w:r>
          </w:p>
        </w:tc>
        <w:tc>
          <w:tcPr>
            <w:tcW w:w="1185" w:type="dxa"/>
          </w:tcPr>
          <w:p w14:paraId="280F26B8"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350</w:t>
            </w:r>
          </w:p>
        </w:tc>
        <w:tc>
          <w:tcPr>
            <w:tcW w:w="642" w:type="dxa"/>
          </w:tcPr>
          <w:p w14:paraId="684D249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89.3</w:t>
            </w:r>
          </w:p>
        </w:tc>
        <w:tc>
          <w:tcPr>
            <w:tcW w:w="1310" w:type="dxa"/>
          </w:tcPr>
          <w:p w14:paraId="7281236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42</w:t>
            </w:r>
          </w:p>
        </w:tc>
        <w:tc>
          <w:tcPr>
            <w:tcW w:w="689" w:type="dxa"/>
          </w:tcPr>
          <w:p w14:paraId="5F37CD87"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10.7</w:t>
            </w:r>
          </w:p>
        </w:tc>
      </w:tr>
      <w:tr w:rsidR="00860800" w:rsidRPr="000E4B50" w14:paraId="5EACC876" w14:textId="77777777" w:rsidTr="00111B5C">
        <w:tc>
          <w:tcPr>
            <w:tcW w:w="626" w:type="dxa"/>
          </w:tcPr>
          <w:p w14:paraId="4C0B327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6</w:t>
            </w:r>
          </w:p>
        </w:tc>
        <w:tc>
          <w:tcPr>
            <w:tcW w:w="5494" w:type="dxa"/>
          </w:tcPr>
          <w:p w14:paraId="649B878C"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Blackening of Walls</w:t>
            </w:r>
          </w:p>
        </w:tc>
        <w:tc>
          <w:tcPr>
            <w:tcW w:w="1185" w:type="dxa"/>
          </w:tcPr>
          <w:p w14:paraId="3DABE5EB"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341</w:t>
            </w:r>
          </w:p>
        </w:tc>
        <w:tc>
          <w:tcPr>
            <w:tcW w:w="642" w:type="dxa"/>
          </w:tcPr>
          <w:p w14:paraId="06A03CF8"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87</w:t>
            </w:r>
          </w:p>
        </w:tc>
        <w:tc>
          <w:tcPr>
            <w:tcW w:w="1310" w:type="dxa"/>
          </w:tcPr>
          <w:p w14:paraId="4C4FAC57"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51</w:t>
            </w:r>
          </w:p>
        </w:tc>
        <w:tc>
          <w:tcPr>
            <w:tcW w:w="689" w:type="dxa"/>
          </w:tcPr>
          <w:p w14:paraId="279372E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13</w:t>
            </w:r>
          </w:p>
        </w:tc>
      </w:tr>
      <w:tr w:rsidR="00860800" w:rsidRPr="000E4B50" w14:paraId="653D5E8E" w14:textId="77777777" w:rsidTr="00111B5C">
        <w:tc>
          <w:tcPr>
            <w:tcW w:w="626" w:type="dxa"/>
          </w:tcPr>
          <w:p w14:paraId="259332F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7</w:t>
            </w:r>
          </w:p>
        </w:tc>
        <w:tc>
          <w:tcPr>
            <w:tcW w:w="5494" w:type="dxa"/>
          </w:tcPr>
          <w:p w14:paraId="1B169D8C"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Soil Erosion</w:t>
            </w:r>
          </w:p>
        </w:tc>
        <w:tc>
          <w:tcPr>
            <w:tcW w:w="1185" w:type="dxa"/>
          </w:tcPr>
          <w:p w14:paraId="4DA6D4B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312</w:t>
            </w:r>
          </w:p>
        </w:tc>
        <w:tc>
          <w:tcPr>
            <w:tcW w:w="642" w:type="dxa"/>
          </w:tcPr>
          <w:p w14:paraId="143AFD39"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82.4</w:t>
            </w:r>
          </w:p>
        </w:tc>
        <w:tc>
          <w:tcPr>
            <w:tcW w:w="1310" w:type="dxa"/>
          </w:tcPr>
          <w:p w14:paraId="3611228A"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80</w:t>
            </w:r>
          </w:p>
        </w:tc>
        <w:tc>
          <w:tcPr>
            <w:tcW w:w="689" w:type="dxa"/>
          </w:tcPr>
          <w:p w14:paraId="4A66CFC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17,6</w:t>
            </w:r>
          </w:p>
        </w:tc>
      </w:tr>
      <w:tr w:rsidR="00860800" w:rsidRPr="000E4B50" w14:paraId="27B900CC" w14:textId="77777777" w:rsidTr="00111B5C">
        <w:tc>
          <w:tcPr>
            <w:tcW w:w="626" w:type="dxa"/>
          </w:tcPr>
          <w:p w14:paraId="7E614AF1"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8</w:t>
            </w:r>
          </w:p>
        </w:tc>
        <w:tc>
          <w:tcPr>
            <w:tcW w:w="5494" w:type="dxa"/>
          </w:tcPr>
          <w:p w14:paraId="75850C30"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Emission of Greenhouse Gases</w:t>
            </w:r>
          </w:p>
        </w:tc>
        <w:tc>
          <w:tcPr>
            <w:tcW w:w="1185" w:type="dxa"/>
          </w:tcPr>
          <w:p w14:paraId="0C318B6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260</w:t>
            </w:r>
          </w:p>
        </w:tc>
        <w:tc>
          <w:tcPr>
            <w:tcW w:w="642" w:type="dxa"/>
          </w:tcPr>
          <w:p w14:paraId="63BD623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66.3</w:t>
            </w:r>
          </w:p>
        </w:tc>
        <w:tc>
          <w:tcPr>
            <w:tcW w:w="1310" w:type="dxa"/>
          </w:tcPr>
          <w:p w14:paraId="736D4DCA"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132</w:t>
            </w:r>
          </w:p>
        </w:tc>
        <w:tc>
          <w:tcPr>
            <w:tcW w:w="689" w:type="dxa"/>
          </w:tcPr>
          <w:p w14:paraId="434E239C"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33,7</w:t>
            </w:r>
          </w:p>
        </w:tc>
      </w:tr>
      <w:tr w:rsidR="00860800" w:rsidRPr="000E4B50" w14:paraId="4244EDC8" w14:textId="77777777" w:rsidTr="00111B5C">
        <w:tc>
          <w:tcPr>
            <w:tcW w:w="626" w:type="dxa"/>
          </w:tcPr>
          <w:p w14:paraId="7F6065E0"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9</w:t>
            </w:r>
          </w:p>
        </w:tc>
        <w:tc>
          <w:tcPr>
            <w:tcW w:w="5494" w:type="dxa"/>
          </w:tcPr>
          <w:p w14:paraId="3031456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Disruption of Water Cycle</w:t>
            </w:r>
          </w:p>
        </w:tc>
        <w:tc>
          <w:tcPr>
            <w:tcW w:w="1185" w:type="dxa"/>
          </w:tcPr>
          <w:p w14:paraId="6D413498"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240</w:t>
            </w:r>
          </w:p>
        </w:tc>
        <w:tc>
          <w:tcPr>
            <w:tcW w:w="642" w:type="dxa"/>
          </w:tcPr>
          <w:p w14:paraId="798BAECA"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61.2</w:t>
            </w:r>
          </w:p>
        </w:tc>
        <w:tc>
          <w:tcPr>
            <w:tcW w:w="1310" w:type="dxa"/>
          </w:tcPr>
          <w:p w14:paraId="7EBD7A1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152</w:t>
            </w:r>
          </w:p>
        </w:tc>
        <w:tc>
          <w:tcPr>
            <w:tcW w:w="689" w:type="dxa"/>
          </w:tcPr>
          <w:p w14:paraId="46017DD3"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38.8</w:t>
            </w:r>
          </w:p>
        </w:tc>
      </w:tr>
      <w:tr w:rsidR="00860800" w:rsidRPr="000E4B50" w14:paraId="0E3D15F3" w14:textId="77777777" w:rsidTr="00111B5C">
        <w:tc>
          <w:tcPr>
            <w:tcW w:w="626" w:type="dxa"/>
          </w:tcPr>
          <w:p w14:paraId="6962DB3C"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10</w:t>
            </w:r>
          </w:p>
        </w:tc>
        <w:tc>
          <w:tcPr>
            <w:tcW w:w="5494" w:type="dxa"/>
          </w:tcPr>
          <w:p w14:paraId="108174E0"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Loss of Biodiversity</w:t>
            </w:r>
          </w:p>
        </w:tc>
        <w:tc>
          <w:tcPr>
            <w:tcW w:w="1185" w:type="dxa"/>
          </w:tcPr>
          <w:p w14:paraId="516D7450"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283</w:t>
            </w:r>
          </w:p>
        </w:tc>
        <w:tc>
          <w:tcPr>
            <w:tcW w:w="642" w:type="dxa"/>
          </w:tcPr>
          <w:p w14:paraId="6F14111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72.2</w:t>
            </w:r>
          </w:p>
        </w:tc>
        <w:tc>
          <w:tcPr>
            <w:tcW w:w="1310" w:type="dxa"/>
          </w:tcPr>
          <w:p w14:paraId="6FE01B4F"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109</w:t>
            </w:r>
          </w:p>
        </w:tc>
        <w:tc>
          <w:tcPr>
            <w:tcW w:w="689" w:type="dxa"/>
          </w:tcPr>
          <w:p w14:paraId="03848709"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27.8</w:t>
            </w:r>
          </w:p>
        </w:tc>
      </w:tr>
    </w:tbl>
    <w:p w14:paraId="587FCF29" w14:textId="77777777" w:rsidR="00860800" w:rsidRPr="000E4B50" w:rsidRDefault="00860800" w:rsidP="00860800">
      <w:pPr>
        <w:tabs>
          <w:tab w:val="left" w:pos="2517"/>
        </w:tabs>
        <w:spacing w:line="480" w:lineRule="auto"/>
        <w:jc w:val="both"/>
        <w:rPr>
          <w:rFonts w:asciiTheme="majorBidi" w:hAnsiTheme="majorBidi" w:cstheme="majorBidi"/>
          <w:b/>
          <w:bCs/>
          <w:sz w:val="2"/>
          <w:szCs w:val="24"/>
        </w:rPr>
      </w:pPr>
    </w:p>
    <w:p w14:paraId="3A3B4777" w14:textId="77777777" w:rsidR="00B87964" w:rsidRPr="000E4B50" w:rsidRDefault="00860800" w:rsidP="00B87964">
      <w:pPr>
        <w:tabs>
          <w:tab w:val="left" w:pos="2517"/>
        </w:tabs>
        <w:spacing w:line="480" w:lineRule="auto"/>
        <w:jc w:val="both"/>
        <w:rPr>
          <w:rFonts w:asciiTheme="majorBidi" w:hAnsiTheme="majorBidi" w:cstheme="majorBidi"/>
          <w:b/>
          <w:sz w:val="24"/>
          <w:szCs w:val="24"/>
        </w:rPr>
      </w:pPr>
      <w:r w:rsidRPr="000E4B50">
        <w:rPr>
          <w:rFonts w:asciiTheme="majorBidi" w:hAnsiTheme="majorBidi" w:cstheme="majorBidi"/>
          <w:b/>
          <w:bCs/>
          <w:sz w:val="24"/>
          <w:szCs w:val="24"/>
        </w:rPr>
        <w:t>S</w:t>
      </w:r>
      <w:r w:rsidRPr="000E4B50">
        <w:rPr>
          <w:rFonts w:asciiTheme="majorBidi" w:hAnsiTheme="majorBidi" w:cstheme="majorBidi"/>
          <w:b/>
          <w:sz w:val="24"/>
          <w:szCs w:val="24"/>
        </w:rPr>
        <w:t>ource</w:t>
      </w:r>
      <w:r w:rsidRPr="000E4B50">
        <w:rPr>
          <w:rFonts w:asciiTheme="majorBidi" w:hAnsiTheme="majorBidi" w:cstheme="majorBidi"/>
          <w:b/>
          <w:bCs/>
          <w:sz w:val="24"/>
          <w:szCs w:val="24"/>
        </w:rPr>
        <w:t>:</w:t>
      </w:r>
      <w:r w:rsidRPr="000E4B50">
        <w:rPr>
          <w:rFonts w:asciiTheme="majorBidi" w:hAnsiTheme="majorBidi" w:cstheme="majorBidi"/>
          <w:b/>
          <w:sz w:val="24"/>
          <w:szCs w:val="24"/>
        </w:rPr>
        <w:t xml:space="preserve"> Researchers’ Field Survey, May, 2026</w:t>
      </w:r>
    </w:p>
    <w:p w14:paraId="0F316578" w14:textId="77777777" w:rsidR="00860800" w:rsidRPr="000E4B50" w:rsidRDefault="00860800" w:rsidP="00B87964">
      <w:pPr>
        <w:tabs>
          <w:tab w:val="left" w:pos="2517"/>
        </w:tabs>
        <w:spacing w:line="480" w:lineRule="auto"/>
        <w:jc w:val="both"/>
        <w:rPr>
          <w:rFonts w:asciiTheme="majorBidi" w:hAnsiTheme="majorBidi" w:cstheme="majorBidi"/>
          <w:b/>
          <w:sz w:val="24"/>
          <w:szCs w:val="24"/>
        </w:rPr>
      </w:pPr>
      <w:r w:rsidRPr="000E4B50">
        <w:t>Air pollution was identified by 350 respondents (89.3%) as one of the ways in which fuelwood consumption contributes to environmental degradation in Benue State. This was followed by deforestation and blackening of walls, each affirmed by 341 respondents (87%). Ecological imbalance had a frequency of 320 respondents (81.6%), while soil erosion was reported by 312 respondents (79.6%). Desertification was also identified by 298 respondents (76%), loss of biodiversity by 283 respondents (72.2%) and emission of greenhouse gases by 260 respondents (66.3%). Disruption of the water cycle and land degradation were each identified by 240 respondents (61.2%).</w:t>
      </w:r>
    </w:p>
    <w:p w14:paraId="750E59C6" w14:textId="77777777" w:rsidR="00860800" w:rsidRPr="000E4B50" w:rsidRDefault="00860800" w:rsidP="00860800">
      <w:pPr>
        <w:autoSpaceDE w:val="0"/>
        <w:autoSpaceDN w:val="0"/>
        <w:adjustRightInd w:val="0"/>
        <w:jc w:val="both"/>
        <w:rPr>
          <w:rFonts w:ascii="Times New Roman" w:hAnsi="Times New Roman"/>
          <w:b/>
          <w:sz w:val="24"/>
          <w:szCs w:val="24"/>
        </w:rPr>
      </w:pPr>
      <w:r w:rsidRPr="000E4B50">
        <w:rPr>
          <w:rFonts w:ascii="Times New Roman" w:hAnsi="Times New Roman"/>
          <w:b/>
          <w:sz w:val="24"/>
          <w:szCs w:val="24"/>
        </w:rPr>
        <w:t>Research Question 5. In what ways can fuelwood consumption in Benue State be controlled?</w:t>
      </w:r>
    </w:p>
    <w:p w14:paraId="4296EF13" w14:textId="77777777" w:rsidR="00860800" w:rsidRPr="000E4B50" w:rsidRDefault="00DA3B27" w:rsidP="00DA3B27">
      <w:pPr>
        <w:tabs>
          <w:tab w:val="left" w:pos="720"/>
        </w:tabs>
        <w:spacing w:line="240" w:lineRule="auto"/>
        <w:ind w:left="900" w:hanging="900"/>
        <w:jc w:val="both"/>
        <w:rPr>
          <w:rFonts w:ascii="Times New Roman" w:hAnsi="Times New Roman"/>
          <w:b/>
          <w:sz w:val="24"/>
          <w:szCs w:val="24"/>
        </w:rPr>
      </w:pPr>
      <w:r w:rsidRPr="000E4B50">
        <w:rPr>
          <w:rFonts w:asciiTheme="majorBidi" w:hAnsiTheme="majorBidi" w:cstheme="majorBidi"/>
          <w:b/>
          <w:sz w:val="24"/>
          <w:szCs w:val="24"/>
        </w:rPr>
        <w:t>Table 5: How to control</w:t>
      </w:r>
      <w:r w:rsidR="00860800" w:rsidRPr="000E4B50">
        <w:rPr>
          <w:rFonts w:ascii="Times New Roman" w:hAnsi="Times New Roman"/>
          <w:b/>
          <w:sz w:val="24"/>
          <w:szCs w:val="24"/>
        </w:rPr>
        <w:t xml:space="preserve"> fuel</w:t>
      </w:r>
      <w:r w:rsidRPr="000E4B50">
        <w:rPr>
          <w:rFonts w:ascii="Times New Roman" w:hAnsi="Times New Roman"/>
          <w:b/>
          <w:sz w:val="24"/>
          <w:szCs w:val="24"/>
        </w:rPr>
        <w:t>wood Consumption in Benue State</w:t>
      </w:r>
    </w:p>
    <w:tbl>
      <w:tblPr>
        <w:tblStyle w:val="TableGrid"/>
        <w:tblW w:w="9946" w:type="dxa"/>
        <w:tblInd w:w="-5" w:type="dxa"/>
        <w:tblLook w:val="04A0" w:firstRow="1" w:lastRow="0" w:firstColumn="1" w:lastColumn="0" w:noHBand="0" w:noVBand="1"/>
      </w:tblPr>
      <w:tblGrid>
        <w:gridCol w:w="626"/>
        <w:gridCol w:w="5494"/>
        <w:gridCol w:w="1185"/>
        <w:gridCol w:w="642"/>
        <w:gridCol w:w="1310"/>
        <w:gridCol w:w="689"/>
      </w:tblGrid>
      <w:tr w:rsidR="00860800" w:rsidRPr="000E4B50" w14:paraId="391758E8" w14:textId="77777777" w:rsidTr="00111B5C">
        <w:tc>
          <w:tcPr>
            <w:tcW w:w="626" w:type="dxa"/>
          </w:tcPr>
          <w:p w14:paraId="335E8658"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S/N</w:t>
            </w:r>
          </w:p>
        </w:tc>
        <w:tc>
          <w:tcPr>
            <w:tcW w:w="5494" w:type="dxa"/>
          </w:tcPr>
          <w:p w14:paraId="4C549AA9"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Items</w:t>
            </w:r>
          </w:p>
        </w:tc>
        <w:tc>
          <w:tcPr>
            <w:tcW w:w="1185" w:type="dxa"/>
          </w:tcPr>
          <w:p w14:paraId="64BE242D"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YES</w:t>
            </w:r>
          </w:p>
        </w:tc>
        <w:tc>
          <w:tcPr>
            <w:tcW w:w="642" w:type="dxa"/>
          </w:tcPr>
          <w:p w14:paraId="6D7EC9EE"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w:t>
            </w:r>
          </w:p>
        </w:tc>
        <w:tc>
          <w:tcPr>
            <w:tcW w:w="1310" w:type="dxa"/>
          </w:tcPr>
          <w:p w14:paraId="3415ABC5"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NO</w:t>
            </w:r>
          </w:p>
        </w:tc>
        <w:tc>
          <w:tcPr>
            <w:tcW w:w="689" w:type="dxa"/>
          </w:tcPr>
          <w:p w14:paraId="3E6B653B" w14:textId="77777777" w:rsidR="00860800" w:rsidRPr="000E4B50" w:rsidRDefault="00860800" w:rsidP="00860800">
            <w:pPr>
              <w:tabs>
                <w:tab w:val="left" w:pos="2517"/>
              </w:tabs>
              <w:jc w:val="both"/>
              <w:rPr>
                <w:rFonts w:asciiTheme="majorBidi" w:hAnsiTheme="majorBidi" w:cstheme="majorBidi"/>
                <w:b/>
                <w:bCs/>
              </w:rPr>
            </w:pPr>
            <w:r w:rsidRPr="000E4B50">
              <w:rPr>
                <w:rFonts w:asciiTheme="majorBidi" w:hAnsiTheme="majorBidi" w:cstheme="majorBidi"/>
                <w:b/>
                <w:bCs/>
              </w:rPr>
              <w:t>%</w:t>
            </w:r>
          </w:p>
        </w:tc>
      </w:tr>
      <w:tr w:rsidR="00860800" w:rsidRPr="000E4B50" w14:paraId="728767C2" w14:textId="77777777" w:rsidTr="00111B5C">
        <w:tc>
          <w:tcPr>
            <w:tcW w:w="626" w:type="dxa"/>
          </w:tcPr>
          <w:p w14:paraId="4FBA994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w:t>
            </w:r>
          </w:p>
        </w:tc>
        <w:tc>
          <w:tcPr>
            <w:tcW w:w="5494" w:type="dxa"/>
          </w:tcPr>
          <w:p w14:paraId="4496AF80"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Creation of public awareness on dangers of fuelwood use</w:t>
            </w:r>
          </w:p>
        </w:tc>
        <w:tc>
          <w:tcPr>
            <w:tcW w:w="1185" w:type="dxa"/>
          </w:tcPr>
          <w:p w14:paraId="63D7AD9F"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258</w:t>
            </w:r>
          </w:p>
        </w:tc>
        <w:tc>
          <w:tcPr>
            <w:tcW w:w="642" w:type="dxa"/>
          </w:tcPr>
          <w:p w14:paraId="642C8AB8"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65.8</w:t>
            </w:r>
          </w:p>
        </w:tc>
        <w:tc>
          <w:tcPr>
            <w:tcW w:w="1310" w:type="dxa"/>
          </w:tcPr>
          <w:p w14:paraId="1BD2AC82"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134</w:t>
            </w:r>
          </w:p>
        </w:tc>
        <w:tc>
          <w:tcPr>
            <w:tcW w:w="689" w:type="dxa"/>
          </w:tcPr>
          <w:p w14:paraId="7C30ADC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34.2</w:t>
            </w:r>
          </w:p>
        </w:tc>
      </w:tr>
      <w:tr w:rsidR="00860800" w:rsidRPr="000E4B50" w14:paraId="6E3670CD" w14:textId="77777777" w:rsidTr="00111B5C">
        <w:tc>
          <w:tcPr>
            <w:tcW w:w="626" w:type="dxa"/>
          </w:tcPr>
          <w:p w14:paraId="4FA46DCB"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w:t>
            </w:r>
          </w:p>
        </w:tc>
        <w:tc>
          <w:tcPr>
            <w:tcW w:w="5494" w:type="dxa"/>
          </w:tcPr>
          <w:p w14:paraId="7214E95F"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Economic empowerment for rural and urban dwellers</w:t>
            </w:r>
          </w:p>
        </w:tc>
        <w:tc>
          <w:tcPr>
            <w:tcW w:w="1185" w:type="dxa"/>
          </w:tcPr>
          <w:p w14:paraId="2749DF8B"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240</w:t>
            </w:r>
          </w:p>
        </w:tc>
        <w:tc>
          <w:tcPr>
            <w:tcW w:w="642" w:type="dxa"/>
          </w:tcPr>
          <w:p w14:paraId="58119F0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61.2</w:t>
            </w:r>
          </w:p>
        </w:tc>
        <w:tc>
          <w:tcPr>
            <w:tcW w:w="1310" w:type="dxa"/>
          </w:tcPr>
          <w:p w14:paraId="370FA178"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152</w:t>
            </w:r>
          </w:p>
        </w:tc>
        <w:tc>
          <w:tcPr>
            <w:tcW w:w="689" w:type="dxa"/>
          </w:tcPr>
          <w:p w14:paraId="6DB25A13"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38.8</w:t>
            </w:r>
          </w:p>
        </w:tc>
      </w:tr>
      <w:tr w:rsidR="00860800" w:rsidRPr="000E4B50" w14:paraId="66058068" w14:textId="77777777" w:rsidTr="00111B5C">
        <w:tc>
          <w:tcPr>
            <w:tcW w:w="626" w:type="dxa"/>
          </w:tcPr>
          <w:p w14:paraId="399269E0"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w:t>
            </w:r>
          </w:p>
        </w:tc>
        <w:tc>
          <w:tcPr>
            <w:tcW w:w="5494" w:type="dxa"/>
          </w:tcPr>
          <w:p w14:paraId="40F48487"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 xml:space="preserve">Provision </w:t>
            </w:r>
            <w:proofErr w:type="gramStart"/>
            <w:r w:rsidRPr="000E4B50">
              <w:rPr>
                <w:rFonts w:asciiTheme="majorBidi" w:hAnsiTheme="majorBidi" w:cstheme="majorBidi"/>
              </w:rPr>
              <w:t>of  support</w:t>
            </w:r>
            <w:proofErr w:type="gramEnd"/>
            <w:r w:rsidRPr="000E4B50">
              <w:rPr>
                <w:rFonts w:asciiTheme="majorBidi" w:hAnsiTheme="majorBidi" w:cstheme="majorBidi"/>
              </w:rPr>
              <w:t xml:space="preserve"> infrastructure for other fuel sources</w:t>
            </w:r>
          </w:p>
        </w:tc>
        <w:tc>
          <w:tcPr>
            <w:tcW w:w="1185" w:type="dxa"/>
          </w:tcPr>
          <w:p w14:paraId="7F8CF3D3"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320</w:t>
            </w:r>
          </w:p>
        </w:tc>
        <w:tc>
          <w:tcPr>
            <w:tcW w:w="642" w:type="dxa"/>
          </w:tcPr>
          <w:p w14:paraId="5D72DC1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81.6</w:t>
            </w:r>
          </w:p>
        </w:tc>
        <w:tc>
          <w:tcPr>
            <w:tcW w:w="1310" w:type="dxa"/>
          </w:tcPr>
          <w:p w14:paraId="1A73251F"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72</w:t>
            </w:r>
          </w:p>
        </w:tc>
        <w:tc>
          <w:tcPr>
            <w:tcW w:w="689" w:type="dxa"/>
          </w:tcPr>
          <w:p w14:paraId="4E63CEE8"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18.4</w:t>
            </w:r>
          </w:p>
        </w:tc>
      </w:tr>
      <w:tr w:rsidR="00860800" w:rsidRPr="000E4B50" w14:paraId="0A63E3DC" w14:textId="77777777" w:rsidTr="00111B5C">
        <w:tc>
          <w:tcPr>
            <w:tcW w:w="626" w:type="dxa"/>
          </w:tcPr>
          <w:p w14:paraId="7C1C05B9"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4</w:t>
            </w:r>
          </w:p>
        </w:tc>
        <w:tc>
          <w:tcPr>
            <w:tcW w:w="5494" w:type="dxa"/>
          </w:tcPr>
          <w:p w14:paraId="5A147248"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Increased Regulation against the felling of trees</w:t>
            </w:r>
          </w:p>
        </w:tc>
        <w:tc>
          <w:tcPr>
            <w:tcW w:w="1185" w:type="dxa"/>
          </w:tcPr>
          <w:p w14:paraId="5D711988"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302</w:t>
            </w:r>
          </w:p>
        </w:tc>
        <w:tc>
          <w:tcPr>
            <w:tcW w:w="642" w:type="dxa"/>
          </w:tcPr>
          <w:p w14:paraId="56ED6D6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77</w:t>
            </w:r>
            <w:r w:rsidR="006A3BF9" w:rsidRPr="000E4B50">
              <w:rPr>
                <w:rFonts w:asciiTheme="majorBidi" w:hAnsiTheme="majorBidi" w:cstheme="majorBidi"/>
              </w:rPr>
              <w:t>.0</w:t>
            </w:r>
          </w:p>
        </w:tc>
        <w:tc>
          <w:tcPr>
            <w:tcW w:w="1310" w:type="dxa"/>
          </w:tcPr>
          <w:p w14:paraId="6D8A8040"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90</w:t>
            </w:r>
          </w:p>
        </w:tc>
        <w:tc>
          <w:tcPr>
            <w:tcW w:w="689" w:type="dxa"/>
          </w:tcPr>
          <w:p w14:paraId="7566F8CE"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23</w:t>
            </w:r>
            <w:r w:rsidR="00392689" w:rsidRPr="000E4B50">
              <w:rPr>
                <w:rFonts w:asciiTheme="majorBidi" w:hAnsiTheme="majorBidi" w:cstheme="majorBidi"/>
              </w:rPr>
              <w:t>.0</w:t>
            </w:r>
          </w:p>
        </w:tc>
      </w:tr>
      <w:tr w:rsidR="00860800" w:rsidRPr="000E4B50" w14:paraId="17C75B38" w14:textId="77777777" w:rsidTr="00111B5C">
        <w:tc>
          <w:tcPr>
            <w:tcW w:w="626" w:type="dxa"/>
          </w:tcPr>
          <w:p w14:paraId="35292D7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5</w:t>
            </w:r>
          </w:p>
        </w:tc>
        <w:tc>
          <w:tcPr>
            <w:tcW w:w="5494" w:type="dxa"/>
          </w:tcPr>
          <w:p w14:paraId="07C2E197"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Population Control</w:t>
            </w:r>
          </w:p>
        </w:tc>
        <w:tc>
          <w:tcPr>
            <w:tcW w:w="1185" w:type="dxa"/>
          </w:tcPr>
          <w:p w14:paraId="5A5514C7"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170</w:t>
            </w:r>
          </w:p>
        </w:tc>
        <w:tc>
          <w:tcPr>
            <w:tcW w:w="642" w:type="dxa"/>
          </w:tcPr>
          <w:p w14:paraId="0D0AF59B"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43.4</w:t>
            </w:r>
          </w:p>
        </w:tc>
        <w:tc>
          <w:tcPr>
            <w:tcW w:w="1310" w:type="dxa"/>
          </w:tcPr>
          <w:p w14:paraId="787CF094"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222</w:t>
            </w:r>
          </w:p>
        </w:tc>
        <w:tc>
          <w:tcPr>
            <w:tcW w:w="689" w:type="dxa"/>
          </w:tcPr>
          <w:p w14:paraId="6C266396"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56.6</w:t>
            </w:r>
          </w:p>
        </w:tc>
      </w:tr>
      <w:tr w:rsidR="00860800" w:rsidRPr="000E4B50" w14:paraId="39188A3C" w14:textId="77777777" w:rsidTr="00111B5C">
        <w:tc>
          <w:tcPr>
            <w:tcW w:w="626" w:type="dxa"/>
          </w:tcPr>
          <w:p w14:paraId="5603323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 xml:space="preserve">6 </w:t>
            </w:r>
          </w:p>
        </w:tc>
        <w:tc>
          <w:tcPr>
            <w:tcW w:w="5494" w:type="dxa"/>
          </w:tcPr>
          <w:p w14:paraId="53AA044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Production of more efficient Stoves</w:t>
            </w:r>
          </w:p>
        </w:tc>
        <w:tc>
          <w:tcPr>
            <w:tcW w:w="1185" w:type="dxa"/>
          </w:tcPr>
          <w:p w14:paraId="3C73F123"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260</w:t>
            </w:r>
          </w:p>
        </w:tc>
        <w:tc>
          <w:tcPr>
            <w:tcW w:w="642" w:type="dxa"/>
          </w:tcPr>
          <w:p w14:paraId="46F6AC86"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66.3</w:t>
            </w:r>
          </w:p>
        </w:tc>
        <w:tc>
          <w:tcPr>
            <w:tcW w:w="1310" w:type="dxa"/>
          </w:tcPr>
          <w:p w14:paraId="00455E3C"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132</w:t>
            </w:r>
          </w:p>
        </w:tc>
        <w:tc>
          <w:tcPr>
            <w:tcW w:w="689" w:type="dxa"/>
          </w:tcPr>
          <w:p w14:paraId="003CD734" w14:textId="77777777" w:rsidR="00860800" w:rsidRPr="000E4B50" w:rsidRDefault="00392689" w:rsidP="00860800">
            <w:pPr>
              <w:tabs>
                <w:tab w:val="left" w:pos="2517"/>
              </w:tabs>
              <w:jc w:val="both"/>
              <w:rPr>
                <w:rFonts w:asciiTheme="majorBidi" w:hAnsiTheme="majorBidi" w:cstheme="majorBidi"/>
              </w:rPr>
            </w:pPr>
            <w:r w:rsidRPr="000E4B50">
              <w:rPr>
                <w:rFonts w:asciiTheme="majorBidi" w:hAnsiTheme="majorBidi" w:cstheme="majorBidi"/>
              </w:rPr>
              <w:t>33.</w:t>
            </w:r>
            <w:r w:rsidR="00860800" w:rsidRPr="000E4B50">
              <w:rPr>
                <w:rFonts w:asciiTheme="majorBidi" w:hAnsiTheme="majorBidi" w:cstheme="majorBidi"/>
              </w:rPr>
              <w:t>7</w:t>
            </w:r>
          </w:p>
        </w:tc>
      </w:tr>
      <w:tr w:rsidR="00860800" w:rsidRPr="000E4B50" w14:paraId="56F36507" w14:textId="77777777" w:rsidTr="00111B5C">
        <w:tc>
          <w:tcPr>
            <w:tcW w:w="626" w:type="dxa"/>
          </w:tcPr>
          <w:p w14:paraId="7D7BE551"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7</w:t>
            </w:r>
          </w:p>
        </w:tc>
        <w:tc>
          <w:tcPr>
            <w:tcW w:w="5494" w:type="dxa"/>
          </w:tcPr>
          <w:p w14:paraId="15193E3A"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Subsidizing Alternative Sources of Fuel</w:t>
            </w:r>
          </w:p>
        </w:tc>
        <w:tc>
          <w:tcPr>
            <w:tcW w:w="1185" w:type="dxa"/>
          </w:tcPr>
          <w:p w14:paraId="0474FCD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322</w:t>
            </w:r>
          </w:p>
        </w:tc>
        <w:tc>
          <w:tcPr>
            <w:tcW w:w="642" w:type="dxa"/>
          </w:tcPr>
          <w:p w14:paraId="17142EFB"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82.4</w:t>
            </w:r>
          </w:p>
        </w:tc>
        <w:tc>
          <w:tcPr>
            <w:tcW w:w="1310" w:type="dxa"/>
          </w:tcPr>
          <w:p w14:paraId="7C5AFE1D"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70</w:t>
            </w:r>
          </w:p>
        </w:tc>
        <w:tc>
          <w:tcPr>
            <w:tcW w:w="689" w:type="dxa"/>
          </w:tcPr>
          <w:p w14:paraId="49D3A1CF" w14:textId="77777777" w:rsidR="00860800" w:rsidRPr="000E4B50" w:rsidRDefault="00392689" w:rsidP="00860800">
            <w:pPr>
              <w:tabs>
                <w:tab w:val="left" w:pos="2517"/>
              </w:tabs>
              <w:jc w:val="both"/>
              <w:rPr>
                <w:rFonts w:asciiTheme="majorBidi" w:hAnsiTheme="majorBidi" w:cstheme="majorBidi"/>
              </w:rPr>
            </w:pPr>
            <w:r w:rsidRPr="000E4B50">
              <w:rPr>
                <w:rFonts w:asciiTheme="majorBidi" w:hAnsiTheme="majorBidi" w:cstheme="majorBidi"/>
              </w:rPr>
              <w:t>17.</w:t>
            </w:r>
            <w:r w:rsidR="00860800" w:rsidRPr="000E4B50">
              <w:rPr>
                <w:rFonts w:asciiTheme="majorBidi" w:hAnsiTheme="majorBidi" w:cstheme="majorBidi"/>
              </w:rPr>
              <w:t>6</w:t>
            </w:r>
          </w:p>
        </w:tc>
      </w:tr>
      <w:tr w:rsidR="00860800" w:rsidRPr="000E4B50" w14:paraId="63A6DEFF" w14:textId="77777777" w:rsidTr="00111B5C">
        <w:tc>
          <w:tcPr>
            <w:tcW w:w="626" w:type="dxa"/>
          </w:tcPr>
          <w:p w14:paraId="5277ADC9"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8</w:t>
            </w:r>
          </w:p>
        </w:tc>
        <w:tc>
          <w:tcPr>
            <w:tcW w:w="5494" w:type="dxa"/>
          </w:tcPr>
          <w:p w14:paraId="5452D59B"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Promoting the Usage of Cleaner Fuels</w:t>
            </w:r>
          </w:p>
        </w:tc>
        <w:tc>
          <w:tcPr>
            <w:tcW w:w="1185" w:type="dxa"/>
          </w:tcPr>
          <w:p w14:paraId="08D97022"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260</w:t>
            </w:r>
          </w:p>
        </w:tc>
        <w:tc>
          <w:tcPr>
            <w:tcW w:w="642" w:type="dxa"/>
          </w:tcPr>
          <w:p w14:paraId="18AF6D25"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66.3</w:t>
            </w:r>
          </w:p>
        </w:tc>
        <w:tc>
          <w:tcPr>
            <w:tcW w:w="1310" w:type="dxa"/>
          </w:tcPr>
          <w:p w14:paraId="1CFADF0A" w14:textId="77777777" w:rsidR="00860800" w:rsidRPr="000E4B50" w:rsidRDefault="00860800" w:rsidP="00860800">
            <w:pPr>
              <w:tabs>
                <w:tab w:val="left" w:pos="2517"/>
              </w:tabs>
              <w:jc w:val="both"/>
              <w:rPr>
                <w:rFonts w:asciiTheme="majorBidi" w:hAnsiTheme="majorBidi" w:cstheme="majorBidi"/>
              </w:rPr>
            </w:pPr>
            <w:r w:rsidRPr="000E4B50">
              <w:rPr>
                <w:rFonts w:asciiTheme="majorBidi" w:hAnsiTheme="majorBidi" w:cstheme="majorBidi"/>
              </w:rPr>
              <w:t>132</w:t>
            </w:r>
          </w:p>
        </w:tc>
        <w:tc>
          <w:tcPr>
            <w:tcW w:w="689" w:type="dxa"/>
          </w:tcPr>
          <w:p w14:paraId="5F4B37C1" w14:textId="77777777" w:rsidR="00860800" w:rsidRPr="000E4B50" w:rsidRDefault="00392689" w:rsidP="00860800">
            <w:pPr>
              <w:tabs>
                <w:tab w:val="left" w:pos="2517"/>
              </w:tabs>
              <w:jc w:val="both"/>
              <w:rPr>
                <w:rFonts w:asciiTheme="majorBidi" w:hAnsiTheme="majorBidi" w:cstheme="majorBidi"/>
              </w:rPr>
            </w:pPr>
            <w:r w:rsidRPr="000E4B50">
              <w:rPr>
                <w:rFonts w:asciiTheme="majorBidi" w:hAnsiTheme="majorBidi" w:cstheme="majorBidi"/>
              </w:rPr>
              <w:t>33.</w:t>
            </w:r>
            <w:r w:rsidR="00860800" w:rsidRPr="000E4B50">
              <w:rPr>
                <w:rFonts w:asciiTheme="majorBidi" w:hAnsiTheme="majorBidi" w:cstheme="majorBidi"/>
              </w:rPr>
              <w:t>7</w:t>
            </w:r>
          </w:p>
        </w:tc>
      </w:tr>
    </w:tbl>
    <w:p w14:paraId="13C5CE75" w14:textId="77777777" w:rsidR="00B87964" w:rsidRPr="000E4B50" w:rsidRDefault="00860800" w:rsidP="00860800">
      <w:pPr>
        <w:tabs>
          <w:tab w:val="left" w:pos="2517"/>
        </w:tabs>
        <w:spacing w:line="480" w:lineRule="auto"/>
        <w:jc w:val="both"/>
        <w:rPr>
          <w:rFonts w:asciiTheme="majorBidi" w:hAnsiTheme="majorBidi" w:cstheme="majorBidi"/>
          <w:sz w:val="24"/>
          <w:szCs w:val="24"/>
        </w:rPr>
      </w:pPr>
      <w:r w:rsidRPr="000E4B50">
        <w:rPr>
          <w:rFonts w:asciiTheme="majorBidi" w:hAnsiTheme="majorBidi" w:cstheme="majorBidi"/>
          <w:b/>
          <w:bCs/>
          <w:sz w:val="24"/>
          <w:szCs w:val="24"/>
        </w:rPr>
        <w:t>S</w:t>
      </w:r>
      <w:r w:rsidRPr="000E4B50">
        <w:rPr>
          <w:rFonts w:asciiTheme="majorBidi" w:hAnsiTheme="majorBidi" w:cstheme="majorBidi"/>
          <w:sz w:val="24"/>
          <w:szCs w:val="24"/>
        </w:rPr>
        <w:t>ource</w:t>
      </w:r>
      <w:r w:rsidRPr="000E4B50">
        <w:rPr>
          <w:rFonts w:asciiTheme="majorBidi" w:hAnsiTheme="majorBidi" w:cstheme="majorBidi"/>
          <w:b/>
          <w:bCs/>
          <w:sz w:val="24"/>
          <w:szCs w:val="24"/>
        </w:rPr>
        <w:t>:</w:t>
      </w:r>
      <w:r w:rsidRPr="000E4B50">
        <w:rPr>
          <w:rFonts w:asciiTheme="majorBidi" w:hAnsiTheme="majorBidi" w:cstheme="majorBidi"/>
          <w:sz w:val="24"/>
          <w:szCs w:val="24"/>
        </w:rPr>
        <w:t xml:space="preserve"> Researchers’ Field Survey, May, 2026 </w:t>
      </w:r>
    </w:p>
    <w:p w14:paraId="268E0E9C" w14:textId="77777777" w:rsidR="00860800" w:rsidRPr="000E4B50" w:rsidRDefault="00860800" w:rsidP="00860800">
      <w:pPr>
        <w:tabs>
          <w:tab w:val="left" w:pos="2517"/>
        </w:tabs>
        <w:spacing w:line="480" w:lineRule="auto"/>
        <w:jc w:val="both"/>
        <w:rPr>
          <w:rFonts w:asciiTheme="majorBidi" w:hAnsiTheme="majorBidi" w:cstheme="majorBidi"/>
          <w:sz w:val="24"/>
          <w:szCs w:val="24"/>
        </w:rPr>
      </w:pPr>
      <w:r w:rsidRPr="000E4B50">
        <w:t xml:space="preserve">The responses to Research Question 5, which sought to determine how fuelwood consumption in Benue State can be controlled, indicated that subsidising alternative sources of fuel had the highest level of </w:t>
      </w:r>
      <w:r w:rsidRPr="000E4B50">
        <w:lastRenderedPageBreak/>
        <w:t>affirmation, while respondents rejected the proposition for population control. The provision of support infrastructure for other fuel sources, increased regulation against tree felling, production of more efficient stoves and promotion of cleaner fuels were all affirmed as ways of controlling fuelwood consumption. Other measures affirmed by respondents included creating public awareness about the dangers of fuelwood use and economically empowering rural and urban dwellers so that they can afford cleaner sources of energy.</w:t>
      </w:r>
    </w:p>
    <w:p w14:paraId="32D341AD" w14:textId="77777777" w:rsidR="00860800" w:rsidRPr="000E4B50" w:rsidRDefault="00B87964" w:rsidP="001E76AB">
      <w:pPr>
        <w:spacing w:after="0" w:line="480" w:lineRule="auto"/>
        <w:jc w:val="both"/>
        <w:rPr>
          <w:rFonts w:ascii="Times New Roman" w:hAnsi="Times New Roman"/>
          <w:b/>
          <w:sz w:val="24"/>
          <w:szCs w:val="24"/>
        </w:rPr>
      </w:pPr>
      <w:r w:rsidRPr="000E4B50">
        <w:rPr>
          <w:rFonts w:ascii="Times New Roman" w:hAnsi="Times New Roman"/>
          <w:b/>
          <w:sz w:val="24"/>
          <w:szCs w:val="24"/>
        </w:rPr>
        <w:t>Testing of Hypothese</w:t>
      </w:r>
      <w:r w:rsidR="00860800" w:rsidRPr="000E4B50">
        <w:rPr>
          <w:rFonts w:ascii="Times New Roman" w:hAnsi="Times New Roman"/>
          <w:b/>
          <w:sz w:val="24"/>
          <w:szCs w:val="24"/>
        </w:rPr>
        <w:t>s</w:t>
      </w:r>
    </w:p>
    <w:p w14:paraId="6D8B5CDE" w14:textId="77777777" w:rsidR="00860800" w:rsidRPr="000E4B50" w:rsidRDefault="00083016" w:rsidP="001E76AB">
      <w:pPr>
        <w:spacing w:after="0"/>
        <w:jc w:val="both"/>
        <w:rPr>
          <w:rFonts w:ascii="Times New Roman" w:hAnsi="Times New Roman"/>
          <w:b/>
          <w:sz w:val="24"/>
          <w:szCs w:val="24"/>
        </w:rPr>
      </w:pPr>
      <w:r w:rsidRPr="000E4B50">
        <w:t>There is no significant relationship between fuelwood consumption and environmental degradation in Benue State.</w:t>
      </w:r>
    </w:p>
    <w:p w14:paraId="16769462" w14:textId="77777777" w:rsidR="001E76AB" w:rsidRPr="000E4B50" w:rsidRDefault="001E76AB" w:rsidP="001E76AB">
      <w:pPr>
        <w:spacing w:after="0"/>
        <w:jc w:val="both"/>
        <w:rPr>
          <w:rFonts w:ascii="Times New Roman" w:hAnsi="Times New Roman" w:cs="Times New Roman"/>
          <w:b/>
          <w:sz w:val="24"/>
          <w:szCs w:val="24"/>
        </w:rPr>
      </w:pPr>
    </w:p>
    <w:p w14:paraId="5E271E16" w14:textId="77777777" w:rsidR="00860800" w:rsidRPr="000E4B50" w:rsidRDefault="00860800" w:rsidP="00FF1C41">
      <w:pPr>
        <w:spacing w:line="480" w:lineRule="auto"/>
        <w:jc w:val="both"/>
        <w:rPr>
          <w:rFonts w:ascii="Times New Roman" w:hAnsi="Times New Roman" w:cs="Times New Roman"/>
          <w:b/>
          <w:sz w:val="24"/>
          <w:szCs w:val="24"/>
        </w:rPr>
      </w:pPr>
      <w:r w:rsidRPr="000E4B50">
        <w:t>To test this hypothesis, values were derived from Table 6, which was designed to ascertain whether most people in Benue State were aware of the negative effects of fuelwood consumption on the environment.</w:t>
      </w:r>
    </w:p>
    <w:p w14:paraId="1DBA0B76" w14:textId="77777777" w:rsidR="00860800" w:rsidRPr="000E4B50" w:rsidRDefault="00DA3B27" w:rsidP="00DA3B27">
      <w:pPr>
        <w:ind w:left="1170" w:hanging="1170"/>
        <w:jc w:val="both"/>
        <w:rPr>
          <w:rFonts w:ascii="Times New Roman" w:hAnsi="Times New Roman" w:cs="Times New Roman"/>
          <w:b/>
          <w:sz w:val="24"/>
          <w:szCs w:val="24"/>
        </w:rPr>
      </w:pPr>
      <w:r w:rsidRPr="000E4B50">
        <w:rPr>
          <w:rFonts w:ascii="Times New Roman" w:hAnsi="Times New Roman"/>
          <w:b/>
          <w:sz w:val="24"/>
          <w:szCs w:val="24"/>
        </w:rPr>
        <w:t xml:space="preserve">Table 6: </w:t>
      </w:r>
      <w:r w:rsidR="00860800" w:rsidRPr="000E4B50">
        <w:rPr>
          <w:rFonts w:ascii="Times New Roman" w:hAnsi="Times New Roman"/>
          <w:b/>
          <w:sz w:val="24"/>
          <w:szCs w:val="24"/>
        </w:rPr>
        <w:t>Responses to the Question: There is no relationship between fuelwood consumption and environmental degradation in Benue State.</w:t>
      </w:r>
    </w:p>
    <w:tbl>
      <w:tblPr>
        <w:tblW w:w="0" w:type="auto"/>
        <w:tblInd w:w="813" w:type="dxa"/>
        <w:tblBorders>
          <w:top w:val="single" w:sz="4" w:space="0" w:color="auto"/>
        </w:tblBorders>
        <w:tblLook w:val="0000" w:firstRow="0" w:lastRow="0" w:firstColumn="0" w:lastColumn="0" w:noHBand="0" w:noVBand="0"/>
      </w:tblPr>
      <w:tblGrid>
        <w:gridCol w:w="7755"/>
      </w:tblGrid>
      <w:tr w:rsidR="00860800" w:rsidRPr="000E4B50" w14:paraId="5D2F06A8" w14:textId="77777777" w:rsidTr="00111B5C">
        <w:trPr>
          <w:trHeight w:val="100"/>
        </w:trPr>
        <w:tc>
          <w:tcPr>
            <w:tcW w:w="7755" w:type="dxa"/>
          </w:tcPr>
          <w:p w14:paraId="05565CB4" w14:textId="77777777" w:rsidR="00860800" w:rsidRPr="000E4B50" w:rsidRDefault="00860800" w:rsidP="00860800">
            <w:pPr>
              <w:pStyle w:val="ListParagraph"/>
              <w:ind w:left="0"/>
              <w:jc w:val="both"/>
              <w:rPr>
                <w:rFonts w:ascii="Times New Roman" w:hAnsi="Times New Roman"/>
                <w:b/>
                <w:sz w:val="4"/>
                <w:szCs w:val="24"/>
              </w:rPr>
            </w:pPr>
          </w:p>
        </w:tc>
      </w:tr>
    </w:tbl>
    <w:p w14:paraId="701F4DBE" w14:textId="77777777" w:rsidR="00860800" w:rsidRPr="000E4B50" w:rsidRDefault="00860800" w:rsidP="00860800">
      <w:pPr>
        <w:pStyle w:val="NoSpacing"/>
        <w:tabs>
          <w:tab w:val="left" w:pos="90"/>
        </w:tabs>
        <w:spacing w:line="360" w:lineRule="auto"/>
        <w:ind w:hanging="720"/>
        <w:jc w:val="both"/>
        <w:rPr>
          <w:rFonts w:ascii="Times New Roman" w:hAnsi="Times New Roman"/>
          <w:sz w:val="24"/>
          <w:szCs w:val="24"/>
        </w:rPr>
      </w:pPr>
      <w:r w:rsidRPr="000E4B50">
        <w:rPr>
          <w:rFonts w:ascii="Times New Roman" w:hAnsi="Times New Roman"/>
          <w:b/>
          <w:sz w:val="24"/>
          <w:szCs w:val="24"/>
        </w:rPr>
        <w:t xml:space="preserve">                        </w:t>
      </w:r>
      <w:r w:rsidRPr="000E4B50">
        <w:rPr>
          <w:rFonts w:ascii="Times New Roman" w:hAnsi="Times New Roman"/>
          <w:b/>
          <w:sz w:val="24"/>
          <w:szCs w:val="24"/>
          <w:u w:val="single"/>
        </w:rPr>
        <w:t>Responses                        Frequency</w:t>
      </w:r>
      <w:r w:rsidRPr="000E4B50">
        <w:rPr>
          <w:rFonts w:ascii="Times New Roman" w:hAnsi="Times New Roman"/>
          <w:b/>
          <w:sz w:val="24"/>
          <w:szCs w:val="24"/>
          <w:u w:val="single"/>
        </w:rPr>
        <w:tab/>
      </w:r>
      <w:r w:rsidRPr="000E4B50">
        <w:rPr>
          <w:rFonts w:ascii="Times New Roman" w:hAnsi="Times New Roman"/>
          <w:b/>
          <w:sz w:val="24"/>
          <w:szCs w:val="24"/>
          <w:u w:val="single"/>
        </w:rPr>
        <w:tab/>
        <w:t xml:space="preserve">     </w:t>
      </w:r>
      <w:r w:rsidR="00392689" w:rsidRPr="000E4B50">
        <w:rPr>
          <w:rFonts w:ascii="Times New Roman" w:hAnsi="Times New Roman"/>
          <w:b/>
          <w:sz w:val="24"/>
          <w:szCs w:val="24"/>
          <w:u w:val="single"/>
        </w:rPr>
        <w:t xml:space="preserve">       Percentage</w:t>
      </w:r>
      <w:r w:rsidRPr="000E4B50">
        <w:rPr>
          <w:rFonts w:ascii="Times New Roman" w:hAnsi="Times New Roman"/>
          <w:sz w:val="24"/>
          <w:szCs w:val="24"/>
        </w:rPr>
        <w:tab/>
      </w:r>
      <w:r w:rsidRPr="000E4B50">
        <w:rPr>
          <w:rFonts w:ascii="Times New Roman" w:hAnsi="Times New Roman"/>
          <w:sz w:val="24"/>
          <w:szCs w:val="24"/>
        </w:rPr>
        <w:tab/>
      </w:r>
      <w:r w:rsidRPr="000E4B50">
        <w:rPr>
          <w:rFonts w:ascii="Times New Roman" w:hAnsi="Times New Roman"/>
          <w:sz w:val="24"/>
          <w:szCs w:val="24"/>
        </w:rPr>
        <w:tab/>
      </w:r>
      <w:r w:rsidR="00392689" w:rsidRPr="000E4B50">
        <w:rPr>
          <w:rFonts w:ascii="Times New Roman" w:hAnsi="Times New Roman"/>
          <w:sz w:val="24"/>
          <w:szCs w:val="24"/>
        </w:rPr>
        <w:t xml:space="preserve">    </w:t>
      </w:r>
      <w:r w:rsidRPr="000E4B50">
        <w:rPr>
          <w:rFonts w:ascii="Times New Roman" w:hAnsi="Times New Roman"/>
          <w:sz w:val="24"/>
          <w:szCs w:val="24"/>
        </w:rPr>
        <w:tab/>
      </w:r>
      <w:r w:rsidR="00392689" w:rsidRPr="000E4B50">
        <w:rPr>
          <w:rFonts w:ascii="Times New Roman" w:hAnsi="Times New Roman"/>
          <w:sz w:val="24"/>
          <w:szCs w:val="24"/>
        </w:rPr>
        <w:t xml:space="preserve">           </w:t>
      </w:r>
      <w:r w:rsidR="00392689" w:rsidRPr="000E4B50">
        <w:rPr>
          <w:rFonts w:ascii="Times New Roman" w:hAnsi="Times New Roman"/>
          <w:sz w:val="24"/>
          <w:szCs w:val="24"/>
        </w:rPr>
        <w:tab/>
      </w:r>
      <w:r w:rsidR="00392689" w:rsidRPr="000E4B50">
        <w:rPr>
          <w:rFonts w:ascii="Times New Roman" w:hAnsi="Times New Roman"/>
          <w:sz w:val="24"/>
          <w:szCs w:val="24"/>
        </w:rPr>
        <w:tab/>
      </w:r>
      <w:r w:rsidRPr="000E4B50">
        <w:rPr>
          <w:rFonts w:ascii="Times New Roman" w:hAnsi="Times New Roman"/>
          <w:sz w:val="24"/>
          <w:szCs w:val="24"/>
        </w:rPr>
        <w:t>Strongly Agree</w:t>
      </w:r>
      <w:r w:rsidRPr="000E4B50">
        <w:rPr>
          <w:rFonts w:ascii="Times New Roman" w:hAnsi="Times New Roman"/>
          <w:sz w:val="24"/>
          <w:szCs w:val="24"/>
        </w:rPr>
        <w:tab/>
        <w:t xml:space="preserve">       </w:t>
      </w:r>
      <w:r w:rsidR="00392689" w:rsidRPr="000E4B50">
        <w:rPr>
          <w:rFonts w:ascii="Times New Roman" w:hAnsi="Times New Roman"/>
          <w:sz w:val="24"/>
          <w:szCs w:val="24"/>
        </w:rPr>
        <w:t xml:space="preserve"> </w:t>
      </w:r>
      <w:r w:rsidRPr="000E4B50">
        <w:rPr>
          <w:rFonts w:ascii="Times New Roman" w:hAnsi="Times New Roman"/>
          <w:sz w:val="24"/>
          <w:szCs w:val="24"/>
        </w:rPr>
        <w:t>44</w:t>
      </w:r>
      <w:proofErr w:type="gramStart"/>
      <w:r w:rsidRPr="000E4B50">
        <w:rPr>
          <w:rFonts w:ascii="Times New Roman" w:hAnsi="Times New Roman"/>
          <w:sz w:val="24"/>
          <w:szCs w:val="24"/>
        </w:rPr>
        <w:tab/>
        <w:t xml:space="preserve">  </w:t>
      </w:r>
      <w:r w:rsidRPr="000E4B50">
        <w:rPr>
          <w:rFonts w:ascii="Times New Roman" w:hAnsi="Times New Roman"/>
          <w:sz w:val="24"/>
          <w:szCs w:val="24"/>
        </w:rPr>
        <w:tab/>
      </w:r>
      <w:proofErr w:type="gramEnd"/>
      <w:r w:rsidRPr="000E4B50">
        <w:rPr>
          <w:rFonts w:ascii="Times New Roman" w:hAnsi="Times New Roman"/>
          <w:sz w:val="24"/>
          <w:szCs w:val="24"/>
        </w:rPr>
        <w:tab/>
        <w:t xml:space="preserve">     11.2</w:t>
      </w:r>
      <w:r w:rsidRPr="000E4B50">
        <w:rPr>
          <w:rFonts w:ascii="Times New Roman" w:hAnsi="Times New Roman"/>
          <w:sz w:val="24"/>
          <w:szCs w:val="24"/>
        </w:rPr>
        <w:tab/>
      </w:r>
      <w:r w:rsidRPr="000E4B50">
        <w:rPr>
          <w:rFonts w:ascii="Times New Roman" w:hAnsi="Times New Roman"/>
          <w:sz w:val="24"/>
          <w:szCs w:val="24"/>
        </w:rPr>
        <w:tab/>
      </w:r>
    </w:p>
    <w:p w14:paraId="7BF675BE" w14:textId="77777777" w:rsidR="00860800" w:rsidRPr="000E4B50" w:rsidRDefault="00860800" w:rsidP="00860800">
      <w:pPr>
        <w:pStyle w:val="NoSpacing"/>
        <w:tabs>
          <w:tab w:val="left" w:pos="90"/>
        </w:tabs>
        <w:spacing w:line="360" w:lineRule="auto"/>
        <w:ind w:hanging="720"/>
        <w:jc w:val="both"/>
        <w:rPr>
          <w:rFonts w:ascii="Times New Roman" w:hAnsi="Times New Roman"/>
          <w:sz w:val="24"/>
          <w:szCs w:val="24"/>
        </w:rPr>
      </w:pPr>
      <w:r w:rsidRPr="000E4B50">
        <w:rPr>
          <w:rFonts w:ascii="Times New Roman" w:hAnsi="Times New Roman"/>
          <w:sz w:val="24"/>
          <w:szCs w:val="24"/>
        </w:rPr>
        <w:t xml:space="preserve">                        Agree            </w:t>
      </w:r>
      <w:r w:rsidRPr="000E4B50">
        <w:rPr>
          <w:rFonts w:ascii="Times New Roman" w:hAnsi="Times New Roman"/>
          <w:sz w:val="24"/>
          <w:szCs w:val="24"/>
        </w:rPr>
        <w:tab/>
      </w:r>
      <w:r w:rsidRPr="000E4B50">
        <w:rPr>
          <w:rFonts w:ascii="Times New Roman" w:hAnsi="Times New Roman"/>
          <w:sz w:val="24"/>
          <w:szCs w:val="24"/>
        </w:rPr>
        <w:tab/>
        <w:t xml:space="preserve">        98</w:t>
      </w:r>
      <w:r w:rsidRPr="000E4B50">
        <w:rPr>
          <w:rFonts w:ascii="Times New Roman" w:hAnsi="Times New Roman"/>
          <w:sz w:val="24"/>
          <w:szCs w:val="24"/>
        </w:rPr>
        <w:tab/>
      </w:r>
      <w:r w:rsidRPr="000E4B50">
        <w:rPr>
          <w:rFonts w:ascii="Times New Roman" w:hAnsi="Times New Roman"/>
          <w:sz w:val="24"/>
          <w:szCs w:val="24"/>
        </w:rPr>
        <w:tab/>
      </w:r>
      <w:r w:rsidRPr="000E4B50">
        <w:rPr>
          <w:rFonts w:ascii="Times New Roman" w:hAnsi="Times New Roman"/>
          <w:sz w:val="24"/>
          <w:szCs w:val="24"/>
        </w:rPr>
        <w:tab/>
        <w:t xml:space="preserve">     25</w:t>
      </w:r>
      <w:r w:rsidR="00392689" w:rsidRPr="000E4B50">
        <w:rPr>
          <w:rFonts w:ascii="Times New Roman" w:hAnsi="Times New Roman"/>
          <w:sz w:val="24"/>
          <w:szCs w:val="24"/>
        </w:rPr>
        <w:t>.0</w:t>
      </w:r>
    </w:p>
    <w:p w14:paraId="391006D0" w14:textId="77777777" w:rsidR="00860800" w:rsidRPr="000E4B50" w:rsidRDefault="00860800" w:rsidP="00860800">
      <w:pPr>
        <w:pStyle w:val="NoSpacing"/>
        <w:tabs>
          <w:tab w:val="left" w:pos="90"/>
        </w:tabs>
        <w:spacing w:line="360" w:lineRule="auto"/>
        <w:ind w:hanging="720"/>
        <w:jc w:val="both"/>
        <w:rPr>
          <w:rFonts w:ascii="Times New Roman" w:hAnsi="Times New Roman"/>
          <w:sz w:val="24"/>
          <w:szCs w:val="24"/>
        </w:rPr>
      </w:pPr>
      <w:r w:rsidRPr="000E4B50">
        <w:rPr>
          <w:rFonts w:ascii="Times New Roman" w:hAnsi="Times New Roman"/>
          <w:sz w:val="24"/>
          <w:szCs w:val="24"/>
        </w:rPr>
        <w:tab/>
      </w:r>
      <w:r w:rsidRPr="000E4B50">
        <w:rPr>
          <w:rFonts w:ascii="Times New Roman" w:hAnsi="Times New Roman"/>
          <w:sz w:val="24"/>
          <w:szCs w:val="24"/>
        </w:rPr>
        <w:tab/>
      </w:r>
      <w:r w:rsidRPr="000E4B50">
        <w:rPr>
          <w:rFonts w:ascii="Times New Roman" w:hAnsi="Times New Roman"/>
          <w:sz w:val="24"/>
          <w:szCs w:val="24"/>
        </w:rPr>
        <w:tab/>
        <w:t>Strongly Disagree</w:t>
      </w:r>
      <w:r w:rsidRPr="000E4B50">
        <w:rPr>
          <w:rFonts w:ascii="Times New Roman" w:hAnsi="Times New Roman"/>
          <w:sz w:val="24"/>
          <w:szCs w:val="24"/>
        </w:rPr>
        <w:tab/>
        <w:t xml:space="preserve">        100</w:t>
      </w:r>
      <w:r w:rsidRPr="000E4B50">
        <w:rPr>
          <w:rFonts w:ascii="Times New Roman" w:hAnsi="Times New Roman"/>
          <w:sz w:val="24"/>
          <w:szCs w:val="24"/>
        </w:rPr>
        <w:tab/>
      </w:r>
      <w:r w:rsidRPr="000E4B50">
        <w:rPr>
          <w:rFonts w:ascii="Times New Roman" w:hAnsi="Times New Roman"/>
          <w:sz w:val="24"/>
          <w:szCs w:val="24"/>
        </w:rPr>
        <w:tab/>
      </w:r>
      <w:r w:rsidRPr="000E4B50">
        <w:rPr>
          <w:rFonts w:ascii="Times New Roman" w:hAnsi="Times New Roman"/>
          <w:sz w:val="24"/>
          <w:szCs w:val="24"/>
        </w:rPr>
        <w:tab/>
        <w:t xml:space="preserve">     25.5</w:t>
      </w:r>
    </w:p>
    <w:p w14:paraId="36E23F17" w14:textId="77777777" w:rsidR="00860800" w:rsidRPr="000E4B50" w:rsidRDefault="00860800" w:rsidP="00860800">
      <w:pPr>
        <w:pStyle w:val="NoSpacing"/>
        <w:tabs>
          <w:tab w:val="left" w:pos="90"/>
        </w:tabs>
        <w:spacing w:line="360" w:lineRule="auto"/>
        <w:ind w:hanging="720"/>
        <w:jc w:val="both"/>
        <w:rPr>
          <w:rFonts w:ascii="Times New Roman" w:hAnsi="Times New Roman"/>
          <w:sz w:val="24"/>
          <w:szCs w:val="24"/>
        </w:rPr>
      </w:pPr>
      <w:r w:rsidRPr="000E4B50">
        <w:rPr>
          <w:rFonts w:ascii="Times New Roman" w:hAnsi="Times New Roman"/>
          <w:sz w:val="24"/>
          <w:szCs w:val="24"/>
        </w:rPr>
        <w:t xml:space="preserve">                       </w:t>
      </w:r>
      <w:r w:rsidRPr="000E4B50">
        <w:rPr>
          <w:rFonts w:ascii="Times New Roman" w:hAnsi="Times New Roman"/>
          <w:b/>
          <w:sz w:val="24"/>
          <w:szCs w:val="24"/>
        </w:rPr>
        <w:t xml:space="preserve"> </w:t>
      </w:r>
      <w:r w:rsidRPr="000E4B50">
        <w:rPr>
          <w:rFonts w:ascii="Times New Roman" w:hAnsi="Times New Roman"/>
          <w:sz w:val="24"/>
          <w:szCs w:val="24"/>
        </w:rPr>
        <w:t>Disagree                              150</w:t>
      </w:r>
      <w:r w:rsidRPr="000E4B50">
        <w:rPr>
          <w:rFonts w:ascii="Times New Roman" w:hAnsi="Times New Roman"/>
          <w:sz w:val="24"/>
          <w:szCs w:val="24"/>
        </w:rPr>
        <w:tab/>
      </w:r>
      <w:r w:rsidRPr="000E4B50">
        <w:rPr>
          <w:rFonts w:ascii="Times New Roman" w:hAnsi="Times New Roman"/>
          <w:sz w:val="24"/>
          <w:szCs w:val="24"/>
        </w:rPr>
        <w:tab/>
      </w:r>
      <w:r w:rsidRPr="000E4B50">
        <w:rPr>
          <w:rFonts w:ascii="Times New Roman" w:hAnsi="Times New Roman"/>
          <w:sz w:val="24"/>
          <w:szCs w:val="24"/>
        </w:rPr>
        <w:tab/>
        <w:t xml:space="preserve">     38.3</w:t>
      </w:r>
    </w:p>
    <w:p w14:paraId="209B33EB" w14:textId="77777777" w:rsidR="00860800" w:rsidRPr="000E4B50" w:rsidRDefault="00860800" w:rsidP="00860800">
      <w:pPr>
        <w:pStyle w:val="NoSpacing"/>
        <w:tabs>
          <w:tab w:val="left" w:pos="90"/>
        </w:tabs>
        <w:spacing w:line="360" w:lineRule="auto"/>
        <w:ind w:hanging="720"/>
        <w:jc w:val="both"/>
        <w:rPr>
          <w:rFonts w:ascii="Times New Roman" w:hAnsi="Times New Roman"/>
          <w:sz w:val="24"/>
          <w:szCs w:val="24"/>
          <w:u w:val="single"/>
        </w:rPr>
      </w:pPr>
      <w:r w:rsidRPr="000E4B50">
        <w:rPr>
          <w:rFonts w:ascii="Times New Roman" w:hAnsi="Times New Roman"/>
          <w:sz w:val="24"/>
          <w:szCs w:val="24"/>
        </w:rPr>
        <w:tab/>
      </w:r>
      <w:r w:rsidRPr="000E4B50">
        <w:rPr>
          <w:rFonts w:ascii="Times New Roman" w:hAnsi="Times New Roman"/>
          <w:sz w:val="24"/>
          <w:szCs w:val="24"/>
        </w:rPr>
        <w:tab/>
      </w:r>
      <w:r w:rsidRPr="000E4B50">
        <w:rPr>
          <w:rFonts w:ascii="Times New Roman" w:hAnsi="Times New Roman"/>
          <w:sz w:val="24"/>
          <w:szCs w:val="24"/>
        </w:rPr>
        <w:tab/>
      </w:r>
      <w:r w:rsidRPr="000E4B50">
        <w:rPr>
          <w:rFonts w:ascii="Times New Roman" w:hAnsi="Times New Roman"/>
          <w:b/>
          <w:sz w:val="24"/>
          <w:szCs w:val="24"/>
          <w:u w:val="single"/>
        </w:rPr>
        <w:t>Total</w:t>
      </w:r>
      <w:r w:rsidRPr="000E4B50">
        <w:rPr>
          <w:rFonts w:ascii="Times New Roman" w:hAnsi="Times New Roman"/>
          <w:sz w:val="24"/>
          <w:szCs w:val="24"/>
          <w:u w:val="single"/>
        </w:rPr>
        <w:tab/>
      </w:r>
      <w:r w:rsidRPr="000E4B50">
        <w:rPr>
          <w:rFonts w:ascii="Times New Roman" w:hAnsi="Times New Roman"/>
          <w:sz w:val="24"/>
          <w:szCs w:val="24"/>
          <w:u w:val="single"/>
        </w:rPr>
        <w:tab/>
        <w:t xml:space="preserve">     </w:t>
      </w:r>
      <w:r w:rsidRPr="000E4B50">
        <w:rPr>
          <w:rFonts w:ascii="Times New Roman" w:hAnsi="Times New Roman"/>
          <w:sz w:val="24"/>
          <w:szCs w:val="24"/>
          <w:u w:val="single"/>
        </w:rPr>
        <w:tab/>
      </w:r>
      <w:r w:rsidRPr="000E4B50">
        <w:rPr>
          <w:rFonts w:ascii="Times New Roman" w:hAnsi="Times New Roman"/>
          <w:b/>
          <w:sz w:val="24"/>
          <w:szCs w:val="24"/>
          <w:u w:val="single"/>
        </w:rPr>
        <w:t xml:space="preserve">        392</w:t>
      </w:r>
      <w:r w:rsidRPr="000E4B50">
        <w:rPr>
          <w:rFonts w:ascii="Times New Roman" w:hAnsi="Times New Roman"/>
          <w:b/>
          <w:sz w:val="24"/>
          <w:szCs w:val="24"/>
          <w:u w:val="single"/>
        </w:rPr>
        <w:tab/>
      </w:r>
      <w:r w:rsidRPr="000E4B50">
        <w:rPr>
          <w:rFonts w:ascii="Times New Roman" w:hAnsi="Times New Roman"/>
          <w:b/>
          <w:sz w:val="24"/>
          <w:szCs w:val="24"/>
          <w:u w:val="single"/>
        </w:rPr>
        <w:tab/>
      </w:r>
      <w:r w:rsidRPr="000E4B50">
        <w:rPr>
          <w:rFonts w:ascii="Times New Roman" w:hAnsi="Times New Roman"/>
          <w:b/>
          <w:sz w:val="24"/>
          <w:szCs w:val="24"/>
          <w:u w:val="single"/>
        </w:rPr>
        <w:tab/>
        <w:t xml:space="preserve">     100                            </w:t>
      </w:r>
    </w:p>
    <w:p w14:paraId="7D237AAF" w14:textId="77777777" w:rsidR="00860800" w:rsidRPr="000E4B50" w:rsidRDefault="00860800" w:rsidP="00B87964">
      <w:pPr>
        <w:tabs>
          <w:tab w:val="left" w:pos="2517"/>
        </w:tabs>
        <w:spacing w:line="480" w:lineRule="auto"/>
        <w:jc w:val="both"/>
        <w:rPr>
          <w:rStyle w:val="Emphasis"/>
          <w:rFonts w:asciiTheme="majorBidi" w:hAnsiTheme="majorBidi" w:cstheme="majorBidi"/>
          <w:b/>
          <w:i w:val="0"/>
          <w:iCs w:val="0"/>
          <w:sz w:val="24"/>
          <w:szCs w:val="24"/>
        </w:rPr>
      </w:pPr>
      <w:r w:rsidRPr="000E4B50">
        <w:rPr>
          <w:rFonts w:ascii="Times New Roman" w:hAnsi="Times New Roman"/>
          <w:b/>
          <w:i/>
          <w:sz w:val="24"/>
          <w:szCs w:val="24"/>
        </w:rPr>
        <w:t xml:space="preserve">Source: </w:t>
      </w:r>
      <w:r w:rsidRPr="000E4B50">
        <w:rPr>
          <w:rFonts w:asciiTheme="majorBidi" w:hAnsiTheme="majorBidi" w:cstheme="majorBidi"/>
          <w:b/>
          <w:sz w:val="24"/>
          <w:szCs w:val="24"/>
        </w:rPr>
        <w:t>Field Survey, May, 2026</w:t>
      </w:r>
    </w:p>
    <w:p w14:paraId="5526943E" w14:textId="77777777" w:rsidR="00860800" w:rsidRPr="000E4B50" w:rsidRDefault="00860800" w:rsidP="00DA3B27">
      <w:pPr>
        <w:spacing w:after="0" w:line="240" w:lineRule="auto"/>
        <w:ind w:left="1170" w:hanging="1170"/>
        <w:jc w:val="both"/>
        <w:rPr>
          <w:rStyle w:val="Emphasis"/>
          <w:rFonts w:ascii="Times New Roman" w:hAnsi="Times New Roman"/>
          <w:b/>
          <w:i w:val="0"/>
          <w:iCs w:val="0"/>
          <w:sz w:val="24"/>
          <w:szCs w:val="24"/>
        </w:rPr>
      </w:pPr>
      <w:r w:rsidRPr="000E4B50">
        <w:rPr>
          <w:rStyle w:val="Emphasis"/>
          <w:rFonts w:ascii="Times New Roman" w:hAnsi="Times New Roman"/>
          <w:sz w:val="24"/>
          <w:szCs w:val="24"/>
        </w:rPr>
        <w:t xml:space="preserve"> </w:t>
      </w:r>
      <w:r w:rsidRPr="000E4B50">
        <w:rPr>
          <w:rFonts w:ascii="Times New Roman" w:hAnsi="Times New Roman"/>
          <w:b/>
          <w:sz w:val="24"/>
          <w:szCs w:val="24"/>
        </w:rPr>
        <w:t>Table 7</w:t>
      </w:r>
      <w:r w:rsidR="00DA3B27" w:rsidRPr="000E4B50">
        <w:rPr>
          <w:rFonts w:ascii="Times New Roman" w:hAnsi="Times New Roman"/>
          <w:b/>
          <w:sz w:val="24"/>
          <w:szCs w:val="24"/>
        </w:rPr>
        <w:t>:  Contingency</w:t>
      </w:r>
      <w:r w:rsidRPr="000E4B50">
        <w:rPr>
          <w:rFonts w:ascii="Times New Roman" w:hAnsi="Times New Roman"/>
          <w:b/>
          <w:sz w:val="24"/>
          <w:szCs w:val="24"/>
        </w:rPr>
        <w:t xml:space="preserve"> Table Representin</w:t>
      </w:r>
      <w:r w:rsidR="00DA3B27" w:rsidRPr="000E4B50">
        <w:rPr>
          <w:rFonts w:ascii="Times New Roman" w:hAnsi="Times New Roman"/>
          <w:b/>
          <w:sz w:val="24"/>
          <w:szCs w:val="24"/>
        </w:rPr>
        <w:t xml:space="preserve">g the Values in Table 6  </w:t>
      </w:r>
    </w:p>
    <w:p w14:paraId="4411F45A" w14:textId="77777777" w:rsidR="00860800" w:rsidRPr="000E4B50" w:rsidRDefault="00860800" w:rsidP="00860800">
      <w:pPr>
        <w:tabs>
          <w:tab w:val="left" w:pos="540"/>
        </w:tabs>
        <w:spacing w:after="0"/>
        <w:ind w:left="720" w:hanging="1800"/>
        <w:jc w:val="both"/>
        <w:rPr>
          <w:rStyle w:val="Emphasis"/>
          <w:rFonts w:ascii="Times New Roman" w:hAnsi="Times New Roman"/>
          <w:i w:val="0"/>
          <w:sz w:val="2"/>
          <w:szCs w:val="24"/>
        </w:rPr>
      </w:pPr>
    </w:p>
    <w:tbl>
      <w:tblPr>
        <w:tblW w:w="0" w:type="auto"/>
        <w:tblInd w:w="903" w:type="dxa"/>
        <w:tblBorders>
          <w:top w:val="single" w:sz="4" w:space="0" w:color="auto"/>
        </w:tblBorders>
        <w:tblLook w:val="0000" w:firstRow="0" w:lastRow="0" w:firstColumn="0" w:lastColumn="0" w:noHBand="0" w:noVBand="0"/>
      </w:tblPr>
      <w:tblGrid>
        <w:gridCol w:w="6960"/>
      </w:tblGrid>
      <w:tr w:rsidR="00860800" w:rsidRPr="000E4B50" w14:paraId="1AD5D567" w14:textId="77777777" w:rsidTr="00111B5C">
        <w:trPr>
          <w:trHeight w:val="100"/>
        </w:trPr>
        <w:tc>
          <w:tcPr>
            <w:tcW w:w="6960" w:type="dxa"/>
          </w:tcPr>
          <w:p w14:paraId="7FD7F4C3" w14:textId="77777777" w:rsidR="00860800" w:rsidRPr="000E4B50" w:rsidRDefault="00860800" w:rsidP="00860800">
            <w:pPr>
              <w:tabs>
                <w:tab w:val="left" w:pos="540"/>
              </w:tabs>
              <w:spacing w:after="0"/>
              <w:jc w:val="both"/>
              <w:rPr>
                <w:rStyle w:val="Emphasis"/>
                <w:rFonts w:ascii="Times New Roman" w:hAnsi="Times New Roman"/>
                <w:i w:val="0"/>
                <w:sz w:val="24"/>
                <w:szCs w:val="24"/>
                <w:u w:val="single"/>
              </w:rPr>
            </w:pPr>
          </w:p>
        </w:tc>
      </w:tr>
    </w:tbl>
    <w:p w14:paraId="18688DF0" w14:textId="77777777" w:rsidR="00860800" w:rsidRPr="000E4B50" w:rsidRDefault="00860800" w:rsidP="00860800">
      <w:pPr>
        <w:tabs>
          <w:tab w:val="left" w:pos="540"/>
        </w:tabs>
        <w:spacing w:after="0"/>
        <w:ind w:left="720" w:hanging="1800"/>
        <w:jc w:val="both"/>
        <w:rPr>
          <w:rStyle w:val="Emphasis"/>
          <w:rFonts w:ascii="Times New Roman" w:hAnsi="Times New Roman"/>
          <w:i w:val="0"/>
          <w:sz w:val="2"/>
          <w:szCs w:val="24"/>
          <w:u w:val="single"/>
        </w:rPr>
      </w:pPr>
      <w:r w:rsidRPr="000E4B50">
        <w:rPr>
          <w:rStyle w:val="Emphasis"/>
          <w:rFonts w:ascii="Times New Roman" w:hAnsi="Times New Roman"/>
          <w:sz w:val="24"/>
          <w:szCs w:val="24"/>
          <w:u w:val="single"/>
        </w:rPr>
        <w:t xml:space="preserve">                               </w:t>
      </w:r>
    </w:p>
    <w:p w14:paraId="7E19E888" w14:textId="77777777" w:rsidR="00860800" w:rsidRPr="000E4B50" w:rsidRDefault="00860800" w:rsidP="00860800">
      <w:pPr>
        <w:pStyle w:val="NoSpacing"/>
        <w:tabs>
          <w:tab w:val="left" w:pos="90"/>
        </w:tabs>
        <w:spacing w:line="480" w:lineRule="auto"/>
        <w:ind w:hanging="720"/>
        <w:jc w:val="both"/>
        <w:rPr>
          <w:rFonts w:ascii="Times New Roman" w:hAnsi="Times New Roman"/>
          <w:b/>
          <w:sz w:val="24"/>
          <w:szCs w:val="24"/>
          <w:u w:val="single"/>
          <w:lang w:val="es-US"/>
        </w:rPr>
      </w:pPr>
      <w:r w:rsidRPr="000E4B50">
        <w:rPr>
          <w:rFonts w:ascii="Times New Roman" w:hAnsi="Times New Roman"/>
          <w:b/>
          <w:sz w:val="24"/>
          <w:szCs w:val="24"/>
        </w:rPr>
        <w:t xml:space="preserve"> </w:t>
      </w:r>
      <w:r w:rsidRPr="000E4B50">
        <w:rPr>
          <w:rFonts w:ascii="Times New Roman" w:hAnsi="Times New Roman"/>
          <w:b/>
          <w:sz w:val="24"/>
          <w:szCs w:val="24"/>
        </w:rPr>
        <w:tab/>
      </w:r>
      <w:r w:rsidRPr="000E4B50">
        <w:rPr>
          <w:rFonts w:ascii="Times New Roman" w:hAnsi="Times New Roman"/>
          <w:b/>
          <w:sz w:val="24"/>
          <w:szCs w:val="24"/>
        </w:rPr>
        <w:tab/>
      </w:r>
      <w:r w:rsidRPr="000E4B50">
        <w:rPr>
          <w:rFonts w:ascii="Times New Roman" w:hAnsi="Times New Roman"/>
          <w:b/>
          <w:sz w:val="24"/>
          <w:szCs w:val="24"/>
        </w:rPr>
        <w:tab/>
      </w:r>
      <w:r w:rsidR="00DA3B27" w:rsidRPr="000E4B50">
        <w:rPr>
          <w:rFonts w:ascii="Times New Roman" w:hAnsi="Times New Roman"/>
          <w:b/>
          <w:sz w:val="24"/>
          <w:szCs w:val="24"/>
          <w:u w:val="single"/>
          <w:lang w:val="es-US"/>
        </w:rPr>
        <w:t>S/No.</w:t>
      </w:r>
      <w:r w:rsidR="00DA3B27" w:rsidRPr="000E4B50">
        <w:rPr>
          <w:rFonts w:ascii="Times New Roman" w:hAnsi="Times New Roman"/>
          <w:b/>
          <w:sz w:val="24"/>
          <w:szCs w:val="24"/>
          <w:u w:val="single"/>
          <w:lang w:val="es-US"/>
        </w:rPr>
        <w:tab/>
      </w:r>
      <w:r w:rsidR="00DA3B27" w:rsidRPr="000E4B50">
        <w:rPr>
          <w:rFonts w:ascii="Times New Roman" w:hAnsi="Times New Roman"/>
          <w:b/>
          <w:sz w:val="24"/>
          <w:szCs w:val="24"/>
          <w:u w:val="single"/>
          <w:lang w:val="es-US"/>
        </w:rPr>
        <w:tab/>
        <w:t>O</w:t>
      </w:r>
      <w:r w:rsidR="00DA3B27" w:rsidRPr="000E4B50">
        <w:rPr>
          <w:rFonts w:ascii="Times New Roman" w:hAnsi="Times New Roman"/>
          <w:b/>
          <w:sz w:val="24"/>
          <w:szCs w:val="24"/>
          <w:u w:val="single"/>
          <w:lang w:val="es-US"/>
        </w:rPr>
        <w:tab/>
      </w:r>
      <w:r w:rsidR="00DA3B27" w:rsidRPr="000E4B50">
        <w:rPr>
          <w:rFonts w:ascii="Times New Roman" w:hAnsi="Times New Roman"/>
          <w:b/>
          <w:sz w:val="24"/>
          <w:szCs w:val="24"/>
          <w:u w:val="single"/>
          <w:lang w:val="es-US"/>
        </w:rPr>
        <w:tab/>
        <w:t>E</w:t>
      </w:r>
      <w:r w:rsidR="00DA3B27" w:rsidRPr="000E4B50">
        <w:rPr>
          <w:rFonts w:ascii="Times New Roman" w:hAnsi="Times New Roman"/>
          <w:b/>
          <w:sz w:val="24"/>
          <w:szCs w:val="24"/>
          <w:u w:val="single"/>
          <w:lang w:val="es-US"/>
        </w:rPr>
        <w:tab/>
      </w:r>
      <w:r w:rsidR="00DA3B27" w:rsidRPr="000E4B50">
        <w:rPr>
          <w:rFonts w:ascii="Times New Roman" w:hAnsi="Times New Roman"/>
          <w:b/>
          <w:sz w:val="24"/>
          <w:szCs w:val="24"/>
          <w:u w:val="single"/>
          <w:lang w:val="es-US"/>
        </w:rPr>
        <w:tab/>
        <w:t>O-E</w:t>
      </w:r>
      <w:r w:rsidR="00DA3B27" w:rsidRPr="000E4B50">
        <w:rPr>
          <w:rFonts w:ascii="Times New Roman" w:hAnsi="Times New Roman"/>
          <w:b/>
          <w:sz w:val="24"/>
          <w:szCs w:val="24"/>
          <w:u w:val="single"/>
          <w:lang w:val="es-US"/>
        </w:rPr>
        <w:tab/>
      </w:r>
      <w:r w:rsidR="00DA3B27" w:rsidRPr="000E4B50">
        <w:rPr>
          <w:rFonts w:ascii="Times New Roman" w:hAnsi="Times New Roman"/>
          <w:b/>
          <w:sz w:val="24"/>
          <w:szCs w:val="24"/>
          <w:u w:val="single"/>
          <w:lang w:val="es-US"/>
        </w:rPr>
        <w:tab/>
      </w:r>
      <w:r w:rsidR="00DA3B27" w:rsidRPr="000E4B50">
        <w:rPr>
          <w:rFonts w:ascii="Times New Roman" w:hAnsi="Times New Roman"/>
          <w:b/>
          <w:sz w:val="24"/>
          <w:szCs w:val="24"/>
          <w:u w:val="single"/>
          <w:lang w:val="es-US"/>
        </w:rPr>
        <w:tab/>
        <w:t>(O-E</w:t>
      </w:r>
      <w:r w:rsidRPr="000E4B50">
        <w:rPr>
          <w:rFonts w:ascii="Times New Roman" w:hAnsi="Times New Roman"/>
          <w:b/>
          <w:sz w:val="24"/>
          <w:szCs w:val="24"/>
          <w:u w:val="single"/>
          <w:lang w:val="es-US"/>
        </w:rPr>
        <w:t>)</w:t>
      </w:r>
      <w:r w:rsidRPr="000E4B50">
        <w:rPr>
          <w:rFonts w:ascii="Times New Roman" w:hAnsi="Times New Roman"/>
          <w:b/>
          <w:sz w:val="24"/>
          <w:szCs w:val="24"/>
          <w:u w:val="single"/>
          <w:vertAlign w:val="superscript"/>
          <w:lang w:val="es-US"/>
        </w:rPr>
        <w:t>2</w:t>
      </w:r>
    </w:p>
    <w:p w14:paraId="42FA9A06" w14:textId="77777777" w:rsidR="00860800" w:rsidRPr="000E4B50" w:rsidRDefault="00860800" w:rsidP="00860800">
      <w:pPr>
        <w:pStyle w:val="NoSpacing"/>
        <w:tabs>
          <w:tab w:val="left" w:pos="90"/>
        </w:tabs>
        <w:spacing w:line="480" w:lineRule="auto"/>
        <w:ind w:hanging="720"/>
        <w:jc w:val="both"/>
        <w:rPr>
          <w:rFonts w:ascii="Times New Roman" w:hAnsi="Times New Roman"/>
          <w:sz w:val="24"/>
          <w:szCs w:val="24"/>
          <w:lang w:val="es-US"/>
        </w:rPr>
      </w:pPr>
      <w:r w:rsidRPr="000E4B50">
        <w:rPr>
          <w:rFonts w:ascii="Times New Roman" w:hAnsi="Times New Roman"/>
          <w:sz w:val="24"/>
          <w:szCs w:val="24"/>
          <w:lang w:val="es-US"/>
        </w:rPr>
        <w:tab/>
      </w:r>
      <w:r w:rsidRPr="000E4B50">
        <w:rPr>
          <w:rFonts w:ascii="Times New Roman" w:hAnsi="Times New Roman"/>
          <w:sz w:val="24"/>
          <w:szCs w:val="24"/>
          <w:lang w:val="es-US"/>
        </w:rPr>
        <w:tab/>
      </w:r>
      <w:r w:rsidRPr="000E4B50">
        <w:rPr>
          <w:rFonts w:ascii="Times New Roman" w:hAnsi="Times New Roman"/>
          <w:sz w:val="24"/>
          <w:szCs w:val="24"/>
          <w:lang w:val="es-US"/>
        </w:rPr>
        <w:tab/>
        <w:t>1.</w:t>
      </w:r>
      <w:r w:rsidRPr="000E4B50">
        <w:rPr>
          <w:rFonts w:ascii="Times New Roman" w:hAnsi="Times New Roman"/>
          <w:sz w:val="24"/>
          <w:szCs w:val="24"/>
          <w:lang w:val="es-US"/>
        </w:rPr>
        <w:tab/>
      </w:r>
      <w:r w:rsidRPr="000E4B50">
        <w:rPr>
          <w:rFonts w:ascii="Times New Roman" w:hAnsi="Times New Roman"/>
          <w:sz w:val="24"/>
          <w:szCs w:val="24"/>
          <w:lang w:val="es-US"/>
        </w:rPr>
        <w:tab/>
        <w:t>44                    98                    -54                               2,916</w:t>
      </w:r>
      <w:r w:rsidRPr="000E4B50">
        <w:rPr>
          <w:rFonts w:ascii="Times New Roman" w:hAnsi="Times New Roman"/>
          <w:sz w:val="24"/>
          <w:szCs w:val="24"/>
          <w:lang w:val="es-US"/>
        </w:rPr>
        <w:tab/>
      </w:r>
      <w:r w:rsidRPr="000E4B50">
        <w:rPr>
          <w:rFonts w:ascii="Times New Roman" w:hAnsi="Times New Roman"/>
          <w:sz w:val="24"/>
          <w:szCs w:val="24"/>
          <w:lang w:val="es-US"/>
        </w:rPr>
        <w:tab/>
      </w:r>
      <w:r w:rsidRPr="000E4B50">
        <w:rPr>
          <w:rFonts w:ascii="Times New Roman" w:hAnsi="Times New Roman"/>
          <w:sz w:val="24"/>
          <w:szCs w:val="24"/>
          <w:lang w:val="es-US"/>
        </w:rPr>
        <w:tab/>
      </w:r>
    </w:p>
    <w:p w14:paraId="22F3B252" w14:textId="77777777" w:rsidR="00860800" w:rsidRPr="000E4B50" w:rsidRDefault="00860800" w:rsidP="00860800">
      <w:pPr>
        <w:pStyle w:val="NoSpacing"/>
        <w:tabs>
          <w:tab w:val="left" w:pos="90"/>
        </w:tabs>
        <w:spacing w:line="480" w:lineRule="auto"/>
        <w:ind w:hanging="720"/>
        <w:jc w:val="both"/>
        <w:rPr>
          <w:rFonts w:ascii="Times New Roman" w:hAnsi="Times New Roman"/>
          <w:sz w:val="24"/>
          <w:szCs w:val="24"/>
          <w:lang w:val="es-US"/>
        </w:rPr>
      </w:pPr>
      <w:r w:rsidRPr="000E4B50">
        <w:rPr>
          <w:rFonts w:ascii="Times New Roman" w:hAnsi="Times New Roman"/>
          <w:sz w:val="24"/>
          <w:szCs w:val="24"/>
          <w:lang w:val="es-US"/>
        </w:rPr>
        <w:t xml:space="preserve">                        2.</w:t>
      </w:r>
      <w:r w:rsidRPr="000E4B50">
        <w:rPr>
          <w:rFonts w:ascii="Times New Roman" w:hAnsi="Times New Roman"/>
          <w:sz w:val="24"/>
          <w:szCs w:val="24"/>
          <w:lang w:val="es-US"/>
        </w:rPr>
        <w:tab/>
      </w:r>
      <w:r w:rsidRPr="000E4B50">
        <w:rPr>
          <w:rFonts w:ascii="Times New Roman" w:hAnsi="Times New Roman"/>
          <w:sz w:val="24"/>
          <w:szCs w:val="24"/>
          <w:lang w:val="es-US"/>
        </w:rPr>
        <w:tab/>
        <w:t>98                    98                      0                                   0</w:t>
      </w:r>
    </w:p>
    <w:p w14:paraId="7A0CBAF8" w14:textId="77777777" w:rsidR="00860800" w:rsidRPr="000E4B50" w:rsidRDefault="00860800" w:rsidP="00860800">
      <w:pPr>
        <w:pStyle w:val="NoSpacing"/>
        <w:tabs>
          <w:tab w:val="left" w:pos="90"/>
        </w:tabs>
        <w:spacing w:line="480" w:lineRule="auto"/>
        <w:ind w:hanging="720"/>
        <w:jc w:val="both"/>
        <w:rPr>
          <w:rFonts w:ascii="Times New Roman" w:hAnsi="Times New Roman"/>
          <w:sz w:val="24"/>
          <w:szCs w:val="24"/>
          <w:lang w:val="es-US"/>
        </w:rPr>
      </w:pPr>
      <w:r w:rsidRPr="000E4B50">
        <w:rPr>
          <w:rFonts w:ascii="Times New Roman" w:hAnsi="Times New Roman"/>
          <w:sz w:val="24"/>
          <w:szCs w:val="24"/>
          <w:lang w:val="es-US"/>
        </w:rPr>
        <w:t xml:space="preserve">                        3.                     100</w:t>
      </w:r>
      <w:r w:rsidRPr="000E4B50">
        <w:rPr>
          <w:rFonts w:ascii="Times New Roman" w:hAnsi="Times New Roman"/>
          <w:sz w:val="24"/>
          <w:szCs w:val="24"/>
          <w:lang w:val="es-US"/>
        </w:rPr>
        <w:tab/>
      </w:r>
      <w:r w:rsidRPr="000E4B50">
        <w:rPr>
          <w:rFonts w:ascii="Times New Roman" w:hAnsi="Times New Roman"/>
          <w:sz w:val="24"/>
          <w:szCs w:val="24"/>
          <w:lang w:val="es-US"/>
        </w:rPr>
        <w:tab/>
        <w:t>98</w:t>
      </w:r>
      <w:r w:rsidRPr="000E4B50">
        <w:rPr>
          <w:rFonts w:ascii="Times New Roman" w:hAnsi="Times New Roman"/>
          <w:sz w:val="24"/>
          <w:szCs w:val="24"/>
          <w:lang w:val="es-US"/>
        </w:rPr>
        <w:tab/>
      </w:r>
      <w:r w:rsidRPr="000E4B50">
        <w:rPr>
          <w:rFonts w:ascii="Times New Roman" w:hAnsi="Times New Roman"/>
          <w:sz w:val="24"/>
          <w:szCs w:val="24"/>
          <w:lang w:val="es-US"/>
        </w:rPr>
        <w:tab/>
        <w:t xml:space="preserve">   2</w:t>
      </w:r>
      <w:r w:rsidRPr="000E4B50">
        <w:rPr>
          <w:rFonts w:ascii="Times New Roman" w:hAnsi="Times New Roman"/>
          <w:sz w:val="24"/>
          <w:szCs w:val="24"/>
          <w:lang w:val="es-US"/>
        </w:rPr>
        <w:tab/>
      </w:r>
      <w:r w:rsidRPr="000E4B50">
        <w:rPr>
          <w:rFonts w:ascii="Times New Roman" w:hAnsi="Times New Roman"/>
          <w:sz w:val="24"/>
          <w:szCs w:val="24"/>
          <w:lang w:val="es-US"/>
        </w:rPr>
        <w:tab/>
      </w:r>
      <w:r w:rsidRPr="000E4B50">
        <w:rPr>
          <w:rFonts w:ascii="Times New Roman" w:hAnsi="Times New Roman"/>
          <w:sz w:val="24"/>
          <w:szCs w:val="24"/>
          <w:lang w:val="es-US"/>
        </w:rPr>
        <w:tab/>
        <w:t xml:space="preserve">   4</w:t>
      </w:r>
    </w:p>
    <w:p w14:paraId="556DAB5C" w14:textId="77777777" w:rsidR="00860800" w:rsidRPr="000E4B50" w:rsidRDefault="00860800" w:rsidP="00083016">
      <w:pPr>
        <w:pStyle w:val="NoSpacing"/>
        <w:tabs>
          <w:tab w:val="left" w:pos="90"/>
        </w:tabs>
        <w:spacing w:line="480" w:lineRule="auto"/>
        <w:ind w:hanging="720"/>
        <w:jc w:val="both"/>
        <w:rPr>
          <w:rFonts w:ascii="Times New Roman" w:hAnsi="Times New Roman"/>
          <w:sz w:val="24"/>
          <w:szCs w:val="24"/>
          <w:lang w:val="es-US"/>
        </w:rPr>
      </w:pPr>
      <w:r w:rsidRPr="000E4B50">
        <w:rPr>
          <w:rFonts w:ascii="Times New Roman" w:hAnsi="Times New Roman"/>
          <w:sz w:val="24"/>
          <w:szCs w:val="24"/>
          <w:lang w:val="es-US"/>
        </w:rPr>
        <w:t xml:space="preserve">                        4.           </w:t>
      </w:r>
      <w:r w:rsidR="00083016" w:rsidRPr="000E4B50">
        <w:rPr>
          <w:rFonts w:ascii="Times New Roman" w:hAnsi="Times New Roman"/>
          <w:sz w:val="24"/>
          <w:szCs w:val="24"/>
          <w:lang w:val="es-US"/>
        </w:rPr>
        <w:t xml:space="preserve">          150</w:t>
      </w:r>
      <w:r w:rsidR="00083016" w:rsidRPr="000E4B50">
        <w:rPr>
          <w:rFonts w:ascii="Times New Roman" w:hAnsi="Times New Roman"/>
          <w:sz w:val="24"/>
          <w:szCs w:val="24"/>
          <w:lang w:val="es-US"/>
        </w:rPr>
        <w:tab/>
      </w:r>
      <w:r w:rsidR="00083016" w:rsidRPr="000E4B50">
        <w:rPr>
          <w:rFonts w:ascii="Times New Roman" w:hAnsi="Times New Roman"/>
          <w:sz w:val="24"/>
          <w:szCs w:val="24"/>
          <w:lang w:val="es-US"/>
        </w:rPr>
        <w:tab/>
        <w:t>98</w:t>
      </w:r>
      <w:r w:rsidR="00083016" w:rsidRPr="000E4B50">
        <w:rPr>
          <w:rFonts w:ascii="Times New Roman" w:hAnsi="Times New Roman"/>
          <w:sz w:val="24"/>
          <w:szCs w:val="24"/>
          <w:lang w:val="es-US"/>
        </w:rPr>
        <w:tab/>
      </w:r>
      <w:proofErr w:type="gramStart"/>
      <w:r w:rsidR="00083016" w:rsidRPr="000E4B50">
        <w:rPr>
          <w:rFonts w:ascii="Times New Roman" w:hAnsi="Times New Roman"/>
          <w:sz w:val="24"/>
          <w:szCs w:val="24"/>
          <w:lang w:val="es-US"/>
        </w:rPr>
        <w:tab/>
        <w:t xml:space="preserve">  52</w:t>
      </w:r>
      <w:proofErr w:type="gramEnd"/>
      <w:r w:rsidR="00083016" w:rsidRPr="000E4B50">
        <w:rPr>
          <w:rFonts w:ascii="Times New Roman" w:hAnsi="Times New Roman"/>
          <w:sz w:val="24"/>
          <w:szCs w:val="24"/>
          <w:lang w:val="es-US"/>
        </w:rPr>
        <w:tab/>
      </w:r>
      <w:r w:rsidR="00083016" w:rsidRPr="000E4B50">
        <w:rPr>
          <w:rFonts w:ascii="Times New Roman" w:hAnsi="Times New Roman"/>
          <w:sz w:val="24"/>
          <w:szCs w:val="24"/>
          <w:lang w:val="es-US"/>
        </w:rPr>
        <w:tab/>
      </w:r>
      <w:r w:rsidR="00083016" w:rsidRPr="000E4B50">
        <w:rPr>
          <w:rFonts w:ascii="Times New Roman" w:hAnsi="Times New Roman"/>
          <w:sz w:val="24"/>
          <w:szCs w:val="24"/>
          <w:lang w:val="es-US"/>
        </w:rPr>
        <w:tab/>
        <w:t>2,704</w:t>
      </w:r>
    </w:p>
    <w:p w14:paraId="6B53DE95" w14:textId="77777777" w:rsidR="00860800" w:rsidRPr="000E4B50" w:rsidRDefault="00860800" w:rsidP="00860800">
      <w:pPr>
        <w:pStyle w:val="NoSpacing"/>
        <w:tabs>
          <w:tab w:val="left" w:pos="90"/>
        </w:tabs>
        <w:spacing w:line="480" w:lineRule="auto"/>
        <w:ind w:hanging="720"/>
        <w:jc w:val="both"/>
        <w:rPr>
          <w:rFonts w:ascii="Times New Roman" w:hAnsi="Times New Roman"/>
          <w:sz w:val="24"/>
          <w:szCs w:val="24"/>
          <w:u w:val="single"/>
          <w:lang w:val="en-US"/>
        </w:rPr>
      </w:pPr>
      <w:r w:rsidRPr="000E4B50">
        <w:rPr>
          <w:rFonts w:ascii="Times New Roman" w:hAnsi="Times New Roman"/>
          <w:sz w:val="24"/>
          <w:szCs w:val="24"/>
          <w:lang w:val="es-US"/>
        </w:rPr>
        <w:lastRenderedPageBreak/>
        <w:tab/>
      </w:r>
      <w:r w:rsidRPr="000E4B50">
        <w:rPr>
          <w:rFonts w:ascii="Times New Roman" w:hAnsi="Times New Roman"/>
          <w:sz w:val="24"/>
          <w:szCs w:val="24"/>
          <w:lang w:val="es-US"/>
        </w:rPr>
        <w:tab/>
      </w:r>
      <w:r w:rsidRPr="000E4B50">
        <w:rPr>
          <w:rFonts w:ascii="Times New Roman" w:hAnsi="Times New Roman"/>
          <w:sz w:val="24"/>
          <w:szCs w:val="24"/>
          <w:lang w:val="es-US"/>
        </w:rPr>
        <w:tab/>
      </w:r>
      <w:r w:rsidRPr="000E4B50">
        <w:rPr>
          <w:rFonts w:ascii="Times New Roman" w:hAnsi="Times New Roman"/>
          <w:sz w:val="24"/>
          <w:szCs w:val="24"/>
          <w:u w:val="single"/>
          <w:lang w:val="en-US"/>
        </w:rPr>
        <w:t>Total</w:t>
      </w:r>
      <w:r w:rsidRPr="000E4B50">
        <w:rPr>
          <w:rFonts w:ascii="Times New Roman" w:hAnsi="Times New Roman"/>
          <w:sz w:val="24"/>
          <w:szCs w:val="24"/>
          <w:u w:val="single"/>
          <w:lang w:val="en-US"/>
        </w:rPr>
        <w:tab/>
      </w:r>
      <w:r w:rsidRPr="000E4B50">
        <w:rPr>
          <w:rFonts w:ascii="Times New Roman" w:hAnsi="Times New Roman"/>
          <w:sz w:val="24"/>
          <w:szCs w:val="24"/>
          <w:u w:val="single"/>
          <w:lang w:val="en-US"/>
        </w:rPr>
        <w:tab/>
        <w:t>392</w:t>
      </w:r>
      <w:r w:rsidRPr="000E4B50">
        <w:rPr>
          <w:rFonts w:ascii="Times New Roman" w:hAnsi="Times New Roman"/>
          <w:sz w:val="24"/>
          <w:szCs w:val="24"/>
          <w:u w:val="single"/>
          <w:lang w:val="en-US"/>
        </w:rPr>
        <w:tab/>
      </w:r>
      <w:r w:rsidRPr="000E4B50">
        <w:rPr>
          <w:rFonts w:ascii="Times New Roman" w:hAnsi="Times New Roman"/>
          <w:sz w:val="24"/>
          <w:szCs w:val="24"/>
          <w:u w:val="single"/>
          <w:lang w:val="en-US"/>
        </w:rPr>
        <w:tab/>
      </w:r>
      <w:r w:rsidRPr="000E4B50">
        <w:rPr>
          <w:rFonts w:ascii="Times New Roman" w:hAnsi="Times New Roman"/>
          <w:sz w:val="24"/>
          <w:szCs w:val="24"/>
          <w:u w:val="single"/>
          <w:lang w:val="en-US"/>
        </w:rPr>
        <w:tab/>
      </w:r>
      <w:r w:rsidRPr="000E4B50">
        <w:rPr>
          <w:rFonts w:ascii="Times New Roman" w:hAnsi="Times New Roman"/>
          <w:sz w:val="24"/>
          <w:szCs w:val="24"/>
          <w:u w:val="single"/>
          <w:lang w:val="en-US"/>
        </w:rPr>
        <w:tab/>
      </w:r>
      <w:r w:rsidRPr="000E4B50">
        <w:rPr>
          <w:rFonts w:ascii="Times New Roman" w:hAnsi="Times New Roman"/>
          <w:sz w:val="24"/>
          <w:szCs w:val="24"/>
          <w:u w:val="single"/>
          <w:lang w:val="en-US"/>
        </w:rPr>
        <w:tab/>
      </w:r>
      <w:r w:rsidRPr="000E4B50">
        <w:rPr>
          <w:rFonts w:ascii="Times New Roman" w:hAnsi="Times New Roman"/>
          <w:sz w:val="24"/>
          <w:szCs w:val="24"/>
          <w:u w:val="single"/>
          <w:lang w:val="en-US"/>
        </w:rPr>
        <w:tab/>
      </w:r>
      <w:r w:rsidRPr="000E4B50">
        <w:rPr>
          <w:rFonts w:ascii="Times New Roman" w:hAnsi="Times New Roman"/>
          <w:sz w:val="24"/>
          <w:szCs w:val="24"/>
          <w:u w:val="single"/>
          <w:lang w:val="en-US"/>
        </w:rPr>
        <w:tab/>
        <w:t>5624</w:t>
      </w:r>
    </w:p>
    <w:p w14:paraId="0B8EE521" w14:textId="77777777" w:rsidR="00860800" w:rsidRPr="000E4B50" w:rsidRDefault="00860800" w:rsidP="00860800">
      <w:pPr>
        <w:tabs>
          <w:tab w:val="left" w:pos="540"/>
        </w:tabs>
        <w:spacing w:after="0" w:line="480" w:lineRule="auto"/>
        <w:ind w:left="720" w:hanging="1080"/>
        <w:jc w:val="both"/>
        <w:rPr>
          <w:rFonts w:ascii="Times New Roman" w:hAnsi="Times New Roman"/>
          <w:sz w:val="24"/>
          <w:szCs w:val="24"/>
        </w:rPr>
      </w:pPr>
      <w:r w:rsidRPr="000E4B50">
        <w:t>The hypothesis formulated to guide the research was tested using chi-square. The formula is given as:</w:t>
      </w:r>
    </w:p>
    <w:p w14:paraId="03F8E527" w14:textId="77777777" w:rsidR="00860800" w:rsidRPr="000E4B50" w:rsidRDefault="00B87964" w:rsidP="00860800">
      <w:pPr>
        <w:tabs>
          <w:tab w:val="left" w:pos="540"/>
        </w:tabs>
        <w:spacing w:after="0" w:line="240" w:lineRule="auto"/>
        <w:ind w:hanging="1080"/>
        <w:jc w:val="both"/>
        <w:rPr>
          <w:rFonts w:ascii="Times New Roman" w:hAnsi="Times New Roman"/>
          <w:sz w:val="24"/>
          <w:szCs w:val="24"/>
          <w:u w:val="single"/>
        </w:rPr>
      </w:pPr>
      <w:r w:rsidRPr="000E4B50">
        <w:rPr>
          <w:rFonts w:ascii="Times New Roman" w:hAnsi="Times New Roman"/>
          <w:sz w:val="24"/>
          <w:szCs w:val="24"/>
        </w:rPr>
        <w:tab/>
      </w:r>
      <w:r w:rsidR="00860800" w:rsidRPr="000E4B50">
        <w:rPr>
          <w:rFonts w:ascii="Times New Roman" w:hAnsi="Times New Roman"/>
          <w:sz w:val="24"/>
          <w:szCs w:val="24"/>
        </w:rPr>
        <w:t>X</w:t>
      </w:r>
      <w:r w:rsidR="00860800" w:rsidRPr="000E4B50">
        <w:rPr>
          <w:rFonts w:ascii="Times New Roman" w:hAnsi="Times New Roman"/>
          <w:sz w:val="24"/>
          <w:szCs w:val="24"/>
          <w:vertAlign w:val="superscript"/>
        </w:rPr>
        <w:t>2</w:t>
      </w:r>
      <w:r w:rsidR="00860800" w:rsidRPr="000E4B50">
        <w:rPr>
          <w:rFonts w:ascii="Times New Roman" w:hAnsi="Times New Roman"/>
          <w:sz w:val="24"/>
          <w:szCs w:val="24"/>
        </w:rPr>
        <w:tab/>
        <w:t>=</w:t>
      </w:r>
      <w:r w:rsidR="00860800" w:rsidRPr="000E4B50">
        <w:rPr>
          <w:rFonts w:ascii="Times New Roman" w:hAnsi="Times New Roman"/>
          <w:sz w:val="24"/>
          <w:szCs w:val="24"/>
        </w:rPr>
        <w:tab/>
      </w:r>
      <w:r w:rsidR="00DA3B27" w:rsidRPr="000E4B50">
        <w:rPr>
          <w:rFonts w:ascii="Times New Roman" w:hAnsi="Times New Roman"/>
          <w:noProof/>
          <w:position w:val="-24"/>
          <w:sz w:val="24"/>
          <w:szCs w:val="24"/>
        </w:rPr>
        <w:object w:dxaOrig="1140" w:dyaOrig="660" w14:anchorId="17ACAA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65pt;height:33.35pt" o:ole="">
            <v:imagedata r:id="rId7" o:title=""/>
          </v:shape>
          <o:OLEObject Type="Embed" ProgID="Equation.3" ShapeID="_x0000_i1025" DrawAspect="Content" ObjectID="_1844059901" r:id="rId8"/>
        </w:object>
      </w:r>
    </w:p>
    <w:p w14:paraId="7E7BCB8D" w14:textId="77777777" w:rsidR="00860800" w:rsidRPr="000E4B50" w:rsidRDefault="00860800" w:rsidP="00860800">
      <w:pPr>
        <w:tabs>
          <w:tab w:val="left" w:pos="540"/>
        </w:tabs>
        <w:spacing w:after="0" w:line="240" w:lineRule="auto"/>
        <w:ind w:hanging="1080"/>
        <w:jc w:val="both"/>
        <w:rPr>
          <w:rFonts w:ascii="Times New Roman" w:hAnsi="Times New Roman"/>
          <w:sz w:val="24"/>
          <w:szCs w:val="24"/>
        </w:rPr>
      </w:pPr>
      <w:r w:rsidRPr="000E4B50">
        <w:rPr>
          <w:rFonts w:ascii="Times New Roman" w:hAnsi="Times New Roman"/>
          <w:sz w:val="24"/>
          <w:szCs w:val="24"/>
        </w:rPr>
        <w:tab/>
      </w:r>
      <w:r w:rsidRPr="000E4B50">
        <w:rPr>
          <w:rFonts w:ascii="Times New Roman" w:hAnsi="Times New Roman"/>
          <w:sz w:val="24"/>
          <w:szCs w:val="24"/>
        </w:rPr>
        <w:tab/>
      </w:r>
      <w:r w:rsidRPr="000E4B50">
        <w:rPr>
          <w:rFonts w:ascii="Times New Roman" w:hAnsi="Times New Roman"/>
          <w:sz w:val="24"/>
          <w:szCs w:val="24"/>
        </w:rPr>
        <w:tab/>
      </w:r>
      <w:r w:rsidRPr="000E4B50">
        <w:rPr>
          <w:rFonts w:ascii="Times New Roman" w:hAnsi="Times New Roman"/>
          <w:sz w:val="24"/>
          <w:szCs w:val="24"/>
        </w:rPr>
        <w:tab/>
      </w:r>
      <w:r w:rsidRPr="000E4B50">
        <w:rPr>
          <w:rFonts w:ascii="Times New Roman" w:hAnsi="Times New Roman"/>
          <w:sz w:val="24"/>
          <w:szCs w:val="24"/>
        </w:rPr>
        <w:tab/>
      </w:r>
      <w:r w:rsidRPr="000E4B50">
        <w:rPr>
          <w:rFonts w:ascii="Times New Roman" w:hAnsi="Times New Roman"/>
          <w:sz w:val="24"/>
          <w:szCs w:val="24"/>
        </w:rPr>
        <w:tab/>
      </w:r>
    </w:p>
    <w:p w14:paraId="6E3CDDE0" w14:textId="77777777" w:rsidR="00860800" w:rsidRPr="000E4B50" w:rsidRDefault="00B87964" w:rsidP="00B87964">
      <w:pPr>
        <w:tabs>
          <w:tab w:val="left" w:pos="540"/>
        </w:tabs>
        <w:spacing w:after="0" w:line="480" w:lineRule="auto"/>
        <w:ind w:hanging="1080"/>
        <w:jc w:val="both"/>
        <w:rPr>
          <w:rFonts w:ascii="Times New Roman" w:hAnsi="Times New Roman"/>
          <w:sz w:val="24"/>
          <w:szCs w:val="24"/>
        </w:rPr>
      </w:pPr>
      <w:r w:rsidRPr="000E4B50">
        <w:t>Where X² = chi-square, ∑ = summation, Oᵢ = observed frequency and Eᵢ = expected frequency</w:t>
      </w:r>
    </w:p>
    <w:p w14:paraId="3018CBBE" w14:textId="77777777" w:rsidR="00860800" w:rsidRPr="000E4B50" w:rsidRDefault="00860800" w:rsidP="00860800">
      <w:pPr>
        <w:pStyle w:val="NoSpacing"/>
        <w:tabs>
          <w:tab w:val="left" w:pos="90"/>
        </w:tabs>
        <w:ind w:hanging="720"/>
        <w:jc w:val="both"/>
        <w:rPr>
          <w:rFonts w:ascii="Times New Roman" w:hAnsi="Times New Roman"/>
          <w:sz w:val="24"/>
          <w:szCs w:val="24"/>
          <w:u w:val="single"/>
        </w:rPr>
      </w:pPr>
      <w:r w:rsidRPr="000E4B50">
        <w:rPr>
          <w:rFonts w:ascii="Times New Roman" w:hAnsi="Times New Roman"/>
          <w:sz w:val="24"/>
          <w:szCs w:val="24"/>
        </w:rPr>
        <w:tab/>
      </w:r>
      <w:r w:rsidR="00B87964" w:rsidRPr="000E4B50">
        <w:rPr>
          <w:rFonts w:ascii="Times New Roman" w:hAnsi="Times New Roman"/>
          <w:i/>
          <w:sz w:val="24"/>
          <w:szCs w:val="24"/>
        </w:rPr>
        <w:tab/>
      </w:r>
      <w:r w:rsidRPr="000E4B50">
        <w:rPr>
          <w:rFonts w:ascii="Times New Roman" w:hAnsi="Times New Roman"/>
          <w:sz w:val="24"/>
          <w:szCs w:val="24"/>
        </w:rPr>
        <w:t>X</w:t>
      </w:r>
      <w:r w:rsidRPr="000E4B50">
        <w:rPr>
          <w:rFonts w:ascii="Times New Roman" w:hAnsi="Times New Roman"/>
          <w:sz w:val="24"/>
          <w:szCs w:val="24"/>
          <w:vertAlign w:val="superscript"/>
        </w:rPr>
        <w:t>2</w:t>
      </w:r>
      <w:r w:rsidR="00B87964" w:rsidRPr="000E4B50">
        <w:rPr>
          <w:rFonts w:ascii="Times New Roman" w:hAnsi="Times New Roman"/>
          <w:sz w:val="24"/>
          <w:szCs w:val="24"/>
        </w:rPr>
        <w:t> </w:t>
      </w:r>
      <w:r w:rsidR="002D6803" w:rsidRPr="000E4B50">
        <w:rPr>
          <w:rFonts w:ascii="Times New Roman" w:hAnsi="Times New Roman"/>
          <w:sz w:val="24"/>
          <w:szCs w:val="24"/>
        </w:rPr>
        <w:t>=</w:t>
      </w:r>
      <w:r w:rsidR="005C0310" w:rsidRPr="000E4B50">
        <w:rPr>
          <w:rFonts w:ascii="Times New Roman" w:hAnsi="Times New Roman"/>
          <w:sz w:val="24"/>
          <w:szCs w:val="24"/>
        </w:rPr>
        <w:t xml:space="preserve"> </w:t>
      </w:r>
      <w:r w:rsidR="005C0310" w:rsidRPr="000E4B50">
        <w:rPr>
          <w:rFonts w:ascii="Times New Roman" w:hAnsi="Times New Roman"/>
          <w:sz w:val="24"/>
          <w:szCs w:val="24"/>
        </w:rPr>
        <w:tab/>
      </w:r>
      <w:r w:rsidR="005C0310" w:rsidRPr="000E4B50">
        <w:rPr>
          <w:rFonts w:ascii="Times New Roman" w:hAnsi="Times New Roman"/>
          <w:noProof/>
          <w:position w:val="-24"/>
          <w:sz w:val="24"/>
          <w:szCs w:val="24"/>
        </w:rPr>
        <w:object w:dxaOrig="1140" w:dyaOrig="660" w14:anchorId="562636B7">
          <v:shape id="_x0000_i1026" type="#_x0000_t75" style="width:56.65pt;height:33.35pt" o:ole="">
            <v:imagedata r:id="rId7" o:title=""/>
          </v:shape>
          <o:OLEObject Type="Embed" ProgID="Equation.3" ShapeID="_x0000_i1026" DrawAspect="Content" ObjectID="_1844059902" r:id="rId9"/>
        </w:object>
      </w:r>
    </w:p>
    <w:p w14:paraId="424D0B1E" w14:textId="77777777" w:rsidR="00860800" w:rsidRPr="000E4B50" w:rsidRDefault="002D6803" w:rsidP="002D6803">
      <w:pPr>
        <w:pStyle w:val="NoSpacing"/>
        <w:tabs>
          <w:tab w:val="left" w:pos="90"/>
        </w:tabs>
        <w:spacing w:line="480" w:lineRule="auto"/>
        <w:ind w:hanging="720"/>
        <w:jc w:val="both"/>
        <w:rPr>
          <w:rFonts w:ascii="Times New Roman" w:hAnsi="Times New Roman"/>
          <w:sz w:val="24"/>
          <w:szCs w:val="24"/>
        </w:rPr>
      </w:pPr>
      <w:r w:rsidRPr="000E4B50">
        <w:rPr>
          <w:rFonts w:ascii="Times New Roman" w:hAnsi="Times New Roman"/>
          <w:sz w:val="24"/>
          <w:szCs w:val="24"/>
        </w:rPr>
        <w:tab/>
      </w:r>
      <w:r w:rsidRPr="000E4B50">
        <w:rPr>
          <w:rFonts w:ascii="Times New Roman" w:hAnsi="Times New Roman"/>
          <w:sz w:val="24"/>
          <w:szCs w:val="24"/>
        </w:rPr>
        <w:tab/>
        <w:t xml:space="preserve"> =  </w:t>
      </w:r>
      <w:r w:rsidR="00860800" w:rsidRPr="000E4B50">
        <w:rPr>
          <w:rFonts w:ascii="Times New Roman" w:hAnsi="Times New Roman"/>
          <w:noProof/>
          <w:position w:val="-24"/>
          <w:sz w:val="24"/>
          <w:szCs w:val="24"/>
        </w:rPr>
        <w:object w:dxaOrig="580" w:dyaOrig="620" w14:anchorId="130DE48C">
          <v:shape id="_x0000_i1027" type="#_x0000_t75" style="width:28.65pt;height:30pt" o:ole="">
            <v:imagedata r:id="rId10" o:title=""/>
          </v:shape>
          <o:OLEObject Type="Embed" ProgID="Equation.3" ShapeID="_x0000_i1027" DrawAspect="Content" ObjectID="_1844059903" r:id="rId11"/>
        </w:object>
      </w:r>
    </w:p>
    <w:p w14:paraId="20B06899" w14:textId="77777777" w:rsidR="00860800" w:rsidRPr="000E4B50" w:rsidRDefault="002D6803" w:rsidP="002D6803">
      <w:pPr>
        <w:pStyle w:val="NoSpacing"/>
        <w:spacing w:line="480" w:lineRule="auto"/>
        <w:jc w:val="both"/>
        <w:rPr>
          <w:rFonts w:ascii="Times New Roman" w:hAnsi="Times New Roman"/>
          <w:sz w:val="24"/>
          <w:szCs w:val="24"/>
        </w:rPr>
      </w:pPr>
      <w:r w:rsidRPr="000E4B50">
        <w:rPr>
          <w:rFonts w:ascii="Times New Roman" w:hAnsi="Times New Roman"/>
          <w:sz w:val="24"/>
          <w:szCs w:val="24"/>
        </w:rPr>
        <w:t>= </w:t>
      </w:r>
      <w:r w:rsidR="00860800" w:rsidRPr="000E4B50">
        <w:rPr>
          <w:rFonts w:ascii="Times New Roman" w:hAnsi="Times New Roman"/>
          <w:sz w:val="24"/>
          <w:szCs w:val="24"/>
        </w:rPr>
        <w:t>57.39</w:t>
      </w:r>
    </w:p>
    <w:p w14:paraId="2AA9823C" w14:textId="77777777" w:rsidR="00860800" w:rsidRPr="000E4B50" w:rsidRDefault="002D6803" w:rsidP="002D6803">
      <w:pPr>
        <w:pStyle w:val="NoSpacing"/>
        <w:spacing w:line="480" w:lineRule="auto"/>
        <w:jc w:val="both"/>
        <w:rPr>
          <w:rFonts w:ascii="Times New Roman" w:hAnsi="Times New Roman"/>
          <w:sz w:val="24"/>
          <w:szCs w:val="24"/>
        </w:rPr>
      </w:pPr>
      <w:r w:rsidRPr="000E4B50">
        <w:t>Degree of freedom (df) = (n - 1)</w:t>
      </w:r>
    </w:p>
    <w:p w14:paraId="43F60AAB" w14:textId="77777777" w:rsidR="00860800" w:rsidRPr="000E4B50" w:rsidRDefault="002D6803" w:rsidP="002D6803">
      <w:pPr>
        <w:pStyle w:val="NoSpacing"/>
        <w:spacing w:line="480" w:lineRule="auto"/>
        <w:jc w:val="both"/>
        <w:rPr>
          <w:rFonts w:ascii="Times New Roman" w:hAnsi="Times New Roman"/>
          <w:sz w:val="24"/>
          <w:szCs w:val="24"/>
        </w:rPr>
      </w:pPr>
      <w:r w:rsidRPr="000E4B50">
        <w:rPr>
          <w:rFonts w:ascii="Times New Roman" w:hAnsi="Times New Roman"/>
          <w:sz w:val="24"/>
          <w:szCs w:val="24"/>
        </w:rPr>
        <w:t>= </w:t>
      </w:r>
      <w:r w:rsidR="00860800" w:rsidRPr="000E4B50">
        <w:rPr>
          <w:rFonts w:ascii="Times New Roman" w:hAnsi="Times New Roman"/>
          <w:sz w:val="24"/>
          <w:szCs w:val="24"/>
        </w:rPr>
        <w:t>4 – 1=3</w:t>
      </w:r>
    </w:p>
    <w:p w14:paraId="510417EA" w14:textId="77777777" w:rsidR="00860800" w:rsidRPr="000E4B50" w:rsidRDefault="00860800" w:rsidP="002D6803">
      <w:pPr>
        <w:pStyle w:val="NoSpacing"/>
        <w:spacing w:line="480" w:lineRule="auto"/>
        <w:jc w:val="both"/>
        <w:rPr>
          <w:rFonts w:ascii="Times New Roman" w:hAnsi="Times New Roman"/>
          <w:sz w:val="24"/>
          <w:szCs w:val="24"/>
        </w:rPr>
      </w:pPr>
      <w:r w:rsidRPr="000E4B50">
        <w:t>At the 5% level of significance, α = 0.05 and df = 3</w:t>
      </w:r>
    </w:p>
    <w:p w14:paraId="25164506" w14:textId="77777777" w:rsidR="00860800" w:rsidRPr="000E4B50" w:rsidRDefault="00860800" w:rsidP="002D6803">
      <w:pPr>
        <w:pStyle w:val="NoSpacing"/>
        <w:spacing w:line="480" w:lineRule="auto"/>
        <w:jc w:val="both"/>
        <w:rPr>
          <w:rFonts w:ascii="Times New Roman" w:hAnsi="Times New Roman"/>
          <w:sz w:val="24"/>
          <w:szCs w:val="24"/>
        </w:rPr>
      </w:pPr>
      <w:r w:rsidRPr="000E4B50">
        <w:rPr>
          <w:rFonts w:ascii="Times New Roman" w:hAnsi="Times New Roman"/>
          <w:sz w:val="24"/>
          <w:szCs w:val="24"/>
        </w:rPr>
        <w:t>X</w:t>
      </w:r>
      <w:r w:rsidRPr="000E4B50">
        <w:rPr>
          <w:rFonts w:ascii="Times New Roman" w:hAnsi="Times New Roman"/>
          <w:sz w:val="24"/>
          <w:szCs w:val="24"/>
          <w:vertAlign w:val="superscript"/>
        </w:rPr>
        <w:t>2</w:t>
      </w:r>
      <w:r w:rsidRPr="000E4B50">
        <w:rPr>
          <w:rFonts w:ascii="Times New Roman" w:hAnsi="Times New Roman"/>
          <w:sz w:val="24"/>
          <w:szCs w:val="24"/>
        </w:rPr>
        <w:t xml:space="preserve"> </w:t>
      </w:r>
      <w:r w:rsidRPr="000E4B50">
        <w:rPr>
          <w:rFonts w:ascii="Times New Roman" w:hAnsi="Times New Roman"/>
          <w:sz w:val="16"/>
          <w:szCs w:val="16"/>
        </w:rPr>
        <w:t>0.05, 3</w:t>
      </w:r>
      <w:r w:rsidRPr="000E4B50">
        <w:rPr>
          <w:rFonts w:ascii="Times New Roman" w:hAnsi="Times New Roman"/>
          <w:sz w:val="24"/>
          <w:szCs w:val="24"/>
        </w:rPr>
        <w:t xml:space="preserve"> =7.815</w:t>
      </w:r>
      <w:r w:rsidRPr="000E4B50">
        <w:rPr>
          <w:rFonts w:ascii="Times New Roman" w:hAnsi="Times New Roman"/>
          <w:sz w:val="24"/>
          <w:szCs w:val="24"/>
        </w:rPr>
        <w:tab/>
      </w:r>
    </w:p>
    <w:p w14:paraId="6262C8ED" w14:textId="77777777" w:rsidR="00860800" w:rsidRPr="000E4B50" w:rsidRDefault="002D6803" w:rsidP="002D6803">
      <w:pPr>
        <w:pStyle w:val="NoSpacing"/>
        <w:spacing w:line="480" w:lineRule="auto"/>
        <w:jc w:val="both"/>
        <w:rPr>
          <w:rFonts w:ascii="Times New Roman" w:hAnsi="Times New Roman"/>
          <w:sz w:val="24"/>
          <w:szCs w:val="24"/>
        </w:rPr>
      </w:pPr>
      <w:r w:rsidRPr="000E4B50">
        <w:t>Calculated chi-square = 57.39</w:t>
      </w:r>
    </w:p>
    <w:p w14:paraId="02C30C76" w14:textId="77777777" w:rsidR="00860800" w:rsidRPr="000E4B50" w:rsidRDefault="00860800" w:rsidP="002D6803">
      <w:pPr>
        <w:pStyle w:val="NoSpacing"/>
        <w:spacing w:line="480" w:lineRule="auto"/>
        <w:jc w:val="both"/>
        <w:rPr>
          <w:rFonts w:ascii="Times New Roman" w:hAnsi="Times New Roman"/>
          <w:sz w:val="24"/>
          <w:szCs w:val="24"/>
        </w:rPr>
      </w:pPr>
      <w:r w:rsidRPr="000E4B50">
        <w:t>Table value of X² at 0.05 and df = 3 is 7.815</w:t>
      </w:r>
    </w:p>
    <w:p w14:paraId="0FC1AE9C" w14:textId="77777777" w:rsidR="00573ECF" w:rsidRPr="000E4B50" w:rsidRDefault="00573ECF" w:rsidP="00573ECF">
      <w:pPr>
        <w:tabs>
          <w:tab w:val="left" w:pos="720"/>
        </w:tabs>
        <w:spacing w:after="0" w:line="480" w:lineRule="auto"/>
        <w:jc w:val="both"/>
        <w:rPr>
          <w:rFonts w:ascii="Times New Roman" w:hAnsi="Times New Roman"/>
          <w:sz w:val="24"/>
          <w:szCs w:val="24"/>
        </w:rPr>
      </w:pPr>
      <w:r w:rsidRPr="000E4B50">
        <w:t>The study adopted the decision rule that the null hypothesis (H₀) would be rejected if the calculated chi-square (χ²) value was equal to or greater than the critical table value at the selected level of significance. Since the calculated chi-square value (57.39) exceeded the table value (7.815), the null hypothesis was rejected and the alternative hypothesis accepted.</w:t>
      </w:r>
    </w:p>
    <w:p w14:paraId="145462CE" w14:textId="77777777" w:rsidR="00573ECF" w:rsidRPr="000E4B50" w:rsidRDefault="00573ECF" w:rsidP="00573ECF">
      <w:pPr>
        <w:tabs>
          <w:tab w:val="left" w:pos="720"/>
        </w:tabs>
        <w:spacing w:after="0" w:line="480" w:lineRule="auto"/>
        <w:jc w:val="both"/>
        <w:rPr>
          <w:rFonts w:ascii="Times New Roman" w:hAnsi="Times New Roman"/>
          <w:sz w:val="24"/>
          <w:szCs w:val="24"/>
        </w:rPr>
      </w:pPr>
      <w:r w:rsidRPr="000E4B50">
        <w:t>This result indicates that there is a statistically significant relationship between fuelwood consumption and environmental degradation in Benue State based on respondents' reported experiences and perceptions. In practical terms, the observed pattern of responses was unlikely to have occurred by chance alone, suggesting that fuelwood use is associated with perceived environmental changes such as vegetation depletion, deforestation, reduction in tree cover and other environmental pressures within the selected Local Government Areas.</w:t>
      </w:r>
    </w:p>
    <w:p w14:paraId="045F31EF" w14:textId="77777777" w:rsidR="00573ECF" w:rsidRPr="000E4B50" w:rsidRDefault="00573ECF" w:rsidP="00573ECF">
      <w:pPr>
        <w:tabs>
          <w:tab w:val="left" w:pos="720"/>
        </w:tabs>
        <w:spacing w:after="0" w:line="480" w:lineRule="auto"/>
        <w:jc w:val="both"/>
        <w:rPr>
          <w:rFonts w:ascii="Times New Roman" w:hAnsi="Times New Roman"/>
          <w:sz w:val="24"/>
          <w:szCs w:val="24"/>
        </w:rPr>
      </w:pPr>
      <w:r w:rsidRPr="000E4B50">
        <w:lastRenderedPageBreak/>
        <w:t>However, because the analysis was based on questionnaire responses and categorical data, the conclusion reflects perceived environmental impacts associated with fuelwood consumption rather than direct measurement of environmental degradation indicators.</w:t>
      </w:r>
    </w:p>
    <w:p w14:paraId="530B6109" w14:textId="77777777" w:rsidR="00860800" w:rsidRPr="000E4B50" w:rsidRDefault="00860800" w:rsidP="002D6803">
      <w:pPr>
        <w:spacing w:line="480" w:lineRule="auto"/>
        <w:jc w:val="both"/>
        <w:rPr>
          <w:rFonts w:ascii="Times New Roman" w:hAnsi="Times New Roman" w:cs="Times New Roman"/>
          <w:i/>
          <w:sz w:val="24"/>
          <w:szCs w:val="24"/>
        </w:rPr>
      </w:pPr>
      <w:r w:rsidRPr="000E4B50">
        <w:rPr>
          <w:rFonts w:ascii="Times New Roman" w:hAnsi="Times New Roman"/>
          <w:b/>
          <w:sz w:val="24"/>
          <w:szCs w:val="24"/>
        </w:rPr>
        <w:t>Oral Interview Findings</w:t>
      </w:r>
    </w:p>
    <w:p w14:paraId="76966D7C" w14:textId="77777777" w:rsidR="00895D29" w:rsidRPr="000E4B50" w:rsidRDefault="00860800" w:rsidP="002D6803">
      <w:pPr>
        <w:tabs>
          <w:tab w:val="left" w:pos="720"/>
        </w:tabs>
        <w:spacing w:after="0" w:line="480" w:lineRule="auto"/>
        <w:jc w:val="both"/>
        <w:rPr>
          <w:rFonts w:ascii="Times New Roman" w:hAnsi="Times New Roman"/>
          <w:sz w:val="24"/>
          <w:szCs w:val="24"/>
        </w:rPr>
      </w:pPr>
      <w:r w:rsidRPr="000E4B50">
        <w:t>Data from the oral interviews corroborated the results obtained from the questionnaire responses. It is therefore necessary to discuss only the issues not raised in the closed-ended questions but identified in the responses of those subjected to oral interviews. Samuel Ajoko added that some people use fuelwood because they believe that food cooked with firewood or charcoal tastes better and is free from the hazards of modernity. Ajoko further explained that continuous exploitation of forests for fuelwood leads to the loss of trees and other forms of vegetation cover. As Solomon Iorkyase pointed out, the land gradually becomes exposed to erosion or leaching, and environmental degradation then sets in. For instance, the soil may no longer be able to retain plant nutrients or moisture because of its exposure to direct sunlight. Movihinze Ikyueen pointed out that fuelwood consumption has led to the worrisome loss of some tree species and important economic trees as they are becoming extinct. Movihinze also maintained that many people use fuelwood because they cook in open spaces where gas cylinders cannot be kept, especially as their thatched houses cannot accommodate electricity or gas cylinders. Agnes Iorgyer also maintained that fragmenting land and forests on an individual basis can help protect trees on some lands because communal land gives too many people access to the trees.</w:t>
      </w:r>
    </w:p>
    <w:p w14:paraId="03F31860" w14:textId="2CA3AF60" w:rsidR="00860800" w:rsidRPr="000E4B50" w:rsidRDefault="00860800" w:rsidP="002D6803">
      <w:pPr>
        <w:tabs>
          <w:tab w:val="left" w:pos="720"/>
        </w:tabs>
        <w:spacing w:after="0" w:line="480" w:lineRule="auto"/>
        <w:jc w:val="both"/>
        <w:rPr>
          <w:rFonts w:ascii="Times New Roman" w:hAnsi="Times New Roman"/>
          <w:sz w:val="24"/>
          <w:szCs w:val="24"/>
        </w:rPr>
      </w:pPr>
      <w:r w:rsidRPr="000E4B50">
        <w:rPr>
          <w:rFonts w:ascii="Times New Roman" w:hAnsi="Times New Roman" w:cs="Times New Roman"/>
          <w:b/>
          <w:sz w:val="24"/>
          <w:szCs w:val="24"/>
        </w:rPr>
        <w:t xml:space="preserve">Discussion </w:t>
      </w:r>
    </w:p>
    <w:p w14:paraId="1FFAC4C3" w14:textId="77777777" w:rsidR="00860800" w:rsidRPr="000E4B50" w:rsidRDefault="00860800" w:rsidP="00860800">
      <w:pPr>
        <w:spacing w:after="0" w:line="480" w:lineRule="auto"/>
        <w:ind w:left="180" w:hanging="90"/>
        <w:jc w:val="both"/>
        <w:rPr>
          <w:rFonts w:ascii="Times New Roman" w:hAnsi="Times New Roman" w:cs="Times New Roman"/>
          <w:sz w:val="2"/>
          <w:szCs w:val="2"/>
        </w:rPr>
      </w:pPr>
    </w:p>
    <w:p w14:paraId="725B34EB" w14:textId="77777777" w:rsidR="00793E1C" w:rsidRPr="000E4B50" w:rsidRDefault="00793E1C" w:rsidP="00793E1C">
      <w:pPr>
        <w:spacing w:after="120" w:line="480" w:lineRule="auto"/>
        <w:jc w:val="both"/>
        <w:rPr>
          <w:rFonts w:ascii="Times New Roman" w:hAnsi="Times New Roman" w:cs="Times New Roman"/>
          <w:sz w:val="24"/>
          <w:szCs w:val="24"/>
        </w:rPr>
      </w:pPr>
      <w:r w:rsidRPr="000E4B50">
        <w:t>This study provides empirical evidence on the patterns and drivers of fuelwood consumption in Benue State, Central Nigeria. Although the investigation covered only five of the twenty-three Local Government Areas in the state, the sampling framework was designed to achieve adequate representativeness of the broader study population. Consequently, the generated data sufficiently addressed the study objectives and research questions.</w:t>
      </w:r>
    </w:p>
    <w:p w14:paraId="300A1189" w14:textId="77777777" w:rsidR="00793E1C" w:rsidRPr="000E4B50" w:rsidRDefault="00793E1C" w:rsidP="00793E1C">
      <w:pPr>
        <w:spacing w:after="120" w:line="480" w:lineRule="auto"/>
        <w:jc w:val="both"/>
        <w:rPr>
          <w:rFonts w:ascii="Times New Roman" w:hAnsi="Times New Roman" w:cs="Times New Roman"/>
          <w:sz w:val="24"/>
          <w:szCs w:val="24"/>
        </w:rPr>
      </w:pPr>
      <w:r w:rsidRPr="000E4B50">
        <w:lastRenderedPageBreak/>
        <w:t xml:space="preserve">The findings revealed that continued dependence on fuelwood in Benue State is strongly associated with the interaction of fuelwood availability, household poverty and </w:t>
      </w:r>
      <w:proofErr w:type="gramStart"/>
      <w:r w:rsidRPr="000E4B50">
        <w:t>low income</w:t>
      </w:r>
      <w:proofErr w:type="gramEnd"/>
      <w:r w:rsidRPr="000E4B50">
        <w:t xml:space="preserve"> levels. Evidence obtained through oral interviews further indicated that many households remain dependent on fuelwood not necessarily because they cannot afford periodic refilling of Liquefied Petroleum Gas (LPG), but because of the relatively high initial cost required to purchase cylinders and associated cooking equipment. This finding suggests that access barriers are not limited to fuel prices alone but also include entry costs into cleaner energy systems.</w:t>
      </w:r>
    </w:p>
    <w:p w14:paraId="0D4F797B" w14:textId="77777777" w:rsidR="00793E1C" w:rsidRPr="000E4B50" w:rsidRDefault="00793E1C" w:rsidP="00793E1C">
      <w:pPr>
        <w:spacing w:after="120" w:line="480" w:lineRule="auto"/>
        <w:jc w:val="both"/>
        <w:rPr>
          <w:rFonts w:ascii="Times New Roman" w:hAnsi="Times New Roman" w:cs="Times New Roman"/>
          <w:sz w:val="24"/>
          <w:szCs w:val="24"/>
        </w:rPr>
      </w:pPr>
      <w:r w:rsidRPr="000E4B50">
        <w:t>The observed relationship between poverty and reliance on traditional biomass fuels aligns with findings reported in international studies across Sub-Saharan Africa. Studies conducted in Cameroon found that household income, affordability of LPG, accessibility of fuel distribution systems and perceptions of cost significantly influenced household transition from biomass to cleaner cooking fuels. Higher-income households and those with improved access to LPG infrastructure were more likely to adopt and sustain clean cooking practices (Temgoua et al., 2022).</w:t>
      </w:r>
    </w:p>
    <w:p w14:paraId="3CF42CD0" w14:textId="77777777" w:rsidR="00793E1C" w:rsidRPr="000E4B50" w:rsidRDefault="00793E1C" w:rsidP="00793E1C">
      <w:pPr>
        <w:spacing w:after="120" w:line="480" w:lineRule="auto"/>
        <w:jc w:val="both"/>
        <w:rPr>
          <w:rFonts w:ascii="Times New Roman" w:hAnsi="Times New Roman" w:cs="Times New Roman"/>
          <w:sz w:val="24"/>
          <w:szCs w:val="24"/>
        </w:rPr>
      </w:pPr>
      <w:r w:rsidRPr="000E4B50">
        <w:t>Similarly, cross-country evidence from Cameroon, Kenya and Ghana demonstrated that socioeconomic conditions alone do not fully explain household energy choices. Supply-side constraints, including transportation costs, refill accessibility and cooking-equipment availability, were shown to significantly influence cooking-fuel transitions. These findings correspond closely with the Benue State results, where respondents identified the initial acquisition cost of LPG cylinders as a major barrier despite recognising the benefits of cleaner fuels.</w:t>
      </w:r>
    </w:p>
    <w:p w14:paraId="7E680C30" w14:textId="77777777" w:rsidR="00793E1C" w:rsidRPr="000E4B50" w:rsidRDefault="00793E1C" w:rsidP="00793E1C">
      <w:pPr>
        <w:spacing w:after="120" w:line="480" w:lineRule="auto"/>
        <w:jc w:val="both"/>
        <w:rPr>
          <w:rFonts w:ascii="Times New Roman" w:hAnsi="Times New Roman" w:cs="Times New Roman"/>
          <w:sz w:val="24"/>
          <w:szCs w:val="24"/>
        </w:rPr>
      </w:pPr>
      <w:r w:rsidRPr="000E4B50">
        <w:t>However, some differences emerge when comparing the present findings with experiences from other international contexts. Studies from parts of Asia, particularly India, reported that government-supported clean-cooking initiatives increased household access to LPG and reduced dependence on fuelwood through subsidy-based interventions and targeted social programmes. Nevertheless, sustained LPG use remained challenging even after initial adoption because affordability and behavioural factors continued to influence household decisions. This contrasts with the Benue State context, where the challenge appears to begin at the entry stage of acquiring LPG infrastructure rather than maintaining continued use.</w:t>
      </w:r>
    </w:p>
    <w:p w14:paraId="78A88B77" w14:textId="4E140330" w:rsidR="00793E1C" w:rsidRPr="000E4B50" w:rsidRDefault="00793E1C" w:rsidP="00793E1C">
      <w:pPr>
        <w:spacing w:after="120" w:line="480" w:lineRule="auto"/>
        <w:jc w:val="both"/>
        <w:rPr>
          <w:rFonts w:ascii="Times New Roman" w:hAnsi="Times New Roman" w:cs="Times New Roman"/>
          <w:sz w:val="24"/>
          <w:szCs w:val="24"/>
        </w:rPr>
      </w:pPr>
      <w:r w:rsidRPr="000E4B50">
        <w:lastRenderedPageBreak/>
        <w:t>Furthermore, broader reviews of clean-cooking transitions across Sub-Saharan Africa indicate that fuel choices are influenced by multiple interconnected determinants, including household income, urban-rural residence, reliability of energy supply, affordability and household size. The Benue findings reinforce this multidimensional understanding by demonstrating that fuelwood consumption cannot be explained solely by economic poverty but must also be understood within the context of local resource availability and structural limitations in access to alternative energy sources (Heltberg, 2004; Puzzolo et al., 201</w:t>
      </w:r>
      <w:r w:rsidR="004D4A6E">
        <w:t>8</w:t>
      </w:r>
      <w:r w:rsidRPr="000E4B50">
        <w:t>).</w:t>
      </w:r>
    </w:p>
    <w:p w14:paraId="74FB4226" w14:textId="77777777" w:rsidR="00793E1C" w:rsidRPr="000E4B50" w:rsidRDefault="00793E1C" w:rsidP="00793E1C">
      <w:pPr>
        <w:spacing w:after="120" w:line="480" w:lineRule="auto"/>
        <w:jc w:val="both"/>
        <w:rPr>
          <w:rFonts w:ascii="Times New Roman" w:hAnsi="Times New Roman" w:cs="Times New Roman"/>
          <w:sz w:val="24"/>
          <w:szCs w:val="24"/>
        </w:rPr>
      </w:pPr>
      <w:r w:rsidRPr="000E4B50">
        <w:t>Overall, the findings suggest that policies aimed at reducing fuelwood dependence and mitigating environmental degradation in Benue State should extend beyond awareness campaigns. Effective interventions may include subsidies for LPG starter kits, flexible payment mechanisms for cooking equipment, expansion of rural clean-energy distribution networks and income-enhancing programmes targeted at vulnerable households. Such integrated approaches may accelerate the transition towards cleaner household energy and reduce pressure on forest resources.</w:t>
      </w:r>
    </w:p>
    <w:p w14:paraId="662597A0" w14:textId="77777777" w:rsidR="00860800" w:rsidRPr="000E4B50" w:rsidRDefault="00860800" w:rsidP="00793E1C">
      <w:pPr>
        <w:spacing w:after="120" w:line="480" w:lineRule="auto"/>
        <w:jc w:val="both"/>
        <w:rPr>
          <w:rFonts w:ascii="Times New Roman" w:hAnsi="Times New Roman" w:cs="Times New Roman"/>
          <w:sz w:val="24"/>
          <w:szCs w:val="24"/>
        </w:rPr>
      </w:pPr>
      <w:r w:rsidRPr="000E4B50">
        <w:t>The study also shows that firewood is the main form in which fuelwood is consumed, followed by charcoal. However, charcoal is largely used in urban areas, while firewood dominates in rural areas. Most people use fuelwood or combine it with other fuel types in urban areas, while those who have never used fuelwood are negligible. Deforestation was also observed as a major perceived consequence of fuelwood consumption, along with the blackening of walls and buildings, probably because these are physically visible and non-technical consequences that can be easily observed.</w:t>
      </w:r>
    </w:p>
    <w:p w14:paraId="4B36BDA6" w14:textId="77777777" w:rsidR="00793E1C" w:rsidRPr="000E4B50" w:rsidRDefault="00793E1C" w:rsidP="001E76AB">
      <w:pPr>
        <w:spacing w:after="0" w:line="480" w:lineRule="auto"/>
        <w:jc w:val="both"/>
        <w:rPr>
          <w:rFonts w:ascii="Times New Roman" w:hAnsi="Times New Roman" w:cs="Times New Roman"/>
          <w:sz w:val="24"/>
          <w:szCs w:val="24"/>
        </w:rPr>
      </w:pPr>
      <w:r w:rsidRPr="000E4B50">
        <w:t xml:space="preserve">While the findings demonstrate that fuelwood consumption contributes substantially to environmental degradation in Benue State, the observed environmental changes should not be attributed exclusively to fuelwood extraction. Environmental degradation is a complex and multidimensional process influenced by several interacting anthropogenic and natural factors. In addition to fuelwood harvesting, agricultural expansion through land clearing for crop cultivation and shifting cultivation practices has contributed significantly to vegetation loss and ecosystem alteration. Commercial and illegal logging activities for timber and wood products, urbanisation resulting from population growth and settlement expansion, and </w:t>
      </w:r>
      <w:r w:rsidRPr="000E4B50">
        <w:lastRenderedPageBreak/>
        <w:t>infrastructural development such as road construction, housing projects, markets, schools and public utilities have also accelerated land-use change and habitat fragmentation. Other contributory factors may include overgrazing, bush burning, sand and laterite mining, industrial activities, poor land-management practices, population pressure, climate variability and weak enforcement of environmental regulations. Therefore, although fuelwood consumption remains an important driver of environmental pressure within the study area, environmental degradation in Benue State should be understood as the cumulative outcome of multiple socioeconomic and ecological processes acting simultaneously. Future interventions should adopt an integrated environmental management approach that addresses these interconnected drivers rather than focusing solely on household energy use.</w:t>
      </w:r>
    </w:p>
    <w:p w14:paraId="0E16720F" w14:textId="77777777" w:rsidR="00FE2066" w:rsidRPr="000E4B50" w:rsidRDefault="00FE2066" w:rsidP="00FE2066">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E4B50">
        <w:rPr>
          <w:rFonts w:ascii="Times New Roman" w:eastAsia="Times New Roman" w:hAnsi="Times New Roman" w:cs="Times New Roman"/>
          <w:b/>
          <w:bCs/>
          <w:sz w:val="24"/>
          <w:szCs w:val="24"/>
          <w:lang w:eastAsia="en-GB"/>
        </w:rPr>
        <w:t>Conclusion</w:t>
      </w:r>
    </w:p>
    <w:p w14:paraId="0E225A61" w14:textId="77777777" w:rsidR="009010A2" w:rsidRPr="000E4B50" w:rsidRDefault="00FE2066" w:rsidP="001225D9">
      <w:pPr>
        <w:spacing w:before="100" w:beforeAutospacing="1" w:after="100" w:afterAutospacing="1" w:line="480" w:lineRule="auto"/>
        <w:jc w:val="both"/>
        <w:rPr>
          <w:rFonts w:ascii="Times New Roman" w:eastAsia="Times New Roman" w:hAnsi="Times New Roman" w:cs="Times New Roman"/>
          <w:sz w:val="24"/>
          <w:szCs w:val="24"/>
          <w:lang w:eastAsia="en-GB"/>
        </w:rPr>
      </w:pPr>
      <w:r w:rsidRPr="000E4B50">
        <w:t xml:space="preserve">This study concludes that fuelwood consumption remains a major household and livelihood-related energy practice in Benue State. The findings indicate that its continued use is strongly influenced by poverty, low income, availability of firewood, high cost of alternative fuels and inadequate infrastructure for cleaner energy sources. Firewood and charcoal are the main forms in which fuelwood is consumed, while additional use occurs in activities such as brick burning and other heat-dependent local practices. The study also shows that many respondents associate fuelwood consumption with several forms of environmental degradation, including deforestation, air pollution, soil erosion, ecological imbalance, desertification, greenhouse gas emissions, land degradation, disruption of the water cycle and loss of biodiversity. These effects are important because Benue State depends heavily on land-based economic activities, especially agriculture. Reducing fuelwood dependence therefore requires both environmental and socioeconomic responses. Subsidising cleaner fuel alternatives, improving energy infrastructure, supporting efficient stoves, regulating tree felling, creating public awareness, promoting tree planting and improving household income are necessary measures. Although the study did not directly measure environmental degradation, respondents' perceptions indicate that addressing fuelwood consumption in Benue State requires practical, affordable and </w:t>
      </w:r>
      <w:r w:rsidRPr="000E4B50">
        <w:lastRenderedPageBreak/>
        <w:t>locally acceptable interventions that can reduce environmental pressure while meeting the energy needs of households and communities.</w:t>
      </w:r>
    </w:p>
    <w:p w14:paraId="56F2062A" w14:textId="77777777" w:rsidR="00FE2066" w:rsidRPr="000E4B50" w:rsidRDefault="00FE2066" w:rsidP="00FE2066">
      <w:pPr>
        <w:spacing w:before="100" w:beforeAutospacing="1" w:after="100" w:afterAutospacing="1" w:line="240" w:lineRule="auto"/>
        <w:outlineLvl w:val="2"/>
        <w:rPr>
          <w:rFonts w:ascii="Times New Roman" w:eastAsia="Times New Roman" w:hAnsi="Times New Roman" w:cs="Times New Roman"/>
          <w:b/>
          <w:bCs/>
          <w:sz w:val="24"/>
          <w:szCs w:val="24"/>
          <w:lang w:eastAsia="en-GB"/>
        </w:rPr>
      </w:pPr>
      <w:r w:rsidRPr="000E4B50">
        <w:rPr>
          <w:rFonts w:ascii="Times New Roman" w:eastAsia="Times New Roman" w:hAnsi="Times New Roman" w:cs="Times New Roman"/>
          <w:b/>
          <w:bCs/>
          <w:sz w:val="24"/>
          <w:szCs w:val="24"/>
          <w:lang w:eastAsia="en-GB"/>
        </w:rPr>
        <w:t>Limitations</w:t>
      </w:r>
      <w:r w:rsidR="00FF1C41" w:rsidRPr="000E4B50">
        <w:rPr>
          <w:rFonts w:ascii="Times New Roman" w:eastAsia="Times New Roman" w:hAnsi="Times New Roman" w:cs="Times New Roman"/>
          <w:b/>
          <w:bCs/>
          <w:sz w:val="24"/>
          <w:szCs w:val="24"/>
          <w:lang w:eastAsia="en-GB"/>
        </w:rPr>
        <w:t xml:space="preserve"> of the study</w:t>
      </w:r>
    </w:p>
    <w:p w14:paraId="1DE36BAD" w14:textId="6A8DE84D" w:rsidR="00FE2066" w:rsidRPr="000E4B50" w:rsidRDefault="00FE2066" w:rsidP="00625801">
      <w:pPr>
        <w:spacing w:before="100" w:beforeAutospacing="1" w:after="100" w:afterAutospacing="1" w:line="480" w:lineRule="auto"/>
        <w:jc w:val="both"/>
        <w:rPr>
          <w:rFonts w:ascii="Times New Roman" w:eastAsia="Times New Roman" w:hAnsi="Times New Roman" w:cs="Times New Roman"/>
          <w:sz w:val="24"/>
          <w:szCs w:val="24"/>
          <w:lang w:eastAsia="en-GB"/>
        </w:rPr>
      </w:pPr>
      <w:r w:rsidRPr="000E4B50">
        <w:t>This study has some limitations that should be considered when interpreting the findings. First, it was conducted in five selected Local Government Areas of Benue State, namely Guma, Otukpo, Katsina-Ala, Oju and Gwer-East, and may not fully represent all twenty-three LGAs. Second, the study relied largely on questionnaire responses and oral interviews; therefore, some findings were based on respondents' perceptions and self-reported practices. Third, frequency and percentage distributions limited the depth of statistical explanation. Fourth, the study did not directly measure deforestation, land degradation, air pollution or biodiversity loss.</w:t>
      </w:r>
      <w:r w:rsidR="00915F62">
        <w:t xml:space="preserve"> </w:t>
      </w:r>
      <w:r w:rsidR="002C056C" w:rsidRPr="002C056C">
        <w:t>Future research may combine household surveys with field measurements, spatial analysis and longer-term monitoring.</w:t>
      </w:r>
    </w:p>
    <w:p w14:paraId="38A68D56" w14:textId="77777777" w:rsidR="00625801" w:rsidRPr="000E4B50" w:rsidRDefault="00625801" w:rsidP="00625801">
      <w:pPr>
        <w:autoSpaceDE w:val="0"/>
        <w:autoSpaceDN w:val="0"/>
        <w:adjustRightInd w:val="0"/>
        <w:spacing w:line="360" w:lineRule="auto"/>
        <w:jc w:val="both"/>
        <w:rPr>
          <w:rFonts w:ascii="Times New Roman" w:hAnsi="Times New Roman" w:cs="Times New Roman"/>
          <w:b/>
          <w:bCs/>
          <w:color w:val="000000"/>
          <w:sz w:val="24"/>
          <w:szCs w:val="24"/>
        </w:rPr>
      </w:pPr>
      <w:r w:rsidRPr="000E4B50">
        <w:rPr>
          <w:rFonts w:ascii="Times New Roman" w:hAnsi="Times New Roman" w:cs="Times New Roman"/>
          <w:b/>
          <w:bCs/>
          <w:color w:val="000000"/>
          <w:sz w:val="24"/>
          <w:szCs w:val="24"/>
        </w:rPr>
        <w:t>Contributions</w:t>
      </w:r>
    </w:p>
    <w:p w14:paraId="6888ECA3" w14:textId="77777777" w:rsidR="00625801" w:rsidRDefault="00625801" w:rsidP="00625801">
      <w:pPr>
        <w:autoSpaceDE w:val="0"/>
        <w:autoSpaceDN w:val="0"/>
        <w:adjustRightInd w:val="0"/>
        <w:spacing w:line="480" w:lineRule="auto"/>
        <w:jc w:val="both"/>
        <w:rPr>
          <w:rFonts w:ascii="Times New Roman" w:hAnsi="Times New Roman" w:cs="Times New Roman"/>
          <w:bCs/>
          <w:color w:val="000000"/>
          <w:sz w:val="24"/>
          <w:szCs w:val="24"/>
        </w:rPr>
      </w:pPr>
      <w:r w:rsidRPr="000E4B50">
        <w:rPr>
          <w:rFonts w:ascii="Times New Roman" w:hAnsi="Times New Roman" w:cs="Times New Roman"/>
          <w:bCs/>
          <w:color w:val="000000"/>
          <w:sz w:val="24"/>
          <w:szCs w:val="24"/>
        </w:rPr>
        <w:t xml:space="preserve">This research was conceptualized and drafted by Geri Tor Godfrey. </w:t>
      </w:r>
      <w:proofErr w:type="spellStart"/>
      <w:r w:rsidRPr="000E4B50">
        <w:rPr>
          <w:rFonts w:ascii="Times New Roman" w:hAnsi="Times New Roman" w:cs="Times New Roman"/>
          <w:sz w:val="24"/>
          <w:szCs w:val="24"/>
        </w:rPr>
        <w:t>Aondoahemen</w:t>
      </w:r>
      <w:proofErr w:type="spellEnd"/>
      <w:r w:rsidRPr="000E4B50">
        <w:rPr>
          <w:rFonts w:ascii="Times New Roman" w:hAnsi="Times New Roman" w:cs="Times New Roman"/>
          <w:sz w:val="24"/>
          <w:szCs w:val="24"/>
        </w:rPr>
        <w:t xml:space="preserve"> Edward Adamgbe</w:t>
      </w:r>
      <w:r w:rsidRPr="000E4B50">
        <w:rPr>
          <w:rFonts w:ascii="Times New Roman" w:hAnsi="Times New Roman" w:cs="Times New Roman"/>
          <w:bCs/>
          <w:color w:val="000000"/>
          <w:sz w:val="24"/>
          <w:szCs w:val="24"/>
        </w:rPr>
        <w:t xml:space="preserve"> collected the data, while </w:t>
      </w:r>
      <w:proofErr w:type="spellStart"/>
      <w:r w:rsidRPr="000E4B50">
        <w:rPr>
          <w:rFonts w:ascii="Times New Roman" w:hAnsi="Times New Roman" w:cs="Times New Roman"/>
          <w:bCs/>
          <w:color w:val="000000"/>
          <w:sz w:val="24"/>
          <w:szCs w:val="24"/>
        </w:rPr>
        <w:t>Terngu</w:t>
      </w:r>
      <w:proofErr w:type="spellEnd"/>
      <w:r w:rsidRPr="000E4B50">
        <w:rPr>
          <w:rFonts w:ascii="Times New Roman" w:hAnsi="Times New Roman" w:cs="Times New Roman"/>
          <w:bCs/>
          <w:color w:val="000000"/>
          <w:sz w:val="24"/>
          <w:szCs w:val="24"/>
        </w:rPr>
        <w:t xml:space="preserve"> Paul Ugosor designed and wrote the manuscript. All the authors reviewed and edited the original manuscript.</w:t>
      </w:r>
    </w:p>
    <w:p w14:paraId="3CA85E1A" w14:textId="77777777" w:rsidR="0000264F" w:rsidRDefault="0000264F" w:rsidP="00625801">
      <w:pPr>
        <w:autoSpaceDE w:val="0"/>
        <w:autoSpaceDN w:val="0"/>
        <w:adjustRightInd w:val="0"/>
        <w:spacing w:line="480" w:lineRule="auto"/>
        <w:jc w:val="both"/>
        <w:rPr>
          <w:rFonts w:ascii="Times New Roman" w:hAnsi="Times New Roman" w:cs="Times New Roman"/>
          <w:bCs/>
          <w:color w:val="000000"/>
          <w:sz w:val="24"/>
          <w:szCs w:val="24"/>
        </w:rPr>
      </w:pPr>
    </w:p>
    <w:p w14:paraId="11DAD39A" w14:textId="77777777" w:rsidR="0000264F" w:rsidRPr="0000264F" w:rsidRDefault="0000264F" w:rsidP="0000264F">
      <w:pPr>
        <w:autoSpaceDE w:val="0"/>
        <w:autoSpaceDN w:val="0"/>
        <w:adjustRightInd w:val="0"/>
        <w:spacing w:line="480" w:lineRule="auto"/>
        <w:jc w:val="both"/>
        <w:rPr>
          <w:rFonts w:ascii="Times New Roman" w:hAnsi="Times New Roman" w:cs="Times New Roman"/>
          <w:b/>
          <w:color w:val="000000"/>
          <w:sz w:val="24"/>
          <w:szCs w:val="24"/>
        </w:rPr>
      </w:pPr>
      <w:r w:rsidRPr="0000264F">
        <w:rPr>
          <w:rFonts w:ascii="Times New Roman" w:hAnsi="Times New Roman" w:cs="Times New Roman"/>
          <w:b/>
          <w:color w:val="000000"/>
          <w:sz w:val="24"/>
          <w:szCs w:val="24"/>
        </w:rPr>
        <w:t>Ethical Approval:</w:t>
      </w:r>
    </w:p>
    <w:p w14:paraId="7A4D4824" w14:textId="12F46E6D" w:rsidR="0000264F" w:rsidRPr="000E4B50" w:rsidRDefault="0000264F" w:rsidP="0000264F">
      <w:pPr>
        <w:autoSpaceDE w:val="0"/>
        <w:autoSpaceDN w:val="0"/>
        <w:adjustRightInd w:val="0"/>
        <w:spacing w:line="480" w:lineRule="auto"/>
        <w:jc w:val="both"/>
        <w:rPr>
          <w:rFonts w:ascii="Times New Roman" w:hAnsi="Times New Roman" w:cs="Times New Roman"/>
          <w:bCs/>
          <w:color w:val="000000"/>
          <w:sz w:val="24"/>
          <w:szCs w:val="24"/>
        </w:rPr>
      </w:pPr>
      <w:r w:rsidRPr="0000264F">
        <w:rPr>
          <w:rFonts w:ascii="Times New Roman" w:hAnsi="Times New Roman" w:cs="Times New Roman"/>
          <w:bCs/>
          <w:color w:val="000000"/>
          <w:sz w:val="24"/>
          <w:szCs w:val="24"/>
        </w:rPr>
        <w:t>As per international standards or university standards written ethical approval has been collected and preserved by the author(s).</w:t>
      </w:r>
    </w:p>
    <w:p w14:paraId="67EB2598" w14:textId="201FF2EF" w:rsidR="00625801" w:rsidRPr="000E4B50" w:rsidRDefault="00C1751A" w:rsidP="00625801">
      <w:pPr>
        <w:autoSpaceDE w:val="0"/>
        <w:autoSpaceDN w:val="0"/>
        <w:adjustRightInd w:val="0"/>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Consent </w:t>
      </w:r>
    </w:p>
    <w:p w14:paraId="430E2624" w14:textId="77777777" w:rsidR="007E6821" w:rsidRPr="000E4B50" w:rsidRDefault="007E6821" w:rsidP="00625801">
      <w:pPr>
        <w:autoSpaceDE w:val="0"/>
        <w:autoSpaceDN w:val="0"/>
        <w:adjustRightInd w:val="0"/>
        <w:spacing w:line="480" w:lineRule="auto"/>
        <w:jc w:val="both"/>
        <w:rPr>
          <w:rFonts w:ascii="Times New Roman" w:hAnsi="Times New Roman" w:cs="Times New Roman"/>
          <w:sz w:val="24"/>
          <w:szCs w:val="24"/>
        </w:rPr>
      </w:pPr>
      <w:r w:rsidRPr="000E4B50">
        <w:rPr>
          <w:rFonts w:ascii="Times New Roman" w:hAnsi="Times New Roman" w:cs="Times New Roman"/>
          <w:sz w:val="24"/>
          <w:szCs w:val="24"/>
        </w:rPr>
        <w:t xml:space="preserve">As this study involved questionnaire administration and oral interviews with adult participants and did not involve clinical procedures or invasive interventions, informed consent was obtained from all </w:t>
      </w:r>
      <w:r w:rsidRPr="000E4B50">
        <w:rPr>
          <w:rFonts w:ascii="Times New Roman" w:hAnsi="Times New Roman" w:cs="Times New Roman"/>
          <w:sz w:val="24"/>
          <w:szCs w:val="24"/>
        </w:rPr>
        <w:lastRenderedPageBreak/>
        <w:t>respondents prior to participation. Participation was voluntary, confidentiality and anonymity were maintained throughout the study, and respondents retained the right to withdraw at any stage without penalty. All information collected was used solely for academic purposes and handled in accordance with accepted ethical standards for social and environmental research.</w:t>
      </w:r>
    </w:p>
    <w:p w14:paraId="2DD0443C" w14:textId="77777777" w:rsidR="00625801" w:rsidRPr="000E4B50" w:rsidRDefault="00625801" w:rsidP="00625801">
      <w:pPr>
        <w:autoSpaceDE w:val="0"/>
        <w:autoSpaceDN w:val="0"/>
        <w:adjustRightInd w:val="0"/>
        <w:spacing w:line="360" w:lineRule="auto"/>
        <w:jc w:val="both"/>
        <w:rPr>
          <w:rFonts w:ascii="Times New Roman" w:hAnsi="Times New Roman" w:cs="Times New Roman"/>
          <w:color w:val="000000"/>
          <w:sz w:val="24"/>
          <w:szCs w:val="24"/>
        </w:rPr>
      </w:pPr>
      <w:r w:rsidRPr="000E4B50">
        <w:rPr>
          <w:rFonts w:ascii="Times New Roman" w:hAnsi="Times New Roman" w:cs="Times New Roman"/>
          <w:b/>
          <w:bCs/>
          <w:color w:val="000000"/>
          <w:sz w:val="24"/>
          <w:szCs w:val="24"/>
        </w:rPr>
        <w:t xml:space="preserve">Competing Interests </w:t>
      </w:r>
    </w:p>
    <w:p w14:paraId="29D68CD6" w14:textId="77777777" w:rsidR="00625801" w:rsidRPr="000E4B50" w:rsidRDefault="00625801" w:rsidP="00625801">
      <w:pPr>
        <w:jc w:val="both"/>
        <w:rPr>
          <w:rFonts w:ascii="Times New Roman" w:hAnsi="Times New Roman" w:cs="Times New Roman"/>
          <w:sz w:val="24"/>
          <w:szCs w:val="24"/>
        </w:rPr>
      </w:pPr>
      <w:r w:rsidRPr="000E4B50">
        <w:rPr>
          <w:rFonts w:ascii="Times New Roman" w:hAnsi="Times New Roman" w:cs="Times New Roman"/>
          <w:color w:val="000000"/>
          <w:sz w:val="24"/>
          <w:szCs w:val="24"/>
        </w:rPr>
        <w:t xml:space="preserve">Authors have declared that no competing </w:t>
      </w:r>
      <w:r w:rsidRPr="000E4B50">
        <w:rPr>
          <w:rFonts w:ascii="Times New Roman" w:hAnsi="Times New Roman" w:cs="Times New Roman"/>
          <w:sz w:val="24"/>
          <w:szCs w:val="24"/>
        </w:rPr>
        <w:t>interests exist.</w:t>
      </w:r>
    </w:p>
    <w:p w14:paraId="26E5BBD2" w14:textId="77777777" w:rsidR="00625801" w:rsidRPr="000E4B50" w:rsidRDefault="00625801" w:rsidP="00625801">
      <w:pPr>
        <w:spacing w:after="0" w:line="480" w:lineRule="auto"/>
        <w:rPr>
          <w:rFonts w:ascii="Times New Roman" w:eastAsia="Calibri" w:hAnsi="Times New Roman" w:cs="Times New Roman"/>
          <w:b/>
          <w:sz w:val="24"/>
          <w:szCs w:val="24"/>
          <w:lang w:val="en-GB"/>
        </w:rPr>
      </w:pPr>
      <w:r w:rsidRPr="000E4B50">
        <w:rPr>
          <w:rFonts w:ascii="Times New Roman" w:eastAsia="Calibri" w:hAnsi="Times New Roman" w:cs="Times New Roman"/>
          <w:b/>
          <w:sz w:val="24"/>
          <w:szCs w:val="24"/>
          <w:lang w:val="en-GB"/>
        </w:rPr>
        <w:t>Declaration of AI Use</w:t>
      </w:r>
    </w:p>
    <w:p w14:paraId="5663251B" w14:textId="77777777" w:rsidR="00625801" w:rsidRPr="000E4B50" w:rsidRDefault="00625801" w:rsidP="00216BE5">
      <w:pPr>
        <w:spacing w:after="0" w:line="480" w:lineRule="auto"/>
        <w:rPr>
          <w:rFonts w:ascii="Times New Roman" w:eastAsia="Calibri" w:hAnsi="Times New Roman" w:cs="Times New Roman"/>
          <w:sz w:val="24"/>
          <w:szCs w:val="24"/>
          <w:lang w:val="en-GB"/>
        </w:rPr>
      </w:pPr>
      <w:r w:rsidRPr="000E4B50">
        <w:rPr>
          <w:rFonts w:ascii="Times New Roman" w:eastAsia="Calibri" w:hAnsi="Times New Roman" w:cs="Times New Roman"/>
          <w:sz w:val="24"/>
          <w:szCs w:val="24"/>
          <w:lang w:val="en-GB"/>
        </w:rPr>
        <w:t>This manuscript was prepared through the combined contributions of all author(s), including contributions to the study design, data, content development, results, interpretation, and related scholarly work. The author(s) acknowledge the use of ChatGPT to assist with grammar checking, and language refinement. These AI-assisted tools were not used as authors and did not replace the intellectual contributions or scholarly judgment of the author(s). All AI-assisted outputs, including content, and interpretations, were carefully reviewed, revised, verified, and approved by the author(s). The author(s) accept full responsibility for the accuracy, integrity, and final content of the manuscript.</w:t>
      </w:r>
    </w:p>
    <w:p w14:paraId="34935107" w14:textId="77777777" w:rsidR="00860800" w:rsidRPr="000E4B50" w:rsidRDefault="00860800" w:rsidP="00904621">
      <w:pPr>
        <w:pStyle w:val="NoSpacing"/>
        <w:jc w:val="both"/>
        <w:rPr>
          <w:sz w:val="24"/>
          <w:szCs w:val="24"/>
          <w:lang w:val="es-US"/>
        </w:rPr>
      </w:pPr>
      <w:proofErr w:type="spellStart"/>
      <w:r w:rsidRPr="000E4B50">
        <w:rPr>
          <w:rFonts w:ascii="Times New Roman" w:hAnsi="Times New Roman"/>
          <w:b/>
          <w:bCs/>
          <w:sz w:val="24"/>
          <w:szCs w:val="24"/>
          <w:lang w:val="es-US"/>
        </w:rPr>
        <w:t>References</w:t>
      </w:r>
      <w:proofErr w:type="spellEnd"/>
    </w:p>
    <w:p w14:paraId="129859AE" w14:textId="77777777" w:rsidR="001653C6" w:rsidRPr="000E4B50" w:rsidRDefault="001653C6" w:rsidP="00904621">
      <w:pPr>
        <w:pStyle w:val="NoSpacing"/>
        <w:jc w:val="both"/>
        <w:rPr>
          <w:rFonts w:ascii="Times New Roman" w:hAnsi="Times New Roman"/>
          <w:sz w:val="24"/>
          <w:szCs w:val="24"/>
          <w:lang w:val="es-US"/>
        </w:rPr>
      </w:pPr>
    </w:p>
    <w:p w14:paraId="2C0AA02F"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4D4A6E">
        <w:rPr>
          <w:rFonts w:ascii="Times New Roman" w:eastAsia="Times New Roman" w:hAnsi="Times New Roman" w:cs="Times New Roman"/>
          <w:sz w:val="24"/>
          <w:szCs w:val="24"/>
        </w:rPr>
        <w:t>Adekugbe</w:t>
      </w:r>
      <w:proofErr w:type="spellEnd"/>
      <w:r w:rsidRPr="004D4A6E">
        <w:rPr>
          <w:rFonts w:ascii="Times New Roman" w:eastAsia="Times New Roman" w:hAnsi="Times New Roman" w:cs="Times New Roman"/>
          <w:sz w:val="24"/>
          <w:szCs w:val="24"/>
        </w:rPr>
        <w:t xml:space="preserve">, O. A., </w:t>
      </w:r>
      <w:proofErr w:type="spellStart"/>
      <w:r w:rsidRPr="004D4A6E">
        <w:rPr>
          <w:rFonts w:ascii="Times New Roman" w:eastAsia="Times New Roman" w:hAnsi="Times New Roman" w:cs="Times New Roman"/>
          <w:sz w:val="24"/>
          <w:szCs w:val="24"/>
        </w:rPr>
        <w:t>Oyerinde</w:t>
      </w:r>
      <w:proofErr w:type="spellEnd"/>
      <w:r w:rsidRPr="004D4A6E">
        <w:rPr>
          <w:rFonts w:ascii="Times New Roman" w:eastAsia="Times New Roman" w:hAnsi="Times New Roman" w:cs="Times New Roman"/>
          <w:sz w:val="24"/>
          <w:szCs w:val="24"/>
        </w:rPr>
        <w:t xml:space="preserve">, O. V., Oluwajuwon, T. V., Abisoye, T. R., &amp; Atanda, T. A. (2020). Socio-economic characteristics and level of awareness and perception on reducing emissions from deforestation and forest degradation </w:t>
      </w:r>
      <w:proofErr w:type="spellStart"/>
      <w:r w:rsidRPr="004D4A6E">
        <w:rPr>
          <w:rFonts w:ascii="Times New Roman" w:eastAsia="Times New Roman" w:hAnsi="Times New Roman" w:cs="Times New Roman"/>
          <w:sz w:val="24"/>
          <w:szCs w:val="24"/>
        </w:rPr>
        <w:t>programme</w:t>
      </w:r>
      <w:proofErr w:type="spellEnd"/>
      <w:r w:rsidRPr="004D4A6E">
        <w:rPr>
          <w:rFonts w:ascii="Times New Roman" w:eastAsia="Times New Roman" w:hAnsi="Times New Roman" w:cs="Times New Roman"/>
          <w:sz w:val="24"/>
          <w:szCs w:val="24"/>
        </w:rPr>
        <w:t xml:space="preserve"> (REDD+) by rural communities in Akure Forest Reserve, Nigeria. </w:t>
      </w:r>
      <w:r w:rsidRPr="004D4A6E">
        <w:rPr>
          <w:rFonts w:ascii="Times New Roman" w:eastAsia="Times New Roman" w:hAnsi="Times New Roman" w:cs="Times New Roman"/>
          <w:i/>
          <w:iCs/>
          <w:sz w:val="24"/>
          <w:szCs w:val="24"/>
        </w:rPr>
        <w:t>Journal of Applied Sciences and Environmental Management, 24</w:t>
      </w:r>
      <w:r w:rsidRPr="004D4A6E">
        <w:rPr>
          <w:rFonts w:ascii="Times New Roman" w:eastAsia="Times New Roman" w:hAnsi="Times New Roman" w:cs="Times New Roman"/>
          <w:sz w:val="24"/>
          <w:szCs w:val="24"/>
        </w:rPr>
        <w:t xml:space="preserve">(11), 1909–1915. </w:t>
      </w:r>
      <w:hyperlink r:id="rId12" w:history="1">
        <w:r w:rsidRPr="004D4A6E">
          <w:rPr>
            <w:rFonts w:ascii="Times New Roman" w:eastAsia="Times New Roman" w:hAnsi="Times New Roman" w:cs="Times New Roman"/>
            <w:color w:val="0000FF"/>
            <w:sz w:val="24"/>
            <w:szCs w:val="24"/>
            <w:u w:val="single"/>
          </w:rPr>
          <w:t>https://doi.org/10.4314/jasem.v24i11.10</w:t>
        </w:r>
      </w:hyperlink>
    </w:p>
    <w:p w14:paraId="2EAFF328"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4D4A6E">
        <w:rPr>
          <w:rFonts w:ascii="Times New Roman" w:eastAsia="Times New Roman" w:hAnsi="Times New Roman" w:cs="Times New Roman"/>
          <w:sz w:val="24"/>
          <w:szCs w:val="24"/>
        </w:rPr>
        <w:t>Akeh</w:t>
      </w:r>
      <w:proofErr w:type="spellEnd"/>
      <w:r w:rsidRPr="004D4A6E">
        <w:rPr>
          <w:rFonts w:ascii="Times New Roman" w:eastAsia="Times New Roman" w:hAnsi="Times New Roman" w:cs="Times New Roman"/>
          <w:sz w:val="24"/>
          <w:szCs w:val="24"/>
        </w:rPr>
        <w:t xml:space="preserve">, G. I., Adamu, B. M., Adamu, H., &amp; Ade, S. M. (2023). Determinants of household fuelwood consumption in public residential estates in Maiduguri, Borno State, Nigeria. </w:t>
      </w:r>
      <w:r w:rsidRPr="004D4A6E">
        <w:rPr>
          <w:rFonts w:ascii="Times New Roman" w:eastAsia="Times New Roman" w:hAnsi="Times New Roman" w:cs="Times New Roman"/>
          <w:i/>
          <w:iCs/>
          <w:sz w:val="24"/>
          <w:szCs w:val="24"/>
        </w:rPr>
        <w:t>Journal of Geography, Environment and Earth Science International, 27</w:t>
      </w:r>
      <w:r w:rsidRPr="004D4A6E">
        <w:rPr>
          <w:rFonts w:ascii="Times New Roman" w:eastAsia="Times New Roman" w:hAnsi="Times New Roman" w:cs="Times New Roman"/>
          <w:sz w:val="24"/>
          <w:szCs w:val="24"/>
        </w:rPr>
        <w:t xml:space="preserve">(5), 1–11. </w:t>
      </w:r>
      <w:hyperlink r:id="rId13" w:history="1">
        <w:r w:rsidRPr="004D4A6E">
          <w:rPr>
            <w:rFonts w:ascii="Times New Roman" w:eastAsia="Times New Roman" w:hAnsi="Times New Roman" w:cs="Times New Roman"/>
            <w:color w:val="0000FF"/>
            <w:sz w:val="24"/>
            <w:szCs w:val="24"/>
            <w:u w:val="single"/>
          </w:rPr>
          <w:t>https://doi.org/10.9734/jgeesi/2023/v27i5682</w:t>
        </w:r>
      </w:hyperlink>
    </w:p>
    <w:p w14:paraId="2F101555"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Akomolafe, G. F., &amp; </w:t>
      </w:r>
      <w:proofErr w:type="spellStart"/>
      <w:r w:rsidRPr="004D4A6E">
        <w:rPr>
          <w:rFonts w:ascii="Times New Roman" w:eastAsia="Times New Roman" w:hAnsi="Times New Roman" w:cs="Times New Roman"/>
          <w:sz w:val="24"/>
          <w:szCs w:val="24"/>
        </w:rPr>
        <w:t>Anumeh</w:t>
      </w:r>
      <w:proofErr w:type="spellEnd"/>
      <w:r w:rsidRPr="004D4A6E">
        <w:rPr>
          <w:rFonts w:ascii="Times New Roman" w:eastAsia="Times New Roman" w:hAnsi="Times New Roman" w:cs="Times New Roman"/>
          <w:sz w:val="24"/>
          <w:szCs w:val="24"/>
        </w:rPr>
        <w:t xml:space="preserve">, A. (2025). Land use changes and vegetation health assessment of </w:t>
      </w:r>
      <w:proofErr w:type="spellStart"/>
      <w:r w:rsidRPr="004D4A6E">
        <w:rPr>
          <w:rFonts w:ascii="Times New Roman" w:eastAsia="Times New Roman" w:hAnsi="Times New Roman" w:cs="Times New Roman"/>
          <w:sz w:val="24"/>
          <w:szCs w:val="24"/>
        </w:rPr>
        <w:t>Ngel</w:t>
      </w:r>
      <w:proofErr w:type="spellEnd"/>
      <w:r w:rsidRPr="004D4A6E">
        <w:rPr>
          <w:rFonts w:ascii="Times New Roman" w:eastAsia="Times New Roman" w:hAnsi="Times New Roman" w:cs="Times New Roman"/>
          <w:sz w:val="24"/>
          <w:szCs w:val="24"/>
        </w:rPr>
        <w:t xml:space="preserve"> </w:t>
      </w:r>
      <w:proofErr w:type="spellStart"/>
      <w:r w:rsidRPr="004D4A6E">
        <w:rPr>
          <w:rFonts w:ascii="Times New Roman" w:eastAsia="Times New Roman" w:hAnsi="Times New Roman" w:cs="Times New Roman"/>
          <w:sz w:val="24"/>
          <w:szCs w:val="24"/>
        </w:rPr>
        <w:t>Nyaki</w:t>
      </w:r>
      <w:proofErr w:type="spellEnd"/>
      <w:r w:rsidRPr="004D4A6E">
        <w:rPr>
          <w:rFonts w:ascii="Times New Roman" w:eastAsia="Times New Roman" w:hAnsi="Times New Roman" w:cs="Times New Roman"/>
          <w:sz w:val="24"/>
          <w:szCs w:val="24"/>
        </w:rPr>
        <w:t xml:space="preserve"> Forest Reserve, Taraba State, Nigeria. </w:t>
      </w:r>
      <w:r w:rsidRPr="004D4A6E">
        <w:rPr>
          <w:rFonts w:ascii="Times New Roman" w:eastAsia="Times New Roman" w:hAnsi="Times New Roman" w:cs="Times New Roman"/>
          <w:i/>
          <w:iCs/>
          <w:sz w:val="24"/>
          <w:szCs w:val="24"/>
        </w:rPr>
        <w:t>FUDMA Journal of Sciences, 9</w:t>
      </w:r>
      <w:r w:rsidRPr="004D4A6E">
        <w:rPr>
          <w:rFonts w:ascii="Times New Roman" w:eastAsia="Times New Roman" w:hAnsi="Times New Roman" w:cs="Times New Roman"/>
          <w:sz w:val="24"/>
          <w:szCs w:val="24"/>
        </w:rPr>
        <w:t xml:space="preserve">(6), 149–163. </w:t>
      </w:r>
      <w:hyperlink r:id="rId14" w:history="1">
        <w:r w:rsidRPr="004D4A6E">
          <w:rPr>
            <w:rFonts w:ascii="Times New Roman" w:eastAsia="Times New Roman" w:hAnsi="Times New Roman" w:cs="Times New Roman"/>
            <w:color w:val="0000FF"/>
            <w:sz w:val="24"/>
            <w:szCs w:val="24"/>
            <w:u w:val="single"/>
          </w:rPr>
          <w:t>https://doi.org/10.33003/fjs-2025-0906-3617</w:t>
        </w:r>
      </w:hyperlink>
    </w:p>
    <w:p w14:paraId="170F2284"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Alage, I. L., Tan, Y., Akande, A. W., &amp; </w:t>
      </w:r>
      <w:proofErr w:type="spellStart"/>
      <w:r w:rsidRPr="004D4A6E">
        <w:rPr>
          <w:rFonts w:ascii="Times New Roman" w:eastAsia="Times New Roman" w:hAnsi="Times New Roman" w:cs="Times New Roman"/>
          <w:sz w:val="24"/>
          <w:szCs w:val="24"/>
        </w:rPr>
        <w:t>Suprijanto</w:t>
      </w:r>
      <w:proofErr w:type="spellEnd"/>
      <w:r w:rsidRPr="004D4A6E">
        <w:rPr>
          <w:rFonts w:ascii="Times New Roman" w:eastAsia="Times New Roman" w:hAnsi="Times New Roman" w:cs="Times New Roman"/>
          <w:sz w:val="24"/>
          <w:szCs w:val="24"/>
        </w:rPr>
        <w:t xml:space="preserve">, A. (2025). Advanced characterization of deforestation frontiers in Nigeria utilizing deep learning and Bayesian approaches with </w:t>
      </w:r>
      <w:r w:rsidRPr="004D4A6E">
        <w:rPr>
          <w:rFonts w:ascii="Times New Roman" w:eastAsia="Times New Roman" w:hAnsi="Times New Roman" w:cs="Times New Roman"/>
          <w:sz w:val="24"/>
          <w:szCs w:val="24"/>
        </w:rPr>
        <w:lastRenderedPageBreak/>
        <w:t xml:space="preserve">Sentinel-1 SAR imagery. </w:t>
      </w:r>
      <w:proofErr w:type="spellStart"/>
      <w:r w:rsidRPr="004D4A6E">
        <w:rPr>
          <w:rFonts w:ascii="Times New Roman" w:eastAsia="Times New Roman" w:hAnsi="Times New Roman" w:cs="Times New Roman"/>
          <w:i/>
          <w:iCs/>
          <w:sz w:val="24"/>
          <w:szCs w:val="24"/>
        </w:rPr>
        <w:t>Geocarto</w:t>
      </w:r>
      <w:proofErr w:type="spellEnd"/>
      <w:r w:rsidRPr="004D4A6E">
        <w:rPr>
          <w:rFonts w:ascii="Times New Roman" w:eastAsia="Times New Roman" w:hAnsi="Times New Roman" w:cs="Times New Roman"/>
          <w:i/>
          <w:iCs/>
          <w:sz w:val="24"/>
          <w:szCs w:val="24"/>
        </w:rPr>
        <w:t xml:space="preserve"> International, 40</w:t>
      </w:r>
      <w:r w:rsidRPr="004D4A6E">
        <w:rPr>
          <w:rFonts w:ascii="Times New Roman" w:eastAsia="Times New Roman" w:hAnsi="Times New Roman" w:cs="Times New Roman"/>
          <w:sz w:val="24"/>
          <w:szCs w:val="24"/>
        </w:rPr>
        <w:t xml:space="preserve">(1), Article 2451164. </w:t>
      </w:r>
      <w:hyperlink r:id="rId15" w:history="1">
        <w:r w:rsidRPr="004D4A6E">
          <w:rPr>
            <w:rFonts w:ascii="Times New Roman" w:eastAsia="Times New Roman" w:hAnsi="Times New Roman" w:cs="Times New Roman"/>
            <w:color w:val="0000FF"/>
            <w:sz w:val="24"/>
            <w:szCs w:val="24"/>
            <w:u w:val="single"/>
          </w:rPr>
          <w:t>https://doi.org/10.1080/10106049.2025.2451164</w:t>
        </w:r>
      </w:hyperlink>
    </w:p>
    <w:p w14:paraId="3AABE41E" w14:textId="54F97154"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Scoones, I. (2022). What is environmental degradation, what are its causes, and how to respond? IDS Working Paper 577. Institute of Development Studies. </w:t>
      </w:r>
      <w:hyperlink r:id="rId16" w:history="1">
        <w:r w:rsidRPr="004D4A6E">
          <w:rPr>
            <w:rFonts w:ascii="Times New Roman" w:eastAsia="Times New Roman" w:hAnsi="Times New Roman" w:cs="Times New Roman"/>
            <w:color w:val="0000FF"/>
            <w:sz w:val="24"/>
            <w:szCs w:val="24"/>
            <w:u w:val="single"/>
          </w:rPr>
          <w:t>https://doi.org/10.19088/IDS.2022.065</w:t>
        </w:r>
      </w:hyperlink>
    </w:p>
    <w:p w14:paraId="6F5B1548"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Assis, T. O., Aguiar, A. P. D., von Randow, C., &amp; Nobre, C. A. (2022). Projections of future forest degradation and CO₂ emissions for the Brazilian Amazon. </w:t>
      </w:r>
      <w:r w:rsidRPr="004D4A6E">
        <w:rPr>
          <w:rFonts w:ascii="Times New Roman" w:eastAsia="Times New Roman" w:hAnsi="Times New Roman" w:cs="Times New Roman"/>
          <w:i/>
          <w:iCs/>
          <w:sz w:val="24"/>
          <w:szCs w:val="24"/>
        </w:rPr>
        <w:t>Science Advances, 8</w:t>
      </w:r>
      <w:r w:rsidRPr="004D4A6E">
        <w:rPr>
          <w:rFonts w:ascii="Times New Roman" w:eastAsia="Times New Roman" w:hAnsi="Times New Roman" w:cs="Times New Roman"/>
          <w:sz w:val="24"/>
          <w:szCs w:val="24"/>
        </w:rPr>
        <w:t xml:space="preserve">(24), Article eabj3309. </w:t>
      </w:r>
      <w:hyperlink r:id="rId17" w:history="1">
        <w:r w:rsidRPr="004D4A6E">
          <w:rPr>
            <w:rFonts w:ascii="Times New Roman" w:eastAsia="Times New Roman" w:hAnsi="Times New Roman" w:cs="Times New Roman"/>
            <w:color w:val="0000FF"/>
            <w:sz w:val="24"/>
            <w:szCs w:val="24"/>
            <w:u w:val="single"/>
          </w:rPr>
          <w:t>https://doi.org/10.1126/sciadv.abj3309</w:t>
        </w:r>
      </w:hyperlink>
    </w:p>
    <w:p w14:paraId="144C68D0"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Bailis, R., Drigo, R., Ghilardi, A., &amp; </w:t>
      </w:r>
      <w:proofErr w:type="spellStart"/>
      <w:r w:rsidRPr="004D4A6E">
        <w:rPr>
          <w:rFonts w:ascii="Times New Roman" w:eastAsia="Times New Roman" w:hAnsi="Times New Roman" w:cs="Times New Roman"/>
          <w:sz w:val="24"/>
          <w:szCs w:val="24"/>
        </w:rPr>
        <w:t>Masera</w:t>
      </w:r>
      <w:proofErr w:type="spellEnd"/>
      <w:r w:rsidRPr="004D4A6E">
        <w:rPr>
          <w:rFonts w:ascii="Times New Roman" w:eastAsia="Times New Roman" w:hAnsi="Times New Roman" w:cs="Times New Roman"/>
          <w:sz w:val="24"/>
          <w:szCs w:val="24"/>
        </w:rPr>
        <w:t xml:space="preserve">, O. (2015). The carbon footprint of traditional </w:t>
      </w:r>
      <w:proofErr w:type="spellStart"/>
      <w:r w:rsidRPr="004D4A6E">
        <w:rPr>
          <w:rFonts w:ascii="Times New Roman" w:eastAsia="Times New Roman" w:hAnsi="Times New Roman" w:cs="Times New Roman"/>
          <w:sz w:val="24"/>
          <w:szCs w:val="24"/>
        </w:rPr>
        <w:t>woodfuels</w:t>
      </w:r>
      <w:proofErr w:type="spellEnd"/>
      <w:r w:rsidRPr="004D4A6E">
        <w:rPr>
          <w:rFonts w:ascii="Times New Roman" w:eastAsia="Times New Roman" w:hAnsi="Times New Roman" w:cs="Times New Roman"/>
          <w:sz w:val="24"/>
          <w:szCs w:val="24"/>
        </w:rPr>
        <w:t xml:space="preserve">. </w:t>
      </w:r>
      <w:r w:rsidRPr="004D4A6E">
        <w:rPr>
          <w:rFonts w:ascii="Times New Roman" w:eastAsia="Times New Roman" w:hAnsi="Times New Roman" w:cs="Times New Roman"/>
          <w:i/>
          <w:iCs/>
          <w:sz w:val="24"/>
          <w:szCs w:val="24"/>
        </w:rPr>
        <w:t>Nature Climate Change, 5</w:t>
      </w:r>
      <w:r w:rsidRPr="004D4A6E">
        <w:rPr>
          <w:rFonts w:ascii="Times New Roman" w:eastAsia="Times New Roman" w:hAnsi="Times New Roman" w:cs="Times New Roman"/>
          <w:sz w:val="24"/>
          <w:szCs w:val="24"/>
        </w:rPr>
        <w:t xml:space="preserve">(3), 266–272. </w:t>
      </w:r>
      <w:hyperlink r:id="rId18" w:history="1">
        <w:r w:rsidRPr="004D4A6E">
          <w:rPr>
            <w:rFonts w:ascii="Times New Roman" w:eastAsia="Times New Roman" w:hAnsi="Times New Roman" w:cs="Times New Roman"/>
            <w:color w:val="0000FF"/>
            <w:sz w:val="24"/>
            <w:szCs w:val="24"/>
            <w:u w:val="single"/>
          </w:rPr>
          <w:t>https://doi.org/10.1038/nclimate2491</w:t>
        </w:r>
      </w:hyperlink>
    </w:p>
    <w:p w14:paraId="525DBE91"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Barreto, A. C., Martins, T., &amp; Souza, A. M. (2025). Modeling deforestation drivers in the Brazilian Amazon: A comparison of quantitative approaches. </w:t>
      </w:r>
      <w:r w:rsidRPr="004D4A6E">
        <w:rPr>
          <w:rFonts w:ascii="Times New Roman" w:eastAsia="Times New Roman" w:hAnsi="Times New Roman" w:cs="Times New Roman"/>
          <w:i/>
          <w:iCs/>
          <w:sz w:val="24"/>
          <w:szCs w:val="24"/>
        </w:rPr>
        <w:t>Big Earth Data, 9</w:t>
      </w:r>
      <w:r w:rsidRPr="004D4A6E">
        <w:rPr>
          <w:rFonts w:ascii="Times New Roman" w:eastAsia="Times New Roman" w:hAnsi="Times New Roman" w:cs="Times New Roman"/>
          <w:sz w:val="24"/>
          <w:szCs w:val="24"/>
        </w:rPr>
        <w:t xml:space="preserve">(4), 1023–1057. </w:t>
      </w:r>
      <w:hyperlink r:id="rId19" w:history="1">
        <w:r w:rsidRPr="004D4A6E">
          <w:rPr>
            <w:rFonts w:ascii="Times New Roman" w:eastAsia="Times New Roman" w:hAnsi="Times New Roman" w:cs="Times New Roman"/>
            <w:color w:val="0000FF"/>
            <w:sz w:val="24"/>
            <w:szCs w:val="24"/>
            <w:u w:val="single"/>
          </w:rPr>
          <w:t>https://doi.org/10.1080/20964471.2025.2510770</w:t>
        </w:r>
      </w:hyperlink>
    </w:p>
    <w:p w14:paraId="716493B2"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Bauer, S., Lancaster, L. T., &amp; Zimmermann, N. E. (2025). Towards a sustainable energy transition. </w:t>
      </w:r>
      <w:r w:rsidRPr="004D4A6E">
        <w:rPr>
          <w:rFonts w:ascii="Times New Roman" w:eastAsia="Times New Roman" w:hAnsi="Times New Roman" w:cs="Times New Roman"/>
          <w:i/>
          <w:iCs/>
          <w:sz w:val="24"/>
          <w:szCs w:val="24"/>
        </w:rPr>
        <w:t>Journal of Applied Ecology, 62</w:t>
      </w:r>
      <w:r w:rsidRPr="004D4A6E">
        <w:rPr>
          <w:rFonts w:ascii="Times New Roman" w:eastAsia="Times New Roman" w:hAnsi="Times New Roman" w:cs="Times New Roman"/>
          <w:sz w:val="24"/>
          <w:szCs w:val="24"/>
        </w:rPr>
        <w:t xml:space="preserve">(7), 1570–1578. </w:t>
      </w:r>
      <w:hyperlink r:id="rId20" w:history="1">
        <w:r w:rsidRPr="004D4A6E">
          <w:rPr>
            <w:rFonts w:ascii="Times New Roman" w:eastAsia="Times New Roman" w:hAnsi="Times New Roman" w:cs="Times New Roman"/>
            <w:color w:val="0000FF"/>
            <w:sz w:val="24"/>
            <w:szCs w:val="24"/>
            <w:u w:val="single"/>
          </w:rPr>
          <w:t>https://doi.org/10.1111/1365-2664.70075</w:t>
        </w:r>
      </w:hyperlink>
    </w:p>
    <w:p w14:paraId="3A82F765"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4D4A6E">
        <w:rPr>
          <w:rFonts w:ascii="Times New Roman" w:eastAsia="Times New Roman" w:hAnsi="Times New Roman" w:cs="Times New Roman"/>
          <w:sz w:val="24"/>
          <w:szCs w:val="24"/>
        </w:rPr>
        <w:t>Birnintsaba</w:t>
      </w:r>
      <w:proofErr w:type="spellEnd"/>
      <w:r w:rsidRPr="004D4A6E">
        <w:rPr>
          <w:rFonts w:ascii="Times New Roman" w:eastAsia="Times New Roman" w:hAnsi="Times New Roman" w:cs="Times New Roman"/>
          <w:sz w:val="24"/>
          <w:szCs w:val="24"/>
        </w:rPr>
        <w:t xml:space="preserve">, D. A.-B., </w:t>
      </w:r>
      <w:proofErr w:type="spellStart"/>
      <w:r w:rsidRPr="004D4A6E">
        <w:rPr>
          <w:rFonts w:ascii="Times New Roman" w:eastAsia="Times New Roman" w:hAnsi="Times New Roman" w:cs="Times New Roman"/>
          <w:sz w:val="24"/>
          <w:szCs w:val="24"/>
        </w:rPr>
        <w:t>Ozdeser</w:t>
      </w:r>
      <w:proofErr w:type="spellEnd"/>
      <w:r w:rsidRPr="004D4A6E">
        <w:rPr>
          <w:rFonts w:ascii="Times New Roman" w:eastAsia="Times New Roman" w:hAnsi="Times New Roman" w:cs="Times New Roman"/>
          <w:sz w:val="24"/>
          <w:szCs w:val="24"/>
        </w:rPr>
        <w:t xml:space="preserve">, H., &amp; </w:t>
      </w:r>
      <w:proofErr w:type="spellStart"/>
      <w:r w:rsidRPr="004D4A6E">
        <w:rPr>
          <w:rFonts w:ascii="Times New Roman" w:eastAsia="Times New Roman" w:hAnsi="Times New Roman" w:cs="Times New Roman"/>
          <w:sz w:val="24"/>
          <w:szCs w:val="24"/>
        </w:rPr>
        <w:t>Saliminezhad</w:t>
      </w:r>
      <w:proofErr w:type="spellEnd"/>
      <w:r w:rsidRPr="004D4A6E">
        <w:rPr>
          <w:rFonts w:ascii="Times New Roman" w:eastAsia="Times New Roman" w:hAnsi="Times New Roman" w:cs="Times New Roman"/>
          <w:sz w:val="24"/>
          <w:szCs w:val="24"/>
        </w:rPr>
        <w:t xml:space="preserve">, A. (2021). Impact analysis on the effective synergy between climate change, ecological degradation and energy consumption on economic growth in Nigeria. </w:t>
      </w:r>
      <w:r w:rsidRPr="004D4A6E">
        <w:rPr>
          <w:rFonts w:ascii="Times New Roman" w:eastAsia="Times New Roman" w:hAnsi="Times New Roman" w:cs="Times New Roman"/>
          <w:i/>
          <w:iCs/>
          <w:sz w:val="24"/>
          <w:szCs w:val="24"/>
        </w:rPr>
        <w:t>SAGE Open, 11</w:t>
      </w:r>
      <w:r w:rsidRPr="004D4A6E">
        <w:rPr>
          <w:rFonts w:ascii="Times New Roman" w:eastAsia="Times New Roman" w:hAnsi="Times New Roman" w:cs="Times New Roman"/>
          <w:sz w:val="24"/>
          <w:szCs w:val="24"/>
        </w:rPr>
        <w:t xml:space="preserve">(4), 1–15. </w:t>
      </w:r>
      <w:hyperlink r:id="rId21" w:history="1">
        <w:r w:rsidRPr="004D4A6E">
          <w:rPr>
            <w:rFonts w:ascii="Times New Roman" w:eastAsia="Times New Roman" w:hAnsi="Times New Roman" w:cs="Times New Roman"/>
            <w:color w:val="0000FF"/>
            <w:sz w:val="24"/>
            <w:szCs w:val="24"/>
            <w:u w:val="single"/>
          </w:rPr>
          <w:t>https://doi.org/10.1177/21582440211061361</w:t>
        </w:r>
      </w:hyperlink>
    </w:p>
    <w:p w14:paraId="4D59AE8A"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Bologna, M., &amp; Aquino, G. (2020). Deforestation and world population sustainability: A quantitative analysis. </w:t>
      </w:r>
      <w:r w:rsidRPr="004D4A6E">
        <w:rPr>
          <w:rFonts w:ascii="Times New Roman" w:eastAsia="Times New Roman" w:hAnsi="Times New Roman" w:cs="Times New Roman"/>
          <w:i/>
          <w:iCs/>
          <w:sz w:val="24"/>
          <w:szCs w:val="24"/>
        </w:rPr>
        <w:t>Scientific Reports, 10</w:t>
      </w:r>
      <w:r w:rsidRPr="004D4A6E">
        <w:rPr>
          <w:rFonts w:ascii="Times New Roman" w:eastAsia="Times New Roman" w:hAnsi="Times New Roman" w:cs="Times New Roman"/>
          <w:sz w:val="24"/>
          <w:szCs w:val="24"/>
        </w:rPr>
        <w:t xml:space="preserve">(1), Article 7631. </w:t>
      </w:r>
      <w:hyperlink r:id="rId22" w:history="1">
        <w:r w:rsidRPr="004D4A6E">
          <w:rPr>
            <w:rFonts w:ascii="Times New Roman" w:eastAsia="Times New Roman" w:hAnsi="Times New Roman" w:cs="Times New Roman"/>
            <w:color w:val="0000FF"/>
            <w:sz w:val="24"/>
            <w:szCs w:val="24"/>
            <w:u w:val="single"/>
          </w:rPr>
          <w:t>https://doi.org/10.1038/s41598-020-63657-6</w:t>
        </w:r>
      </w:hyperlink>
    </w:p>
    <w:p w14:paraId="0489BD9A"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Carr, J. A., Barau, A. S., Jew, E. K. K., Kirshner, J. D., Marchant, R. A., Salisu, A. T., Petrokofsky, G., Tomei, J., &amp; Stringer, L. C. (2025). A methodological framework for assessing development solutions: Application to wood fuel challenges in Nigeria. </w:t>
      </w:r>
      <w:r w:rsidRPr="004D4A6E">
        <w:rPr>
          <w:rFonts w:ascii="Times New Roman" w:eastAsia="Times New Roman" w:hAnsi="Times New Roman" w:cs="Times New Roman"/>
          <w:i/>
          <w:iCs/>
          <w:sz w:val="24"/>
          <w:szCs w:val="24"/>
        </w:rPr>
        <w:t>Scientific Reports, 15</w:t>
      </w:r>
      <w:r w:rsidRPr="004D4A6E">
        <w:rPr>
          <w:rFonts w:ascii="Times New Roman" w:eastAsia="Times New Roman" w:hAnsi="Times New Roman" w:cs="Times New Roman"/>
          <w:sz w:val="24"/>
          <w:szCs w:val="24"/>
        </w:rPr>
        <w:t xml:space="preserve">, Article 13072. </w:t>
      </w:r>
      <w:hyperlink r:id="rId23" w:history="1">
        <w:r w:rsidRPr="004D4A6E">
          <w:rPr>
            <w:rFonts w:ascii="Times New Roman" w:eastAsia="Times New Roman" w:hAnsi="Times New Roman" w:cs="Times New Roman"/>
            <w:color w:val="0000FF"/>
            <w:sz w:val="24"/>
            <w:szCs w:val="24"/>
            <w:u w:val="single"/>
          </w:rPr>
          <w:t>https://doi.org/10.1038/s41598-025-97815-5</w:t>
        </w:r>
      </w:hyperlink>
    </w:p>
    <w:p w14:paraId="333B6BC7"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4D4A6E">
        <w:rPr>
          <w:rFonts w:ascii="Times New Roman" w:eastAsia="Times New Roman" w:hAnsi="Times New Roman" w:cs="Times New Roman"/>
          <w:sz w:val="24"/>
          <w:szCs w:val="24"/>
        </w:rPr>
        <w:t>Chidumayo</w:t>
      </w:r>
      <w:proofErr w:type="spellEnd"/>
      <w:r w:rsidRPr="004D4A6E">
        <w:rPr>
          <w:rFonts w:ascii="Times New Roman" w:eastAsia="Times New Roman" w:hAnsi="Times New Roman" w:cs="Times New Roman"/>
          <w:sz w:val="24"/>
          <w:szCs w:val="24"/>
        </w:rPr>
        <w:t xml:space="preserve">, E. N., &amp; Gumbo, D. J. (2013). The environmental impacts of charcoal production in tropical ecosystems of the world: A synthesis. </w:t>
      </w:r>
      <w:r w:rsidRPr="004D4A6E">
        <w:rPr>
          <w:rFonts w:ascii="Times New Roman" w:eastAsia="Times New Roman" w:hAnsi="Times New Roman" w:cs="Times New Roman"/>
          <w:i/>
          <w:iCs/>
          <w:sz w:val="24"/>
          <w:szCs w:val="24"/>
        </w:rPr>
        <w:t>Energy for Sustainable Development, 17</w:t>
      </w:r>
      <w:r w:rsidRPr="004D4A6E">
        <w:rPr>
          <w:rFonts w:ascii="Times New Roman" w:eastAsia="Times New Roman" w:hAnsi="Times New Roman" w:cs="Times New Roman"/>
          <w:sz w:val="24"/>
          <w:szCs w:val="24"/>
        </w:rPr>
        <w:t xml:space="preserve">(2), 86–94. </w:t>
      </w:r>
      <w:hyperlink r:id="rId24" w:history="1">
        <w:r w:rsidRPr="004D4A6E">
          <w:rPr>
            <w:rFonts w:ascii="Times New Roman" w:eastAsia="Times New Roman" w:hAnsi="Times New Roman" w:cs="Times New Roman"/>
            <w:color w:val="0000FF"/>
            <w:sz w:val="24"/>
            <w:szCs w:val="24"/>
            <w:u w:val="single"/>
          </w:rPr>
          <w:t>https://doi.org/10.1016/j.esd.2012.07.004</w:t>
        </w:r>
      </w:hyperlink>
    </w:p>
    <w:p w14:paraId="09A278EE" w14:textId="01DF64DA"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Choudhary, M. P., Chauhan, G. S., &amp; </w:t>
      </w:r>
      <w:proofErr w:type="spellStart"/>
      <w:r w:rsidRPr="004D4A6E">
        <w:rPr>
          <w:rFonts w:ascii="Times New Roman" w:eastAsia="Times New Roman" w:hAnsi="Times New Roman" w:cs="Times New Roman"/>
          <w:sz w:val="24"/>
          <w:szCs w:val="24"/>
        </w:rPr>
        <w:t>Kushwah</w:t>
      </w:r>
      <w:proofErr w:type="spellEnd"/>
      <w:r w:rsidRPr="004D4A6E">
        <w:rPr>
          <w:rFonts w:ascii="Times New Roman" w:eastAsia="Times New Roman" w:hAnsi="Times New Roman" w:cs="Times New Roman"/>
          <w:sz w:val="24"/>
          <w:szCs w:val="24"/>
        </w:rPr>
        <w:t xml:space="preserve">, Y. K. (2015). Environmental degradation: Causes, impacts and mitigation. In </w:t>
      </w:r>
      <w:r w:rsidRPr="004D4A6E">
        <w:rPr>
          <w:rFonts w:ascii="Times New Roman" w:eastAsia="Times New Roman" w:hAnsi="Times New Roman" w:cs="Times New Roman"/>
          <w:i/>
          <w:iCs/>
          <w:sz w:val="24"/>
          <w:szCs w:val="24"/>
        </w:rPr>
        <w:t>National Seminar on Recent Advancements in Protection of Environment and Its Management Issues</w:t>
      </w:r>
      <w:r w:rsidRPr="004D4A6E">
        <w:rPr>
          <w:rFonts w:ascii="Times New Roman" w:eastAsia="Times New Roman" w:hAnsi="Times New Roman" w:cs="Times New Roman"/>
          <w:sz w:val="24"/>
          <w:szCs w:val="24"/>
        </w:rPr>
        <w:t xml:space="preserve">. </w:t>
      </w:r>
    </w:p>
    <w:p w14:paraId="3905E873"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lang w:val="nl-BE"/>
        </w:rPr>
      </w:pPr>
      <w:r w:rsidRPr="004D4A6E">
        <w:rPr>
          <w:rFonts w:ascii="Times New Roman" w:eastAsia="Times New Roman" w:hAnsi="Times New Roman" w:cs="Times New Roman"/>
          <w:sz w:val="24"/>
          <w:szCs w:val="24"/>
        </w:rPr>
        <w:t xml:space="preserve">Cline-Cole, R. A., Falola, J. A., Main, H. A. C., Mortimore, M. J., Nichol, J. E., &amp; O’Reilly, F. D. (1990). On fuelwood consumption, population dynamics and deforestation in Africa. </w:t>
      </w:r>
      <w:r w:rsidRPr="004D4A6E">
        <w:rPr>
          <w:rFonts w:ascii="Times New Roman" w:eastAsia="Times New Roman" w:hAnsi="Times New Roman" w:cs="Times New Roman"/>
          <w:i/>
          <w:iCs/>
          <w:sz w:val="24"/>
          <w:szCs w:val="24"/>
        </w:rPr>
        <w:t>World Development, 18</w:t>
      </w:r>
      <w:r w:rsidRPr="004D4A6E">
        <w:rPr>
          <w:rFonts w:ascii="Times New Roman" w:eastAsia="Times New Roman" w:hAnsi="Times New Roman" w:cs="Times New Roman"/>
          <w:sz w:val="24"/>
          <w:szCs w:val="24"/>
        </w:rPr>
        <w:t xml:space="preserve">(4), 513–527. </w:t>
      </w:r>
      <w:hyperlink r:id="rId25" w:history="1">
        <w:r w:rsidRPr="004D4A6E">
          <w:rPr>
            <w:rFonts w:ascii="Times New Roman" w:eastAsia="Times New Roman" w:hAnsi="Times New Roman" w:cs="Times New Roman"/>
            <w:color w:val="0000FF"/>
            <w:sz w:val="24"/>
            <w:szCs w:val="24"/>
            <w:u w:val="single"/>
            <w:lang w:val="nl-BE"/>
          </w:rPr>
          <w:t>https://doi.org/10.1016/0305-750X(90)90068-9</w:t>
        </w:r>
      </w:hyperlink>
    </w:p>
    <w:p w14:paraId="32B36124"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lang w:val="nl-BE"/>
        </w:rPr>
        <w:t xml:space="preserve">Cooke, P., Köhlin, G., &amp; Hyde, W. F. (2008). </w:t>
      </w:r>
      <w:r w:rsidRPr="004D4A6E">
        <w:rPr>
          <w:rFonts w:ascii="Times New Roman" w:eastAsia="Times New Roman" w:hAnsi="Times New Roman" w:cs="Times New Roman"/>
          <w:sz w:val="24"/>
          <w:szCs w:val="24"/>
        </w:rPr>
        <w:t xml:space="preserve">Fuelwood, forests and community management: Evidence from household studies. </w:t>
      </w:r>
      <w:r w:rsidRPr="004D4A6E">
        <w:rPr>
          <w:rFonts w:ascii="Times New Roman" w:eastAsia="Times New Roman" w:hAnsi="Times New Roman" w:cs="Times New Roman"/>
          <w:i/>
          <w:iCs/>
          <w:sz w:val="24"/>
          <w:szCs w:val="24"/>
        </w:rPr>
        <w:t>Environment and Development Economics, 13</w:t>
      </w:r>
      <w:r w:rsidRPr="004D4A6E">
        <w:rPr>
          <w:rFonts w:ascii="Times New Roman" w:eastAsia="Times New Roman" w:hAnsi="Times New Roman" w:cs="Times New Roman"/>
          <w:sz w:val="24"/>
          <w:szCs w:val="24"/>
        </w:rPr>
        <w:t xml:space="preserve">(1), 103–135. </w:t>
      </w:r>
      <w:hyperlink r:id="rId26" w:history="1">
        <w:r w:rsidRPr="004D4A6E">
          <w:rPr>
            <w:rFonts w:ascii="Times New Roman" w:eastAsia="Times New Roman" w:hAnsi="Times New Roman" w:cs="Times New Roman"/>
            <w:color w:val="0000FF"/>
            <w:sz w:val="24"/>
            <w:szCs w:val="24"/>
            <w:u w:val="single"/>
          </w:rPr>
          <w:t>https://doi.org/10.1017/S1355770X0700397X</w:t>
        </w:r>
      </w:hyperlink>
    </w:p>
    <w:p w14:paraId="26A261FE"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lastRenderedPageBreak/>
        <w:t xml:space="preserve">Du, Y., Gao, G., Ma, X., Xu, S., &amp; Fu, B. (2025). Amazon Basin shows reduced forest loss but increased forest spatial fragmentation in 1992–2020. </w:t>
      </w:r>
      <w:r w:rsidRPr="004D4A6E">
        <w:rPr>
          <w:rFonts w:ascii="Times New Roman" w:eastAsia="Times New Roman" w:hAnsi="Times New Roman" w:cs="Times New Roman"/>
          <w:i/>
          <w:iCs/>
          <w:sz w:val="24"/>
          <w:szCs w:val="24"/>
        </w:rPr>
        <w:t>Science of the Total Environment, 990</w:t>
      </w:r>
      <w:r w:rsidRPr="004D4A6E">
        <w:rPr>
          <w:rFonts w:ascii="Times New Roman" w:eastAsia="Times New Roman" w:hAnsi="Times New Roman" w:cs="Times New Roman"/>
          <w:sz w:val="24"/>
          <w:szCs w:val="24"/>
        </w:rPr>
        <w:t xml:space="preserve">, Article 179917. </w:t>
      </w:r>
      <w:hyperlink r:id="rId27" w:history="1">
        <w:r w:rsidRPr="004D4A6E">
          <w:rPr>
            <w:rFonts w:ascii="Times New Roman" w:eastAsia="Times New Roman" w:hAnsi="Times New Roman" w:cs="Times New Roman"/>
            <w:color w:val="0000FF"/>
            <w:sz w:val="24"/>
            <w:szCs w:val="24"/>
            <w:u w:val="single"/>
          </w:rPr>
          <w:t>https://doi.org/10.1016/j.scitotenv.2025.179917</w:t>
        </w:r>
      </w:hyperlink>
    </w:p>
    <w:p w14:paraId="3E9624CA"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Epe, A. N. (2001). Could fuelwood use contribute to household poverty in Nigeria? </w:t>
      </w:r>
      <w:r w:rsidRPr="004D4A6E">
        <w:rPr>
          <w:rFonts w:ascii="Times New Roman" w:eastAsia="Times New Roman" w:hAnsi="Times New Roman" w:cs="Times New Roman"/>
          <w:i/>
          <w:iCs/>
          <w:sz w:val="24"/>
          <w:szCs w:val="24"/>
        </w:rPr>
        <w:t>Biomass and Bioenergy, 21</w:t>
      </w:r>
      <w:r w:rsidRPr="004D4A6E">
        <w:rPr>
          <w:rFonts w:ascii="Times New Roman" w:eastAsia="Times New Roman" w:hAnsi="Times New Roman" w:cs="Times New Roman"/>
          <w:sz w:val="24"/>
          <w:szCs w:val="24"/>
        </w:rPr>
        <w:t xml:space="preserve">(3), 205–210. </w:t>
      </w:r>
      <w:hyperlink r:id="rId28" w:history="1">
        <w:r w:rsidRPr="004D4A6E">
          <w:rPr>
            <w:rFonts w:ascii="Times New Roman" w:eastAsia="Times New Roman" w:hAnsi="Times New Roman" w:cs="Times New Roman"/>
            <w:color w:val="0000FF"/>
            <w:sz w:val="24"/>
            <w:szCs w:val="24"/>
            <w:u w:val="single"/>
          </w:rPr>
          <w:t>https://doi.org/10.1016/S0961-9534(01)00029-0</w:t>
        </w:r>
      </w:hyperlink>
    </w:p>
    <w:p w14:paraId="210E3938"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Food and Agriculture Organization of the United Nations. (2020). </w:t>
      </w:r>
      <w:r w:rsidRPr="004D4A6E">
        <w:rPr>
          <w:rFonts w:ascii="Times New Roman" w:eastAsia="Times New Roman" w:hAnsi="Times New Roman" w:cs="Times New Roman"/>
          <w:i/>
          <w:iCs/>
          <w:sz w:val="24"/>
          <w:szCs w:val="24"/>
        </w:rPr>
        <w:t>Global forest resources assessment 2020: Main report</w:t>
      </w:r>
      <w:r w:rsidRPr="004D4A6E">
        <w:rPr>
          <w:rFonts w:ascii="Times New Roman" w:eastAsia="Times New Roman" w:hAnsi="Times New Roman" w:cs="Times New Roman"/>
          <w:sz w:val="24"/>
          <w:szCs w:val="24"/>
        </w:rPr>
        <w:t xml:space="preserve">. FAO. </w:t>
      </w:r>
      <w:hyperlink r:id="rId29" w:history="1">
        <w:r w:rsidRPr="004D4A6E">
          <w:rPr>
            <w:rFonts w:ascii="Times New Roman" w:eastAsia="Times New Roman" w:hAnsi="Times New Roman" w:cs="Times New Roman"/>
            <w:color w:val="0000FF"/>
            <w:sz w:val="24"/>
            <w:szCs w:val="24"/>
            <w:u w:val="single"/>
          </w:rPr>
          <w:t>https://doi.org/10.4060/ca9825en</w:t>
        </w:r>
      </w:hyperlink>
    </w:p>
    <w:p w14:paraId="39B5D909"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Gonçalves, R. F., &amp; Silva, A. L. (2024). Predicting the pulse of the Amazon: Machine learning insights into deforestation dynamics. </w:t>
      </w:r>
      <w:r w:rsidRPr="004D4A6E">
        <w:rPr>
          <w:rFonts w:ascii="Times New Roman" w:eastAsia="Times New Roman" w:hAnsi="Times New Roman" w:cs="Times New Roman"/>
          <w:i/>
          <w:iCs/>
          <w:sz w:val="24"/>
          <w:szCs w:val="24"/>
        </w:rPr>
        <w:t>Journal of Environmental Management, 362</w:t>
      </w:r>
      <w:r w:rsidRPr="004D4A6E">
        <w:rPr>
          <w:rFonts w:ascii="Times New Roman" w:eastAsia="Times New Roman" w:hAnsi="Times New Roman" w:cs="Times New Roman"/>
          <w:sz w:val="24"/>
          <w:szCs w:val="24"/>
        </w:rPr>
        <w:t xml:space="preserve">, Article 121359. </w:t>
      </w:r>
      <w:hyperlink r:id="rId30" w:history="1">
        <w:r w:rsidRPr="004D4A6E">
          <w:rPr>
            <w:rFonts w:ascii="Times New Roman" w:eastAsia="Times New Roman" w:hAnsi="Times New Roman" w:cs="Times New Roman"/>
            <w:color w:val="0000FF"/>
            <w:sz w:val="24"/>
            <w:szCs w:val="24"/>
            <w:u w:val="single"/>
          </w:rPr>
          <w:t>https://doi.org/10.1016/j.jenvman.2024.121359</w:t>
        </w:r>
      </w:hyperlink>
    </w:p>
    <w:p w14:paraId="1053F0E2"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Hasnat, A., Sajjad, A., Usmani, M. A., Rehman, A. A., &amp; Bi, S. (2022). Environmental degradation: Its causes, effects and restoration. </w:t>
      </w:r>
      <w:r w:rsidRPr="004D4A6E">
        <w:rPr>
          <w:rFonts w:ascii="Times New Roman" w:eastAsia="Times New Roman" w:hAnsi="Times New Roman" w:cs="Times New Roman"/>
          <w:i/>
          <w:iCs/>
          <w:sz w:val="24"/>
          <w:szCs w:val="24"/>
        </w:rPr>
        <w:t>International Journal of Food and Nutritional Sciences, 11</w:t>
      </w:r>
      <w:r w:rsidRPr="004D4A6E">
        <w:rPr>
          <w:rFonts w:ascii="Times New Roman" w:eastAsia="Times New Roman" w:hAnsi="Times New Roman" w:cs="Times New Roman"/>
          <w:sz w:val="24"/>
          <w:szCs w:val="24"/>
        </w:rPr>
        <w:t xml:space="preserve">(Special Issue 1), 1494. </w:t>
      </w:r>
      <w:hyperlink r:id="rId31" w:history="1">
        <w:r w:rsidRPr="004D4A6E">
          <w:rPr>
            <w:rFonts w:ascii="Times New Roman" w:eastAsia="Times New Roman" w:hAnsi="Times New Roman" w:cs="Times New Roman"/>
            <w:color w:val="0000FF"/>
            <w:sz w:val="24"/>
            <w:szCs w:val="24"/>
            <w:u w:val="single"/>
          </w:rPr>
          <w:t>https://www.ijfans.org/issue-content/environmental-degradation-its-causes-effects-and-restoration-853</w:t>
        </w:r>
      </w:hyperlink>
    </w:p>
    <w:p w14:paraId="7F4CD3EE"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Heltberg, R. (2004). Fuel switching: Evidence from eight developing countries. </w:t>
      </w:r>
      <w:r w:rsidRPr="004D4A6E">
        <w:rPr>
          <w:rFonts w:ascii="Times New Roman" w:eastAsia="Times New Roman" w:hAnsi="Times New Roman" w:cs="Times New Roman"/>
          <w:i/>
          <w:iCs/>
          <w:sz w:val="24"/>
          <w:szCs w:val="24"/>
        </w:rPr>
        <w:t>Energy Economics, 26</w:t>
      </w:r>
      <w:r w:rsidRPr="004D4A6E">
        <w:rPr>
          <w:rFonts w:ascii="Times New Roman" w:eastAsia="Times New Roman" w:hAnsi="Times New Roman" w:cs="Times New Roman"/>
          <w:sz w:val="24"/>
          <w:szCs w:val="24"/>
        </w:rPr>
        <w:t xml:space="preserve">(5), 869–887. </w:t>
      </w:r>
      <w:hyperlink r:id="rId32" w:history="1">
        <w:r w:rsidRPr="004D4A6E">
          <w:rPr>
            <w:rFonts w:ascii="Times New Roman" w:eastAsia="Times New Roman" w:hAnsi="Times New Roman" w:cs="Times New Roman"/>
            <w:color w:val="0000FF"/>
            <w:sz w:val="24"/>
            <w:szCs w:val="24"/>
            <w:u w:val="single"/>
          </w:rPr>
          <w:t>https://doi.org/10.1016/j.eneco.2004.04.018</w:t>
        </w:r>
      </w:hyperlink>
    </w:p>
    <w:p w14:paraId="416B5CC1" w14:textId="27B8F348"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4D4A6E">
        <w:rPr>
          <w:rFonts w:ascii="Times New Roman" w:eastAsia="Times New Roman" w:hAnsi="Times New Roman" w:cs="Times New Roman"/>
          <w:sz w:val="24"/>
          <w:szCs w:val="24"/>
        </w:rPr>
        <w:t>Baiyegunhi</w:t>
      </w:r>
      <w:proofErr w:type="spellEnd"/>
      <w:r w:rsidRPr="004D4A6E">
        <w:rPr>
          <w:rFonts w:ascii="Times New Roman" w:eastAsia="Times New Roman" w:hAnsi="Times New Roman" w:cs="Times New Roman"/>
          <w:sz w:val="24"/>
          <w:szCs w:val="24"/>
        </w:rPr>
        <w:t xml:space="preserve">, L. J. S., &amp; Hassan, M. B. (2014). Rural household fuel energy transition: Evidence from Giwa LGA Kaduna State, Nigeria. </w:t>
      </w:r>
      <w:r w:rsidRPr="004D4A6E">
        <w:rPr>
          <w:rFonts w:ascii="Times New Roman" w:eastAsia="Times New Roman" w:hAnsi="Times New Roman" w:cs="Times New Roman"/>
          <w:i/>
          <w:iCs/>
          <w:sz w:val="24"/>
          <w:szCs w:val="24"/>
        </w:rPr>
        <w:t>Energy for Sustainable Development, 20</w:t>
      </w:r>
      <w:r w:rsidRPr="004D4A6E">
        <w:rPr>
          <w:rFonts w:ascii="Times New Roman" w:eastAsia="Times New Roman" w:hAnsi="Times New Roman" w:cs="Times New Roman"/>
          <w:sz w:val="24"/>
          <w:szCs w:val="24"/>
        </w:rPr>
        <w:t xml:space="preserve">, 30–35. </w:t>
      </w:r>
      <w:hyperlink r:id="rId33" w:history="1">
        <w:r w:rsidRPr="004D4A6E">
          <w:rPr>
            <w:rFonts w:ascii="Times New Roman" w:eastAsia="Times New Roman" w:hAnsi="Times New Roman" w:cs="Times New Roman"/>
            <w:color w:val="0000FF"/>
            <w:sz w:val="24"/>
            <w:szCs w:val="24"/>
            <w:u w:val="single"/>
          </w:rPr>
          <w:t>https://doi.org/10.1016/j.esd.2014.02.003</w:t>
        </w:r>
      </w:hyperlink>
      <w:r w:rsidRPr="004D4A6E">
        <w:rPr>
          <w:rFonts w:ascii="Times New Roman" w:eastAsia="Times New Roman" w:hAnsi="Times New Roman" w:cs="Times New Roman"/>
          <w:sz w:val="24"/>
          <w:szCs w:val="24"/>
        </w:rPr>
        <w:t xml:space="preserve"> </w:t>
      </w:r>
    </w:p>
    <w:p w14:paraId="4ED2255D"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lang w:val="nl-BE"/>
        </w:rPr>
        <w:t xml:space="preserve">Hiemstra-van der Horst, G., &amp; Hovorka, A. J. (2009). </w:t>
      </w:r>
      <w:r w:rsidRPr="004D4A6E">
        <w:rPr>
          <w:rFonts w:ascii="Times New Roman" w:eastAsia="Times New Roman" w:hAnsi="Times New Roman" w:cs="Times New Roman"/>
          <w:sz w:val="24"/>
          <w:szCs w:val="24"/>
        </w:rPr>
        <w:t xml:space="preserve">Fuelwood: The “other” renewable energy source for Africa? </w:t>
      </w:r>
      <w:r w:rsidRPr="004D4A6E">
        <w:rPr>
          <w:rFonts w:ascii="Times New Roman" w:eastAsia="Times New Roman" w:hAnsi="Times New Roman" w:cs="Times New Roman"/>
          <w:i/>
          <w:iCs/>
          <w:sz w:val="24"/>
          <w:szCs w:val="24"/>
        </w:rPr>
        <w:t>Biomass and Bioenergy, 33</w:t>
      </w:r>
      <w:r w:rsidRPr="004D4A6E">
        <w:rPr>
          <w:rFonts w:ascii="Times New Roman" w:eastAsia="Times New Roman" w:hAnsi="Times New Roman" w:cs="Times New Roman"/>
          <w:sz w:val="24"/>
          <w:szCs w:val="24"/>
        </w:rPr>
        <w:t xml:space="preserve">(11), 1605–1616. </w:t>
      </w:r>
      <w:hyperlink r:id="rId34" w:history="1">
        <w:r w:rsidRPr="004D4A6E">
          <w:rPr>
            <w:rFonts w:ascii="Times New Roman" w:eastAsia="Times New Roman" w:hAnsi="Times New Roman" w:cs="Times New Roman"/>
            <w:color w:val="0000FF"/>
            <w:sz w:val="24"/>
            <w:szCs w:val="24"/>
            <w:u w:val="single"/>
          </w:rPr>
          <w:t>https://doi.org/10.1016/j.biombioe.2009.08.007</w:t>
        </w:r>
      </w:hyperlink>
    </w:p>
    <w:p w14:paraId="6EF04509"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International Energy Agency. (2023). </w:t>
      </w:r>
      <w:r w:rsidRPr="004D4A6E">
        <w:rPr>
          <w:rFonts w:ascii="Times New Roman" w:eastAsia="Times New Roman" w:hAnsi="Times New Roman" w:cs="Times New Roman"/>
          <w:i/>
          <w:iCs/>
          <w:sz w:val="24"/>
          <w:szCs w:val="24"/>
        </w:rPr>
        <w:t>World energy outlook 2023</w:t>
      </w:r>
      <w:r w:rsidRPr="004D4A6E">
        <w:rPr>
          <w:rFonts w:ascii="Times New Roman" w:eastAsia="Times New Roman" w:hAnsi="Times New Roman" w:cs="Times New Roman"/>
          <w:sz w:val="24"/>
          <w:szCs w:val="24"/>
        </w:rPr>
        <w:t xml:space="preserve">. IEA. </w:t>
      </w:r>
      <w:hyperlink r:id="rId35" w:history="1">
        <w:r w:rsidRPr="004D4A6E">
          <w:rPr>
            <w:rFonts w:ascii="Times New Roman" w:eastAsia="Times New Roman" w:hAnsi="Times New Roman" w:cs="Times New Roman"/>
            <w:color w:val="0000FF"/>
            <w:sz w:val="24"/>
            <w:szCs w:val="24"/>
            <w:u w:val="single"/>
          </w:rPr>
          <w:t>https://www.iea.org/reports/world-energy-outlook-2023</w:t>
        </w:r>
      </w:hyperlink>
    </w:p>
    <w:p w14:paraId="12956BD3"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Intergovernmental Panel on Climate Change. (2021). </w:t>
      </w:r>
      <w:r w:rsidRPr="004D4A6E">
        <w:rPr>
          <w:rFonts w:ascii="Times New Roman" w:eastAsia="Times New Roman" w:hAnsi="Times New Roman" w:cs="Times New Roman"/>
          <w:i/>
          <w:iCs/>
          <w:sz w:val="24"/>
          <w:szCs w:val="24"/>
        </w:rPr>
        <w:t>Climate change 2021: The physical science basis</w:t>
      </w:r>
      <w:r w:rsidRPr="004D4A6E">
        <w:rPr>
          <w:rFonts w:ascii="Times New Roman" w:eastAsia="Times New Roman" w:hAnsi="Times New Roman" w:cs="Times New Roman"/>
          <w:sz w:val="24"/>
          <w:szCs w:val="24"/>
        </w:rPr>
        <w:t xml:space="preserve">. Cambridge University Press. </w:t>
      </w:r>
      <w:hyperlink r:id="rId36" w:history="1">
        <w:r w:rsidRPr="004D4A6E">
          <w:rPr>
            <w:rFonts w:ascii="Times New Roman" w:eastAsia="Times New Roman" w:hAnsi="Times New Roman" w:cs="Times New Roman"/>
            <w:color w:val="0000FF"/>
            <w:sz w:val="24"/>
            <w:szCs w:val="24"/>
            <w:u w:val="single"/>
          </w:rPr>
          <w:t>https://doi.org/10.1017/9781009157896</w:t>
        </w:r>
      </w:hyperlink>
    </w:p>
    <w:p w14:paraId="09563361"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International Renewable Energy Agency. (2023). </w:t>
      </w:r>
      <w:r w:rsidRPr="004D4A6E">
        <w:rPr>
          <w:rFonts w:ascii="Times New Roman" w:eastAsia="Times New Roman" w:hAnsi="Times New Roman" w:cs="Times New Roman"/>
          <w:i/>
          <w:iCs/>
          <w:sz w:val="24"/>
          <w:szCs w:val="24"/>
        </w:rPr>
        <w:t>Renewable energy roadmap: Nigeria</w:t>
      </w:r>
      <w:r w:rsidRPr="004D4A6E">
        <w:rPr>
          <w:rFonts w:ascii="Times New Roman" w:eastAsia="Times New Roman" w:hAnsi="Times New Roman" w:cs="Times New Roman"/>
          <w:sz w:val="24"/>
          <w:szCs w:val="24"/>
        </w:rPr>
        <w:t xml:space="preserve">. International Renewable Energy Agency. </w:t>
      </w:r>
      <w:hyperlink r:id="rId37" w:history="1">
        <w:r w:rsidRPr="004D4A6E">
          <w:rPr>
            <w:rFonts w:ascii="Times New Roman" w:eastAsia="Times New Roman" w:hAnsi="Times New Roman" w:cs="Times New Roman"/>
            <w:color w:val="0000FF"/>
            <w:sz w:val="24"/>
            <w:szCs w:val="24"/>
            <w:u w:val="single"/>
          </w:rPr>
          <w:t>https://www.irena.org/Publications/2023/Jan/Renewable-Energy-Roadmap-Nigeria</w:t>
        </w:r>
      </w:hyperlink>
    </w:p>
    <w:p w14:paraId="4AFDCCC8"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Joseph, Y. A. C., Ioron, B., </w:t>
      </w:r>
      <w:proofErr w:type="spellStart"/>
      <w:r w:rsidRPr="004D4A6E">
        <w:rPr>
          <w:rFonts w:ascii="Times New Roman" w:eastAsia="Times New Roman" w:hAnsi="Times New Roman" w:cs="Times New Roman"/>
          <w:sz w:val="24"/>
          <w:szCs w:val="24"/>
        </w:rPr>
        <w:t>Kohol</w:t>
      </w:r>
      <w:proofErr w:type="spellEnd"/>
      <w:r w:rsidRPr="004D4A6E">
        <w:rPr>
          <w:rFonts w:ascii="Times New Roman" w:eastAsia="Times New Roman" w:hAnsi="Times New Roman" w:cs="Times New Roman"/>
          <w:sz w:val="24"/>
          <w:szCs w:val="24"/>
        </w:rPr>
        <w:t xml:space="preserve">, N. O., &amp; </w:t>
      </w:r>
      <w:proofErr w:type="spellStart"/>
      <w:r w:rsidRPr="004D4A6E">
        <w:rPr>
          <w:rFonts w:ascii="Times New Roman" w:eastAsia="Times New Roman" w:hAnsi="Times New Roman" w:cs="Times New Roman"/>
          <w:sz w:val="24"/>
          <w:szCs w:val="24"/>
        </w:rPr>
        <w:t>Adamgbe</w:t>
      </w:r>
      <w:proofErr w:type="spellEnd"/>
      <w:r w:rsidRPr="004D4A6E">
        <w:rPr>
          <w:rFonts w:ascii="Times New Roman" w:eastAsia="Times New Roman" w:hAnsi="Times New Roman" w:cs="Times New Roman"/>
          <w:sz w:val="24"/>
          <w:szCs w:val="24"/>
        </w:rPr>
        <w:t xml:space="preserve">, T. B. (2025). Detection of human induced land use and land cover change in Nagi Forest Reserve in Gwer-West Local Government Area of Benue State, Nigeria. </w:t>
      </w:r>
      <w:r w:rsidRPr="004D4A6E">
        <w:rPr>
          <w:rFonts w:ascii="Times New Roman" w:eastAsia="Times New Roman" w:hAnsi="Times New Roman" w:cs="Times New Roman"/>
          <w:i/>
          <w:iCs/>
          <w:sz w:val="24"/>
          <w:szCs w:val="24"/>
        </w:rPr>
        <w:t>American Journal of Geospatial Technology, 4</w:t>
      </w:r>
      <w:r w:rsidRPr="004D4A6E">
        <w:rPr>
          <w:rFonts w:ascii="Times New Roman" w:eastAsia="Times New Roman" w:hAnsi="Times New Roman" w:cs="Times New Roman"/>
          <w:sz w:val="24"/>
          <w:szCs w:val="24"/>
        </w:rPr>
        <w:t xml:space="preserve">(1), 1–15. </w:t>
      </w:r>
      <w:hyperlink r:id="rId38" w:history="1">
        <w:r w:rsidRPr="004D4A6E">
          <w:rPr>
            <w:rFonts w:ascii="Times New Roman" w:eastAsia="Times New Roman" w:hAnsi="Times New Roman" w:cs="Times New Roman"/>
            <w:color w:val="0000FF"/>
            <w:sz w:val="24"/>
            <w:szCs w:val="24"/>
            <w:u w:val="single"/>
          </w:rPr>
          <w:t>https://doi.org/10.54536/ajgt.v4i1.3688</w:t>
        </w:r>
      </w:hyperlink>
    </w:p>
    <w:p w14:paraId="05A5E582" w14:textId="4A16B094"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Leach, G., &amp; Mearns, R. (1988). </w:t>
      </w:r>
      <w:r w:rsidRPr="004D4A6E">
        <w:rPr>
          <w:rFonts w:ascii="Times New Roman" w:eastAsia="Times New Roman" w:hAnsi="Times New Roman" w:cs="Times New Roman"/>
          <w:i/>
          <w:iCs/>
          <w:sz w:val="24"/>
          <w:szCs w:val="24"/>
        </w:rPr>
        <w:t>Beyond the fuelwood crisis: People, land and trees in Africa</w:t>
      </w:r>
      <w:r w:rsidRPr="004D4A6E">
        <w:rPr>
          <w:rFonts w:ascii="Times New Roman" w:eastAsia="Times New Roman" w:hAnsi="Times New Roman" w:cs="Times New Roman"/>
          <w:sz w:val="24"/>
          <w:szCs w:val="24"/>
        </w:rPr>
        <w:t xml:space="preserve">. Earthscan. </w:t>
      </w:r>
    </w:p>
    <w:p w14:paraId="48625F54"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lastRenderedPageBreak/>
        <w:t xml:space="preserve">Lewis, J. J., &amp; </w:t>
      </w:r>
      <w:proofErr w:type="spellStart"/>
      <w:r w:rsidRPr="004D4A6E">
        <w:rPr>
          <w:rFonts w:ascii="Times New Roman" w:eastAsia="Times New Roman" w:hAnsi="Times New Roman" w:cs="Times New Roman"/>
          <w:sz w:val="24"/>
          <w:szCs w:val="24"/>
        </w:rPr>
        <w:t>Pattanayak</w:t>
      </w:r>
      <w:proofErr w:type="spellEnd"/>
      <w:r w:rsidRPr="004D4A6E">
        <w:rPr>
          <w:rFonts w:ascii="Times New Roman" w:eastAsia="Times New Roman" w:hAnsi="Times New Roman" w:cs="Times New Roman"/>
          <w:sz w:val="24"/>
          <w:szCs w:val="24"/>
        </w:rPr>
        <w:t xml:space="preserve">, S. K. (2012). Who adopts improved fuels and cookstoves? A systematic review. </w:t>
      </w:r>
      <w:r w:rsidRPr="004D4A6E">
        <w:rPr>
          <w:rFonts w:ascii="Times New Roman" w:eastAsia="Times New Roman" w:hAnsi="Times New Roman" w:cs="Times New Roman"/>
          <w:i/>
          <w:iCs/>
          <w:sz w:val="24"/>
          <w:szCs w:val="24"/>
        </w:rPr>
        <w:t>Environmental Health Perspectives, 120</w:t>
      </w:r>
      <w:r w:rsidRPr="004D4A6E">
        <w:rPr>
          <w:rFonts w:ascii="Times New Roman" w:eastAsia="Times New Roman" w:hAnsi="Times New Roman" w:cs="Times New Roman"/>
          <w:sz w:val="24"/>
          <w:szCs w:val="24"/>
        </w:rPr>
        <w:t xml:space="preserve">(5), 637–645. </w:t>
      </w:r>
      <w:hyperlink r:id="rId39" w:history="1">
        <w:r w:rsidRPr="004D4A6E">
          <w:rPr>
            <w:rFonts w:ascii="Times New Roman" w:eastAsia="Times New Roman" w:hAnsi="Times New Roman" w:cs="Times New Roman"/>
            <w:color w:val="0000FF"/>
            <w:sz w:val="24"/>
            <w:szCs w:val="24"/>
            <w:u w:val="single"/>
          </w:rPr>
          <w:t>https://doi.org/10.1289/ehp.1104194</w:t>
        </w:r>
      </w:hyperlink>
    </w:p>
    <w:p w14:paraId="00EFEEB7" w14:textId="0162E5CE"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Lugard, F. D. (1917). </w:t>
      </w:r>
      <w:r w:rsidRPr="004D4A6E">
        <w:rPr>
          <w:rFonts w:ascii="Times New Roman" w:eastAsia="Times New Roman" w:hAnsi="Times New Roman" w:cs="Times New Roman"/>
          <w:i/>
          <w:iCs/>
          <w:sz w:val="24"/>
          <w:szCs w:val="24"/>
        </w:rPr>
        <w:t>Policy on forest reservation in Nigeria: Policy statement</w:t>
      </w:r>
      <w:r w:rsidRPr="004D4A6E">
        <w:rPr>
          <w:rFonts w:ascii="Times New Roman" w:eastAsia="Times New Roman" w:hAnsi="Times New Roman" w:cs="Times New Roman"/>
          <w:sz w:val="24"/>
          <w:szCs w:val="24"/>
        </w:rPr>
        <w:t>. Colonial Office, Nigeria.</w:t>
      </w:r>
    </w:p>
    <w:p w14:paraId="0FA583C0"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Main, H. A. C. (1993). Forestry policies and </w:t>
      </w:r>
      <w:proofErr w:type="spellStart"/>
      <w:r w:rsidRPr="004D4A6E">
        <w:rPr>
          <w:rFonts w:ascii="Times New Roman" w:eastAsia="Times New Roman" w:hAnsi="Times New Roman" w:cs="Times New Roman"/>
          <w:sz w:val="24"/>
          <w:szCs w:val="24"/>
        </w:rPr>
        <w:t>programmes</w:t>
      </w:r>
      <w:proofErr w:type="spellEnd"/>
      <w:r w:rsidRPr="004D4A6E">
        <w:rPr>
          <w:rFonts w:ascii="Times New Roman" w:eastAsia="Times New Roman" w:hAnsi="Times New Roman" w:cs="Times New Roman"/>
          <w:sz w:val="24"/>
          <w:szCs w:val="24"/>
        </w:rPr>
        <w:t xml:space="preserve"> for fuelwood supply in Northern Nigeria. </w:t>
      </w:r>
      <w:r w:rsidRPr="004D4A6E">
        <w:rPr>
          <w:rFonts w:ascii="Times New Roman" w:eastAsia="Times New Roman" w:hAnsi="Times New Roman" w:cs="Times New Roman"/>
          <w:i/>
          <w:iCs/>
          <w:sz w:val="24"/>
          <w:szCs w:val="24"/>
        </w:rPr>
        <w:t>Land Use Policy, 10</w:t>
      </w:r>
      <w:r w:rsidRPr="004D4A6E">
        <w:rPr>
          <w:rFonts w:ascii="Times New Roman" w:eastAsia="Times New Roman" w:hAnsi="Times New Roman" w:cs="Times New Roman"/>
          <w:sz w:val="24"/>
          <w:szCs w:val="24"/>
        </w:rPr>
        <w:t xml:space="preserve">(1), 26–43. </w:t>
      </w:r>
      <w:hyperlink r:id="rId40" w:history="1">
        <w:r w:rsidRPr="004D4A6E">
          <w:rPr>
            <w:rFonts w:ascii="Times New Roman" w:eastAsia="Times New Roman" w:hAnsi="Times New Roman" w:cs="Times New Roman"/>
            <w:color w:val="0000FF"/>
            <w:sz w:val="24"/>
            <w:szCs w:val="24"/>
            <w:u w:val="single"/>
          </w:rPr>
          <w:t>https://doi.org/10.1016/0264-8377(93)90028-9</w:t>
        </w:r>
      </w:hyperlink>
    </w:p>
    <w:p w14:paraId="5BBC291A" w14:textId="06630525"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4D4A6E">
        <w:rPr>
          <w:rFonts w:ascii="Times New Roman" w:eastAsia="Times New Roman" w:hAnsi="Times New Roman" w:cs="Times New Roman"/>
          <w:sz w:val="24"/>
          <w:szCs w:val="24"/>
        </w:rPr>
        <w:t>Matinga</w:t>
      </w:r>
      <w:proofErr w:type="spellEnd"/>
      <w:r w:rsidRPr="004D4A6E">
        <w:rPr>
          <w:rFonts w:ascii="Times New Roman" w:eastAsia="Times New Roman" w:hAnsi="Times New Roman" w:cs="Times New Roman"/>
          <w:sz w:val="24"/>
          <w:szCs w:val="24"/>
        </w:rPr>
        <w:t xml:space="preserve">, M. N. (2010). </w:t>
      </w:r>
      <w:r w:rsidRPr="004D4A6E">
        <w:rPr>
          <w:rFonts w:ascii="Times New Roman" w:eastAsia="Times New Roman" w:hAnsi="Times New Roman" w:cs="Times New Roman"/>
          <w:i/>
          <w:iCs/>
          <w:sz w:val="24"/>
          <w:szCs w:val="24"/>
        </w:rPr>
        <w:t>“We grow up with it”: An ethnographic study of the experiences, perceptions and responses to the health impacts of energy acquisition and use in rural South Africa</w:t>
      </w:r>
      <w:r w:rsidRPr="004D4A6E">
        <w:rPr>
          <w:rFonts w:ascii="Times New Roman" w:eastAsia="Times New Roman" w:hAnsi="Times New Roman" w:cs="Times New Roman"/>
          <w:sz w:val="24"/>
          <w:szCs w:val="24"/>
        </w:rPr>
        <w:t xml:space="preserve"> [Doctoral dissertation, University of Twente]. </w:t>
      </w:r>
      <w:hyperlink r:id="rId41" w:history="1">
        <w:r w:rsidRPr="004D4A6E">
          <w:rPr>
            <w:rFonts w:ascii="Times New Roman" w:eastAsia="Times New Roman" w:hAnsi="Times New Roman" w:cs="Times New Roman"/>
            <w:color w:val="0000FF"/>
            <w:sz w:val="24"/>
            <w:szCs w:val="24"/>
            <w:u w:val="single"/>
          </w:rPr>
          <w:t>https://doi.org/10.3990/1.9789036530965</w:t>
        </w:r>
      </w:hyperlink>
      <w:r w:rsidRPr="004D4A6E">
        <w:rPr>
          <w:rFonts w:ascii="Times New Roman" w:eastAsia="Times New Roman" w:hAnsi="Times New Roman" w:cs="Times New Roman"/>
          <w:sz w:val="24"/>
          <w:szCs w:val="24"/>
        </w:rPr>
        <w:t xml:space="preserve"> </w:t>
      </w:r>
    </w:p>
    <w:p w14:paraId="5C81B34E" w14:textId="753B7E23"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lang w:val="nl-BE"/>
        </w:rPr>
        <w:t xml:space="preserve">Ogundele, A. T., Oladipo, M. O., &amp; Adebisi, O. M. (2016). </w:t>
      </w:r>
      <w:r w:rsidRPr="004D4A6E">
        <w:rPr>
          <w:rFonts w:ascii="Times New Roman" w:eastAsia="Times New Roman" w:hAnsi="Times New Roman" w:cs="Times New Roman"/>
          <w:sz w:val="24"/>
          <w:szCs w:val="24"/>
        </w:rPr>
        <w:t xml:space="preserve">Deforestation in Nigeria: The needs for urgent mitigating measures. </w:t>
      </w:r>
      <w:r w:rsidRPr="004D4A6E">
        <w:rPr>
          <w:rFonts w:ascii="Times New Roman" w:eastAsia="Times New Roman" w:hAnsi="Times New Roman" w:cs="Times New Roman"/>
          <w:i/>
          <w:iCs/>
          <w:sz w:val="24"/>
          <w:szCs w:val="24"/>
        </w:rPr>
        <w:t>IIARD International Journal of Geography and Environmental Management, 2</w:t>
      </w:r>
      <w:r w:rsidRPr="004D4A6E">
        <w:rPr>
          <w:rFonts w:ascii="Times New Roman" w:eastAsia="Times New Roman" w:hAnsi="Times New Roman" w:cs="Times New Roman"/>
          <w:sz w:val="24"/>
          <w:szCs w:val="24"/>
        </w:rPr>
        <w:t xml:space="preserve">(1), 15–26. </w:t>
      </w:r>
      <w:hyperlink r:id="rId42" w:history="1">
        <w:r w:rsidRPr="004D4A6E">
          <w:rPr>
            <w:rFonts w:ascii="Times New Roman" w:eastAsia="Times New Roman" w:hAnsi="Times New Roman" w:cs="Times New Roman"/>
            <w:color w:val="0000FF"/>
            <w:sz w:val="24"/>
            <w:szCs w:val="24"/>
            <w:u w:val="single"/>
          </w:rPr>
          <w:t>https://iiardjournals.org/get/IJGEM/VOL.%202%20NO.%201%202016/DEFORESTATION%20IN%20NIGERIA.pdf</w:t>
        </w:r>
      </w:hyperlink>
      <w:r w:rsidRPr="004D4A6E">
        <w:rPr>
          <w:rFonts w:ascii="Times New Roman" w:eastAsia="Times New Roman" w:hAnsi="Times New Roman" w:cs="Times New Roman"/>
          <w:sz w:val="24"/>
          <w:szCs w:val="24"/>
        </w:rPr>
        <w:t xml:space="preserve"> </w:t>
      </w:r>
    </w:p>
    <w:p w14:paraId="76C8AC39"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Mulatu, A. B., Legese, S. A., &amp; Lamore, T. H. (2025). The effects of traditional biomass energy utilization on socio-economic and environmental sustainability development of rural society in Ethiopia. </w:t>
      </w:r>
      <w:r w:rsidRPr="004D4A6E">
        <w:rPr>
          <w:rFonts w:ascii="Times New Roman" w:eastAsia="Times New Roman" w:hAnsi="Times New Roman" w:cs="Times New Roman"/>
          <w:i/>
          <w:iCs/>
          <w:sz w:val="24"/>
          <w:szCs w:val="24"/>
        </w:rPr>
        <w:t>Discover Energy, 5</w:t>
      </w:r>
      <w:r w:rsidRPr="004D4A6E">
        <w:rPr>
          <w:rFonts w:ascii="Times New Roman" w:eastAsia="Times New Roman" w:hAnsi="Times New Roman" w:cs="Times New Roman"/>
          <w:sz w:val="24"/>
          <w:szCs w:val="24"/>
        </w:rPr>
        <w:t xml:space="preserve">, Article 27. </w:t>
      </w:r>
      <w:hyperlink r:id="rId43" w:history="1">
        <w:r w:rsidRPr="004D4A6E">
          <w:rPr>
            <w:rFonts w:ascii="Times New Roman" w:eastAsia="Times New Roman" w:hAnsi="Times New Roman" w:cs="Times New Roman"/>
            <w:color w:val="0000FF"/>
            <w:sz w:val="24"/>
            <w:szCs w:val="24"/>
            <w:u w:val="single"/>
          </w:rPr>
          <w:t>https://doi.org/10.1007/s43937-025-00072-w</w:t>
        </w:r>
      </w:hyperlink>
    </w:p>
    <w:p w14:paraId="0B83EE56"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Nathaniel, S. P., &amp; </w:t>
      </w:r>
      <w:proofErr w:type="spellStart"/>
      <w:r w:rsidRPr="004D4A6E">
        <w:rPr>
          <w:rFonts w:ascii="Times New Roman" w:eastAsia="Times New Roman" w:hAnsi="Times New Roman" w:cs="Times New Roman"/>
          <w:sz w:val="24"/>
          <w:szCs w:val="24"/>
        </w:rPr>
        <w:t>Bekun</w:t>
      </w:r>
      <w:proofErr w:type="spellEnd"/>
      <w:r w:rsidRPr="004D4A6E">
        <w:rPr>
          <w:rFonts w:ascii="Times New Roman" w:eastAsia="Times New Roman" w:hAnsi="Times New Roman" w:cs="Times New Roman"/>
          <w:sz w:val="24"/>
          <w:szCs w:val="24"/>
        </w:rPr>
        <w:t xml:space="preserve">, F. V. (2020). Environmental management amidst energy use, urbanization, trade openness, and deforestation: The Nigerian experience. </w:t>
      </w:r>
      <w:r w:rsidRPr="004D4A6E">
        <w:rPr>
          <w:rFonts w:ascii="Times New Roman" w:eastAsia="Times New Roman" w:hAnsi="Times New Roman" w:cs="Times New Roman"/>
          <w:i/>
          <w:iCs/>
          <w:sz w:val="24"/>
          <w:szCs w:val="24"/>
        </w:rPr>
        <w:t>Journal of Public Affairs, 21</w:t>
      </w:r>
      <w:r w:rsidRPr="004D4A6E">
        <w:rPr>
          <w:rFonts w:ascii="Times New Roman" w:eastAsia="Times New Roman" w:hAnsi="Times New Roman" w:cs="Times New Roman"/>
          <w:sz w:val="24"/>
          <w:szCs w:val="24"/>
        </w:rPr>
        <w:t xml:space="preserve">(1), Article e2037. </w:t>
      </w:r>
      <w:hyperlink r:id="rId44" w:history="1">
        <w:r w:rsidRPr="004D4A6E">
          <w:rPr>
            <w:rFonts w:ascii="Times New Roman" w:eastAsia="Times New Roman" w:hAnsi="Times New Roman" w:cs="Times New Roman"/>
            <w:color w:val="0000FF"/>
            <w:sz w:val="24"/>
            <w:szCs w:val="24"/>
            <w:u w:val="single"/>
          </w:rPr>
          <w:t>https://doi.org/10.1002/pa.2037</w:t>
        </w:r>
      </w:hyperlink>
    </w:p>
    <w:p w14:paraId="5F5B14CF" w14:textId="220CB71C"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4D4A6E">
        <w:rPr>
          <w:rFonts w:ascii="Times New Roman" w:eastAsia="Times New Roman" w:hAnsi="Times New Roman" w:cs="Times New Roman"/>
          <w:sz w:val="24"/>
          <w:szCs w:val="24"/>
        </w:rPr>
        <w:t>Orimoogunje</w:t>
      </w:r>
      <w:proofErr w:type="spellEnd"/>
      <w:r w:rsidRPr="004D4A6E">
        <w:rPr>
          <w:rFonts w:ascii="Times New Roman" w:eastAsia="Times New Roman" w:hAnsi="Times New Roman" w:cs="Times New Roman"/>
          <w:sz w:val="24"/>
          <w:szCs w:val="24"/>
        </w:rPr>
        <w:t xml:space="preserve">, O. O. I., &amp; </w:t>
      </w:r>
      <w:proofErr w:type="spellStart"/>
      <w:r w:rsidRPr="004D4A6E">
        <w:rPr>
          <w:rFonts w:ascii="Times New Roman" w:eastAsia="Times New Roman" w:hAnsi="Times New Roman" w:cs="Times New Roman"/>
          <w:sz w:val="24"/>
          <w:szCs w:val="24"/>
        </w:rPr>
        <w:t>Asifat</w:t>
      </w:r>
      <w:proofErr w:type="spellEnd"/>
      <w:r w:rsidRPr="004D4A6E">
        <w:rPr>
          <w:rFonts w:ascii="Times New Roman" w:eastAsia="Times New Roman" w:hAnsi="Times New Roman" w:cs="Times New Roman"/>
          <w:sz w:val="24"/>
          <w:szCs w:val="24"/>
        </w:rPr>
        <w:t xml:space="preserve">, J. A. (2015). Fuel wood consumption and species degradation in South-Western Nigeria: The ecological relevance. Journal of Landscape Ecology, 8(1), 56–68. </w:t>
      </w:r>
      <w:hyperlink r:id="rId45" w:history="1">
        <w:r w:rsidRPr="004D4A6E">
          <w:rPr>
            <w:rFonts w:ascii="Times New Roman" w:eastAsia="Times New Roman" w:hAnsi="Times New Roman" w:cs="Times New Roman"/>
            <w:color w:val="0000FF"/>
            <w:sz w:val="24"/>
            <w:szCs w:val="24"/>
            <w:u w:val="single"/>
          </w:rPr>
          <w:t>https://doi.org/10.1515/jlecol-2015-0004</w:t>
        </w:r>
      </w:hyperlink>
    </w:p>
    <w:p w14:paraId="443A328C" w14:textId="4109C013"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4D4A6E">
        <w:rPr>
          <w:rFonts w:ascii="Times New Roman" w:eastAsia="Times New Roman" w:hAnsi="Times New Roman" w:cs="Times New Roman"/>
          <w:sz w:val="24"/>
          <w:szCs w:val="24"/>
        </w:rPr>
        <w:t>Orimoogunje</w:t>
      </w:r>
      <w:proofErr w:type="spellEnd"/>
      <w:r w:rsidRPr="004D4A6E">
        <w:rPr>
          <w:rFonts w:ascii="Times New Roman" w:eastAsia="Times New Roman" w:hAnsi="Times New Roman" w:cs="Times New Roman"/>
          <w:sz w:val="24"/>
          <w:szCs w:val="24"/>
        </w:rPr>
        <w:t xml:space="preserve">, O. O. I., &amp; </w:t>
      </w:r>
      <w:proofErr w:type="spellStart"/>
      <w:r w:rsidRPr="004D4A6E">
        <w:rPr>
          <w:rFonts w:ascii="Times New Roman" w:eastAsia="Times New Roman" w:hAnsi="Times New Roman" w:cs="Times New Roman"/>
          <w:sz w:val="24"/>
          <w:szCs w:val="24"/>
        </w:rPr>
        <w:t>Asifat</w:t>
      </w:r>
      <w:proofErr w:type="spellEnd"/>
      <w:r w:rsidRPr="004D4A6E">
        <w:rPr>
          <w:rFonts w:ascii="Times New Roman" w:eastAsia="Times New Roman" w:hAnsi="Times New Roman" w:cs="Times New Roman"/>
          <w:sz w:val="24"/>
          <w:szCs w:val="24"/>
        </w:rPr>
        <w:t xml:space="preserve">, J. A. (2015). Fuel wood consumption and species degradation in South-Western Nigeria: The ecological relevance. Journal of Landscape Ecology, 8(1), 56–68. </w:t>
      </w:r>
      <w:hyperlink r:id="rId46" w:history="1">
        <w:r w:rsidRPr="004D4A6E">
          <w:rPr>
            <w:rFonts w:ascii="Times New Roman" w:eastAsia="Times New Roman" w:hAnsi="Times New Roman" w:cs="Times New Roman"/>
            <w:color w:val="0000FF"/>
            <w:sz w:val="24"/>
            <w:szCs w:val="24"/>
            <w:u w:val="single"/>
          </w:rPr>
          <w:t>https://doi.org/10.1515/jlecol-2015-0004</w:t>
        </w:r>
      </w:hyperlink>
    </w:p>
    <w:p w14:paraId="07B20D8A"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Oloyede, J. O., </w:t>
      </w:r>
      <w:proofErr w:type="spellStart"/>
      <w:r w:rsidRPr="004D4A6E">
        <w:rPr>
          <w:rFonts w:ascii="Times New Roman" w:eastAsia="Times New Roman" w:hAnsi="Times New Roman" w:cs="Times New Roman"/>
          <w:sz w:val="24"/>
          <w:szCs w:val="24"/>
        </w:rPr>
        <w:t>Okimiji</w:t>
      </w:r>
      <w:proofErr w:type="spellEnd"/>
      <w:r w:rsidRPr="004D4A6E">
        <w:rPr>
          <w:rFonts w:ascii="Times New Roman" w:eastAsia="Times New Roman" w:hAnsi="Times New Roman" w:cs="Times New Roman"/>
          <w:sz w:val="24"/>
          <w:szCs w:val="24"/>
        </w:rPr>
        <w:t xml:space="preserve">, O. P., &amp; </w:t>
      </w:r>
      <w:proofErr w:type="spellStart"/>
      <w:r w:rsidRPr="004D4A6E">
        <w:rPr>
          <w:rFonts w:ascii="Times New Roman" w:eastAsia="Times New Roman" w:hAnsi="Times New Roman" w:cs="Times New Roman"/>
          <w:sz w:val="24"/>
          <w:szCs w:val="24"/>
        </w:rPr>
        <w:t>Oloketuyi</w:t>
      </w:r>
      <w:proofErr w:type="spellEnd"/>
      <w:r w:rsidRPr="004D4A6E">
        <w:rPr>
          <w:rFonts w:ascii="Times New Roman" w:eastAsia="Times New Roman" w:hAnsi="Times New Roman" w:cs="Times New Roman"/>
          <w:sz w:val="24"/>
          <w:szCs w:val="24"/>
        </w:rPr>
        <w:t xml:space="preserve">, A. J. (2025). Massive destruction of tropical rain forest and its soaring effect on environmental temperature in south west Nigeria. </w:t>
      </w:r>
      <w:r w:rsidRPr="004D4A6E">
        <w:rPr>
          <w:rFonts w:ascii="Times New Roman" w:eastAsia="Times New Roman" w:hAnsi="Times New Roman" w:cs="Times New Roman"/>
          <w:i/>
          <w:iCs/>
          <w:sz w:val="24"/>
          <w:szCs w:val="24"/>
        </w:rPr>
        <w:t>Discover Global Society, 3</w:t>
      </w:r>
      <w:r w:rsidRPr="004D4A6E">
        <w:rPr>
          <w:rFonts w:ascii="Times New Roman" w:eastAsia="Times New Roman" w:hAnsi="Times New Roman" w:cs="Times New Roman"/>
          <w:sz w:val="24"/>
          <w:szCs w:val="24"/>
        </w:rPr>
        <w:t xml:space="preserve">, Article 110. </w:t>
      </w:r>
      <w:hyperlink r:id="rId47" w:history="1">
        <w:r w:rsidRPr="004D4A6E">
          <w:rPr>
            <w:rFonts w:ascii="Times New Roman" w:eastAsia="Times New Roman" w:hAnsi="Times New Roman" w:cs="Times New Roman"/>
            <w:color w:val="0000FF"/>
            <w:sz w:val="24"/>
            <w:szCs w:val="24"/>
            <w:u w:val="single"/>
          </w:rPr>
          <w:t>https://doi.org/10.1007/s44282-025-00196-3</w:t>
        </w:r>
      </w:hyperlink>
    </w:p>
    <w:p w14:paraId="54BE1117"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4D4A6E">
        <w:rPr>
          <w:rFonts w:ascii="Times New Roman" w:eastAsia="Times New Roman" w:hAnsi="Times New Roman" w:cs="Times New Roman"/>
          <w:sz w:val="24"/>
          <w:szCs w:val="24"/>
        </w:rPr>
        <w:t>Orimoogunje</w:t>
      </w:r>
      <w:proofErr w:type="spellEnd"/>
      <w:r w:rsidRPr="004D4A6E">
        <w:rPr>
          <w:rFonts w:ascii="Times New Roman" w:eastAsia="Times New Roman" w:hAnsi="Times New Roman" w:cs="Times New Roman"/>
          <w:sz w:val="24"/>
          <w:szCs w:val="24"/>
        </w:rPr>
        <w:t xml:space="preserve">, O. O. I., &amp; </w:t>
      </w:r>
      <w:proofErr w:type="spellStart"/>
      <w:r w:rsidRPr="004D4A6E">
        <w:rPr>
          <w:rFonts w:ascii="Times New Roman" w:eastAsia="Times New Roman" w:hAnsi="Times New Roman" w:cs="Times New Roman"/>
          <w:sz w:val="24"/>
          <w:szCs w:val="24"/>
        </w:rPr>
        <w:t>Asifat</w:t>
      </w:r>
      <w:proofErr w:type="spellEnd"/>
      <w:r w:rsidRPr="004D4A6E">
        <w:rPr>
          <w:rFonts w:ascii="Times New Roman" w:eastAsia="Times New Roman" w:hAnsi="Times New Roman" w:cs="Times New Roman"/>
          <w:sz w:val="24"/>
          <w:szCs w:val="24"/>
        </w:rPr>
        <w:t xml:space="preserve">, J. A. (2015). Fuel wood consumption and species degradation in South-Western Nigeria: The ecological relevance. </w:t>
      </w:r>
      <w:r w:rsidRPr="004D4A6E">
        <w:rPr>
          <w:rFonts w:ascii="Times New Roman" w:eastAsia="Times New Roman" w:hAnsi="Times New Roman" w:cs="Times New Roman"/>
          <w:i/>
          <w:iCs/>
          <w:sz w:val="24"/>
          <w:szCs w:val="24"/>
        </w:rPr>
        <w:t>Journal of Landscape Ecology, 8</w:t>
      </w:r>
      <w:r w:rsidRPr="004D4A6E">
        <w:rPr>
          <w:rFonts w:ascii="Times New Roman" w:eastAsia="Times New Roman" w:hAnsi="Times New Roman" w:cs="Times New Roman"/>
          <w:sz w:val="24"/>
          <w:szCs w:val="24"/>
        </w:rPr>
        <w:t xml:space="preserve">(1), 56–68. </w:t>
      </w:r>
      <w:hyperlink r:id="rId48" w:history="1">
        <w:r w:rsidRPr="004D4A6E">
          <w:rPr>
            <w:rFonts w:ascii="Times New Roman" w:eastAsia="Times New Roman" w:hAnsi="Times New Roman" w:cs="Times New Roman"/>
            <w:color w:val="0000FF"/>
            <w:sz w:val="24"/>
            <w:szCs w:val="24"/>
            <w:u w:val="single"/>
          </w:rPr>
          <w:t>https://doi.org/10.1515/jlecol-2015-0004</w:t>
        </w:r>
      </w:hyperlink>
    </w:p>
    <w:p w14:paraId="1AA294C5"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Ouedraogo, B. (2006). Household energy preferences for cooking in urban Ouagadougou, Burkina Faso. </w:t>
      </w:r>
      <w:r w:rsidRPr="004D4A6E">
        <w:rPr>
          <w:rFonts w:ascii="Times New Roman" w:eastAsia="Times New Roman" w:hAnsi="Times New Roman" w:cs="Times New Roman"/>
          <w:i/>
          <w:iCs/>
          <w:sz w:val="24"/>
          <w:szCs w:val="24"/>
        </w:rPr>
        <w:t>Energy Policy, 34</w:t>
      </w:r>
      <w:r w:rsidRPr="004D4A6E">
        <w:rPr>
          <w:rFonts w:ascii="Times New Roman" w:eastAsia="Times New Roman" w:hAnsi="Times New Roman" w:cs="Times New Roman"/>
          <w:sz w:val="24"/>
          <w:szCs w:val="24"/>
        </w:rPr>
        <w:t xml:space="preserve">(18), 3787–3795. </w:t>
      </w:r>
      <w:hyperlink r:id="rId49" w:history="1">
        <w:r w:rsidRPr="004D4A6E">
          <w:rPr>
            <w:rFonts w:ascii="Times New Roman" w:eastAsia="Times New Roman" w:hAnsi="Times New Roman" w:cs="Times New Roman"/>
            <w:color w:val="0000FF"/>
            <w:sz w:val="24"/>
            <w:szCs w:val="24"/>
            <w:u w:val="single"/>
          </w:rPr>
          <w:t>https://doi.org/10.1016/j.enpol.2005.09.006</w:t>
        </w:r>
      </w:hyperlink>
    </w:p>
    <w:p w14:paraId="6A32153E"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4D4A6E">
        <w:rPr>
          <w:rFonts w:ascii="Times New Roman" w:eastAsia="Times New Roman" w:hAnsi="Times New Roman" w:cs="Times New Roman"/>
          <w:sz w:val="24"/>
          <w:szCs w:val="24"/>
        </w:rPr>
        <w:t>Plesník</w:t>
      </w:r>
      <w:proofErr w:type="spellEnd"/>
      <w:r w:rsidRPr="004D4A6E">
        <w:rPr>
          <w:rFonts w:ascii="Times New Roman" w:eastAsia="Times New Roman" w:hAnsi="Times New Roman" w:cs="Times New Roman"/>
          <w:sz w:val="24"/>
          <w:szCs w:val="24"/>
        </w:rPr>
        <w:t xml:space="preserve">, J., Hošek, M., &amp; Condé, S. (2011). </w:t>
      </w:r>
      <w:r w:rsidRPr="004D4A6E">
        <w:rPr>
          <w:rFonts w:ascii="Times New Roman" w:eastAsia="Times New Roman" w:hAnsi="Times New Roman" w:cs="Times New Roman"/>
          <w:i/>
          <w:iCs/>
          <w:sz w:val="24"/>
          <w:szCs w:val="24"/>
        </w:rPr>
        <w:t>A concept of a degraded ecosystem in theory and practice: A review</w:t>
      </w:r>
      <w:r w:rsidRPr="004D4A6E">
        <w:rPr>
          <w:rFonts w:ascii="Times New Roman" w:eastAsia="Times New Roman" w:hAnsi="Times New Roman" w:cs="Times New Roman"/>
          <w:sz w:val="24"/>
          <w:szCs w:val="24"/>
        </w:rPr>
        <w:t xml:space="preserve"> (ETC/BD Working Paper No. A/2011). European Topic Centre on </w:t>
      </w:r>
      <w:r w:rsidRPr="004D4A6E">
        <w:rPr>
          <w:rFonts w:ascii="Times New Roman" w:eastAsia="Times New Roman" w:hAnsi="Times New Roman" w:cs="Times New Roman"/>
          <w:sz w:val="24"/>
          <w:szCs w:val="24"/>
        </w:rPr>
        <w:lastRenderedPageBreak/>
        <w:t xml:space="preserve">Biological Diversity. </w:t>
      </w:r>
      <w:hyperlink r:id="rId50" w:history="1">
        <w:r w:rsidRPr="004D4A6E">
          <w:rPr>
            <w:rFonts w:ascii="Times New Roman" w:eastAsia="Times New Roman" w:hAnsi="Times New Roman" w:cs="Times New Roman"/>
            <w:color w:val="0000FF"/>
            <w:sz w:val="24"/>
            <w:szCs w:val="24"/>
            <w:u w:val="single"/>
          </w:rPr>
          <w:t>https://www.eionet.europa.eu/etcs/etc-bd/products/etc-bd-reports/concept_degraded_ecosystem_in_theory_and_practice</w:t>
        </w:r>
      </w:hyperlink>
    </w:p>
    <w:p w14:paraId="1E65D6E6" w14:textId="70CB1C81"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4D4A6E">
        <w:rPr>
          <w:rFonts w:ascii="Times New Roman" w:eastAsia="Times New Roman" w:hAnsi="Times New Roman" w:cs="Times New Roman"/>
          <w:sz w:val="24"/>
          <w:szCs w:val="24"/>
        </w:rPr>
        <w:t>Puzzolo</w:t>
      </w:r>
      <w:proofErr w:type="spellEnd"/>
      <w:r w:rsidRPr="004D4A6E">
        <w:rPr>
          <w:rFonts w:ascii="Times New Roman" w:eastAsia="Times New Roman" w:hAnsi="Times New Roman" w:cs="Times New Roman"/>
          <w:sz w:val="24"/>
          <w:szCs w:val="24"/>
        </w:rPr>
        <w:t xml:space="preserve">, E., Pope, D., Stanistreet, D., </w:t>
      </w:r>
      <w:proofErr w:type="spellStart"/>
      <w:r w:rsidRPr="004D4A6E">
        <w:rPr>
          <w:rFonts w:ascii="Times New Roman" w:eastAsia="Times New Roman" w:hAnsi="Times New Roman" w:cs="Times New Roman"/>
          <w:sz w:val="24"/>
          <w:szCs w:val="24"/>
        </w:rPr>
        <w:t>Rehfuess</w:t>
      </w:r>
      <w:proofErr w:type="spellEnd"/>
      <w:r w:rsidRPr="004D4A6E">
        <w:rPr>
          <w:rFonts w:ascii="Times New Roman" w:eastAsia="Times New Roman" w:hAnsi="Times New Roman" w:cs="Times New Roman"/>
          <w:sz w:val="24"/>
          <w:szCs w:val="24"/>
        </w:rPr>
        <w:t xml:space="preserve">, E. A., &amp; Bruce, N. G. (2018). Clean fuels for resource-poor settings: A systematic review of barriers and enablers to adoption and sustained use. </w:t>
      </w:r>
      <w:r w:rsidRPr="004D4A6E">
        <w:rPr>
          <w:rFonts w:ascii="Times New Roman" w:eastAsia="Times New Roman" w:hAnsi="Times New Roman" w:cs="Times New Roman"/>
          <w:i/>
          <w:iCs/>
          <w:sz w:val="24"/>
          <w:szCs w:val="24"/>
        </w:rPr>
        <w:t>Environmental Research, 166</w:t>
      </w:r>
      <w:r w:rsidRPr="004D4A6E">
        <w:rPr>
          <w:rFonts w:ascii="Times New Roman" w:eastAsia="Times New Roman" w:hAnsi="Times New Roman" w:cs="Times New Roman"/>
          <w:sz w:val="24"/>
          <w:szCs w:val="24"/>
        </w:rPr>
        <w:t xml:space="preserve">, 457–467. </w:t>
      </w:r>
      <w:hyperlink r:id="rId51" w:history="1">
        <w:r w:rsidRPr="004D4A6E">
          <w:rPr>
            <w:rFonts w:ascii="Times New Roman" w:eastAsia="Times New Roman" w:hAnsi="Times New Roman" w:cs="Times New Roman"/>
            <w:color w:val="0000FF"/>
            <w:sz w:val="24"/>
            <w:szCs w:val="24"/>
            <w:u w:val="single"/>
          </w:rPr>
          <w:t>https://doi.org/10.1016/j.envres.2018.07.020</w:t>
        </w:r>
      </w:hyperlink>
      <w:r w:rsidRPr="004D4A6E">
        <w:rPr>
          <w:rFonts w:ascii="Times New Roman" w:eastAsia="Times New Roman" w:hAnsi="Times New Roman" w:cs="Times New Roman"/>
          <w:sz w:val="24"/>
          <w:szCs w:val="24"/>
        </w:rPr>
        <w:t xml:space="preserve"> </w:t>
      </w:r>
    </w:p>
    <w:p w14:paraId="43F1F432"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Qin, Y., Xiao, X., Liu, F., de Sá e Silva, F., Shimabukuro, Y., Arai, E., &amp; Fearnside, P. M. (2023). Forest conservation in Indigenous territories and protected areas in the Brazilian Amazon. </w:t>
      </w:r>
      <w:r w:rsidRPr="004D4A6E">
        <w:rPr>
          <w:rFonts w:ascii="Times New Roman" w:eastAsia="Times New Roman" w:hAnsi="Times New Roman" w:cs="Times New Roman"/>
          <w:i/>
          <w:iCs/>
          <w:sz w:val="24"/>
          <w:szCs w:val="24"/>
        </w:rPr>
        <w:t>Nature Sustainability, 6</w:t>
      </w:r>
      <w:r w:rsidRPr="004D4A6E">
        <w:rPr>
          <w:rFonts w:ascii="Times New Roman" w:eastAsia="Times New Roman" w:hAnsi="Times New Roman" w:cs="Times New Roman"/>
          <w:sz w:val="24"/>
          <w:szCs w:val="24"/>
        </w:rPr>
        <w:t xml:space="preserve">(3), 295–305. </w:t>
      </w:r>
      <w:hyperlink r:id="rId52" w:history="1">
        <w:r w:rsidRPr="004D4A6E">
          <w:rPr>
            <w:rFonts w:ascii="Times New Roman" w:eastAsia="Times New Roman" w:hAnsi="Times New Roman" w:cs="Times New Roman"/>
            <w:color w:val="0000FF"/>
            <w:sz w:val="24"/>
            <w:szCs w:val="24"/>
            <w:u w:val="single"/>
          </w:rPr>
          <w:t>https://doi.org/10.1038/s41893-022-01018-z</w:t>
        </w:r>
      </w:hyperlink>
    </w:p>
    <w:p w14:paraId="3431F64F"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Ramanathan, V., &amp; Carmichael, G. (2008). Global and regional climate changes due to black carbon. </w:t>
      </w:r>
      <w:r w:rsidRPr="004D4A6E">
        <w:rPr>
          <w:rFonts w:ascii="Times New Roman" w:eastAsia="Times New Roman" w:hAnsi="Times New Roman" w:cs="Times New Roman"/>
          <w:i/>
          <w:iCs/>
          <w:sz w:val="24"/>
          <w:szCs w:val="24"/>
        </w:rPr>
        <w:t>Nature Geoscience, 1</w:t>
      </w:r>
      <w:r w:rsidRPr="004D4A6E">
        <w:rPr>
          <w:rFonts w:ascii="Times New Roman" w:eastAsia="Times New Roman" w:hAnsi="Times New Roman" w:cs="Times New Roman"/>
          <w:sz w:val="24"/>
          <w:szCs w:val="24"/>
        </w:rPr>
        <w:t xml:space="preserve">(4), 221–227. </w:t>
      </w:r>
      <w:hyperlink r:id="rId53" w:history="1">
        <w:r w:rsidRPr="004D4A6E">
          <w:rPr>
            <w:rFonts w:ascii="Times New Roman" w:eastAsia="Times New Roman" w:hAnsi="Times New Roman" w:cs="Times New Roman"/>
            <w:color w:val="0000FF"/>
            <w:sz w:val="24"/>
            <w:szCs w:val="24"/>
            <w:u w:val="single"/>
          </w:rPr>
          <w:t>https://doi.org/10.1038/ngeo156</w:t>
        </w:r>
      </w:hyperlink>
    </w:p>
    <w:p w14:paraId="7BC30DDC"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Scoones, I. (2022). </w:t>
      </w:r>
      <w:r w:rsidRPr="004D4A6E">
        <w:rPr>
          <w:rFonts w:ascii="Times New Roman" w:eastAsia="Times New Roman" w:hAnsi="Times New Roman" w:cs="Times New Roman"/>
          <w:i/>
          <w:iCs/>
          <w:sz w:val="24"/>
          <w:szCs w:val="24"/>
        </w:rPr>
        <w:t>What is environmental degradation, what are its causes, and how to respond?</w:t>
      </w:r>
      <w:r w:rsidRPr="004D4A6E">
        <w:rPr>
          <w:rFonts w:ascii="Times New Roman" w:eastAsia="Times New Roman" w:hAnsi="Times New Roman" w:cs="Times New Roman"/>
          <w:sz w:val="24"/>
          <w:szCs w:val="24"/>
        </w:rPr>
        <w:t xml:space="preserve"> (IDS Working Paper 577). Institute of Development Studies. </w:t>
      </w:r>
      <w:hyperlink r:id="rId54" w:history="1">
        <w:r w:rsidRPr="004D4A6E">
          <w:rPr>
            <w:rFonts w:ascii="Times New Roman" w:eastAsia="Times New Roman" w:hAnsi="Times New Roman" w:cs="Times New Roman"/>
            <w:color w:val="0000FF"/>
            <w:sz w:val="24"/>
            <w:szCs w:val="24"/>
            <w:u w:val="single"/>
          </w:rPr>
          <w:t>https://doi.org/10.19088/IDS.2022.065</w:t>
        </w:r>
      </w:hyperlink>
    </w:p>
    <w:p w14:paraId="04F7B6F9" w14:textId="3B11796C"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Sedano, F., Silva, J. A., </w:t>
      </w:r>
      <w:proofErr w:type="spellStart"/>
      <w:r w:rsidRPr="004D4A6E">
        <w:rPr>
          <w:rFonts w:ascii="Times New Roman" w:eastAsia="Times New Roman" w:hAnsi="Times New Roman" w:cs="Times New Roman"/>
          <w:sz w:val="24"/>
          <w:szCs w:val="24"/>
        </w:rPr>
        <w:t>Machoco</w:t>
      </w:r>
      <w:proofErr w:type="spellEnd"/>
      <w:r w:rsidRPr="004D4A6E">
        <w:rPr>
          <w:rFonts w:ascii="Times New Roman" w:eastAsia="Times New Roman" w:hAnsi="Times New Roman" w:cs="Times New Roman"/>
          <w:sz w:val="24"/>
          <w:szCs w:val="24"/>
        </w:rPr>
        <w:t xml:space="preserve">, R., Meque, C. H., Sitoe, A., Ribeiro, N., Anderson, K., Ombe, Z. A., Baule, S. H., &amp; Tucker, C. J. (2016). The impact of charcoal production on forest degradation: A case study in Tete, Mozambique. </w:t>
      </w:r>
      <w:r w:rsidRPr="004D4A6E">
        <w:rPr>
          <w:rFonts w:ascii="Times New Roman" w:eastAsia="Times New Roman" w:hAnsi="Times New Roman" w:cs="Times New Roman"/>
          <w:i/>
          <w:iCs/>
          <w:sz w:val="24"/>
          <w:szCs w:val="24"/>
        </w:rPr>
        <w:t>Environmental Research Letters, 11</w:t>
      </w:r>
      <w:r w:rsidRPr="004D4A6E">
        <w:rPr>
          <w:rFonts w:ascii="Times New Roman" w:eastAsia="Times New Roman" w:hAnsi="Times New Roman" w:cs="Times New Roman"/>
          <w:sz w:val="24"/>
          <w:szCs w:val="24"/>
        </w:rPr>
        <w:t xml:space="preserve">(9), Article 094020. </w:t>
      </w:r>
      <w:hyperlink r:id="rId55" w:history="1">
        <w:r w:rsidRPr="004D4A6E">
          <w:rPr>
            <w:rFonts w:ascii="Times New Roman" w:eastAsia="Times New Roman" w:hAnsi="Times New Roman" w:cs="Times New Roman"/>
            <w:color w:val="0000FF"/>
            <w:sz w:val="24"/>
            <w:szCs w:val="24"/>
            <w:u w:val="single"/>
          </w:rPr>
          <w:t>https://doi.org/10.1088/1748-9326/11/9/094020</w:t>
        </w:r>
      </w:hyperlink>
      <w:r w:rsidRPr="004D4A6E">
        <w:rPr>
          <w:rFonts w:ascii="Times New Roman" w:eastAsia="Times New Roman" w:hAnsi="Times New Roman" w:cs="Times New Roman"/>
          <w:sz w:val="24"/>
          <w:szCs w:val="24"/>
        </w:rPr>
        <w:t xml:space="preserve"> </w:t>
      </w:r>
    </w:p>
    <w:p w14:paraId="2E332049" w14:textId="286C081E"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Silva, R. M. D., Lopes, A. G., &amp; Santos, C. A. G. (2023). Deforestation and fires in the Brazilian Amazon from 2001 to 2020: Impacts on rainfall variability and land surface temperature. </w:t>
      </w:r>
      <w:r w:rsidRPr="004D4A6E">
        <w:rPr>
          <w:rFonts w:ascii="Times New Roman" w:eastAsia="Times New Roman" w:hAnsi="Times New Roman" w:cs="Times New Roman"/>
          <w:i/>
          <w:iCs/>
          <w:sz w:val="24"/>
          <w:szCs w:val="24"/>
        </w:rPr>
        <w:t>Journal of Environmental Management, 326</w:t>
      </w:r>
      <w:r w:rsidRPr="004D4A6E">
        <w:rPr>
          <w:rFonts w:ascii="Times New Roman" w:eastAsia="Times New Roman" w:hAnsi="Times New Roman" w:cs="Times New Roman"/>
          <w:sz w:val="24"/>
          <w:szCs w:val="24"/>
        </w:rPr>
        <w:t xml:space="preserve">(Part A), Article 116664. </w:t>
      </w:r>
      <w:hyperlink r:id="rId56" w:history="1">
        <w:r w:rsidRPr="004D4A6E">
          <w:rPr>
            <w:rFonts w:ascii="Times New Roman" w:eastAsia="Times New Roman" w:hAnsi="Times New Roman" w:cs="Times New Roman"/>
            <w:color w:val="0000FF"/>
            <w:sz w:val="24"/>
            <w:szCs w:val="24"/>
            <w:u w:val="single"/>
          </w:rPr>
          <w:t>https://doi.org/10.1016/j.jenvman.2022.116664</w:t>
        </w:r>
      </w:hyperlink>
      <w:r w:rsidRPr="004D4A6E">
        <w:rPr>
          <w:rFonts w:ascii="Times New Roman" w:eastAsia="Times New Roman" w:hAnsi="Times New Roman" w:cs="Times New Roman"/>
          <w:sz w:val="24"/>
          <w:szCs w:val="24"/>
        </w:rPr>
        <w:t xml:space="preserve"> </w:t>
      </w:r>
    </w:p>
    <w:p w14:paraId="7A6A6257"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Smith, K. R., Frumkin, H., Balakrishnan, K., Butler, C. D., Chafe, Z., Fairlie, I., &amp; Kinney, P. (2013). Energy and human health. </w:t>
      </w:r>
      <w:r w:rsidRPr="004D4A6E">
        <w:rPr>
          <w:rFonts w:ascii="Times New Roman" w:eastAsia="Times New Roman" w:hAnsi="Times New Roman" w:cs="Times New Roman"/>
          <w:i/>
          <w:iCs/>
          <w:sz w:val="24"/>
          <w:szCs w:val="24"/>
        </w:rPr>
        <w:t>Annual Review of Public Health, 34</w:t>
      </w:r>
      <w:r w:rsidRPr="004D4A6E">
        <w:rPr>
          <w:rFonts w:ascii="Times New Roman" w:eastAsia="Times New Roman" w:hAnsi="Times New Roman" w:cs="Times New Roman"/>
          <w:sz w:val="24"/>
          <w:szCs w:val="24"/>
        </w:rPr>
        <w:t xml:space="preserve">(1), 159–188. </w:t>
      </w:r>
      <w:hyperlink r:id="rId57" w:history="1">
        <w:r w:rsidRPr="004D4A6E">
          <w:rPr>
            <w:rFonts w:ascii="Times New Roman" w:eastAsia="Times New Roman" w:hAnsi="Times New Roman" w:cs="Times New Roman"/>
            <w:color w:val="0000FF"/>
            <w:sz w:val="24"/>
            <w:szCs w:val="24"/>
            <w:u w:val="single"/>
          </w:rPr>
          <w:t>https://doi.org/10.1146/annurev-publhealth-031912-114404</w:t>
        </w:r>
      </w:hyperlink>
    </w:p>
    <w:p w14:paraId="5E4B8AEE"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Specht, M. J., Pinto, S. R. R., Albuquerque, U. P., Tabarelli, M., &amp; Melo, F. P. L. (2015). Burning biodiversity: Fuelwood harvesting causes forest degradation in human-dominated tropical landscapes. </w:t>
      </w:r>
      <w:r w:rsidRPr="004D4A6E">
        <w:rPr>
          <w:rFonts w:ascii="Times New Roman" w:eastAsia="Times New Roman" w:hAnsi="Times New Roman" w:cs="Times New Roman"/>
          <w:i/>
          <w:iCs/>
          <w:sz w:val="24"/>
          <w:szCs w:val="24"/>
        </w:rPr>
        <w:t>Global Ecology and Conservation, 3</w:t>
      </w:r>
      <w:r w:rsidRPr="004D4A6E">
        <w:rPr>
          <w:rFonts w:ascii="Times New Roman" w:eastAsia="Times New Roman" w:hAnsi="Times New Roman" w:cs="Times New Roman"/>
          <w:sz w:val="24"/>
          <w:szCs w:val="24"/>
        </w:rPr>
        <w:t xml:space="preserve">, 200–209. </w:t>
      </w:r>
      <w:hyperlink r:id="rId58" w:history="1">
        <w:r w:rsidRPr="004D4A6E">
          <w:rPr>
            <w:rFonts w:ascii="Times New Roman" w:eastAsia="Times New Roman" w:hAnsi="Times New Roman" w:cs="Times New Roman"/>
            <w:color w:val="0000FF"/>
            <w:sz w:val="24"/>
            <w:szCs w:val="24"/>
            <w:u w:val="single"/>
          </w:rPr>
          <w:t>https://doi.org/10.1016/j.gecco.2014.12.002</w:t>
        </w:r>
      </w:hyperlink>
    </w:p>
    <w:p w14:paraId="131DB8E3"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lang w:val="nl-BE"/>
        </w:rPr>
      </w:pPr>
      <w:r w:rsidRPr="004D4A6E">
        <w:rPr>
          <w:rFonts w:ascii="Times New Roman" w:eastAsia="Times New Roman" w:hAnsi="Times New Roman" w:cs="Times New Roman"/>
          <w:sz w:val="24"/>
          <w:szCs w:val="24"/>
        </w:rPr>
        <w:t xml:space="preserve">Steel, E. A., Stoner, O., </w:t>
      </w:r>
      <w:proofErr w:type="spellStart"/>
      <w:r w:rsidRPr="004D4A6E">
        <w:rPr>
          <w:rFonts w:ascii="Times New Roman" w:eastAsia="Times New Roman" w:hAnsi="Times New Roman" w:cs="Times New Roman"/>
          <w:sz w:val="24"/>
          <w:szCs w:val="24"/>
        </w:rPr>
        <w:t>Podschwit</w:t>
      </w:r>
      <w:proofErr w:type="spellEnd"/>
      <w:r w:rsidRPr="004D4A6E">
        <w:rPr>
          <w:rFonts w:ascii="Times New Roman" w:eastAsia="Times New Roman" w:hAnsi="Times New Roman" w:cs="Times New Roman"/>
          <w:sz w:val="24"/>
          <w:szCs w:val="24"/>
        </w:rPr>
        <w:t xml:space="preserve">, H., Paz, B., </w:t>
      </w:r>
      <w:proofErr w:type="spellStart"/>
      <w:r w:rsidRPr="004D4A6E">
        <w:rPr>
          <w:rFonts w:ascii="Times New Roman" w:eastAsia="Times New Roman" w:hAnsi="Times New Roman" w:cs="Times New Roman"/>
          <w:sz w:val="24"/>
          <w:szCs w:val="24"/>
        </w:rPr>
        <w:t>Bombelli</w:t>
      </w:r>
      <w:proofErr w:type="spellEnd"/>
      <w:r w:rsidRPr="004D4A6E">
        <w:rPr>
          <w:rFonts w:ascii="Times New Roman" w:eastAsia="Times New Roman" w:hAnsi="Times New Roman" w:cs="Times New Roman"/>
          <w:sz w:val="24"/>
          <w:szCs w:val="24"/>
        </w:rPr>
        <w:t xml:space="preserve">, I., Simon, S. L., Peterson, E., </w:t>
      </w:r>
      <w:proofErr w:type="spellStart"/>
      <w:r w:rsidRPr="004D4A6E">
        <w:rPr>
          <w:rFonts w:ascii="Times New Roman" w:eastAsia="Times New Roman" w:hAnsi="Times New Roman" w:cs="Times New Roman"/>
          <w:sz w:val="24"/>
          <w:szCs w:val="24"/>
        </w:rPr>
        <w:t>Welmar</w:t>
      </w:r>
      <w:proofErr w:type="spellEnd"/>
      <w:r w:rsidRPr="004D4A6E">
        <w:rPr>
          <w:rFonts w:ascii="Times New Roman" w:eastAsia="Times New Roman" w:hAnsi="Times New Roman" w:cs="Times New Roman"/>
          <w:sz w:val="24"/>
          <w:szCs w:val="24"/>
        </w:rPr>
        <w:t xml:space="preserve">, H., Glasenapp, S., Sikkema, R., Elhassan, N., Bailis, R., </w:t>
      </w:r>
      <w:proofErr w:type="spellStart"/>
      <w:r w:rsidRPr="004D4A6E">
        <w:rPr>
          <w:rFonts w:ascii="Times New Roman" w:eastAsia="Times New Roman" w:hAnsi="Times New Roman" w:cs="Times New Roman"/>
          <w:sz w:val="24"/>
          <w:szCs w:val="24"/>
        </w:rPr>
        <w:t>Steierer</w:t>
      </w:r>
      <w:proofErr w:type="spellEnd"/>
      <w:r w:rsidRPr="004D4A6E">
        <w:rPr>
          <w:rFonts w:ascii="Times New Roman" w:eastAsia="Times New Roman" w:hAnsi="Times New Roman" w:cs="Times New Roman"/>
          <w:sz w:val="24"/>
          <w:szCs w:val="24"/>
        </w:rPr>
        <w:t xml:space="preserve">, F., &amp; Souza, L. R. (2025). Global wood fuel production estimates and implications. </w:t>
      </w:r>
      <w:r w:rsidRPr="004D4A6E">
        <w:rPr>
          <w:rFonts w:ascii="Times New Roman" w:eastAsia="Times New Roman" w:hAnsi="Times New Roman" w:cs="Times New Roman"/>
          <w:i/>
          <w:iCs/>
          <w:sz w:val="24"/>
          <w:szCs w:val="24"/>
        </w:rPr>
        <w:t>Nature Communications, 16</w:t>
      </w:r>
      <w:r w:rsidRPr="004D4A6E">
        <w:rPr>
          <w:rFonts w:ascii="Times New Roman" w:eastAsia="Times New Roman" w:hAnsi="Times New Roman" w:cs="Times New Roman"/>
          <w:sz w:val="24"/>
          <w:szCs w:val="24"/>
        </w:rPr>
        <w:t xml:space="preserve">, Article 6227. </w:t>
      </w:r>
      <w:hyperlink r:id="rId59" w:history="1">
        <w:r w:rsidRPr="004D4A6E">
          <w:rPr>
            <w:rFonts w:ascii="Times New Roman" w:eastAsia="Times New Roman" w:hAnsi="Times New Roman" w:cs="Times New Roman"/>
            <w:color w:val="0000FF"/>
            <w:sz w:val="24"/>
            <w:szCs w:val="24"/>
            <w:u w:val="single"/>
            <w:lang w:val="nl-BE"/>
          </w:rPr>
          <w:t>https://doi.org/10.1038/s41467-025-59733-y</w:t>
        </w:r>
      </w:hyperlink>
    </w:p>
    <w:p w14:paraId="764A8992"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lang w:val="nl-BE"/>
        </w:rPr>
        <w:t xml:space="preserve">Temgoua, N. Y., Mofor, G. Z., &amp; Njofie, B. N. (2022). </w:t>
      </w:r>
      <w:r w:rsidRPr="004D4A6E">
        <w:rPr>
          <w:rFonts w:ascii="Times New Roman" w:eastAsia="Times New Roman" w:hAnsi="Times New Roman" w:cs="Times New Roman"/>
          <w:sz w:val="24"/>
          <w:szCs w:val="24"/>
        </w:rPr>
        <w:t xml:space="preserve">Determinants and patterns of urban household fuelwood management appraisal in Bamenda III Municipality, North West Region, Cameroon. </w:t>
      </w:r>
      <w:r w:rsidRPr="004D4A6E">
        <w:rPr>
          <w:rFonts w:ascii="Times New Roman" w:eastAsia="Times New Roman" w:hAnsi="Times New Roman" w:cs="Times New Roman"/>
          <w:i/>
          <w:iCs/>
          <w:sz w:val="24"/>
          <w:szCs w:val="24"/>
        </w:rPr>
        <w:t>Journal of Global Agriculture and Ecology, 13</w:t>
      </w:r>
      <w:r w:rsidRPr="004D4A6E">
        <w:rPr>
          <w:rFonts w:ascii="Times New Roman" w:eastAsia="Times New Roman" w:hAnsi="Times New Roman" w:cs="Times New Roman"/>
          <w:sz w:val="24"/>
          <w:szCs w:val="24"/>
        </w:rPr>
        <w:t xml:space="preserve">(4), 17–28. </w:t>
      </w:r>
      <w:hyperlink r:id="rId60" w:history="1">
        <w:r w:rsidRPr="004D4A6E">
          <w:rPr>
            <w:rFonts w:ascii="Times New Roman" w:eastAsia="Times New Roman" w:hAnsi="Times New Roman" w:cs="Times New Roman"/>
            <w:color w:val="0000FF"/>
            <w:sz w:val="24"/>
            <w:szCs w:val="24"/>
            <w:u w:val="single"/>
          </w:rPr>
          <w:t>https://doi.org/10.56557/jogae/2022/v13i47508</w:t>
        </w:r>
      </w:hyperlink>
    </w:p>
    <w:p w14:paraId="248C8D38"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4D4A6E">
        <w:rPr>
          <w:rFonts w:ascii="Times New Roman" w:eastAsia="Times New Roman" w:hAnsi="Times New Roman" w:cs="Times New Roman"/>
          <w:sz w:val="24"/>
          <w:szCs w:val="24"/>
        </w:rPr>
        <w:lastRenderedPageBreak/>
        <w:t>Wajim</w:t>
      </w:r>
      <w:proofErr w:type="spellEnd"/>
      <w:r w:rsidRPr="004D4A6E">
        <w:rPr>
          <w:rFonts w:ascii="Times New Roman" w:eastAsia="Times New Roman" w:hAnsi="Times New Roman" w:cs="Times New Roman"/>
          <w:sz w:val="24"/>
          <w:szCs w:val="24"/>
        </w:rPr>
        <w:t xml:space="preserve">, J. (2020). Impacts of deforestation on socio-economic development and environment in Nigeria. </w:t>
      </w:r>
      <w:r w:rsidRPr="004D4A6E">
        <w:rPr>
          <w:rFonts w:ascii="Times New Roman" w:eastAsia="Times New Roman" w:hAnsi="Times New Roman" w:cs="Times New Roman"/>
          <w:i/>
          <w:iCs/>
          <w:sz w:val="24"/>
          <w:szCs w:val="24"/>
        </w:rPr>
        <w:t>The International Journal of Social Sciences and Humanities Invention, 7</w:t>
      </w:r>
      <w:r w:rsidRPr="004D4A6E">
        <w:rPr>
          <w:rFonts w:ascii="Times New Roman" w:eastAsia="Times New Roman" w:hAnsi="Times New Roman" w:cs="Times New Roman"/>
          <w:sz w:val="24"/>
          <w:szCs w:val="24"/>
        </w:rPr>
        <w:t xml:space="preserve">(03), 5852–5863. </w:t>
      </w:r>
      <w:hyperlink r:id="rId61" w:history="1">
        <w:r w:rsidRPr="004D4A6E">
          <w:rPr>
            <w:rFonts w:ascii="Times New Roman" w:eastAsia="Times New Roman" w:hAnsi="Times New Roman" w:cs="Times New Roman"/>
            <w:color w:val="0000FF"/>
            <w:sz w:val="24"/>
            <w:szCs w:val="24"/>
            <w:u w:val="single"/>
          </w:rPr>
          <w:t>https://doi.org/10.18535/ijsshi/v7i03.04</w:t>
        </w:r>
      </w:hyperlink>
    </w:p>
    <w:p w14:paraId="3F125577"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World Health Organization. (2022). </w:t>
      </w:r>
      <w:r w:rsidRPr="004D4A6E">
        <w:rPr>
          <w:rFonts w:ascii="Times New Roman" w:eastAsia="Times New Roman" w:hAnsi="Times New Roman" w:cs="Times New Roman"/>
          <w:i/>
          <w:iCs/>
          <w:sz w:val="24"/>
          <w:szCs w:val="24"/>
        </w:rPr>
        <w:t>Household air pollution</w:t>
      </w:r>
      <w:r w:rsidRPr="004D4A6E">
        <w:rPr>
          <w:rFonts w:ascii="Times New Roman" w:eastAsia="Times New Roman" w:hAnsi="Times New Roman" w:cs="Times New Roman"/>
          <w:sz w:val="24"/>
          <w:szCs w:val="24"/>
        </w:rPr>
        <w:t xml:space="preserve"> [Fact sheet]. </w:t>
      </w:r>
      <w:hyperlink r:id="rId62" w:history="1">
        <w:r w:rsidRPr="004D4A6E">
          <w:rPr>
            <w:rFonts w:ascii="Times New Roman" w:eastAsia="Times New Roman" w:hAnsi="Times New Roman" w:cs="Times New Roman"/>
            <w:color w:val="0000FF"/>
            <w:sz w:val="24"/>
            <w:szCs w:val="24"/>
            <w:u w:val="single"/>
          </w:rPr>
          <w:t>https://www.who.int/news-room/fact-sheets/detail/household-air-pollution-and-health</w:t>
        </w:r>
      </w:hyperlink>
    </w:p>
    <w:p w14:paraId="3D6591F1"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Yaduma, N., Kortelainen, M., &amp; </w:t>
      </w:r>
      <w:proofErr w:type="spellStart"/>
      <w:r w:rsidRPr="004D4A6E">
        <w:rPr>
          <w:rFonts w:ascii="Times New Roman" w:eastAsia="Times New Roman" w:hAnsi="Times New Roman" w:cs="Times New Roman"/>
          <w:sz w:val="24"/>
          <w:szCs w:val="24"/>
        </w:rPr>
        <w:t>Wossink</w:t>
      </w:r>
      <w:proofErr w:type="spellEnd"/>
      <w:r w:rsidRPr="004D4A6E">
        <w:rPr>
          <w:rFonts w:ascii="Times New Roman" w:eastAsia="Times New Roman" w:hAnsi="Times New Roman" w:cs="Times New Roman"/>
          <w:sz w:val="24"/>
          <w:szCs w:val="24"/>
        </w:rPr>
        <w:t xml:space="preserve">, A. (2017). Revisiting the environmental Kuznets curve in Sub-Saharan Africa: Evidence from deforestation and all greenhouse gas emissions from agriculture. </w:t>
      </w:r>
      <w:r w:rsidRPr="004D4A6E">
        <w:rPr>
          <w:rFonts w:ascii="Times New Roman" w:eastAsia="Times New Roman" w:hAnsi="Times New Roman" w:cs="Times New Roman"/>
          <w:i/>
          <w:iCs/>
          <w:sz w:val="24"/>
          <w:szCs w:val="24"/>
        </w:rPr>
        <w:t>International Journal of Social Economics, 44</w:t>
      </w:r>
      <w:r w:rsidRPr="004D4A6E">
        <w:rPr>
          <w:rFonts w:ascii="Times New Roman" w:eastAsia="Times New Roman" w:hAnsi="Times New Roman" w:cs="Times New Roman"/>
          <w:sz w:val="24"/>
          <w:szCs w:val="24"/>
        </w:rPr>
        <w:t xml:space="preserve">(2), 222–231. </w:t>
      </w:r>
      <w:hyperlink r:id="rId63" w:history="1">
        <w:r w:rsidRPr="004D4A6E">
          <w:rPr>
            <w:rFonts w:ascii="Times New Roman" w:eastAsia="Times New Roman" w:hAnsi="Times New Roman" w:cs="Times New Roman"/>
            <w:color w:val="0000FF"/>
            <w:sz w:val="24"/>
            <w:szCs w:val="24"/>
            <w:u w:val="single"/>
          </w:rPr>
          <w:t>https://doi.org/10.1108/IJSE-02-2015-0034</w:t>
        </w:r>
      </w:hyperlink>
    </w:p>
    <w:p w14:paraId="7C9CB0F9"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4D4A6E">
        <w:rPr>
          <w:rFonts w:ascii="Times New Roman" w:eastAsia="Times New Roman" w:hAnsi="Times New Roman" w:cs="Times New Roman"/>
          <w:sz w:val="24"/>
          <w:szCs w:val="24"/>
        </w:rPr>
        <w:t>Yabo</w:t>
      </w:r>
      <w:proofErr w:type="spellEnd"/>
      <w:r w:rsidRPr="004D4A6E">
        <w:rPr>
          <w:rFonts w:ascii="Times New Roman" w:eastAsia="Times New Roman" w:hAnsi="Times New Roman" w:cs="Times New Roman"/>
          <w:sz w:val="24"/>
          <w:szCs w:val="24"/>
        </w:rPr>
        <w:t xml:space="preserve">, I. A., Pereira, L. F., Siqueira, R. G., </w:t>
      </w:r>
      <w:proofErr w:type="spellStart"/>
      <w:r w:rsidRPr="004D4A6E">
        <w:rPr>
          <w:rFonts w:ascii="Times New Roman" w:eastAsia="Times New Roman" w:hAnsi="Times New Roman" w:cs="Times New Roman"/>
          <w:sz w:val="24"/>
          <w:szCs w:val="24"/>
        </w:rPr>
        <w:t>Imbaná</w:t>
      </w:r>
      <w:proofErr w:type="spellEnd"/>
      <w:r w:rsidRPr="004D4A6E">
        <w:rPr>
          <w:rFonts w:ascii="Times New Roman" w:eastAsia="Times New Roman" w:hAnsi="Times New Roman" w:cs="Times New Roman"/>
          <w:sz w:val="24"/>
          <w:szCs w:val="24"/>
        </w:rPr>
        <w:t xml:space="preserve">, R., Pinheiro, A. X., de Angeli Oliveira, I., Schaefer, C. E. G. R., &amp; Fernandes-Filho, E. I. (2025). Climate change and human activities: Their roles in shaping land productivity in Northern Nigeria. </w:t>
      </w:r>
      <w:r w:rsidRPr="004D4A6E">
        <w:rPr>
          <w:rFonts w:ascii="Times New Roman" w:eastAsia="Times New Roman" w:hAnsi="Times New Roman" w:cs="Times New Roman"/>
          <w:i/>
          <w:iCs/>
          <w:sz w:val="24"/>
          <w:szCs w:val="24"/>
        </w:rPr>
        <w:t>Land Degradation &amp; Development, 36</w:t>
      </w:r>
      <w:r w:rsidRPr="004D4A6E">
        <w:rPr>
          <w:rFonts w:ascii="Times New Roman" w:eastAsia="Times New Roman" w:hAnsi="Times New Roman" w:cs="Times New Roman"/>
          <w:sz w:val="24"/>
          <w:szCs w:val="24"/>
        </w:rPr>
        <w:t xml:space="preserve">(1), 73–89. </w:t>
      </w:r>
      <w:hyperlink r:id="rId64" w:history="1">
        <w:r w:rsidRPr="004D4A6E">
          <w:rPr>
            <w:rFonts w:ascii="Times New Roman" w:eastAsia="Times New Roman" w:hAnsi="Times New Roman" w:cs="Times New Roman"/>
            <w:color w:val="0000FF"/>
            <w:sz w:val="24"/>
            <w:szCs w:val="24"/>
            <w:u w:val="single"/>
          </w:rPr>
          <w:t>https://doi.org/10.1002/ldr.5345</w:t>
        </w:r>
      </w:hyperlink>
    </w:p>
    <w:p w14:paraId="223E4C46" w14:textId="77777777" w:rsidR="006533AC" w:rsidRPr="004D4A6E" w:rsidRDefault="006533AC" w:rsidP="004D4A6E">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4D4A6E">
        <w:rPr>
          <w:rFonts w:ascii="Times New Roman" w:eastAsia="Times New Roman" w:hAnsi="Times New Roman" w:cs="Times New Roman"/>
          <w:sz w:val="24"/>
          <w:szCs w:val="24"/>
        </w:rPr>
        <w:t xml:space="preserve">Zhang, Y., Cui, X., &amp; Wang, Q. (2026). Synergies and trade-offs between energy, climate, and biodiversity from global fuelwood consumption. </w:t>
      </w:r>
      <w:r w:rsidRPr="004D4A6E">
        <w:rPr>
          <w:rFonts w:ascii="Times New Roman" w:eastAsia="Times New Roman" w:hAnsi="Times New Roman" w:cs="Times New Roman"/>
          <w:i/>
          <w:iCs/>
          <w:sz w:val="24"/>
          <w:szCs w:val="24"/>
        </w:rPr>
        <w:t>Environmental Science &amp; Technology, 60</w:t>
      </w:r>
      <w:r w:rsidRPr="004D4A6E">
        <w:rPr>
          <w:rFonts w:ascii="Times New Roman" w:eastAsia="Times New Roman" w:hAnsi="Times New Roman" w:cs="Times New Roman"/>
          <w:sz w:val="24"/>
          <w:szCs w:val="24"/>
        </w:rPr>
        <w:t xml:space="preserve">(1), 10–21. </w:t>
      </w:r>
      <w:hyperlink r:id="rId65" w:history="1">
        <w:r w:rsidRPr="004D4A6E">
          <w:rPr>
            <w:rFonts w:ascii="Times New Roman" w:eastAsia="Times New Roman" w:hAnsi="Times New Roman" w:cs="Times New Roman"/>
            <w:color w:val="0000FF"/>
            <w:sz w:val="24"/>
            <w:szCs w:val="24"/>
            <w:u w:val="single"/>
          </w:rPr>
          <w:t>https://doi.org/10.1021/acs.est.5c15528</w:t>
        </w:r>
      </w:hyperlink>
    </w:p>
    <w:p w14:paraId="467525E2" w14:textId="77777777" w:rsidR="00553D85" w:rsidRDefault="00553D85"/>
    <w:sectPr w:rsidR="00553D85" w:rsidSect="001653C6">
      <w:headerReference w:type="even" r:id="rId66"/>
      <w:headerReference w:type="default" r:id="rId67"/>
      <w:footerReference w:type="even" r:id="rId68"/>
      <w:footerReference w:type="default" r:id="rId69"/>
      <w:headerReference w:type="first" r:id="rId70"/>
      <w:footerReference w:type="first" r:id="rId71"/>
      <w:pgSz w:w="12240" w:h="15840"/>
      <w:pgMar w:top="810" w:right="99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B9546" w14:textId="77777777" w:rsidR="00CE02E7" w:rsidRDefault="00CE02E7" w:rsidP="0047369C">
      <w:pPr>
        <w:spacing w:after="0" w:line="240" w:lineRule="auto"/>
      </w:pPr>
      <w:r>
        <w:separator/>
      </w:r>
    </w:p>
  </w:endnote>
  <w:endnote w:type="continuationSeparator" w:id="0">
    <w:p w14:paraId="52999220" w14:textId="77777777" w:rsidR="00CE02E7" w:rsidRDefault="00CE02E7" w:rsidP="00473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4928" w14:textId="77777777" w:rsidR="00450908" w:rsidRDefault="004509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878395"/>
      <w:docPartObj>
        <w:docPartGallery w:val="Page Numbers (Bottom of Page)"/>
        <w:docPartUnique/>
      </w:docPartObj>
    </w:sdtPr>
    <w:sdtEndPr>
      <w:rPr>
        <w:noProof/>
      </w:rPr>
    </w:sdtEndPr>
    <w:sdtContent>
      <w:p w14:paraId="79BF8335" w14:textId="77777777" w:rsidR="00450908" w:rsidRDefault="00450908">
        <w:pPr>
          <w:pStyle w:val="Footer"/>
          <w:jc w:val="center"/>
        </w:pPr>
        <w:r>
          <w:fldChar w:fldCharType="begin"/>
        </w:r>
        <w:r>
          <w:instrText xml:space="preserve"> PAGE   \* MERGEFORMAT </w:instrText>
        </w:r>
        <w:r>
          <w:fldChar w:fldCharType="separate"/>
        </w:r>
        <w:r w:rsidR="001E76AB">
          <w:rPr>
            <w:noProof/>
          </w:rPr>
          <w:t>31</w:t>
        </w:r>
        <w:r>
          <w:rPr>
            <w:noProof/>
          </w:rPr>
          <w:fldChar w:fldCharType="end"/>
        </w:r>
      </w:p>
    </w:sdtContent>
  </w:sdt>
  <w:p w14:paraId="431987B5" w14:textId="77777777" w:rsidR="00450908" w:rsidRDefault="004509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7AFBB" w14:textId="77777777" w:rsidR="00450908" w:rsidRDefault="00450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797F9" w14:textId="77777777" w:rsidR="00CE02E7" w:rsidRDefault="00CE02E7" w:rsidP="0047369C">
      <w:pPr>
        <w:spacing w:after="0" w:line="240" w:lineRule="auto"/>
      </w:pPr>
      <w:r>
        <w:separator/>
      </w:r>
    </w:p>
  </w:footnote>
  <w:footnote w:type="continuationSeparator" w:id="0">
    <w:p w14:paraId="071517FE" w14:textId="77777777" w:rsidR="00CE02E7" w:rsidRDefault="00CE02E7" w:rsidP="004736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88DFC" w14:textId="77777777" w:rsidR="00450908" w:rsidRDefault="00000000">
    <w:pPr>
      <w:pStyle w:val="Header"/>
    </w:pPr>
    <w:r>
      <w:rPr>
        <w:noProof/>
      </w:rPr>
      <w:pict w14:anchorId="52BBB7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8454" o:spid="_x0000_s1026" type="#_x0000_t136" style="position:absolute;margin-left:0;margin-top:0;width:582.3pt;height:109.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A0AA" w14:textId="77777777" w:rsidR="00450908" w:rsidRDefault="00000000">
    <w:pPr>
      <w:pStyle w:val="Header"/>
    </w:pPr>
    <w:r>
      <w:rPr>
        <w:noProof/>
      </w:rPr>
      <w:pict w14:anchorId="067C9C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8455" o:spid="_x0000_s1027" type="#_x0000_t136" style="position:absolute;margin-left:0;margin-top:0;width:582.3pt;height:109.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CCEB4" w14:textId="77777777" w:rsidR="00450908" w:rsidRDefault="00000000">
    <w:pPr>
      <w:pStyle w:val="Header"/>
    </w:pPr>
    <w:r>
      <w:rPr>
        <w:noProof/>
      </w:rPr>
      <w:pict w14:anchorId="75970C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408453" o:spid="_x0000_s1025" type="#_x0000_t136" style="position:absolute;margin-left:0;margin-top:0;width:582.3pt;height:109.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C3FE4"/>
    <w:multiLevelType w:val="hybridMultilevel"/>
    <w:tmpl w:val="8D14D200"/>
    <w:lvl w:ilvl="0" w:tplc="70D05E5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B7053"/>
    <w:multiLevelType w:val="hybridMultilevel"/>
    <w:tmpl w:val="316EAD52"/>
    <w:lvl w:ilvl="0" w:tplc="6CDEE1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93A68"/>
    <w:multiLevelType w:val="hybridMultilevel"/>
    <w:tmpl w:val="AE64A63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A45F8F"/>
    <w:multiLevelType w:val="hybridMultilevel"/>
    <w:tmpl w:val="69241880"/>
    <w:lvl w:ilvl="0" w:tplc="3814BCC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864F2"/>
    <w:multiLevelType w:val="hybridMultilevel"/>
    <w:tmpl w:val="9A0C2BD4"/>
    <w:lvl w:ilvl="0" w:tplc="2076974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3314321"/>
    <w:multiLevelType w:val="hybridMultilevel"/>
    <w:tmpl w:val="3AB46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9C2CB1"/>
    <w:multiLevelType w:val="hybridMultilevel"/>
    <w:tmpl w:val="51F8189A"/>
    <w:lvl w:ilvl="0" w:tplc="51128D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E7671A"/>
    <w:multiLevelType w:val="hybridMultilevel"/>
    <w:tmpl w:val="5D702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F85FC9"/>
    <w:multiLevelType w:val="hybridMultilevel"/>
    <w:tmpl w:val="53D20088"/>
    <w:lvl w:ilvl="0" w:tplc="B35ED4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DF4698"/>
    <w:multiLevelType w:val="hybridMultilevel"/>
    <w:tmpl w:val="F0323DE6"/>
    <w:lvl w:ilvl="0" w:tplc="225806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196A37"/>
    <w:multiLevelType w:val="hybridMultilevel"/>
    <w:tmpl w:val="5CC8E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C66FB4"/>
    <w:multiLevelType w:val="hybridMultilevel"/>
    <w:tmpl w:val="0582AB62"/>
    <w:lvl w:ilvl="0" w:tplc="285A4FC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83C721C"/>
    <w:multiLevelType w:val="hybridMultilevel"/>
    <w:tmpl w:val="2AA2002E"/>
    <w:lvl w:ilvl="0" w:tplc="F81CFD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A27586"/>
    <w:multiLevelType w:val="hybridMultilevel"/>
    <w:tmpl w:val="1430DD6E"/>
    <w:lvl w:ilvl="0" w:tplc="64A43D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653ED5"/>
    <w:multiLevelType w:val="hybridMultilevel"/>
    <w:tmpl w:val="67548748"/>
    <w:lvl w:ilvl="0" w:tplc="70D05E5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B758B5"/>
    <w:multiLevelType w:val="hybridMultilevel"/>
    <w:tmpl w:val="D6ECDC4A"/>
    <w:lvl w:ilvl="0" w:tplc="F90AA2E0">
      <w:start w:val="1"/>
      <w:numFmt w:val="decimal"/>
      <w:lvlText w:val="%1."/>
      <w:lvlJc w:val="left"/>
      <w:pPr>
        <w:ind w:left="825" w:hanging="360"/>
      </w:pPr>
      <w:rPr>
        <w:rFonts w:hint="default"/>
        <w:b/>
        <w:sz w:val="20"/>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16" w15:restartNumberingAfterBreak="0">
    <w:nsid w:val="6CDA458E"/>
    <w:multiLevelType w:val="hybridMultilevel"/>
    <w:tmpl w:val="55E48E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BB7B13"/>
    <w:multiLevelType w:val="hybridMultilevel"/>
    <w:tmpl w:val="0582AB62"/>
    <w:lvl w:ilvl="0" w:tplc="285A4FC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20449F2"/>
    <w:multiLevelType w:val="multilevel"/>
    <w:tmpl w:val="0388D33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62349444">
    <w:abstractNumId w:val="10"/>
  </w:num>
  <w:num w:numId="2" w16cid:durableId="1829049647">
    <w:abstractNumId w:val="11"/>
  </w:num>
  <w:num w:numId="3" w16cid:durableId="1518274495">
    <w:abstractNumId w:val="5"/>
  </w:num>
  <w:num w:numId="4" w16cid:durableId="1629896986">
    <w:abstractNumId w:val="3"/>
  </w:num>
  <w:num w:numId="5" w16cid:durableId="844438064">
    <w:abstractNumId w:val="15"/>
  </w:num>
  <w:num w:numId="6" w16cid:durableId="1243374240">
    <w:abstractNumId w:val="18"/>
  </w:num>
  <w:num w:numId="7" w16cid:durableId="1397246811">
    <w:abstractNumId w:val="4"/>
  </w:num>
  <w:num w:numId="8" w16cid:durableId="526597619">
    <w:abstractNumId w:val="2"/>
  </w:num>
  <w:num w:numId="9" w16cid:durableId="1483346703">
    <w:abstractNumId w:val="6"/>
  </w:num>
  <w:num w:numId="10" w16cid:durableId="1855993092">
    <w:abstractNumId w:val="8"/>
  </w:num>
  <w:num w:numId="11" w16cid:durableId="1829588488">
    <w:abstractNumId w:val="1"/>
  </w:num>
  <w:num w:numId="12" w16cid:durableId="702487896">
    <w:abstractNumId w:val="12"/>
  </w:num>
  <w:num w:numId="13" w16cid:durableId="1001276218">
    <w:abstractNumId w:val="13"/>
  </w:num>
  <w:num w:numId="14" w16cid:durableId="245042501">
    <w:abstractNumId w:val="9"/>
  </w:num>
  <w:num w:numId="15" w16cid:durableId="127095722">
    <w:abstractNumId w:val="16"/>
  </w:num>
  <w:num w:numId="16" w16cid:durableId="385643437">
    <w:abstractNumId w:val="17"/>
  </w:num>
  <w:num w:numId="17" w16cid:durableId="878052585">
    <w:abstractNumId w:val="7"/>
  </w:num>
  <w:num w:numId="18" w16cid:durableId="793518999">
    <w:abstractNumId w:val="0"/>
  </w:num>
  <w:num w:numId="19" w16cid:durableId="19033249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60800"/>
    <w:rsid w:val="0000264F"/>
    <w:rsid w:val="000214A5"/>
    <w:rsid w:val="00023536"/>
    <w:rsid w:val="00067019"/>
    <w:rsid w:val="00083016"/>
    <w:rsid w:val="000C16D9"/>
    <w:rsid w:val="000C206A"/>
    <w:rsid w:val="000D45C9"/>
    <w:rsid w:val="000E4B50"/>
    <w:rsid w:val="000E7E91"/>
    <w:rsid w:val="00104B33"/>
    <w:rsid w:val="00104E5C"/>
    <w:rsid w:val="00104F12"/>
    <w:rsid w:val="00107893"/>
    <w:rsid w:val="00110BD2"/>
    <w:rsid w:val="00111B5C"/>
    <w:rsid w:val="001225D9"/>
    <w:rsid w:val="0012797B"/>
    <w:rsid w:val="001551C6"/>
    <w:rsid w:val="001653C6"/>
    <w:rsid w:val="00171BA6"/>
    <w:rsid w:val="001754D5"/>
    <w:rsid w:val="00180A0F"/>
    <w:rsid w:val="00185CDF"/>
    <w:rsid w:val="001B3D0F"/>
    <w:rsid w:val="001C6E43"/>
    <w:rsid w:val="001C76E0"/>
    <w:rsid w:val="001E76AB"/>
    <w:rsid w:val="001F2EA3"/>
    <w:rsid w:val="00216BE5"/>
    <w:rsid w:val="002470F1"/>
    <w:rsid w:val="002A2355"/>
    <w:rsid w:val="002C056C"/>
    <w:rsid w:val="002D6803"/>
    <w:rsid w:val="0032368E"/>
    <w:rsid w:val="003574AC"/>
    <w:rsid w:val="00392689"/>
    <w:rsid w:val="003A44FF"/>
    <w:rsid w:val="003B3249"/>
    <w:rsid w:val="003E26FA"/>
    <w:rsid w:val="003F0050"/>
    <w:rsid w:val="00402CD9"/>
    <w:rsid w:val="00414BDC"/>
    <w:rsid w:val="00424A17"/>
    <w:rsid w:val="00427971"/>
    <w:rsid w:val="00436836"/>
    <w:rsid w:val="00447E13"/>
    <w:rsid w:val="00450908"/>
    <w:rsid w:val="0047369C"/>
    <w:rsid w:val="004A537A"/>
    <w:rsid w:val="004B3587"/>
    <w:rsid w:val="004B3D7D"/>
    <w:rsid w:val="004C5109"/>
    <w:rsid w:val="004D4A6E"/>
    <w:rsid w:val="0050250B"/>
    <w:rsid w:val="0050290C"/>
    <w:rsid w:val="0053553E"/>
    <w:rsid w:val="00553D85"/>
    <w:rsid w:val="0055685B"/>
    <w:rsid w:val="00573ECF"/>
    <w:rsid w:val="005B5616"/>
    <w:rsid w:val="005B5ECE"/>
    <w:rsid w:val="005C0310"/>
    <w:rsid w:val="005D094B"/>
    <w:rsid w:val="005E5C07"/>
    <w:rsid w:val="005F57E3"/>
    <w:rsid w:val="0060391D"/>
    <w:rsid w:val="006177E8"/>
    <w:rsid w:val="00620552"/>
    <w:rsid w:val="00625801"/>
    <w:rsid w:val="00627219"/>
    <w:rsid w:val="00630AEB"/>
    <w:rsid w:val="00637F89"/>
    <w:rsid w:val="0065288F"/>
    <w:rsid w:val="006533AC"/>
    <w:rsid w:val="00674599"/>
    <w:rsid w:val="006A3BF9"/>
    <w:rsid w:val="006B7441"/>
    <w:rsid w:val="006F435E"/>
    <w:rsid w:val="00755D1D"/>
    <w:rsid w:val="00761486"/>
    <w:rsid w:val="00783C7A"/>
    <w:rsid w:val="00791E21"/>
    <w:rsid w:val="007928B7"/>
    <w:rsid w:val="00793E1C"/>
    <w:rsid w:val="007E6821"/>
    <w:rsid w:val="007E7005"/>
    <w:rsid w:val="007F571D"/>
    <w:rsid w:val="008249BC"/>
    <w:rsid w:val="00834DA1"/>
    <w:rsid w:val="00841FFB"/>
    <w:rsid w:val="00842DD6"/>
    <w:rsid w:val="00860800"/>
    <w:rsid w:val="00895B91"/>
    <w:rsid w:val="00895D29"/>
    <w:rsid w:val="008A2996"/>
    <w:rsid w:val="008C5EF1"/>
    <w:rsid w:val="008E7960"/>
    <w:rsid w:val="008F6552"/>
    <w:rsid w:val="009010A2"/>
    <w:rsid w:val="00904621"/>
    <w:rsid w:val="00911A10"/>
    <w:rsid w:val="00915F62"/>
    <w:rsid w:val="00935AB3"/>
    <w:rsid w:val="00976DCF"/>
    <w:rsid w:val="00987320"/>
    <w:rsid w:val="00A64A4A"/>
    <w:rsid w:val="00A9420F"/>
    <w:rsid w:val="00AD07DF"/>
    <w:rsid w:val="00B04A9B"/>
    <w:rsid w:val="00B36F01"/>
    <w:rsid w:val="00B57AE7"/>
    <w:rsid w:val="00B72695"/>
    <w:rsid w:val="00B87964"/>
    <w:rsid w:val="00B9158B"/>
    <w:rsid w:val="00BB61F4"/>
    <w:rsid w:val="00BB67AB"/>
    <w:rsid w:val="00BD7855"/>
    <w:rsid w:val="00BE5877"/>
    <w:rsid w:val="00C06E3F"/>
    <w:rsid w:val="00C1751A"/>
    <w:rsid w:val="00C70470"/>
    <w:rsid w:val="00C726CC"/>
    <w:rsid w:val="00CA5BFC"/>
    <w:rsid w:val="00CC62D5"/>
    <w:rsid w:val="00CE02E7"/>
    <w:rsid w:val="00CE1CC9"/>
    <w:rsid w:val="00D149FE"/>
    <w:rsid w:val="00D478BE"/>
    <w:rsid w:val="00D85DD9"/>
    <w:rsid w:val="00D910CA"/>
    <w:rsid w:val="00DA3B27"/>
    <w:rsid w:val="00DC7FD5"/>
    <w:rsid w:val="00DE23CC"/>
    <w:rsid w:val="00DE5C5B"/>
    <w:rsid w:val="00DF0827"/>
    <w:rsid w:val="00E464A9"/>
    <w:rsid w:val="00E46AFC"/>
    <w:rsid w:val="00E53AF3"/>
    <w:rsid w:val="00E8312F"/>
    <w:rsid w:val="00E923B3"/>
    <w:rsid w:val="00EA6A67"/>
    <w:rsid w:val="00F01DA2"/>
    <w:rsid w:val="00F23BB4"/>
    <w:rsid w:val="00F41D5B"/>
    <w:rsid w:val="00F776FE"/>
    <w:rsid w:val="00F95589"/>
    <w:rsid w:val="00FE2066"/>
    <w:rsid w:val="00FE3B29"/>
    <w:rsid w:val="00FE4694"/>
    <w:rsid w:val="00FE578F"/>
    <w:rsid w:val="00FF1C41"/>
    <w:rsid w:val="00FF2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800F4"/>
  <w15:docId w15:val="{471AA9B6-7345-4404-AC40-718A3C0E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80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60800"/>
    <w:pPr>
      <w:ind w:left="720"/>
      <w:contextualSpacing/>
    </w:pPr>
  </w:style>
  <w:style w:type="paragraph" w:customStyle="1" w:styleId="Default">
    <w:name w:val="Default"/>
    <w:rsid w:val="00860800"/>
    <w:pPr>
      <w:autoSpaceDE w:val="0"/>
      <w:autoSpaceDN w:val="0"/>
      <w:adjustRightInd w:val="0"/>
      <w:spacing w:after="0" w:line="240" w:lineRule="auto"/>
    </w:pPr>
    <w:rPr>
      <w:rFonts w:ascii="Garamond" w:eastAsiaTheme="minorEastAsia" w:hAnsi="Garamond" w:cs="Garamond"/>
      <w:color w:val="000000"/>
      <w:sz w:val="24"/>
      <w:szCs w:val="24"/>
    </w:rPr>
  </w:style>
  <w:style w:type="table" w:styleId="TableGrid">
    <w:name w:val="Table Grid"/>
    <w:basedOn w:val="TableNormal"/>
    <w:uiPriority w:val="59"/>
    <w:rsid w:val="00860800"/>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basedOn w:val="DefaultParagraphFont"/>
    <w:link w:val="ListParagraph"/>
    <w:uiPriority w:val="34"/>
    <w:rsid w:val="00860800"/>
    <w:rPr>
      <w:rFonts w:eastAsiaTheme="minorEastAsia"/>
    </w:rPr>
  </w:style>
  <w:style w:type="character" w:styleId="Hyperlink">
    <w:name w:val="Hyperlink"/>
    <w:basedOn w:val="DefaultParagraphFont"/>
    <w:uiPriority w:val="99"/>
    <w:unhideWhenUsed/>
    <w:rsid w:val="00860800"/>
    <w:rPr>
      <w:color w:val="0000FF"/>
      <w:u w:val="single"/>
    </w:rPr>
  </w:style>
  <w:style w:type="paragraph" w:styleId="NoSpacing">
    <w:name w:val="No Spacing"/>
    <w:link w:val="NoSpacingChar"/>
    <w:uiPriority w:val="1"/>
    <w:qFormat/>
    <w:rsid w:val="00860800"/>
    <w:pPr>
      <w:spacing w:after="0" w:line="240" w:lineRule="auto"/>
    </w:pPr>
    <w:rPr>
      <w:rFonts w:ascii="Calibri" w:eastAsia="Calibri" w:hAnsi="Calibri" w:cs="Times New Roman"/>
      <w:lang w:val="en-GB"/>
    </w:rPr>
  </w:style>
  <w:style w:type="character" w:customStyle="1" w:styleId="NoSpacingChar">
    <w:name w:val="No Spacing Char"/>
    <w:basedOn w:val="DefaultParagraphFont"/>
    <w:link w:val="NoSpacing"/>
    <w:uiPriority w:val="1"/>
    <w:rsid w:val="00860800"/>
    <w:rPr>
      <w:rFonts w:ascii="Calibri" w:eastAsia="Calibri" w:hAnsi="Calibri" w:cs="Times New Roman"/>
      <w:lang w:val="en-GB"/>
    </w:rPr>
  </w:style>
  <w:style w:type="paragraph" w:styleId="Header">
    <w:name w:val="header"/>
    <w:basedOn w:val="Normal"/>
    <w:link w:val="HeaderChar"/>
    <w:uiPriority w:val="99"/>
    <w:unhideWhenUsed/>
    <w:rsid w:val="00860800"/>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860800"/>
  </w:style>
  <w:style w:type="paragraph" w:styleId="Footer">
    <w:name w:val="footer"/>
    <w:basedOn w:val="Normal"/>
    <w:link w:val="FooterChar"/>
    <w:uiPriority w:val="99"/>
    <w:unhideWhenUsed/>
    <w:rsid w:val="00860800"/>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860800"/>
  </w:style>
  <w:style w:type="character" w:styleId="CommentReference">
    <w:name w:val="annotation reference"/>
    <w:basedOn w:val="DefaultParagraphFont"/>
    <w:uiPriority w:val="99"/>
    <w:semiHidden/>
    <w:unhideWhenUsed/>
    <w:rsid w:val="00860800"/>
    <w:rPr>
      <w:sz w:val="16"/>
      <w:szCs w:val="16"/>
    </w:rPr>
  </w:style>
  <w:style w:type="paragraph" w:styleId="CommentText">
    <w:name w:val="annotation text"/>
    <w:basedOn w:val="Normal"/>
    <w:link w:val="CommentTextChar"/>
    <w:uiPriority w:val="99"/>
    <w:semiHidden/>
    <w:unhideWhenUsed/>
    <w:rsid w:val="00860800"/>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860800"/>
    <w:rPr>
      <w:sz w:val="20"/>
      <w:szCs w:val="20"/>
    </w:rPr>
  </w:style>
  <w:style w:type="paragraph" w:styleId="CommentSubject">
    <w:name w:val="annotation subject"/>
    <w:basedOn w:val="CommentText"/>
    <w:next w:val="CommentText"/>
    <w:link w:val="CommentSubjectChar"/>
    <w:uiPriority w:val="99"/>
    <w:semiHidden/>
    <w:unhideWhenUsed/>
    <w:rsid w:val="00860800"/>
    <w:rPr>
      <w:b/>
      <w:bCs/>
    </w:rPr>
  </w:style>
  <w:style w:type="character" w:customStyle="1" w:styleId="CommentSubjectChar">
    <w:name w:val="Comment Subject Char"/>
    <w:basedOn w:val="CommentTextChar"/>
    <w:link w:val="CommentSubject"/>
    <w:uiPriority w:val="99"/>
    <w:semiHidden/>
    <w:rsid w:val="00860800"/>
    <w:rPr>
      <w:b/>
      <w:bCs/>
      <w:sz w:val="20"/>
      <w:szCs w:val="20"/>
    </w:rPr>
  </w:style>
  <w:style w:type="paragraph" w:styleId="BalloonText">
    <w:name w:val="Balloon Text"/>
    <w:basedOn w:val="Normal"/>
    <w:link w:val="BalloonTextChar"/>
    <w:uiPriority w:val="99"/>
    <w:semiHidden/>
    <w:unhideWhenUsed/>
    <w:rsid w:val="00860800"/>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60800"/>
    <w:rPr>
      <w:rFonts w:ascii="Segoe UI" w:hAnsi="Segoe UI" w:cs="Segoe UI"/>
      <w:sz w:val="18"/>
      <w:szCs w:val="18"/>
    </w:rPr>
  </w:style>
  <w:style w:type="character" w:styleId="Emphasis">
    <w:name w:val="Emphasis"/>
    <w:basedOn w:val="DefaultParagraphFont"/>
    <w:uiPriority w:val="20"/>
    <w:qFormat/>
    <w:rsid w:val="00860800"/>
    <w:rPr>
      <w:i/>
      <w:iCs/>
    </w:rPr>
  </w:style>
  <w:style w:type="character" w:customStyle="1" w:styleId="UnresolvedMention1">
    <w:name w:val="Unresolved Mention1"/>
    <w:basedOn w:val="DefaultParagraphFont"/>
    <w:uiPriority w:val="99"/>
    <w:semiHidden/>
    <w:unhideWhenUsed/>
    <w:rsid w:val="001B3D0F"/>
    <w:rPr>
      <w:color w:val="605E5C"/>
      <w:shd w:val="clear" w:color="auto" w:fill="E1DFDD"/>
    </w:rPr>
  </w:style>
  <w:style w:type="character" w:styleId="UnresolvedMention">
    <w:name w:val="Unresolved Mention"/>
    <w:basedOn w:val="DefaultParagraphFont"/>
    <w:uiPriority w:val="99"/>
    <w:semiHidden/>
    <w:unhideWhenUsed/>
    <w:rsid w:val="00C70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7/S1355770X0700397X" TargetMode="External"/><Relationship Id="rId21" Type="http://schemas.openxmlformats.org/officeDocument/2006/relationships/hyperlink" Target="https://doi.org/10.1177/21582440211061361" TargetMode="External"/><Relationship Id="rId42" Type="http://schemas.openxmlformats.org/officeDocument/2006/relationships/hyperlink" Target="https://iiardjournals.org/get/IJGEM/VOL.%202%20NO.%201%202016/DEFORESTATION%20IN%20NIGERIA.pdf" TargetMode="External"/><Relationship Id="rId47" Type="http://schemas.openxmlformats.org/officeDocument/2006/relationships/hyperlink" Target="https://doi.org/10.1007/s44282-025-00196-3" TargetMode="External"/><Relationship Id="rId63" Type="http://schemas.openxmlformats.org/officeDocument/2006/relationships/hyperlink" Target="https://doi.org/10.1108/IJSE-02-2015-0034" TargetMode="External"/><Relationship Id="rId6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9088/IDS.2022.065" TargetMode="External"/><Relationship Id="rId29" Type="http://schemas.openxmlformats.org/officeDocument/2006/relationships/hyperlink" Target="https://doi.org/10.4060/ca9825en" TargetMode="External"/><Relationship Id="rId11" Type="http://schemas.openxmlformats.org/officeDocument/2006/relationships/oleObject" Target="embeddings/oleObject3.bin"/><Relationship Id="rId24" Type="http://schemas.openxmlformats.org/officeDocument/2006/relationships/hyperlink" Target="https://doi.org/10.1016/j.esd.2012.07.004" TargetMode="External"/><Relationship Id="rId32" Type="http://schemas.openxmlformats.org/officeDocument/2006/relationships/hyperlink" Target="https://doi.org/10.1016/j.eneco.2004.04.018" TargetMode="External"/><Relationship Id="rId37" Type="http://schemas.openxmlformats.org/officeDocument/2006/relationships/hyperlink" Target="https://www.irena.org/Publications/2023/Jan/Renewable-Energy-Roadmap-Nigeria" TargetMode="External"/><Relationship Id="rId40" Type="http://schemas.openxmlformats.org/officeDocument/2006/relationships/hyperlink" Target="https://doi.org/10.1016/0264-8377(93)90028-9" TargetMode="External"/><Relationship Id="rId45" Type="http://schemas.openxmlformats.org/officeDocument/2006/relationships/hyperlink" Target="https://doi.org/10.1515/jlecol-2015-0004" TargetMode="External"/><Relationship Id="rId53" Type="http://schemas.openxmlformats.org/officeDocument/2006/relationships/hyperlink" Target="https://doi.org/10.1038/ngeo156" TargetMode="External"/><Relationship Id="rId58" Type="http://schemas.openxmlformats.org/officeDocument/2006/relationships/hyperlink" Target="https://doi.org/10.1016/j.gecco.2014.12.002" TargetMode="External"/><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doi.org/10.18535/ijsshi/v7i03.04" TargetMode="External"/><Relationship Id="rId19" Type="http://schemas.openxmlformats.org/officeDocument/2006/relationships/hyperlink" Target="https://doi.org/10.1080/20964471.2025.2510770" TargetMode="External"/><Relationship Id="rId14" Type="http://schemas.openxmlformats.org/officeDocument/2006/relationships/hyperlink" Target="https://doi.org/10.33003/fjs-2025-0906-3617" TargetMode="External"/><Relationship Id="rId22" Type="http://schemas.openxmlformats.org/officeDocument/2006/relationships/hyperlink" Target="https://doi.org/10.1038/s41598-020-63657-6" TargetMode="External"/><Relationship Id="rId27" Type="http://schemas.openxmlformats.org/officeDocument/2006/relationships/hyperlink" Target="https://doi.org/10.1016/j.scitotenv.2025.179917" TargetMode="External"/><Relationship Id="rId30" Type="http://schemas.openxmlformats.org/officeDocument/2006/relationships/hyperlink" Target="https://doi.org/10.1016/j.jenvman.2024.121359" TargetMode="External"/><Relationship Id="rId35" Type="http://schemas.openxmlformats.org/officeDocument/2006/relationships/hyperlink" Target="https://www.iea.org/reports/world-energy-outlook-2023" TargetMode="External"/><Relationship Id="rId43" Type="http://schemas.openxmlformats.org/officeDocument/2006/relationships/hyperlink" Target="https://doi.org/10.1007/s43937-025-00072-w" TargetMode="External"/><Relationship Id="rId48" Type="http://schemas.openxmlformats.org/officeDocument/2006/relationships/hyperlink" Target="https://doi.org/10.1515/jlecol-2015-0004" TargetMode="External"/><Relationship Id="rId56" Type="http://schemas.openxmlformats.org/officeDocument/2006/relationships/hyperlink" Target="https://doi.org/10.1016/j.jenvman.2022.116664" TargetMode="External"/><Relationship Id="rId64" Type="http://schemas.openxmlformats.org/officeDocument/2006/relationships/hyperlink" Target="https://doi.org/10.1002/ldr.5345" TargetMode="External"/><Relationship Id="rId69" Type="http://schemas.openxmlformats.org/officeDocument/2006/relationships/footer" Target="footer2.xml"/><Relationship Id="rId8" Type="http://schemas.openxmlformats.org/officeDocument/2006/relationships/oleObject" Target="embeddings/oleObject1.bin"/><Relationship Id="rId51" Type="http://schemas.openxmlformats.org/officeDocument/2006/relationships/hyperlink" Target="https://doi.org/10.1016/j.envres.2018.07.020"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doi.org/10.4314/jasem.v24i11.10" TargetMode="External"/><Relationship Id="rId17" Type="http://schemas.openxmlformats.org/officeDocument/2006/relationships/hyperlink" Target="https://doi.org/10.1126/sciadv.abj3309" TargetMode="External"/><Relationship Id="rId25" Type="http://schemas.openxmlformats.org/officeDocument/2006/relationships/hyperlink" Target="https://doi.org/10.1016/0305-750X(90)90068-9" TargetMode="External"/><Relationship Id="rId33" Type="http://schemas.openxmlformats.org/officeDocument/2006/relationships/hyperlink" Target="https://doi.org/10.1016/j.esd.2014.02.003" TargetMode="External"/><Relationship Id="rId38" Type="http://schemas.openxmlformats.org/officeDocument/2006/relationships/hyperlink" Target="https://doi.org/10.54536/ajgt.v4i1.3688" TargetMode="External"/><Relationship Id="rId46" Type="http://schemas.openxmlformats.org/officeDocument/2006/relationships/hyperlink" Target="https://doi.org/10.1515/jlecol-2015-0004" TargetMode="External"/><Relationship Id="rId59" Type="http://schemas.openxmlformats.org/officeDocument/2006/relationships/hyperlink" Target="https://doi.org/10.1038/s41467-025-59733-y" TargetMode="External"/><Relationship Id="rId67" Type="http://schemas.openxmlformats.org/officeDocument/2006/relationships/header" Target="header2.xml"/><Relationship Id="rId20" Type="http://schemas.openxmlformats.org/officeDocument/2006/relationships/hyperlink" Target="https://doi.org/10.1111/1365-2664.70075" TargetMode="External"/><Relationship Id="rId41" Type="http://schemas.openxmlformats.org/officeDocument/2006/relationships/hyperlink" Target="https://doi.org/10.3990/1.9789036530965" TargetMode="External"/><Relationship Id="rId54" Type="http://schemas.openxmlformats.org/officeDocument/2006/relationships/hyperlink" Target="https://doi.org/10.19088/IDS.2022.065" TargetMode="External"/><Relationship Id="rId62" Type="http://schemas.openxmlformats.org/officeDocument/2006/relationships/hyperlink" Target="https://www.who.int/news-room/fact-sheets/detail/household-air-pollution-and-health" TargetMode="External"/><Relationship Id="rId7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80/10106049.2025.2451164" TargetMode="External"/><Relationship Id="rId23" Type="http://schemas.openxmlformats.org/officeDocument/2006/relationships/hyperlink" Target="https://doi.org/10.1038/s41598-025-97815-5" TargetMode="External"/><Relationship Id="rId28" Type="http://schemas.openxmlformats.org/officeDocument/2006/relationships/hyperlink" Target="https://doi.org/10.1016/S0961-9534(01)00029-0" TargetMode="External"/><Relationship Id="rId36" Type="http://schemas.openxmlformats.org/officeDocument/2006/relationships/hyperlink" Target="https://doi.org/10.1017/9781009157896" TargetMode="External"/><Relationship Id="rId49" Type="http://schemas.openxmlformats.org/officeDocument/2006/relationships/hyperlink" Target="https://doi.org/10.1016/j.enpol.2005.09.006" TargetMode="External"/><Relationship Id="rId57" Type="http://schemas.openxmlformats.org/officeDocument/2006/relationships/hyperlink" Target="https://doi.org/10.1146/annurev-publhealth-031912-114404" TargetMode="External"/><Relationship Id="rId10" Type="http://schemas.openxmlformats.org/officeDocument/2006/relationships/image" Target="media/image2.wmf"/><Relationship Id="rId31" Type="http://schemas.openxmlformats.org/officeDocument/2006/relationships/hyperlink" Target="https://www.ijfans.org/issue-content/environmental-degradation-its-causes-effects-and-restoration-853" TargetMode="External"/><Relationship Id="rId44" Type="http://schemas.openxmlformats.org/officeDocument/2006/relationships/hyperlink" Target="https://doi.org/10.1002/pa.2037" TargetMode="External"/><Relationship Id="rId52" Type="http://schemas.openxmlformats.org/officeDocument/2006/relationships/hyperlink" Target="https://doi.org/10.1038/s41893-022-01018-z" TargetMode="External"/><Relationship Id="rId60" Type="http://schemas.openxmlformats.org/officeDocument/2006/relationships/hyperlink" Target="https://doi.org/10.56557/jogae/2022/v13i47508" TargetMode="External"/><Relationship Id="rId65" Type="http://schemas.openxmlformats.org/officeDocument/2006/relationships/hyperlink" Target="https://doi.org/10.1021/acs.est.5c15528"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hyperlink" Target="https://doi.org/10.9734/jgeesi/2023/v27i5682" TargetMode="External"/><Relationship Id="rId18" Type="http://schemas.openxmlformats.org/officeDocument/2006/relationships/hyperlink" Target="https://doi.org/10.1038/nclimate2491" TargetMode="External"/><Relationship Id="rId39" Type="http://schemas.openxmlformats.org/officeDocument/2006/relationships/hyperlink" Target="https://doi.org/10.1289/ehp.1104194" TargetMode="External"/><Relationship Id="rId34" Type="http://schemas.openxmlformats.org/officeDocument/2006/relationships/hyperlink" Target="https://doi.org/10.1016/j.biombioe.2009.08.007" TargetMode="External"/><Relationship Id="rId50" Type="http://schemas.openxmlformats.org/officeDocument/2006/relationships/hyperlink" Target="https://www.eionet.europa.eu/etcs/etc-bd/products/etc-bd-reports/concept_degraded_ecosystem_in_theory_and_practice" TargetMode="External"/><Relationship Id="rId55" Type="http://schemas.openxmlformats.org/officeDocument/2006/relationships/hyperlink" Target="https://doi.org/10.1088/1748-9326/11/9/094020" TargetMode="External"/><Relationship Id="rId7" Type="http://schemas.openxmlformats.org/officeDocument/2006/relationships/image" Target="media/image1.wmf"/><Relationship Id="rId7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545</TotalTime>
  <Pages>1</Pages>
  <Words>10598</Words>
  <Characters>60415</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UGOSOR</dc:creator>
  <cp:lastModifiedBy>SDI CPU 1117</cp:lastModifiedBy>
  <cp:revision>121</cp:revision>
  <dcterms:created xsi:type="dcterms:W3CDTF">1980-01-01T19:51:00Z</dcterms:created>
  <dcterms:modified xsi:type="dcterms:W3CDTF">2026-06-27T04:35:00Z</dcterms:modified>
</cp:coreProperties>
</file>