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81E12" w14:textId="77777777" w:rsidR="006D34FD" w:rsidRPr="006D34FD" w:rsidRDefault="006D34FD" w:rsidP="002E5790">
      <w:pPr>
        <w:spacing w:before="100" w:beforeAutospacing="1" w:after="100" w:afterAutospacing="1" w:line="240" w:lineRule="auto"/>
        <w:jc w:val="both"/>
        <w:outlineLvl w:val="1"/>
        <w:rPr>
          <w:rFonts w:ascii="Times New Roman" w:eastAsia="Times New Roman" w:hAnsi="Times New Roman" w:cs="Times New Roman"/>
          <w:b/>
          <w:bCs/>
          <w:i/>
          <w:iCs/>
          <w:sz w:val="36"/>
          <w:szCs w:val="36"/>
          <w:u w:val="single"/>
          <w:lang w:val="en-US" w:eastAsia="en-GB"/>
        </w:rPr>
      </w:pPr>
      <w:r w:rsidRPr="006D34FD">
        <w:rPr>
          <w:rFonts w:ascii="Times New Roman" w:eastAsia="Times New Roman" w:hAnsi="Times New Roman" w:cs="Times New Roman"/>
          <w:b/>
          <w:bCs/>
          <w:i/>
          <w:iCs/>
          <w:sz w:val="36"/>
          <w:szCs w:val="36"/>
          <w:u w:val="single"/>
          <w:lang w:val="en-US" w:eastAsia="en-GB"/>
        </w:rPr>
        <w:t>Review Article</w:t>
      </w:r>
    </w:p>
    <w:p w14:paraId="33F68376" w14:textId="77777777" w:rsidR="00276377" w:rsidRPr="002E5790" w:rsidRDefault="00276377" w:rsidP="002E5790">
      <w:pPr>
        <w:spacing w:before="100" w:beforeAutospacing="1" w:after="100" w:afterAutospacing="1" w:line="240" w:lineRule="auto"/>
        <w:jc w:val="both"/>
        <w:outlineLvl w:val="1"/>
        <w:rPr>
          <w:rFonts w:ascii="Times New Roman" w:eastAsia="Times New Roman" w:hAnsi="Times New Roman" w:cs="Times New Roman"/>
          <w:b/>
          <w:bCs/>
          <w:sz w:val="32"/>
          <w:szCs w:val="32"/>
          <w:lang w:eastAsia="en-GB"/>
        </w:rPr>
      </w:pPr>
      <w:r w:rsidRPr="002E5790">
        <w:rPr>
          <w:rFonts w:ascii="Times New Roman" w:eastAsia="Times New Roman" w:hAnsi="Times New Roman" w:cs="Times New Roman"/>
          <w:b/>
          <w:bCs/>
          <w:sz w:val="32"/>
          <w:szCs w:val="32"/>
          <w:lang w:eastAsia="en-GB"/>
        </w:rPr>
        <w:t>Climate-Driven Range Shifts in Insect Pests: Redrawing the Global Map of Crop Vulnerability</w:t>
      </w:r>
    </w:p>
    <w:p w14:paraId="131E276D" w14:textId="77777777" w:rsidR="00276377" w:rsidRPr="00276377" w:rsidRDefault="00276377" w:rsidP="002E5790">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276377">
        <w:rPr>
          <w:rFonts w:ascii="Times New Roman" w:eastAsia="Times New Roman" w:hAnsi="Times New Roman" w:cs="Times New Roman"/>
          <w:b/>
          <w:bCs/>
          <w:sz w:val="27"/>
          <w:szCs w:val="27"/>
          <w:lang w:eastAsia="en-GB"/>
        </w:rPr>
        <w:t>Abstract</w:t>
      </w:r>
    </w:p>
    <w:p w14:paraId="06DB471C"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Rising global temperatures, shifting precipitation regimes, and elevated atmospheric carbon dioxide are altering the geographic ranges, phenology, and population dynamics of insect pests that damage the world's major food crops. This review synthesises evidence on the physiological mechanisms, observed range shifts, and projected redistribution of agriculturally important insect species under contemporary and future climate scenarios. Poleward and altitudinal expansions have already been documented across multiple pest taxa, with average latitudinal displacement rates in the low single-digit kilometres per year, and modelling studies project further acceleration under mid- and high-emission trajectories. Case evidence from fall armyworm, cotton leafworm, maize stemborers, and several rice pests illustrates how thermal tolerance, developmental plasticity, and host-plant availability jointly determine the pace and direction of range change. Elevated carbon dioxide modifies host-plant nutritional and defensive chemistry in ways that can either suppress or, in some circumstances, enhance herbivore performance, complicating simple temperature-based forecasts. Economic assessments indicate that warming-driven increases in insect-mediated crop losses could reach double-digit percentage increases per degree Celsius for staple cereals, disproportionately affecting temperate breadbasket regions, while invasive insects already impose costs exceeding tens of billions of US dollars annually worldwide. Species distribution modelling, mechanistic niche models, and hybrid approaches are increasingly used to anticipate these shifts, though model uncertainty, incomplete occurrence data, and neglect of biotic interactions remain persistent limitations. The review closes by identifying priority research directions, drawing overall conclusions for policy and practice, and acknowledging the methodological limitations inherent to a narrative synthesis of a rapidly evolving evidence base.</w:t>
      </w:r>
    </w:p>
    <w:p w14:paraId="2543ADBA"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b/>
          <w:bCs/>
          <w:sz w:val="24"/>
          <w:szCs w:val="24"/>
          <w:lang w:eastAsia="en-GB"/>
        </w:rPr>
        <w:t>Keywords:</w:t>
      </w:r>
      <w:r w:rsidRPr="00276377">
        <w:rPr>
          <w:rFonts w:ascii="Times New Roman" w:eastAsia="Times New Roman" w:hAnsi="Times New Roman" w:cs="Times New Roman"/>
          <w:sz w:val="24"/>
          <w:szCs w:val="24"/>
          <w:lang w:eastAsia="en-GB"/>
        </w:rPr>
        <w:t xml:space="preserve"> insect pests; climate change; range shift; crop vulnerability; species distribution modelling; food security</w:t>
      </w:r>
    </w:p>
    <w:p w14:paraId="306C8706" w14:textId="77777777" w:rsidR="00276377" w:rsidRPr="00276377" w:rsidRDefault="00276377" w:rsidP="002E5790">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276377">
        <w:rPr>
          <w:rFonts w:ascii="Times New Roman" w:eastAsia="Times New Roman" w:hAnsi="Times New Roman" w:cs="Times New Roman"/>
          <w:b/>
          <w:bCs/>
          <w:sz w:val="27"/>
          <w:szCs w:val="27"/>
          <w:lang w:eastAsia="en-GB"/>
        </w:rPr>
        <w:t>1. Introduction</w:t>
      </w:r>
    </w:p>
    <w:p w14:paraId="4E84AB79"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Insect herbivores already consume a substantial share of the world's staple grain output before it reaches harvest, and the spatial pattern of that damage is no longer fixed. As mean surface temperatures climb and precipitation regimes reorganise, the climatic envelopes that historically confined particular pest species to particular latitudes and elevations are being redrawn (Bale et al., 2002; Parmesan &amp; Yohe, 2003). Because insects are ectotherms, their development, survival, and reproduction respond directly to ambient temperature, and even modest warming can translate into faster generation turnover, expanded overwintering success, and colonisation of previously unsuitable territory (Deutsch et al., 2018). For agriculture, the consequence is not simply "more pests" in absolute terms but a geographic reshuffling of risk: regions that once enjoyed a degree of climatic protection from a given pest may lose that protection, while regions at the historical thermal margin of a species' range may become unsuitable as conditions exceed physiological optima.</w:t>
      </w:r>
      <w:r>
        <w:rPr>
          <w:b/>
          <w:highlight w:val="yellow"/>
        </w:rPr>
        <w:t xml:space="preserve"> </w:t>
      </w:r>
      <w:r w:rsidRPr="002E5790">
        <w:rPr>
          <w:bCs/>
          <w:highlight w:val="yellow"/>
        </w:rPr>
        <w:t xml:space="preserve">Recent calls to integrate climate-pest interactions into crop projection frameworks indicate that such redistribution </w:t>
      </w:r>
      <w:r w:rsidRPr="002E5790">
        <w:rPr>
          <w:bCs/>
          <w:highlight w:val="yellow"/>
        </w:rPr>
        <w:lastRenderedPageBreak/>
        <w:t>should be evaluated alongside yield modelling rather than treated as a separate biotic risk (Li et al., 2024).</w:t>
      </w:r>
    </w:p>
    <w:p w14:paraId="52B326EF" w14:textId="77777777" w:rsidR="00276377" w:rsidRPr="00276377" w:rsidRDefault="00276377" w:rsidP="002E5790">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1.1 The scale of the underlying threat</w:t>
      </w:r>
    </w:p>
    <w:p w14:paraId="3DE980D5"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Global surveys of crop pest and pathogen distributions have documented a consistent poleward drift over the past six decades, with average latitudinal shifts on the order of a few kilometres per year (Bebber et al., 2013). This movement is not uniform across taxa; some groups shift rapidly while others show negligible or even equatorward trends, reflecting differences in dispersal capacity, thermal tolerance breadth, and reliance on human-mediated transport. Superimposed on this observational record are process-based projections showing that insect metabolic and population growth rates respond to warming in a manner that will materially increase crop losses in some of the world's most productive temperate agricultural zones (Deutsch et al., 2018).</w:t>
      </w:r>
      <w:r>
        <w:rPr>
          <w:b/>
          <w:highlight w:val="yellow"/>
        </w:rPr>
        <w:t xml:space="preserve"> </w:t>
      </w:r>
      <w:r w:rsidRPr="002E5790">
        <w:rPr>
          <w:bCs/>
          <w:highlight w:val="yellow"/>
        </w:rPr>
        <w:t>Recent eco-evolutionary evidence also suggests that rapid thermal adaptation in pest life-history traits may alter population growth and host consumption, adding uncertainty to forecasts based solely on contemporary thermal responses (Burc et al., 2025).</w:t>
      </w:r>
    </w:p>
    <w:p w14:paraId="42003555" w14:textId="77777777" w:rsidR="00276377" w:rsidRPr="00276377" w:rsidRDefault="00276377" w:rsidP="002E5790">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1.2 Complexity beyond a simple temperature signal</w:t>
      </w:r>
    </w:p>
    <w:p w14:paraId="1D0AE26F"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Range shift is rarely governed by temperature alone. Atmospheric carbon dioxide enrichment alters host-plant nitrogen content, secondary metabolite production, and defensive signalling pathways, with downstream consequences for herbivore growth and fecundity that are not always negative for the insect (Zavala et al., 2013; Johnson et al., 2020). Precipitation anomalies, land-use change, and the erosion of natural enemy communities interact with thermal drivers to either dampen or amplify realised pest pressure (Ma et al., 2025). Phenological decoupling between pests, their host plants, and their natural enemies adds a further layer of uncertainty, since climate-driven shifts in emergence timing do not necessarily proceed at the same pace across trophic levels (Thackeray et al., 2016).</w:t>
      </w:r>
      <w:r>
        <w:rPr>
          <w:b/>
          <w:highlight w:val="yellow"/>
        </w:rPr>
        <w:t xml:space="preserve"> </w:t>
      </w:r>
      <w:r w:rsidRPr="002E5790">
        <w:rPr>
          <w:bCs/>
          <w:highlight w:val="yellow"/>
        </w:rPr>
        <w:t>Recent reviews of pest-management responses to climate change further emphasise that biological and chemical control outcomes are context-dependent because warming may affect pests, natural enemies, and control tools differently across crop systems (Perrin et al., 2025).</w:t>
      </w:r>
    </w:p>
    <w:p w14:paraId="459D8D06" w14:textId="77777777" w:rsidR="00276377" w:rsidRPr="00276377" w:rsidRDefault="00276377" w:rsidP="002E5790">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1.3 Scope, research gap, and objectives</w:t>
      </w:r>
    </w:p>
    <w:p w14:paraId="4837EAB5"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Despite an expanding body of species-specific and regional literature, no recent synthesis has drawn together the physiological, biogeographic, economic, and modelling strands of evidence into a single account of how climate-driven range shift is redrawing the global map of crop vulnerability. Much of the existing literature is fragmented by taxon, by crop system, or by geographic region, and reviews addressing insect responses to climate change have tended to emphasise either mechanistic thermal biology or applied pest-management concerns, rarely both in the same treatment. This creates a gap in understanding how mechanistic drivers translate into observed and projected biogeographic change, and how that change in turn propagates into measurable agricultural and economic outcomes.</w:t>
      </w:r>
    </w:p>
    <w:p w14:paraId="2433FF31"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 xml:space="preserve">This review addresses that gap through a narrative synthesis structured around four linked objectives: first, to characterise the physiological and ecological mechanisms by which warming, altered precipitation, and elevated carbon dioxide drive insect pest range change; second, to summarise documented and projected shifts across a representative set of globally significant pest species and crop systems; third, to evaluate the economic and food-security implications of this redistribution, together with the modelling tools used to anticipate it; and </w:t>
      </w:r>
      <w:r w:rsidRPr="00276377">
        <w:rPr>
          <w:rFonts w:ascii="Times New Roman" w:eastAsia="Times New Roman" w:hAnsi="Times New Roman" w:cs="Times New Roman"/>
          <w:sz w:val="24"/>
          <w:szCs w:val="24"/>
          <w:lang w:eastAsia="en-GB"/>
        </w:rPr>
        <w:lastRenderedPageBreak/>
        <w:t>fourth, to identify the principal gaps in current knowledge that constrain confident forecasting of future crop vulnerability. The review is confined to insect pests of field and horticultural crops and does not address plant pathogens, weeds, or vertebrate pests except where their dynamics are inseparable from insect vector biology.</w:t>
      </w:r>
    </w:p>
    <w:p w14:paraId="79D1C1AE" w14:textId="77777777" w:rsidR="00276377" w:rsidRPr="00276377" w:rsidRDefault="00276377" w:rsidP="002E5790">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276377">
        <w:rPr>
          <w:rFonts w:ascii="Times New Roman" w:eastAsia="Times New Roman" w:hAnsi="Times New Roman" w:cs="Times New Roman"/>
          <w:b/>
          <w:bCs/>
          <w:sz w:val="27"/>
          <w:szCs w:val="27"/>
          <w:lang w:eastAsia="en-GB"/>
        </w:rPr>
        <w:t>2. Methods for Literature Selection</w:t>
      </w:r>
    </w:p>
    <w:p w14:paraId="7F0029F7" w14:textId="77777777" w:rsidR="00276377" w:rsidRPr="00276377" w:rsidRDefault="00276377" w:rsidP="002E5790">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2.1 Databases searched</w:t>
      </w:r>
    </w:p>
    <w:p w14:paraId="4456EF60"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Literature was identified through structured searches of four general bibliographic databases—Web of Science, Scopus, Google Scholar, and PubMed—supplemented by six field-specific indexing resources relevant to entomology, agriculture, and environmental change: CAB Abstracts, AGRICOLA, BIOSIS Citation Index, GreenFILE, Zoological Record, and the Directory of Open Access Journals subject index for agricultural and biological sciences.</w:t>
      </w:r>
    </w:p>
    <w:p w14:paraId="562A1F73" w14:textId="77777777" w:rsidR="00276377" w:rsidRPr="00276377" w:rsidRDefault="00276377" w:rsidP="002E5790">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2.2 Search strings and date range</w:t>
      </w:r>
    </w:p>
    <w:p w14:paraId="290555FF" w14:textId="75B749AF"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Search strings combined controlled vocabulary and free-text terms using Boolean operators, structured around three concept blocks: insect pest terminology (for example "insect pest*" OR "crop pest*" OR "herbivorous insect*"), climate terminology ("climate change" OR "global warming" OR "climatic warming" OR "elevated CO2"), and distributional terminology ("range shift*" OR "range expansion*" OR "geographic distribution" OR "species distribution model*" OR "poleward shift*"). These three blocks were combined with the AND operator. Searches were restricted to peer-reviewed journal articles published between January 2000 and March 2026, a window chosen to capture both the foundational mechanistic literature on insect thermal biology that emerged in the early 2000s and the substantial acceleration of climate-pest research over the past decade.</w:t>
      </w:r>
    </w:p>
    <w:p w14:paraId="4CC0DB99" w14:textId="77777777" w:rsidR="00276377" w:rsidRPr="00276377" w:rsidRDefault="00276377" w:rsidP="002E5790">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2.3 Inclusion and exclusion criteria</w:t>
      </w:r>
    </w:p>
    <w:p w14:paraId="1DB54CC2"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Articles were included if they reported primary empirical data, modelling outputs, or quantitative synthesis concerning the effects of climate variables on the geographic distribution, phenology, or population dynamics of insect pests affecting cultivated crops, and if they were published in English in a peer-reviewed journal. Articles were excluded if they concerned exclusively non-agricultural insect taxa, addressed plant pathogens or weeds without an insect vector component, were published as books, conference proceedings, theses, preprints, patents, or trade publications, or lacked verifiable bibliographic metadata.</w:t>
      </w:r>
    </w:p>
    <w:p w14:paraId="4F4E6F97" w14:textId="77777777" w:rsidR="00276377" w:rsidRPr="00276377" w:rsidRDefault="00276377" w:rsidP="002E5790">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2.4 Rationale for a narrative review approach</w:t>
      </w:r>
    </w:p>
    <w:p w14:paraId="0F1BC7C7"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 xml:space="preserve">A narrative rather than systematic review approach was adopted because the subject matter spans physiological, biogeographic, agronomic, and economic literatures that use markedly different methodologies, outcome measures, and reporting conventions, making formal meta-analytic pooling impractical without losing interpretive nuance. Narrative reviews suit synthesis and contextualisation of a heterogeneous evidence base rather than pooled effect-size estimation, particularly where the aim includes identifying research gaps and future directions rather than testing a single quantitative hypothesis (Ferrari, 2015). This approach allowed integration of case-specific findings from individual pest species alongside broader </w:t>
      </w:r>
      <w:r w:rsidRPr="00276377">
        <w:rPr>
          <w:rFonts w:ascii="Times New Roman" w:eastAsia="Times New Roman" w:hAnsi="Times New Roman" w:cs="Times New Roman"/>
          <w:sz w:val="24"/>
          <w:szCs w:val="24"/>
          <w:lang w:eastAsia="en-GB"/>
        </w:rPr>
        <w:lastRenderedPageBreak/>
        <w:t>biogeographic and economic syntheses, which a strictly systematic protocol focused on a single outcome measure would not readily accommodate.</w:t>
      </w:r>
    </w:p>
    <w:p w14:paraId="37CBE18E" w14:textId="77777777" w:rsidR="00276377" w:rsidRPr="00276377" w:rsidRDefault="00276377" w:rsidP="002E5790">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2.5 Screening workflow, duplicate handling, and study selection</w:t>
      </w:r>
    </w:p>
    <w:p w14:paraId="2398CA45"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Records retrieved from each database were exported and screened first by title and abstract for topical relevance, then by full text for compliance with the inclusion criteria described above. Duplicate records arising from overlapping database coverage were identified through reference-manager deduplication based on digital object identifiers and bibliographic matching, and removed prior to full-text screening. The search was restricted to English-language publications; this restriction, common in narrative reviews of this scope, may exclude regionally important non-English literature, a limitation acknowledged in Section 13. Priority was given to studies published in high-impact entomological, ecological, and environmental science journals, to studies with large geographic or taxonomic scope, and to frequently cited works establishing key mechanistic or biogeographic principles, on the basis that such studies are more likely to represent influential contributions to the field's current understanding.</w:t>
      </w:r>
    </w:p>
    <w:p w14:paraId="3794900F" w14:textId="77777777" w:rsidR="00276377" w:rsidRPr="00276377" w:rsidRDefault="00276377" w:rsidP="002E5790">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2.6 Summary of search strategy</w:t>
      </w:r>
    </w:p>
    <w:p w14:paraId="596764DE"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Table 1 summarises the overall search architecture, including the databases consulted, the structure of the search string, and the criteria applied at each stage of selection. The table is intended as a compact reference point rather than an exhaustive protocol, consistent with the narrative rather than systematic nature of this review.</w:t>
      </w:r>
    </w:p>
    <w:p w14:paraId="6E95752F"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b/>
          <w:bCs/>
          <w:sz w:val="24"/>
          <w:szCs w:val="24"/>
          <w:lang w:eastAsia="en-GB"/>
        </w:rPr>
        <w:t>Table 1. Summary of the literature search strategy</w:t>
      </w:r>
    </w:p>
    <w:tbl>
      <w:tblPr>
        <w:tblStyle w:val="TableGrid"/>
        <w:tblW w:w="0" w:type="auto"/>
        <w:tblLook w:val="04A0" w:firstRow="1" w:lastRow="0" w:firstColumn="1" w:lastColumn="0" w:noHBand="0" w:noVBand="1"/>
      </w:tblPr>
      <w:tblGrid>
        <w:gridCol w:w="2069"/>
        <w:gridCol w:w="7173"/>
      </w:tblGrid>
      <w:tr w:rsidR="00276377" w:rsidRPr="00276377" w14:paraId="70522728" w14:textId="77777777" w:rsidTr="00276377">
        <w:tc>
          <w:tcPr>
            <w:tcW w:w="0" w:type="auto"/>
            <w:hideMark/>
          </w:tcPr>
          <w:p w14:paraId="76BD726C" w14:textId="77777777" w:rsidR="00276377" w:rsidRPr="00276377" w:rsidRDefault="00276377" w:rsidP="002E5790">
            <w:pPr>
              <w:jc w:val="both"/>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Element</w:t>
            </w:r>
          </w:p>
        </w:tc>
        <w:tc>
          <w:tcPr>
            <w:tcW w:w="0" w:type="auto"/>
            <w:hideMark/>
          </w:tcPr>
          <w:p w14:paraId="5CDB9E3B" w14:textId="77777777" w:rsidR="00276377" w:rsidRPr="00276377" w:rsidRDefault="00276377" w:rsidP="002E5790">
            <w:pPr>
              <w:jc w:val="both"/>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Specification</w:t>
            </w:r>
          </w:p>
        </w:tc>
      </w:tr>
      <w:tr w:rsidR="00276377" w:rsidRPr="00276377" w14:paraId="5BE08AB2" w14:textId="77777777" w:rsidTr="00276377">
        <w:tc>
          <w:tcPr>
            <w:tcW w:w="0" w:type="auto"/>
            <w:hideMark/>
          </w:tcPr>
          <w:p w14:paraId="1AB50EB0"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General databases</w:t>
            </w:r>
          </w:p>
        </w:tc>
        <w:tc>
          <w:tcPr>
            <w:tcW w:w="0" w:type="auto"/>
            <w:hideMark/>
          </w:tcPr>
          <w:p w14:paraId="2F0131CE"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Web of Science, Scopus, Google Scholar, PubMed</w:t>
            </w:r>
          </w:p>
        </w:tc>
      </w:tr>
      <w:tr w:rsidR="00276377" w:rsidRPr="00276377" w14:paraId="308EFD91" w14:textId="77777777" w:rsidTr="00276377">
        <w:tc>
          <w:tcPr>
            <w:tcW w:w="0" w:type="auto"/>
            <w:hideMark/>
          </w:tcPr>
          <w:p w14:paraId="5035A6DB"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Field-specific databases</w:t>
            </w:r>
          </w:p>
        </w:tc>
        <w:tc>
          <w:tcPr>
            <w:tcW w:w="0" w:type="auto"/>
            <w:hideMark/>
          </w:tcPr>
          <w:p w14:paraId="354EF162"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CAB Abstracts, AGRICOLA, BIOSIS Citation Index, GreenFILE, Zoological Record, DOAJ (agricultural sciences)</w:t>
            </w:r>
          </w:p>
        </w:tc>
      </w:tr>
      <w:tr w:rsidR="00276377" w:rsidRPr="00276377" w14:paraId="16ABF091" w14:textId="77777777" w:rsidTr="00276377">
        <w:tc>
          <w:tcPr>
            <w:tcW w:w="0" w:type="auto"/>
            <w:hideMark/>
          </w:tcPr>
          <w:p w14:paraId="78A269A8"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Core search concepts</w:t>
            </w:r>
          </w:p>
        </w:tc>
        <w:tc>
          <w:tcPr>
            <w:tcW w:w="0" w:type="auto"/>
            <w:hideMark/>
          </w:tcPr>
          <w:p w14:paraId="09BC44E6"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Insect pest terminology; climate terminology; distributional terminology</w:t>
            </w:r>
          </w:p>
        </w:tc>
      </w:tr>
      <w:tr w:rsidR="00276377" w:rsidRPr="00276377" w14:paraId="45202634" w14:textId="77777777" w:rsidTr="00276377">
        <w:tc>
          <w:tcPr>
            <w:tcW w:w="0" w:type="auto"/>
            <w:hideMark/>
          </w:tcPr>
          <w:p w14:paraId="5D38A950"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Boolean structure</w:t>
            </w:r>
          </w:p>
        </w:tc>
        <w:tc>
          <w:tcPr>
            <w:tcW w:w="0" w:type="auto"/>
            <w:hideMark/>
          </w:tcPr>
          <w:p w14:paraId="61C45C92"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(Pest terms) AND (Climate terms) AND (Distribution terms)</w:t>
            </w:r>
          </w:p>
        </w:tc>
      </w:tr>
      <w:tr w:rsidR="00276377" w:rsidRPr="00276377" w14:paraId="47F1F42B" w14:textId="77777777" w:rsidTr="00276377">
        <w:tc>
          <w:tcPr>
            <w:tcW w:w="0" w:type="auto"/>
            <w:hideMark/>
          </w:tcPr>
          <w:p w14:paraId="7D667892"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Date range</w:t>
            </w:r>
          </w:p>
        </w:tc>
        <w:tc>
          <w:tcPr>
            <w:tcW w:w="0" w:type="auto"/>
            <w:hideMark/>
          </w:tcPr>
          <w:p w14:paraId="5F2C7784"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January 2000 – 26 March 2026</w:t>
            </w:r>
          </w:p>
        </w:tc>
      </w:tr>
      <w:tr w:rsidR="00276377" w:rsidRPr="00276377" w14:paraId="36B7E2D4" w14:textId="77777777" w:rsidTr="00276377">
        <w:tc>
          <w:tcPr>
            <w:tcW w:w="0" w:type="auto"/>
            <w:hideMark/>
          </w:tcPr>
          <w:p w14:paraId="28310112"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Language</w:t>
            </w:r>
          </w:p>
        </w:tc>
        <w:tc>
          <w:tcPr>
            <w:tcW w:w="0" w:type="auto"/>
            <w:hideMark/>
          </w:tcPr>
          <w:p w14:paraId="7B02D525"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English only</w:t>
            </w:r>
          </w:p>
        </w:tc>
      </w:tr>
      <w:tr w:rsidR="00276377" w:rsidRPr="00276377" w14:paraId="3097B843" w14:textId="77777777" w:rsidTr="00276377">
        <w:tc>
          <w:tcPr>
            <w:tcW w:w="0" w:type="auto"/>
            <w:hideMark/>
          </w:tcPr>
          <w:p w14:paraId="4785B88E"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Document types included</w:t>
            </w:r>
          </w:p>
        </w:tc>
        <w:tc>
          <w:tcPr>
            <w:tcW w:w="0" w:type="auto"/>
            <w:hideMark/>
          </w:tcPr>
          <w:p w14:paraId="7005FBBF"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Peer-reviewed journal articles</w:t>
            </w:r>
          </w:p>
        </w:tc>
      </w:tr>
      <w:tr w:rsidR="00276377" w:rsidRPr="00276377" w14:paraId="54704A04" w14:textId="77777777" w:rsidTr="00276377">
        <w:tc>
          <w:tcPr>
            <w:tcW w:w="0" w:type="auto"/>
            <w:hideMark/>
          </w:tcPr>
          <w:p w14:paraId="4784AF24"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Document types excluded</w:t>
            </w:r>
          </w:p>
        </w:tc>
        <w:tc>
          <w:tcPr>
            <w:tcW w:w="0" w:type="auto"/>
            <w:hideMark/>
          </w:tcPr>
          <w:p w14:paraId="483FD8E3"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Books, conference proceedings, theses, preprints, patents, trade literature</w:t>
            </w:r>
          </w:p>
        </w:tc>
      </w:tr>
      <w:tr w:rsidR="00276377" w:rsidRPr="00276377" w14:paraId="6D3279F1" w14:textId="77777777" w:rsidTr="00276377">
        <w:tc>
          <w:tcPr>
            <w:tcW w:w="0" w:type="auto"/>
            <w:hideMark/>
          </w:tcPr>
          <w:p w14:paraId="72D45537"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Review type</w:t>
            </w:r>
          </w:p>
        </w:tc>
        <w:tc>
          <w:tcPr>
            <w:tcW w:w="0" w:type="auto"/>
            <w:hideMark/>
          </w:tcPr>
          <w:p w14:paraId="56D6100C"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Narrative, following Ferrari (2015)</w:t>
            </w:r>
          </w:p>
        </w:tc>
      </w:tr>
    </w:tbl>
    <w:p w14:paraId="447D0DBC"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i/>
          <w:iCs/>
          <w:sz w:val="24"/>
          <w:szCs w:val="24"/>
          <w:lang w:eastAsia="en-GB"/>
        </w:rPr>
        <w:t>Source: compiled by the author for this review; methodological rationale drawn from Ferrari (2015).</w:t>
      </w:r>
    </w:p>
    <w:p w14:paraId="0C84B074" w14:textId="77777777" w:rsidR="00276377" w:rsidRPr="00276377" w:rsidRDefault="00276377" w:rsidP="002E5790">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276377">
        <w:rPr>
          <w:rFonts w:ascii="Times New Roman" w:eastAsia="Times New Roman" w:hAnsi="Times New Roman" w:cs="Times New Roman"/>
          <w:b/>
          <w:bCs/>
          <w:sz w:val="27"/>
          <w:szCs w:val="27"/>
          <w:lang w:eastAsia="en-GB"/>
        </w:rPr>
        <w:t>3. Thermal Biology and Physiological Drivers of Range Shift</w:t>
      </w:r>
    </w:p>
    <w:p w14:paraId="59720CBC"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 xml:space="preserve">Insects are ectothermic, meaning that body temperature, and with it the rate of nearly every physiological process, tracks ambient conditions rather than being held constant through </w:t>
      </w:r>
      <w:r w:rsidRPr="00276377">
        <w:rPr>
          <w:rFonts w:ascii="Times New Roman" w:eastAsia="Times New Roman" w:hAnsi="Times New Roman" w:cs="Times New Roman"/>
          <w:sz w:val="24"/>
          <w:szCs w:val="24"/>
          <w:lang w:eastAsia="en-GB"/>
        </w:rPr>
        <w:lastRenderedPageBreak/>
        <w:t>internal regulation. This basic biological fact underlies much of what follows in this review. Warming accelerates larval and nymphal development, shortens generation time, and, within limits, increases the number of generations a population can complete within a growing season (Bale et al., 2002). It also affects overwintering survival, since many temperate pest populations are limited less by summer conditions than by their ability to survive cold winters; milder winters allow a larger proportion of the overwintering population to persist into the following season, raising baseline population size before the growing season even begins.</w:t>
      </w:r>
    </w:p>
    <w:p w14:paraId="075F63CA"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Thermal performance in insects does not scale linearly across the full range of temperatures a species might encounter. Performance typically rises from a lower developmental threshold to an optimum, beyond which further warming becomes detrimental, and the width and asymmetry of this thermal performance curve differs substantially between species, and even between populations of the same species adapted to different climatic zones (Sinclair et al., 2016). This nonlinearity carries an important consequence for the geography of vulnerability. Populations already living close to their upper thermal limit, disproportionately concentrated in tropical and subtropical regions, may experience reduced performance or local extirpation under further warming, whereas populations in cooler temperate zones, which typically sit well below their thermal optimum, tend to benefit from moderate warming through faster development and expanded seasonal activity (Deutsch et al., 2018). This asymmetry helps explain why some of the most consequential projected increases in crop damage are expected not in the tropics, where pest pressure is already high, but in temperate breadbasket regions where insect population growth has historically been temperature-limited.</w:t>
      </w:r>
    </w:p>
    <w:p w14:paraId="7183E78A"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Precipitation exerts an influence that is less uniform in direction than temperature. Moderate drought stress can increase pest damage, as insects feed more intensively on available moisture-bearing plant tissue while plant defensive responses and natural enemy activity are simultaneously weakened, whereas heavy rainfall can physically dislodge small-bodied pests such as aphids and mites from foliage, reducing their numbers in the short term even as it creates favourable breeding conditions for other taxa, such as desert locusts, whose reproduction depends on moist soil for oviposition (Ma et al., 2025). The interaction between temperature and moisture is therefore central to any attempt to forecast pest response, and models built on temperature alone risk systematic error in regions where precipitation change is the dominant driver.</w:t>
      </w:r>
    </w:p>
    <w:p w14:paraId="6C568AF2" w14:textId="77777777" w:rsidR="00276377" w:rsidRPr="00276377" w:rsidRDefault="00276377" w:rsidP="002E5790">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276377">
        <w:rPr>
          <w:rFonts w:ascii="Times New Roman" w:eastAsia="Times New Roman" w:hAnsi="Times New Roman" w:cs="Times New Roman"/>
          <w:b/>
          <w:bCs/>
          <w:sz w:val="27"/>
          <w:szCs w:val="27"/>
          <w:lang w:eastAsia="en-GB"/>
        </w:rPr>
        <w:t>4. Observed and Projected Range Shifts: Global Patterns</w:t>
      </w:r>
    </w:p>
    <w:p w14:paraId="4F1D62D2" w14:textId="77777777" w:rsidR="00276377" w:rsidRPr="00276377" w:rsidRDefault="00276377" w:rsidP="002E5790">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4.1 Documented poleward and altitudinal movement</w:t>
      </w:r>
    </w:p>
    <w:p w14:paraId="3564E456"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 xml:space="preserve">The most comprehensive observational evidence for climate-driven pest movement comes from a global compilation of documented latitudinal shifts among crop pests and pathogens since 1960, which found an average poleward displacement in the low single-digit kilometres per year, with substantial variation among taxonomic groups and some evidence that this rate has itself accelerated in more recent decades (Bebber et al., 2013). This pattern broadly matches the wider ecological literature on climate-driven range shifts across plant and animal taxa, which established that biological systems worldwide show a coherent fingerprint of poleward and upward movement, consistent in direction and, in aggregate, in magnitude with twentieth-century warming (Parmesan &amp; Yohe, 2003). Altitudinal shifts follow a parallel logic to latitudinal ones, since temperature declines with elevation much as it declines with latitude, and montane agricultural systems in East Africa, Latin America, and parts of Asia </w:t>
      </w:r>
      <w:r w:rsidRPr="00276377">
        <w:rPr>
          <w:rFonts w:ascii="Times New Roman" w:eastAsia="Times New Roman" w:hAnsi="Times New Roman" w:cs="Times New Roman"/>
          <w:sz w:val="24"/>
          <w:szCs w:val="24"/>
          <w:lang w:eastAsia="en-GB"/>
        </w:rPr>
        <w:lastRenderedPageBreak/>
        <w:t>have documented upward movement of stemborer and other pest populations into previously cooler highland zones as those zones warm (Mwalusepo et al., 2015).</w:t>
      </w:r>
    </w:p>
    <w:p w14:paraId="7A988D1B" w14:textId="77777777" w:rsidR="00276377" w:rsidRPr="00276377" w:rsidRDefault="00276377" w:rsidP="002E5790">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4.2 Divergence between mid-high latitude and tropical responses</w:t>
      </w:r>
    </w:p>
    <w:p w14:paraId="496A4B28"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A recurring theme across the recent literature is that pests occupying mid- to high-latitude agricultural zones tend to respond more positively to warming, in terms of both range expansion and population growth, than pests already established in the tropics, where many species sit closer to their upper thermal tolerance limits (Ma et al., 2025). Projections combining insect metabolic and demographic responses with global climate models indicate that under two degrees Celsius of warming relative to pre-industrial conditions, insect-mediated yield losses could increase substantially for wheat, rice, and maize, with the largest proportional increases concentrated in temperate production regions rather than in the tropics (Deutsch et al., 2018). This finding sits somewhat against intuitive expectations that warming would simply intensify existing tropical pest pressure, and instead points to a redistribution of risk toward regions, including much of Europe, North America, and northern China, that have historically enjoyed a degree of climatic buffering against major insect pests.</w:t>
      </w:r>
    </w:p>
    <w:p w14:paraId="0DD20B3C" w14:textId="77777777" w:rsidR="00276377" w:rsidRPr="00276377" w:rsidRDefault="00276377" w:rsidP="002E5790">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4.3 Phenological and generational change accompanying range shift</w:t>
      </w:r>
    </w:p>
    <w:p w14:paraId="4E05BE22"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Range expansion is frequently accompanied by phenological advancement and an increase in the number of generations completed annually, changes that compound the effect of simple geographic spread by increasing the intensity of pest pressure within newly or already occupied territory (Lehmann et al., 2020). Long-term phenological monitoring across a wide range of taxa and trophic levels has demonstrated that different components of an ecosystem shift their seasonal timing at different rates, creating scope for mismatch between pest emergence, host-plant phenological stage, and natural enemy activity (Thackeray et al., 2016). Evidence from moth populations undergoing sustained range expansion over multi-decade timescales indicates that the pace of this expansion is itself sensitive to interannual temperature variability, with warmer years associated with stronger population growth at the expanding range margin (Betzholtz et al., 2023).</w:t>
      </w:r>
    </w:p>
    <w:p w14:paraId="4D5C072D" w14:textId="77777777" w:rsidR="00276377" w:rsidRPr="00276377" w:rsidRDefault="00276377" w:rsidP="002E5790">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4.4 Summary of documented shifts</w:t>
      </w:r>
    </w:p>
    <w:p w14:paraId="5E8C279B"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Table 2 draws together representative examples of documented and projected range shift discussed in this section, spanning aggregate multi-taxon evidence through to individual pest species, and illustrates the diversity of mechanisms, from latitudinal to altitudinal displacement, that underlie the broader pattern described above.</w:t>
      </w:r>
    </w:p>
    <w:p w14:paraId="41D8527B"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b/>
          <w:bCs/>
          <w:sz w:val="24"/>
          <w:szCs w:val="24"/>
          <w:lang w:eastAsia="en-GB"/>
        </w:rPr>
        <w:t>Table 2. Representative documented and projected range shifts among agriculturally important insect taxa</w:t>
      </w:r>
    </w:p>
    <w:tbl>
      <w:tblPr>
        <w:tblStyle w:val="TableGrid"/>
        <w:tblW w:w="0" w:type="auto"/>
        <w:tblLook w:val="04A0" w:firstRow="1" w:lastRow="0" w:firstColumn="1" w:lastColumn="0" w:noHBand="0" w:noVBand="1"/>
      </w:tblPr>
      <w:tblGrid>
        <w:gridCol w:w="2024"/>
        <w:gridCol w:w="3231"/>
        <w:gridCol w:w="2100"/>
        <w:gridCol w:w="1887"/>
      </w:tblGrid>
      <w:tr w:rsidR="00276377" w:rsidRPr="00276377" w14:paraId="29D1C10C" w14:textId="77777777" w:rsidTr="00276377">
        <w:tc>
          <w:tcPr>
            <w:tcW w:w="0" w:type="auto"/>
            <w:hideMark/>
          </w:tcPr>
          <w:p w14:paraId="22E1051D" w14:textId="77777777" w:rsidR="00276377" w:rsidRPr="00276377" w:rsidRDefault="00276377" w:rsidP="002E5790">
            <w:pPr>
              <w:jc w:val="both"/>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Taxon / pest group</w:t>
            </w:r>
          </w:p>
        </w:tc>
        <w:tc>
          <w:tcPr>
            <w:tcW w:w="0" w:type="auto"/>
            <w:hideMark/>
          </w:tcPr>
          <w:p w14:paraId="2D8DE781" w14:textId="77777777" w:rsidR="00276377" w:rsidRPr="00276377" w:rsidRDefault="00276377" w:rsidP="002E5790">
            <w:pPr>
              <w:jc w:val="both"/>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Type of shift reported</w:t>
            </w:r>
          </w:p>
        </w:tc>
        <w:tc>
          <w:tcPr>
            <w:tcW w:w="0" w:type="auto"/>
            <w:hideMark/>
          </w:tcPr>
          <w:p w14:paraId="37F6FBA8" w14:textId="77777777" w:rsidR="00276377" w:rsidRPr="00276377" w:rsidRDefault="00276377" w:rsidP="002E5790">
            <w:pPr>
              <w:jc w:val="both"/>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Approximate driver</w:t>
            </w:r>
          </w:p>
        </w:tc>
        <w:tc>
          <w:tcPr>
            <w:tcW w:w="0" w:type="auto"/>
            <w:hideMark/>
          </w:tcPr>
          <w:p w14:paraId="192133ED" w14:textId="77777777" w:rsidR="00276377" w:rsidRPr="00276377" w:rsidRDefault="00276377" w:rsidP="002E5790">
            <w:pPr>
              <w:jc w:val="both"/>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Key reference</w:t>
            </w:r>
          </w:p>
        </w:tc>
      </w:tr>
      <w:tr w:rsidR="00276377" w:rsidRPr="00276377" w14:paraId="2922CACA" w14:textId="77777777" w:rsidTr="00276377">
        <w:tc>
          <w:tcPr>
            <w:tcW w:w="0" w:type="auto"/>
            <w:hideMark/>
          </w:tcPr>
          <w:p w14:paraId="6EE7BACE"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Aggregate crop pests and pathogens (multiple taxa)</w:t>
            </w:r>
          </w:p>
        </w:tc>
        <w:tc>
          <w:tcPr>
            <w:tcW w:w="0" w:type="auto"/>
            <w:hideMark/>
          </w:tcPr>
          <w:p w14:paraId="4AF65BAF"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Poleward shift, several km per year since 1960</w:t>
            </w:r>
          </w:p>
        </w:tc>
        <w:tc>
          <w:tcPr>
            <w:tcW w:w="0" w:type="auto"/>
            <w:hideMark/>
          </w:tcPr>
          <w:p w14:paraId="6828234F"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Warming-driven latitudinal expansion</w:t>
            </w:r>
          </w:p>
        </w:tc>
        <w:tc>
          <w:tcPr>
            <w:tcW w:w="0" w:type="auto"/>
            <w:hideMark/>
          </w:tcPr>
          <w:p w14:paraId="66DF8CA0"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Bebber et al. (2013)</w:t>
            </w:r>
          </w:p>
        </w:tc>
      </w:tr>
      <w:tr w:rsidR="00276377" w:rsidRPr="00276377" w14:paraId="7B95D140" w14:textId="77777777" w:rsidTr="00276377">
        <w:tc>
          <w:tcPr>
            <w:tcW w:w="0" w:type="auto"/>
            <w:hideMark/>
          </w:tcPr>
          <w:p w14:paraId="36CA7A1B"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Fall armyworm (</w:t>
            </w:r>
            <w:r w:rsidRPr="00276377">
              <w:rPr>
                <w:rFonts w:ascii="Times New Roman" w:eastAsia="Times New Roman" w:hAnsi="Times New Roman" w:cs="Times New Roman"/>
                <w:i/>
                <w:iCs/>
                <w:sz w:val="24"/>
                <w:szCs w:val="24"/>
                <w:lang w:eastAsia="en-GB"/>
              </w:rPr>
              <w:t xml:space="preserve">Spodoptera </w:t>
            </w:r>
            <w:r w:rsidRPr="00276377">
              <w:rPr>
                <w:rFonts w:ascii="Times New Roman" w:eastAsia="Times New Roman" w:hAnsi="Times New Roman" w:cs="Times New Roman"/>
                <w:i/>
                <w:iCs/>
                <w:sz w:val="24"/>
                <w:szCs w:val="24"/>
                <w:lang w:eastAsia="en-GB"/>
              </w:rPr>
              <w:lastRenderedPageBreak/>
              <w:t>frugiperda</w:t>
            </w:r>
            <w:r w:rsidRPr="00276377">
              <w:rPr>
                <w:rFonts w:ascii="Times New Roman" w:eastAsia="Times New Roman" w:hAnsi="Times New Roman" w:cs="Times New Roman"/>
                <w:sz w:val="24"/>
                <w:szCs w:val="24"/>
                <w:lang w:eastAsia="en-GB"/>
              </w:rPr>
              <w:t>)</w:t>
            </w:r>
          </w:p>
        </w:tc>
        <w:tc>
          <w:tcPr>
            <w:tcW w:w="0" w:type="auto"/>
            <w:hideMark/>
          </w:tcPr>
          <w:p w14:paraId="10BB25AB"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lastRenderedPageBreak/>
              <w:t xml:space="preserve">Global range expansion from the Americas into Africa, Asia, </w:t>
            </w:r>
            <w:r w:rsidRPr="00276377">
              <w:rPr>
                <w:rFonts w:ascii="Times New Roman" w:eastAsia="Times New Roman" w:hAnsi="Times New Roman" w:cs="Times New Roman"/>
                <w:sz w:val="24"/>
                <w:szCs w:val="24"/>
                <w:lang w:eastAsia="en-GB"/>
              </w:rPr>
              <w:lastRenderedPageBreak/>
              <w:t>Oceania</w:t>
            </w:r>
          </w:p>
        </w:tc>
        <w:tc>
          <w:tcPr>
            <w:tcW w:w="0" w:type="auto"/>
            <w:hideMark/>
          </w:tcPr>
          <w:p w14:paraId="76A0CC03"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lastRenderedPageBreak/>
              <w:t>Thermal tolerance and multivoltinism</w:t>
            </w:r>
          </w:p>
        </w:tc>
        <w:tc>
          <w:tcPr>
            <w:tcW w:w="0" w:type="auto"/>
            <w:hideMark/>
          </w:tcPr>
          <w:p w14:paraId="11BF8674"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Zacarias (2020); Yan et al. (2022)</w:t>
            </w:r>
          </w:p>
        </w:tc>
      </w:tr>
      <w:tr w:rsidR="00276377" w:rsidRPr="00276377" w14:paraId="4EC1A740" w14:textId="77777777" w:rsidTr="00276377">
        <w:tc>
          <w:tcPr>
            <w:tcW w:w="0" w:type="auto"/>
            <w:hideMark/>
          </w:tcPr>
          <w:p w14:paraId="3D897E89"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Cotton leafworm (</w:t>
            </w:r>
            <w:r w:rsidRPr="00276377">
              <w:rPr>
                <w:rFonts w:ascii="Times New Roman" w:eastAsia="Times New Roman" w:hAnsi="Times New Roman" w:cs="Times New Roman"/>
                <w:i/>
                <w:iCs/>
                <w:sz w:val="24"/>
                <w:szCs w:val="24"/>
                <w:lang w:eastAsia="en-GB"/>
              </w:rPr>
              <w:t>Spodoptera littoralis</w:t>
            </w:r>
            <w:r w:rsidRPr="00276377">
              <w:rPr>
                <w:rFonts w:ascii="Times New Roman" w:eastAsia="Times New Roman" w:hAnsi="Times New Roman" w:cs="Times New Roman"/>
                <w:sz w:val="24"/>
                <w:szCs w:val="24"/>
                <w:lang w:eastAsia="en-GB"/>
              </w:rPr>
              <w:t>)</w:t>
            </w:r>
          </w:p>
        </w:tc>
        <w:tc>
          <w:tcPr>
            <w:tcW w:w="0" w:type="auto"/>
            <w:hideMark/>
          </w:tcPr>
          <w:p w14:paraId="5EC81207"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Projected expansion into northern Europe and the Americas</w:t>
            </w:r>
          </w:p>
        </w:tc>
        <w:tc>
          <w:tcPr>
            <w:tcW w:w="0" w:type="auto"/>
            <w:hideMark/>
          </w:tcPr>
          <w:p w14:paraId="3C688297"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Bioclimatic niche shift under RCP scenarios</w:t>
            </w:r>
          </w:p>
        </w:tc>
        <w:tc>
          <w:tcPr>
            <w:tcW w:w="0" w:type="auto"/>
            <w:hideMark/>
          </w:tcPr>
          <w:p w14:paraId="1066B1DA"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ElShahed et al. (2023)</w:t>
            </w:r>
          </w:p>
        </w:tc>
      </w:tr>
      <w:tr w:rsidR="00276377" w:rsidRPr="00276377" w14:paraId="089D9BB2" w14:textId="77777777" w:rsidTr="00276377">
        <w:tc>
          <w:tcPr>
            <w:tcW w:w="0" w:type="auto"/>
            <w:hideMark/>
          </w:tcPr>
          <w:p w14:paraId="763A1EC9"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Maize stemborers (multiple species)</w:t>
            </w:r>
          </w:p>
        </w:tc>
        <w:tc>
          <w:tcPr>
            <w:tcW w:w="0" w:type="auto"/>
            <w:hideMark/>
          </w:tcPr>
          <w:p w14:paraId="2EBBEB5F"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Altitudinal shift into East African highlands; developmental divergence between temperate and tropical populations</w:t>
            </w:r>
          </w:p>
        </w:tc>
        <w:tc>
          <w:tcPr>
            <w:tcW w:w="0" w:type="auto"/>
            <w:hideMark/>
          </w:tcPr>
          <w:p w14:paraId="7A417A25"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Warming of previously cool highland zones</w:t>
            </w:r>
          </w:p>
        </w:tc>
        <w:tc>
          <w:tcPr>
            <w:tcW w:w="0" w:type="auto"/>
            <w:hideMark/>
          </w:tcPr>
          <w:p w14:paraId="3CF7C717"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Mwalusepo et al. (2015); Régnier et al. (2023)</w:t>
            </w:r>
          </w:p>
        </w:tc>
      </w:tr>
      <w:tr w:rsidR="00276377" w:rsidRPr="00276377" w14:paraId="003D54AF" w14:textId="77777777" w:rsidTr="00276377">
        <w:tc>
          <w:tcPr>
            <w:tcW w:w="0" w:type="auto"/>
            <w:hideMark/>
          </w:tcPr>
          <w:p w14:paraId="216AA314"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Range-expanding moths (multiple species)</w:t>
            </w:r>
          </w:p>
        </w:tc>
        <w:tc>
          <w:tcPr>
            <w:tcW w:w="0" w:type="auto"/>
            <w:hideMark/>
          </w:tcPr>
          <w:p w14:paraId="12FEFE93"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Sustained multi-decade poleward expansion</w:t>
            </w:r>
          </w:p>
        </w:tc>
        <w:tc>
          <w:tcPr>
            <w:tcW w:w="0" w:type="auto"/>
            <w:hideMark/>
          </w:tcPr>
          <w:p w14:paraId="5B790BBE"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Interannual temperature variability</w:t>
            </w:r>
          </w:p>
        </w:tc>
        <w:tc>
          <w:tcPr>
            <w:tcW w:w="0" w:type="auto"/>
            <w:hideMark/>
          </w:tcPr>
          <w:p w14:paraId="4DC456A8"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Betzholtz et al. (2023)</w:t>
            </w:r>
          </w:p>
        </w:tc>
      </w:tr>
      <w:tr w:rsidR="00276377" w:rsidRPr="00276377" w14:paraId="64530BB8" w14:textId="77777777" w:rsidTr="00276377">
        <w:tc>
          <w:tcPr>
            <w:tcW w:w="0" w:type="auto"/>
            <w:hideMark/>
          </w:tcPr>
          <w:p w14:paraId="4BE67565"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Rice stem borers and leaffolders</w:t>
            </w:r>
          </w:p>
        </w:tc>
        <w:tc>
          <w:tcPr>
            <w:tcW w:w="0" w:type="auto"/>
            <w:hideMark/>
          </w:tcPr>
          <w:p w14:paraId="633289E5"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Altered outbreak timing and intensity</w:t>
            </w:r>
          </w:p>
        </w:tc>
        <w:tc>
          <w:tcPr>
            <w:tcW w:w="0" w:type="auto"/>
            <w:hideMark/>
          </w:tcPr>
          <w:p w14:paraId="24E0F521"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Warming-driven phenological advance</w:t>
            </w:r>
          </w:p>
        </w:tc>
        <w:tc>
          <w:tcPr>
            <w:tcW w:w="0" w:type="auto"/>
            <w:hideMark/>
          </w:tcPr>
          <w:p w14:paraId="6528ABC8"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Krishnan &amp; Chander (2015); Ali et al. (2019)</w:t>
            </w:r>
          </w:p>
        </w:tc>
      </w:tr>
    </w:tbl>
    <w:p w14:paraId="60F5798B" w14:textId="77777777" w:rsidR="00276377" w:rsidRPr="00276377" w:rsidRDefault="00276377" w:rsidP="002E5790">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276377">
        <w:rPr>
          <w:rFonts w:ascii="Times New Roman" w:eastAsia="Times New Roman" w:hAnsi="Times New Roman" w:cs="Times New Roman"/>
          <w:b/>
          <w:bCs/>
          <w:sz w:val="27"/>
          <w:szCs w:val="27"/>
          <w:lang w:eastAsia="en-GB"/>
        </w:rPr>
        <w:t>5. Case Studies of Redrawn Crop Vulnerability</w:t>
      </w:r>
    </w:p>
    <w:p w14:paraId="4444B252" w14:textId="77777777" w:rsidR="00276377" w:rsidRPr="00276377" w:rsidRDefault="00276377" w:rsidP="002E5790">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5.1 Fall armyworm and the reshaping of maize vulnerability</w:t>
      </w:r>
    </w:p>
    <w:p w14:paraId="1A79D20D"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The fall armyworm, native to the tropical and subtropical Americas, has become one of the most widely studied examples of climate-associated pest redistribution following its rapid spread across Africa, Asia, and Oceania over the past decade. Bioclimatic suitability modelling projects further increases in the area climatically suitable for the species under future emission scenarios, with the largest gains concentrated at the current climatic margins of its range, including border areas of North America, sub-Saharan Africa, and parts of central Europe (Zacarias, 2020). Because the species lacks an obligate diapause mechanism, its population dynamics are strongly temperature-dependent, and warming is expected to influence not only where the pest can establish but also the number of generations it completes and the intensity of the damage it inflicts on maize once established (Yan et al., 2022). The fall armyworm case illustrates a broader pattern in this literature: species with high thermal tolerance, strong dispersal ability, and a broad host range are disproportionately likely to be the ones whose ranges expand fastest under warming, making them useful bellwethers for the wider phenomenon of climate-driven crop vulnerability redistribution.</w:t>
      </w:r>
    </w:p>
    <w:p w14:paraId="4E7C0388" w14:textId="77777777" w:rsidR="00276377" w:rsidRPr="00276377" w:rsidRDefault="00276377" w:rsidP="002E5790">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5.2 Cotton leafworm and Mediterranean-to-temperate spread</w:t>
      </w:r>
    </w:p>
    <w:p w14:paraId="06A044D6"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The Egyptian cotton leafworm, currently concentrated across Africa, the Middle East, and southern Europe, offers a further illustration of poleward bioclimatic expansion. Maximum entropy modelling under multiple representative concentration pathways projects a shift of suitable habitat toward northern Europe and into the Americas, alongside emerging suitability in parts of China, with implications for trade flows in host crops given the pest's broad polyphagy (ElShahed et al., 2023). This case underscores that range-shift modelling outputs have practical relevance beyond ecological interest, since shifts in pest suitability feed directly into biosecurity risk assessment and the design of phytosanitary trade measures.</w:t>
      </w:r>
    </w:p>
    <w:p w14:paraId="4D7D83B5" w14:textId="77777777" w:rsidR="00276377" w:rsidRPr="00276377" w:rsidRDefault="00276377" w:rsidP="002E5790">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5.3 Maize stemborers and altitudinal redistribution in East Africa</w:t>
      </w:r>
    </w:p>
    <w:p w14:paraId="633298E8"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 xml:space="preserve">Montane maize-growing systems in East Africa present a distinct manifestation of climate-driven vulnerability redistribution, in which the relevant gradient is altitudinal rather than </w:t>
      </w:r>
      <w:r w:rsidRPr="00276377">
        <w:rPr>
          <w:rFonts w:ascii="Times New Roman" w:eastAsia="Times New Roman" w:hAnsi="Times New Roman" w:cs="Times New Roman"/>
          <w:sz w:val="24"/>
          <w:szCs w:val="24"/>
          <w:lang w:eastAsia="en-GB"/>
        </w:rPr>
        <w:lastRenderedPageBreak/>
        <w:t>latitudinal. Phenology-based modelling along East African mountain gradients projects that warming will shift the potential distribution of major stemborer species upward into previously cooler highland zones that have historically supported lower pest pressure, while simultaneously altering the spatial overlap between these pests and their natural enemies (Mwalusepo et al., 2015). This decoupling between pest and natural enemy distributions is a recurring theme, since biological control efficacy depends on continued spatial and temporal coincidence between control agents and their targets, and climate change does not necessarily preserve that coincidence (</w:t>
      </w:r>
      <w:r w:rsidRPr="00276377">
        <w:rPr>
          <w:rFonts w:ascii="Times New Roman" w:eastAsia="Times New Roman" w:hAnsi="Times New Roman" w:cs="Times New Roman"/>
          <w:b/>
          <w:bCs/>
          <w:sz w:val="24"/>
          <w:szCs w:val="24"/>
          <w:lang w:eastAsia="en-GB"/>
        </w:rPr>
        <w:t>Jendritzki et al., 2023</w:t>
      </w:r>
      <w:r w:rsidRPr="00276377">
        <w:rPr>
          <w:rFonts w:ascii="Times New Roman" w:eastAsia="Times New Roman" w:hAnsi="Times New Roman" w:cs="Times New Roman"/>
          <w:sz w:val="24"/>
          <w:szCs w:val="24"/>
          <w:lang w:eastAsia="en-GB"/>
        </w:rPr>
        <w:t>). Comparative studies of stemborer development under temperate versus tropical thermal regimes further show that populations in different climatic zones follow distinct developmental trajectories under warming, complicating the assumption that a single climate-response function can be applied uniformly across a species' entire range (Régnier et al., 2023).</w:t>
      </w:r>
    </w:p>
    <w:p w14:paraId="2720FA8A" w14:textId="77777777" w:rsidR="00276377" w:rsidRPr="00276377" w:rsidRDefault="00276377" w:rsidP="002E5790">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5.4 Rice pests and phenological reorganisation in Asian cropping systems</w:t>
      </w:r>
    </w:p>
    <w:p w14:paraId="37383615"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Rice production systems illustrate how climate-driven change need not always take the form of large-scale geographic redistribution but can instead manifest primarily as altered timing and intensity of existing pest pressure. Simulation modelling of rice pink stem borer dynamics under climate change scenarios in South Asia projects shifts in the timing and severity of outbreak periods relative to the crop's developmental stages (Krishnan &amp; Chander, 2015). Field and experimental evidence on rice leaffolder populations similarly indicates that elevated temperatures are associated with earlier and more intense outbreak events (</w:t>
      </w:r>
      <w:r w:rsidRPr="00276377">
        <w:rPr>
          <w:rFonts w:ascii="Times New Roman" w:eastAsia="Times New Roman" w:hAnsi="Times New Roman" w:cs="Times New Roman"/>
          <w:b/>
          <w:bCs/>
          <w:sz w:val="24"/>
          <w:szCs w:val="24"/>
          <w:lang w:eastAsia="en-GB"/>
        </w:rPr>
        <w:t>Ali et al., 2019</w:t>
      </w:r>
      <w:r w:rsidRPr="00276377">
        <w:rPr>
          <w:rFonts w:ascii="Times New Roman" w:eastAsia="Times New Roman" w:hAnsi="Times New Roman" w:cs="Times New Roman"/>
          <w:sz w:val="24"/>
          <w:szCs w:val="24"/>
          <w:lang w:eastAsia="en-GB"/>
        </w:rPr>
        <w:t>), while comparable warming-driven changes have been documented for the yellow stem borer, a major pest of paddy rice across South and Southeast Asia (</w:t>
      </w:r>
      <w:r w:rsidRPr="00276377">
        <w:rPr>
          <w:rFonts w:ascii="Times New Roman" w:eastAsia="Times New Roman" w:hAnsi="Times New Roman" w:cs="Times New Roman"/>
          <w:b/>
          <w:bCs/>
          <w:sz w:val="24"/>
          <w:szCs w:val="24"/>
          <w:lang w:eastAsia="en-GB"/>
        </w:rPr>
        <w:t>Ali et al., 2020</w:t>
      </w:r>
      <w:r w:rsidRPr="00276377">
        <w:rPr>
          <w:rFonts w:ascii="Times New Roman" w:eastAsia="Times New Roman" w:hAnsi="Times New Roman" w:cs="Times New Roman"/>
          <w:sz w:val="24"/>
          <w:szCs w:val="24"/>
          <w:lang w:eastAsia="en-GB"/>
        </w:rPr>
        <w:t>). Collectively, these rice-system studies demonstrate that redrawing the map of crop vulnerability is not solely a matter of where a pest can survive, but also of when within the cropping calendar its pressure is concentrated relative to the vulnerable developmental stages of the host crop.</w:t>
      </w:r>
    </w:p>
    <w:p w14:paraId="027F9514" w14:textId="77777777" w:rsidR="00276377" w:rsidRPr="00276377" w:rsidRDefault="00276377" w:rsidP="002E5790">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5.5 Summary of case study evidence</w:t>
      </w:r>
    </w:p>
    <w:p w14:paraId="7386E4BF"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Table 3 brings together the five case studies discussed above, allowing direct comparison of the type of vulnerability change each represents, whether primarily geographic, altitudinal, or temporal, and the crop system affected.</w:t>
      </w:r>
    </w:p>
    <w:p w14:paraId="19027458"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b/>
          <w:bCs/>
          <w:sz w:val="24"/>
          <w:szCs w:val="24"/>
          <w:lang w:eastAsia="en-GB"/>
        </w:rPr>
        <w:t>Table 3. Comparative summary of case study evidence on climate-driven crop vulnerability</w:t>
      </w:r>
    </w:p>
    <w:tbl>
      <w:tblPr>
        <w:tblStyle w:val="TableGrid"/>
        <w:tblW w:w="0" w:type="auto"/>
        <w:tblLook w:val="04A0" w:firstRow="1" w:lastRow="0" w:firstColumn="1" w:lastColumn="0" w:noHBand="0" w:noVBand="1"/>
      </w:tblPr>
      <w:tblGrid>
        <w:gridCol w:w="1917"/>
        <w:gridCol w:w="1459"/>
        <w:gridCol w:w="3086"/>
        <w:gridCol w:w="2780"/>
      </w:tblGrid>
      <w:tr w:rsidR="00276377" w:rsidRPr="00276377" w14:paraId="0006BF26" w14:textId="77777777" w:rsidTr="00276377">
        <w:tc>
          <w:tcPr>
            <w:tcW w:w="0" w:type="auto"/>
            <w:hideMark/>
          </w:tcPr>
          <w:p w14:paraId="0E360F3E" w14:textId="77777777" w:rsidR="00276377" w:rsidRPr="00276377" w:rsidRDefault="00276377" w:rsidP="002E5790">
            <w:pPr>
              <w:jc w:val="both"/>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Case study system</w:t>
            </w:r>
          </w:p>
        </w:tc>
        <w:tc>
          <w:tcPr>
            <w:tcW w:w="0" w:type="auto"/>
            <w:hideMark/>
          </w:tcPr>
          <w:p w14:paraId="4AF364A3" w14:textId="77777777" w:rsidR="00276377" w:rsidRPr="00276377" w:rsidRDefault="00276377" w:rsidP="002E5790">
            <w:pPr>
              <w:jc w:val="both"/>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Primary crop affected</w:t>
            </w:r>
          </w:p>
        </w:tc>
        <w:tc>
          <w:tcPr>
            <w:tcW w:w="0" w:type="auto"/>
            <w:hideMark/>
          </w:tcPr>
          <w:p w14:paraId="76689402" w14:textId="77777777" w:rsidR="00276377" w:rsidRPr="00276377" w:rsidRDefault="00276377" w:rsidP="002E5790">
            <w:pPr>
              <w:jc w:val="both"/>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Nature of vulnerability change</w:t>
            </w:r>
          </w:p>
        </w:tc>
        <w:tc>
          <w:tcPr>
            <w:tcW w:w="0" w:type="auto"/>
            <w:hideMark/>
          </w:tcPr>
          <w:p w14:paraId="250305EB" w14:textId="77777777" w:rsidR="00276377" w:rsidRPr="00276377" w:rsidRDefault="00276377" w:rsidP="002E5790">
            <w:pPr>
              <w:jc w:val="both"/>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Supporting evidence</w:t>
            </w:r>
          </w:p>
        </w:tc>
      </w:tr>
      <w:tr w:rsidR="00276377" w:rsidRPr="00276377" w14:paraId="73AC00E1" w14:textId="77777777" w:rsidTr="00276377">
        <w:tc>
          <w:tcPr>
            <w:tcW w:w="0" w:type="auto"/>
            <w:hideMark/>
          </w:tcPr>
          <w:p w14:paraId="1DDFBFD1"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Fall armyworm</w:t>
            </w:r>
          </w:p>
        </w:tc>
        <w:tc>
          <w:tcPr>
            <w:tcW w:w="0" w:type="auto"/>
            <w:hideMark/>
          </w:tcPr>
          <w:p w14:paraId="2BCE7272"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Maize</w:t>
            </w:r>
          </w:p>
        </w:tc>
        <w:tc>
          <w:tcPr>
            <w:tcW w:w="0" w:type="auto"/>
            <w:hideMark/>
          </w:tcPr>
          <w:p w14:paraId="2A094566"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Continental-scale range expansion; increased generations per year</w:t>
            </w:r>
          </w:p>
        </w:tc>
        <w:tc>
          <w:tcPr>
            <w:tcW w:w="0" w:type="auto"/>
            <w:hideMark/>
          </w:tcPr>
          <w:p w14:paraId="40B8268F"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Zacarias (2020); Yan et al. (2022)</w:t>
            </w:r>
          </w:p>
        </w:tc>
      </w:tr>
      <w:tr w:rsidR="00276377" w:rsidRPr="00276377" w14:paraId="08D1DE52" w14:textId="77777777" w:rsidTr="00276377">
        <w:tc>
          <w:tcPr>
            <w:tcW w:w="0" w:type="auto"/>
            <w:hideMark/>
          </w:tcPr>
          <w:p w14:paraId="28AABC23"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Cotton leafworm</w:t>
            </w:r>
          </w:p>
        </w:tc>
        <w:tc>
          <w:tcPr>
            <w:tcW w:w="0" w:type="auto"/>
            <w:hideMark/>
          </w:tcPr>
          <w:p w14:paraId="3900630E"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Cotton and diverse hosts</w:t>
            </w:r>
          </w:p>
        </w:tc>
        <w:tc>
          <w:tcPr>
            <w:tcW w:w="0" w:type="auto"/>
            <w:hideMark/>
          </w:tcPr>
          <w:p w14:paraId="5EE4EFD8"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Poleward bioclimatic suitability shift; trade-relevant biosecurity implications</w:t>
            </w:r>
          </w:p>
        </w:tc>
        <w:tc>
          <w:tcPr>
            <w:tcW w:w="0" w:type="auto"/>
            <w:hideMark/>
          </w:tcPr>
          <w:p w14:paraId="0FD2108E"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ElShahed et al. (2023)</w:t>
            </w:r>
          </w:p>
        </w:tc>
      </w:tr>
      <w:tr w:rsidR="00276377" w:rsidRPr="00276377" w14:paraId="38CAB18E" w14:textId="77777777" w:rsidTr="00276377">
        <w:tc>
          <w:tcPr>
            <w:tcW w:w="0" w:type="auto"/>
            <w:hideMark/>
          </w:tcPr>
          <w:p w14:paraId="764AB53F"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Maize stemborers</w:t>
            </w:r>
          </w:p>
        </w:tc>
        <w:tc>
          <w:tcPr>
            <w:tcW w:w="0" w:type="auto"/>
            <w:hideMark/>
          </w:tcPr>
          <w:p w14:paraId="2B181A57"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Maize</w:t>
            </w:r>
          </w:p>
        </w:tc>
        <w:tc>
          <w:tcPr>
            <w:tcW w:w="0" w:type="auto"/>
            <w:hideMark/>
          </w:tcPr>
          <w:p w14:paraId="56B7372C"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 xml:space="preserve">Altitudinal redistribution; pest–natural enemy </w:t>
            </w:r>
            <w:r w:rsidRPr="00276377">
              <w:rPr>
                <w:rFonts w:ascii="Times New Roman" w:eastAsia="Times New Roman" w:hAnsi="Times New Roman" w:cs="Times New Roman"/>
                <w:sz w:val="24"/>
                <w:szCs w:val="24"/>
                <w:lang w:eastAsia="en-GB"/>
              </w:rPr>
              <w:lastRenderedPageBreak/>
              <w:t>decoupling</w:t>
            </w:r>
          </w:p>
        </w:tc>
        <w:tc>
          <w:tcPr>
            <w:tcW w:w="0" w:type="auto"/>
            <w:hideMark/>
          </w:tcPr>
          <w:p w14:paraId="4DCC7C55"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lastRenderedPageBreak/>
              <w:t xml:space="preserve">Mwalusepo et al. (2015); Jendritzki et al. (2023); </w:t>
            </w:r>
            <w:r w:rsidRPr="00276377">
              <w:rPr>
                <w:rFonts w:ascii="Times New Roman" w:eastAsia="Times New Roman" w:hAnsi="Times New Roman" w:cs="Times New Roman"/>
                <w:sz w:val="24"/>
                <w:szCs w:val="24"/>
                <w:lang w:eastAsia="en-GB"/>
              </w:rPr>
              <w:lastRenderedPageBreak/>
              <w:t>Régnier et al. (2023)</w:t>
            </w:r>
          </w:p>
        </w:tc>
      </w:tr>
      <w:tr w:rsidR="00276377" w:rsidRPr="00276377" w14:paraId="109B78D4" w14:textId="77777777" w:rsidTr="00276377">
        <w:tc>
          <w:tcPr>
            <w:tcW w:w="0" w:type="auto"/>
            <w:hideMark/>
          </w:tcPr>
          <w:p w14:paraId="530A64E9"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lastRenderedPageBreak/>
              <w:t>Rice pink stem borer</w:t>
            </w:r>
          </w:p>
        </w:tc>
        <w:tc>
          <w:tcPr>
            <w:tcW w:w="0" w:type="auto"/>
            <w:hideMark/>
          </w:tcPr>
          <w:p w14:paraId="50CE0DB1"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Rice</w:t>
            </w:r>
          </w:p>
        </w:tc>
        <w:tc>
          <w:tcPr>
            <w:tcW w:w="0" w:type="auto"/>
            <w:hideMark/>
          </w:tcPr>
          <w:p w14:paraId="0BF03158"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Altered outbreak timing relative to crop growth stage</w:t>
            </w:r>
          </w:p>
        </w:tc>
        <w:tc>
          <w:tcPr>
            <w:tcW w:w="0" w:type="auto"/>
            <w:hideMark/>
          </w:tcPr>
          <w:p w14:paraId="18A1C1FB"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Krishnan &amp; Chander (2015)</w:t>
            </w:r>
          </w:p>
        </w:tc>
      </w:tr>
      <w:tr w:rsidR="00276377" w:rsidRPr="00276377" w14:paraId="772E6764" w14:textId="77777777" w:rsidTr="00276377">
        <w:tc>
          <w:tcPr>
            <w:tcW w:w="0" w:type="auto"/>
            <w:hideMark/>
          </w:tcPr>
          <w:p w14:paraId="37770ACC"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Rice leaffolder and yellow stem borer</w:t>
            </w:r>
          </w:p>
        </w:tc>
        <w:tc>
          <w:tcPr>
            <w:tcW w:w="0" w:type="auto"/>
            <w:hideMark/>
          </w:tcPr>
          <w:p w14:paraId="6CE60D46"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Rice</w:t>
            </w:r>
          </w:p>
        </w:tc>
        <w:tc>
          <w:tcPr>
            <w:tcW w:w="0" w:type="auto"/>
            <w:hideMark/>
          </w:tcPr>
          <w:p w14:paraId="5098161D"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Earlier, more intense outbreaks under warming</w:t>
            </w:r>
          </w:p>
        </w:tc>
        <w:tc>
          <w:tcPr>
            <w:tcW w:w="0" w:type="auto"/>
            <w:hideMark/>
          </w:tcPr>
          <w:p w14:paraId="75952EB9"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Ali et al. (2019); Ali et al. (2020)</w:t>
            </w:r>
          </w:p>
        </w:tc>
      </w:tr>
    </w:tbl>
    <w:p w14:paraId="4A414EA7" w14:textId="77777777" w:rsidR="00276377" w:rsidRPr="00276377" w:rsidRDefault="00276377" w:rsidP="002E5790">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276377">
        <w:rPr>
          <w:rFonts w:ascii="Times New Roman" w:eastAsia="Times New Roman" w:hAnsi="Times New Roman" w:cs="Times New Roman"/>
          <w:b/>
          <w:bCs/>
          <w:sz w:val="27"/>
          <w:szCs w:val="27"/>
          <w:lang w:eastAsia="en-GB"/>
        </w:rPr>
        <w:t>6. Elevated Carbon Dioxide, Host-Plant Chemistry, and Indirect Effects</w:t>
      </w:r>
    </w:p>
    <w:p w14:paraId="46734917"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Temperature is the dominant abiotic driver of insect range shift, but rising atmospheric carbon dioxide concentration introduces an additional, indirect pathway of influence that operates through changes in host-plant physiology rather than through direct effects on insect metabolism. Plants grown under elevated carbon dioxide typically show reduced foliar nitrogen concentration and altered carbon-to-nitrogen ratios, and earlier research found that chewing herbivores reared on such foliage often experience longer developmental times, reduced survivorship, and lower fecundity, consistent with a general nutritional dilution effect (Robinson et al., 2012). This relationship, however, is not universal. Experimental work on cotton bollworm feeding on lucerne grown under elevated carbon dioxide found that reduced jasmonate-mediated defensive signalling in the host plant more than offset the modest decline in nutritional quality, resulting in increased rather than decreased herbivore growth rate, a finding that runs directly against the assumption that elevated carbon dioxide is uniformly detrimental to herbivore performance (Johnson et al., 2020). Broader mechanistic reviews of insect herbivory under elevated carbon dioxide likewise emphasise that outcomes depend on the specific combination of host-plant species, herbivore feeding guild, and the balance between nutritional and defensive chemical changes, rather than following a single predictable direction (Zavala et al., 2013).</w:t>
      </w:r>
    </w:p>
    <w:p w14:paraId="4FC7CAD3"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This complexity has direct implications for range-shift forecasting. Models that project pest distribution primarily on the basis of temperature-driven thermal suitability risk omitting a pathway through which carbon dioxide enrichment could independently increase herbivore performance and, by extension, damage potential, even in regions where temperature change alone would not obviously favour the pest. Conversely, in host-plant systems where nutritional dilution dominates over defence suppression, elevated carbon dioxide could partially offset temperature-driven increases in pest pressure by reducing food quality. The net effect is therefore host-plant-specific and cannot be reliably generalised across crop systems without species-level experimental data, and this remains one of the more persistent sources of uncertainty in projecting future crop vulnerability under combined climate change.</w:t>
      </w:r>
    </w:p>
    <w:p w14:paraId="3EBCE7D4" w14:textId="77777777" w:rsidR="00276377" w:rsidRPr="00276377" w:rsidRDefault="00276377" w:rsidP="002E5790">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276377">
        <w:rPr>
          <w:rFonts w:ascii="Times New Roman" w:eastAsia="Times New Roman" w:hAnsi="Times New Roman" w:cs="Times New Roman"/>
          <w:b/>
          <w:bCs/>
          <w:sz w:val="27"/>
          <w:szCs w:val="27"/>
          <w:lang w:eastAsia="en-GB"/>
        </w:rPr>
        <w:t>7. Phenological Shifts, Voltinism, and Trophic Mismatch</w:t>
      </w:r>
    </w:p>
    <w:p w14:paraId="70168E6C"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 xml:space="preserve">Beyond geographic redistribution, a second major consequence of climate change for insect pests is a reorganisation of seasonal timing. Warmer springs advance the onset of insect activity, and warmer summers extend the period over which development can occur, frequently permitting an additional generation to be completed within a single growing season, a phenomenon sometimes termed voltinism shift (Betzholtz et al., 2023). Long-term monitoring across multiple taxa and trophic levels shows that this phenological advancement is not occurring at a uniform rate across all components of an ecosystem, opening the door to temporal mismatch between insect pests, the developmental stages of their host plants, and the activity periods of their natural enemies (Thackeray et al., 2016). Where such mismatch favours the pest, for example when natural enemy emergence lags behind that of the pest </w:t>
      </w:r>
      <w:r w:rsidRPr="00276377">
        <w:rPr>
          <w:rFonts w:ascii="Times New Roman" w:eastAsia="Times New Roman" w:hAnsi="Times New Roman" w:cs="Times New Roman"/>
          <w:sz w:val="24"/>
          <w:szCs w:val="24"/>
          <w:lang w:eastAsia="en-GB"/>
        </w:rPr>
        <w:lastRenderedPageBreak/>
        <w:t>under warming, the result can be an effective release from top-down biological control even in the absence of any change in pest range or abundance driven directly by climate.</w:t>
      </w:r>
    </w:p>
    <w:p w14:paraId="2C62C058"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Evidence from Lepidoptera populations across multiple regions indicates that species are adapting their annual life cycles to remain active across a longer proportion of the calendar year as warming proceeds, with some previously univoltine species shifting toward multivoltine life histories (Habel et al., 2024). This shift in generation number compounds the effect of range expansion: a pest that both expands into new territory and completes more generations per year within that territory poses a substantially greater cumulative threat than either change would produce in isolation. The interaction between voltinism shift and range shift is therefore not simply additive but likely synergistic in many pest systems, a consideration that simple range-shift maps based on single-generation suitability thresholds may understate.</w:t>
      </w:r>
    </w:p>
    <w:p w14:paraId="6379B43A" w14:textId="77777777" w:rsidR="00276377" w:rsidRPr="00276377" w:rsidRDefault="00276377" w:rsidP="002E5790">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276377">
        <w:rPr>
          <w:rFonts w:ascii="Times New Roman" w:eastAsia="Times New Roman" w:hAnsi="Times New Roman" w:cs="Times New Roman"/>
          <w:b/>
          <w:bCs/>
          <w:sz w:val="27"/>
          <w:szCs w:val="27"/>
          <w:lang w:eastAsia="en-GB"/>
        </w:rPr>
        <w:t>8. Economic and Food Security Consequences</w:t>
      </w:r>
    </w:p>
    <w:p w14:paraId="4F04011E"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The agricultural and economic stakes of climate-driven insect pest redistribution are substantial. Process-based modelling combining insect metabolic theory with global climate projections estimates that insect-mediated yield losses in wheat, rice, and maize will increase materially per degree Celsius of warming, with the largest absolute and proportional increases concentrated in temperate production regions that currently experience comparatively low insect pressure (Deutsch et al., 2018). A more recent synthesis integrating climate and land-use drivers similarly projects substantial increases in insect-related yield losses for these same staple crops under a moderate warming scenario, while noting that pest damage responses differ systematically between tropical and mid- to high-latitude production zones (Ma et al., 2025).</w:t>
      </w:r>
    </w:p>
    <w:p w14:paraId="67ABB2E3"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Independent of these projected future losses, the economic costs already attributable to invasive insects are considerable. A comprehensive global database of invasion-related costs estimated that invasive insects impose a minimum of tens of billions of US dollars annually in direct goods and services losses, alongside several billion dollars in associated human health costs, with the caveat that reporting gaps mean these figures likely understate the true global burden (Bradshaw et al., 2016). Climate change is expected to compound these costs both by facilitating the establishment of invasive species in new territory and by increasing the baseline productivity and reproductive output of pests already present. Related work on temperature-dependent infection risk for major crop pathogens demonstrates that yield and disease pressure are likely to increase concurrently at high latitudes under warming, implying that the burden of both insect pests and pathogen pressure may rise together in some of the very regions currently gaining agricultural productivity from a longer growing season (Chaloner et al., 2021).</w:t>
      </w:r>
    </w:p>
    <w:p w14:paraId="40FAAA3F" w14:textId="77777777" w:rsidR="00276377" w:rsidRPr="00276377" w:rsidRDefault="00276377" w:rsidP="002E5790">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8.1 Summary of economic evidence</w:t>
      </w:r>
    </w:p>
    <w:p w14:paraId="6B620F6C"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Table 4 draws these quantitative findings together, allowing the magnitude of projected future losses to be set alongside the costs already documented from established invasive pests.</w:t>
      </w:r>
    </w:p>
    <w:p w14:paraId="2BF68897"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b/>
          <w:bCs/>
          <w:sz w:val="24"/>
          <w:szCs w:val="24"/>
          <w:lang w:eastAsia="en-GB"/>
        </w:rPr>
        <w:t>Table 4. Summary of quantified economic and yield impacts associated with climate-driven insect pest change</w:t>
      </w:r>
    </w:p>
    <w:tbl>
      <w:tblPr>
        <w:tblStyle w:val="TableGrid"/>
        <w:tblW w:w="0" w:type="auto"/>
        <w:tblLook w:val="04A0" w:firstRow="1" w:lastRow="0" w:firstColumn="1" w:lastColumn="0" w:noHBand="0" w:noVBand="1"/>
      </w:tblPr>
      <w:tblGrid>
        <w:gridCol w:w="2497"/>
        <w:gridCol w:w="3187"/>
        <w:gridCol w:w="2120"/>
        <w:gridCol w:w="1438"/>
      </w:tblGrid>
      <w:tr w:rsidR="00276377" w:rsidRPr="00276377" w14:paraId="038C1AB6" w14:textId="77777777" w:rsidTr="00276377">
        <w:tc>
          <w:tcPr>
            <w:tcW w:w="0" w:type="auto"/>
            <w:hideMark/>
          </w:tcPr>
          <w:p w14:paraId="2BE2C121" w14:textId="77777777" w:rsidR="00276377" w:rsidRPr="00276377" w:rsidRDefault="00276377" w:rsidP="002E5790">
            <w:pPr>
              <w:jc w:val="both"/>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lastRenderedPageBreak/>
              <w:t>Impact category</w:t>
            </w:r>
          </w:p>
        </w:tc>
        <w:tc>
          <w:tcPr>
            <w:tcW w:w="0" w:type="auto"/>
            <w:hideMark/>
          </w:tcPr>
          <w:p w14:paraId="3517D246" w14:textId="77777777" w:rsidR="00276377" w:rsidRPr="00276377" w:rsidRDefault="00276377" w:rsidP="002E5790">
            <w:pPr>
              <w:jc w:val="both"/>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Approximate magnitude reported</w:t>
            </w:r>
          </w:p>
        </w:tc>
        <w:tc>
          <w:tcPr>
            <w:tcW w:w="0" w:type="auto"/>
            <w:hideMark/>
          </w:tcPr>
          <w:p w14:paraId="6DEAA59D" w14:textId="77777777" w:rsidR="00276377" w:rsidRPr="00276377" w:rsidRDefault="00276377" w:rsidP="002E5790">
            <w:pPr>
              <w:jc w:val="both"/>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Context / crop system</w:t>
            </w:r>
          </w:p>
        </w:tc>
        <w:tc>
          <w:tcPr>
            <w:tcW w:w="0" w:type="auto"/>
            <w:hideMark/>
          </w:tcPr>
          <w:p w14:paraId="5DE05E3C" w14:textId="77777777" w:rsidR="00276377" w:rsidRPr="00276377" w:rsidRDefault="00276377" w:rsidP="002E5790">
            <w:pPr>
              <w:jc w:val="both"/>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Source</w:t>
            </w:r>
          </w:p>
        </w:tc>
      </w:tr>
      <w:tr w:rsidR="00276377" w:rsidRPr="00276377" w14:paraId="7700E0AE" w14:textId="77777777" w:rsidTr="00276377">
        <w:tc>
          <w:tcPr>
            <w:tcW w:w="0" w:type="auto"/>
            <w:hideMark/>
          </w:tcPr>
          <w:p w14:paraId="30E975B6"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Increase in insect-mediated crop losses per degree Celsius of warming</w:t>
            </w:r>
          </w:p>
        </w:tc>
        <w:tc>
          <w:tcPr>
            <w:tcW w:w="0" w:type="auto"/>
            <w:hideMark/>
          </w:tcPr>
          <w:p w14:paraId="0755866F"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Double-digit percentage increase for wheat, rice, and maize combined</w:t>
            </w:r>
          </w:p>
        </w:tc>
        <w:tc>
          <w:tcPr>
            <w:tcW w:w="0" w:type="auto"/>
            <w:hideMark/>
          </w:tcPr>
          <w:p w14:paraId="77131674"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Global staple cereal production</w:t>
            </w:r>
          </w:p>
        </w:tc>
        <w:tc>
          <w:tcPr>
            <w:tcW w:w="0" w:type="auto"/>
            <w:hideMark/>
          </w:tcPr>
          <w:p w14:paraId="325160F2"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Deutsch et al. (2018)</w:t>
            </w:r>
          </w:p>
        </w:tc>
      </w:tr>
      <w:tr w:rsidR="00276377" w:rsidRPr="00276377" w14:paraId="77B31F25" w14:textId="77777777" w:rsidTr="00276377">
        <w:tc>
          <w:tcPr>
            <w:tcW w:w="0" w:type="auto"/>
            <w:hideMark/>
          </w:tcPr>
          <w:p w14:paraId="77B858F6"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Global annual cost of invasive insects (goods and services)</w:t>
            </w:r>
          </w:p>
        </w:tc>
        <w:tc>
          <w:tcPr>
            <w:tcW w:w="0" w:type="auto"/>
            <w:hideMark/>
          </w:tcPr>
          <w:p w14:paraId="7639C8FB"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Tens of billions of US dollars per year</w:t>
            </w:r>
          </w:p>
        </w:tc>
        <w:tc>
          <w:tcPr>
            <w:tcW w:w="0" w:type="auto"/>
            <w:hideMark/>
          </w:tcPr>
          <w:p w14:paraId="21E02984"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Global, cross-sector</w:t>
            </w:r>
          </w:p>
        </w:tc>
        <w:tc>
          <w:tcPr>
            <w:tcW w:w="0" w:type="auto"/>
            <w:hideMark/>
          </w:tcPr>
          <w:p w14:paraId="2FA568D2"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Bradshaw et al. (2016)</w:t>
            </w:r>
          </w:p>
        </w:tc>
      </w:tr>
      <w:tr w:rsidR="00276377" w:rsidRPr="00276377" w14:paraId="4ED9347D" w14:textId="77777777" w:rsidTr="00276377">
        <w:tc>
          <w:tcPr>
            <w:tcW w:w="0" w:type="auto"/>
            <w:hideMark/>
          </w:tcPr>
          <w:p w14:paraId="2DBECCFF"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Global annual health costs of invasive insects</w:t>
            </w:r>
          </w:p>
        </w:tc>
        <w:tc>
          <w:tcPr>
            <w:tcW w:w="0" w:type="auto"/>
            <w:hideMark/>
          </w:tcPr>
          <w:p w14:paraId="0BCB2489"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Several billion US dollars per year</w:t>
            </w:r>
          </w:p>
        </w:tc>
        <w:tc>
          <w:tcPr>
            <w:tcW w:w="0" w:type="auto"/>
            <w:hideMark/>
          </w:tcPr>
          <w:p w14:paraId="0B4563B4"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Global, human health sector</w:t>
            </w:r>
          </w:p>
        </w:tc>
        <w:tc>
          <w:tcPr>
            <w:tcW w:w="0" w:type="auto"/>
            <w:hideMark/>
          </w:tcPr>
          <w:p w14:paraId="000EB242"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Bradshaw et al. (2016)</w:t>
            </w:r>
          </w:p>
        </w:tc>
      </w:tr>
      <w:tr w:rsidR="00276377" w:rsidRPr="00276377" w14:paraId="21195F45" w14:textId="77777777" w:rsidTr="00276377">
        <w:tc>
          <w:tcPr>
            <w:tcW w:w="0" w:type="auto"/>
            <w:hideMark/>
          </w:tcPr>
          <w:p w14:paraId="7DBF872F"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Yield loss projections under 2°C warming</w:t>
            </w:r>
          </w:p>
        </w:tc>
        <w:tc>
          <w:tcPr>
            <w:tcW w:w="0" w:type="auto"/>
            <w:hideMark/>
          </w:tcPr>
          <w:p w14:paraId="37B21381"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Substantial percentage increases, greatest for wheat, intermediate for maize, smallest for rice</w:t>
            </w:r>
          </w:p>
        </w:tc>
        <w:tc>
          <w:tcPr>
            <w:tcW w:w="0" w:type="auto"/>
            <w:hideMark/>
          </w:tcPr>
          <w:p w14:paraId="45A31866"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Global staple cereals</w:t>
            </w:r>
          </w:p>
        </w:tc>
        <w:tc>
          <w:tcPr>
            <w:tcW w:w="0" w:type="auto"/>
            <w:hideMark/>
          </w:tcPr>
          <w:p w14:paraId="1CEBE769"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Ma et al. (2025)</w:t>
            </w:r>
          </w:p>
        </w:tc>
      </w:tr>
      <w:tr w:rsidR="00276377" w:rsidRPr="00276377" w14:paraId="203D9226" w14:textId="77777777" w:rsidTr="00276377">
        <w:tc>
          <w:tcPr>
            <w:tcW w:w="0" w:type="auto"/>
            <w:hideMark/>
          </w:tcPr>
          <w:p w14:paraId="65688F6A"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Pathogen infection risk trend at high latitude</w:t>
            </w:r>
          </w:p>
        </w:tc>
        <w:tc>
          <w:tcPr>
            <w:tcW w:w="0" w:type="auto"/>
            <w:hideMark/>
          </w:tcPr>
          <w:p w14:paraId="7752BBEF"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Concurrent rise with projected yield gains</w:t>
            </w:r>
          </w:p>
        </w:tc>
        <w:tc>
          <w:tcPr>
            <w:tcW w:w="0" w:type="auto"/>
            <w:hideMark/>
          </w:tcPr>
          <w:p w14:paraId="3C00A547"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Twelve major crops, fungal and oomycete pathogens</w:t>
            </w:r>
          </w:p>
        </w:tc>
        <w:tc>
          <w:tcPr>
            <w:tcW w:w="0" w:type="auto"/>
            <w:hideMark/>
          </w:tcPr>
          <w:p w14:paraId="7FD16C88"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Chaloner et al. (2021)</w:t>
            </w:r>
          </w:p>
        </w:tc>
      </w:tr>
    </w:tbl>
    <w:p w14:paraId="751C6F47"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i/>
          <w:iCs/>
          <w:sz w:val="24"/>
          <w:szCs w:val="24"/>
          <w:lang w:eastAsia="en-GB"/>
        </w:rPr>
        <w:t>Sources listed beneath each row as cited in the table above.</w:t>
      </w:r>
    </w:p>
    <w:p w14:paraId="5EE5EED4" w14:textId="77777777" w:rsidR="00276377" w:rsidRPr="00276377" w:rsidRDefault="00276377" w:rsidP="002E5790">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276377">
        <w:rPr>
          <w:rFonts w:ascii="Times New Roman" w:eastAsia="Times New Roman" w:hAnsi="Times New Roman" w:cs="Times New Roman"/>
          <w:b/>
          <w:bCs/>
          <w:sz w:val="27"/>
          <w:szCs w:val="27"/>
          <w:lang w:eastAsia="en-GB"/>
        </w:rPr>
        <w:t>9. Modelling Tools and Predictive Frameworks for Redrawing Vulnerability Maps</w:t>
      </w:r>
    </w:p>
    <w:p w14:paraId="3608148E"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 xml:space="preserve">Anticipating where insect pests will establish and thrive under future climate conditions relies heavily on species distribution modelling, a family of approaches that use current occurrence records and environmental covariates to project climatic suitability under alternative future scenarios. Correlative approaches, most commonly maximum entropy modelling, have been widely applied to agriculturally important pests, including projections of shifting suitability for the honeybee pest </w:t>
      </w:r>
      <w:r w:rsidRPr="00276377">
        <w:rPr>
          <w:rFonts w:ascii="Times New Roman" w:eastAsia="Times New Roman" w:hAnsi="Times New Roman" w:cs="Times New Roman"/>
          <w:i/>
          <w:iCs/>
          <w:sz w:val="24"/>
          <w:szCs w:val="24"/>
          <w:lang w:eastAsia="en-GB"/>
        </w:rPr>
        <w:t>Galleria mellonella</w:t>
      </w:r>
      <w:r w:rsidRPr="00276377">
        <w:rPr>
          <w:rFonts w:ascii="Times New Roman" w:eastAsia="Times New Roman" w:hAnsi="Times New Roman" w:cs="Times New Roman"/>
          <w:sz w:val="24"/>
          <w:szCs w:val="24"/>
          <w:lang w:eastAsia="en-GB"/>
        </w:rPr>
        <w:t xml:space="preserve"> under changing climate that identified substantial range expansion potential linked to warming winter temperatures (Hosni et al., 2022). These correlative methods are computationally efficient and require relatively modest input data, but they assume that a species' realised current distribution reflects its full climatic tolerance, an assumption that may not hold where dispersal limitation, biotic interactions, or human intervention currently constrain the observed range short of the fundamental thermal niche.</w:t>
      </w:r>
    </w:p>
    <w:p w14:paraId="6F0967BF"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 xml:space="preserve">Mechanistic or process-based models, by contrast, derive projected suitability from experimentally determined physiological thresholds, such as developmental zero temperatures and upper lethal limits, and are increasingly recommended as complements to correlative approaches within formal pest risk assessment frameworks, particularly where the objective is to anticipate establishment in regions with no current occurrence records against which to calibrate a correlative model (Kriticos et al., 2024). Neither modelling family is without limitation. Both depend on climate projections that carry their own uncertainty across emission scenarios and general circulation models, and both typically simplify or omit biotic interactions such as competition, predation, and parasitism. </w:t>
      </w:r>
      <w:r w:rsidRPr="00276377">
        <w:rPr>
          <w:rFonts w:ascii="Times New Roman" w:eastAsia="Times New Roman" w:hAnsi="Times New Roman" w:cs="Times New Roman"/>
          <w:bCs/>
          <w:sz w:val="24"/>
          <w:szCs w:val="24"/>
          <w:lang w:eastAsia="en-GB"/>
        </w:rPr>
        <w:t xml:space="preserve">Broader biodiversity research reinforces the case for caution here: analyses of how species respond to combined land-use and climatic pressure show that sensitivity varies markedly by biome, with tropical and Mediterranean systems showing disproportionately negative responses linked to low climatic </w:t>
      </w:r>
      <w:r w:rsidRPr="00276377">
        <w:rPr>
          <w:rFonts w:ascii="Times New Roman" w:eastAsia="Times New Roman" w:hAnsi="Times New Roman" w:cs="Times New Roman"/>
          <w:bCs/>
          <w:sz w:val="24"/>
          <w:szCs w:val="24"/>
          <w:lang w:eastAsia="en-GB"/>
        </w:rPr>
        <w:lastRenderedPageBreak/>
        <w:t>seasonality and a longer history of human disturbance (Newbold et al., 2020) — a reminder that pest range projections calibrated on temperate occurrence data may transfer poorly to tropical settings where the underlying ecological dynamics differ.</w:t>
      </w:r>
      <w:r w:rsidRPr="00276377">
        <w:rPr>
          <w:rFonts w:ascii="Times New Roman" w:eastAsia="Times New Roman" w:hAnsi="Times New Roman" w:cs="Times New Roman"/>
          <w:sz w:val="24"/>
          <w:szCs w:val="24"/>
          <w:lang w:eastAsia="en-GB"/>
        </w:rPr>
        <w:t xml:space="preserve"> A further complication specific to agricultural pest modelling is that host-plant distribution itself is subject to land-use and climate-driven change, meaning that a pest's future range is contingent not only on its own climatic tolerance but on the future distribution of the crops it depends on, a dependency that static single-species models frequently fail to capture (Schneider et al., 2022).</w:t>
      </w:r>
    </w:p>
    <w:p w14:paraId="56DDF442" w14:textId="77777777" w:rsidR="00276377" w:rsidRPr="00276377" w:rsidRDefault="00276377" w:rsidP="002E5790">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9.1 Summary of modelling approaches</w:t>
      </w:r>
    </w:p>
    <w:p w14:paraId="1BF07B25"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Table 5 sets out the main features, strengths, and limitations of the modelling approaches discussed in this section, and is intended to help readers weigh which approach, or combination of approaches, best fits a given pest risk question.</w:t>
      </w:r>
    </w:p>
    <w:p w14:paraId="73B0F4E2"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b/>
          <w:bCs/>
          <w:sz w:val="24"/>
          <w:szCs w:val="24"/>
          <w:lang w:eastAsia="en-GB"/>
        </w:rPr>
        <w:t>Table 5. Comparison of principal modelling approaches used to project insect pest range shift</w:t>
      </w:r>
    </w:p>
    <w:tbl>
      <w:tblPr>
        <w:tblStyle w:val="TableGrid"/>
        <w:tblW w:w="0" w:type="auto"/>
        <w:tblLook w:val="04A0" w:firstRow="1" w:lastRow="0" w:firstColumn="1" w:lastColumn="0" w:noHBand="0" w:noVBand="1"/>
      </w:tblPr>
      <w:tblGrid>
        <w:gridCol w:w="2287"/>
        <w:gridCol w:w="2518"/>
        <w:gridCol w:w="2159"/>
        <w:gridCol w:w="2278"/>
      </w:tblGrid>
      <w:tr w:rsidR="00276377" w:rsidRPr="00276377" w14:paraId="181329CF" w14:textId="77777777" w:rsidTr="00276377">
        <w:tc>
          <w:tcPr>
            <w:tcW w:w="0" w:type="auto"/>
            <w:hideMark/>
          </w:tcPr>
          <w:p w14:paraId="66AF7603" w14:textId="77777777" w:rsidR="00276377" w:rsidRPr="00276377" w:rsidRDefault="00276377" w:rsidP="002E5790">
            <w:pPr>
              <w:jc w:val="both"/>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Modelling approach</w:t>
            </w:r>
          </w:p>
        </w:tc>
        <w:tc>
          <w:tcPr>
            <w:tcW w:w="0" w:type="auto"/>
            <w:hideMark/>
          </w:tcPr>
          <w:p w14:paraId="744F514A" w14:textId="77777777" w:rsidR="00276377" w:rsidRPr="00276377" w:rsidRDefault="00276377" w:rsidP="002E5790">
            <w:pPr>
              <w:jc w:val="both"/>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Underlying basis</w:t>
            </w:r>
          </w:p>
        </w:tc>
        <w:tc>
          <w:tcPr>
            <w:tcW w:w="0" w:type="auto"/>
            <w:hideMark/>
          </w:tcPr>
          <w:p w14:paraId="21EE7BEC" w14:textId="77777777" w:rsidR="00276377" w:rsidRPr="00276377" w:rsidRDefault="00276377" w:rsidP="002E5790">
            <w:pPr>
              <w:jc w:val="both"/>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Typical strength</w:t>
            </w:r>
          </w:p>
        </w:tc>
        <w:tc>
          <w:tcPr>
            <w:tcW w:w="0" w:type="auto"/>
            <w:hideMark/>
          </w:tcPr>
          <w:p w14:paraId="5514BFE9" w14:textId="77777777" w:rsidR="00276377" w:rsidRPr="00276377" w:rsidRDefault="00276377" w:rsidP="002E5790">
            <w:pPr>
              <w:jc w:val="both"/>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Typical limitation</w:t>
            </w:r>
          </w:p>
        </w:tc>
      </w:tr>
      <w:tr w:rsidR="00276377" w:rsidRPr="00276377" w14:paraId="4EC0ACE7" w14:textId="77777777" w:rsidTr="00276377">
        <w:tc>
          <w:tcPr>
            <w:tcW w:w="0" w:type="auto"/>
            <w:hideMark/>
          </w:tcPr>
          <w:p w14:paraId="3237ADB6"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Correlative niche modelling (for example maximum entropy)</w:t>
            </w:r>
          </w:p>
        </w:tc>
        <w:tc>
          <w:tcPr>
            <w:tcW w:w="0" w:type="auto"/>
            <w:hideMark/>
          </w:tcPr>
          <w:p w14:paraId="1D0FEBD9"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Statistical association between current occurrence and environmental variables</w:t>
            </w:r>
          </w:p>
        </w:tc>
        <w:tc>
          <w:tcPr>
            <w:tcW w:w="0" w:type="auto"/>
            <w:hideMark/>
          </w:tcPr>
          <w:p w14:paraId="06D79750"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Efficient with limited data; widely validated</w:t>
            </w:r>
          </w:p>
        </w:tc>
        <w:tc>
          <w:tcPr>
            <w:tcW w:w="0" w:type="auto"/>
            <w:hideMark/>
          </w:tcPr>
          <w:p w14:paraId="17D48360"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Assumes realised range reflects full climatic tolerance</w:t>
            </w:r>
          </w:p>
        </w:tc>
      </w:tr>
      <w:tr w:rsidR="00276377" w:rsidRPr="00276377" w14:paraId="3FD6B7B4" w14:textId="77777777" w:rsidTr="00276377">
        <w:tc>
          <w:tcPr>
            <w:tcW w:w="0" w:type="auto"/>
            <w:hideMark/>
          </w:tcPr>
          <w:p w14:paraId="50B5E824"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Mechanistic / process-based modelling</w:t>
            </w:r>
          </w:p>
        </w:tc>
        <w:tc>
          <w:tcPr>
            <w:tcW w:w="0" w:type="auto"/>
            <w:hideMark/>
          </w:tcPr>
          <w:p w14:paraId="6D979F31"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Experimentally derived physiological thresholds</w:t>
            </w:r>
          </w:p>
        </w:tc>
        <w:tc>
          <w:tcPr>
            <w:tcW w:w="0" w:type="auto"/>
            <w:hideMark/>
          </w:tcPr>
          <w:p w14:paraId="6CC30D24"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Extrapolates beyond current range with stronger biological grounding</w:t>
            </w:r>
          </w:p>
        </w:tc>
        <w:tc>
          <w:tcPr>
            <w:tcW w:w="0" w:type="auto"/>
            <w:hideMark/>
          </w:tcPr>
          <w:p w14:paraId="11DBFF1D"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Requires extensive species-specific physiological data</w:t>
            </w:r>
          </w:p>
        </w:tc>
      </w:tr>
      <w:tr w:rsidR="00276377" w:rsidRPr="00276377" w14:paraId="25027FEE" w14:textId="77777777" w:rsidTr="00276377">
        <w:tc>
          <w:tcPr>
            <w:tcW w:w="0" w:type="auto"/>
            <w:hideMark/>
          </w:tcPr>
          <w:p w14:paraId="2B5248C3"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Hybrid correlative-mechanistic frameworks</w:t>
            </w:r>
          </w:p>
        </w:tc>
        <w:tc>
          <w:tcPr>
            <w:tcW w:w="0" w:type="auto"/>
            <w:hideMark/>
          </w:tcPr>
          <w:p w14:paraId="0EBE288D"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Combination of occurrence data and trait-based constraints</w:t>
            </w:r>
          </w:p>
        </w:tc>
        <w:tc>
          <w:tcPr>
            <w:tcW w:w="0" w:type="auto"/>
            <w:hideMark/>
          </w:tcPr>
          <w:p w14:paraId="3026562E"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Balances data efficiency with mechanistic realism</w:t>
            </w:r>
          </w:p>
        </w:tc>
        <w:tc>
          <w:tcPr>
            <w:tcW w:w="0" w:type="auto"/>
            <w:hideMark/>
          </w:tcPr>
          <w:p w14:paraId="49C4FBF3"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Still typically omits biotic interactions and host distribution change</w:t>
            </w:r>
          </w:p>
        </w:tc>
      </w:tr>
      <w:tr w:rsidR="00276377" w:rsidRPr="00276377" w14:paraId="25DD40EE" w14:textId="77777777" w:rsidTr="00276377">
        <w:tc>
          <w:tcPr>
            <w:tcW w:w="0" w:type="auto"/>
            <w:hideMark/>
          </w:tcPr>
          <w:p w14:paraId="6BF2A174"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Formal pest risk assessment frameworks incorporating climate modelling</w:t>
            </w:r>
          </w:p>
        </w:tc>
        <w:tc>
          <w:tcPr>
            <w:tcW w:w="0" w:type="auto"/>
            <w:hideMark/>
          </w:tcPr>
          <w:p w14:paraId="5628D0BB"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Structured integration of climate projections into biosecurity decision-making</w:t>
            </w:r>
          </w:p>
        </w:tc>
        <w:tc>
          <w:tcPr>
            <w:tcW w:w="0" w:type="auto"/>
            <w:hideMark/>
          </w:tcPr>
          <w:p w14:paraId="76DC7DDB"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Directly applicable to policy and trade</w:t>
            </w:r>
          </w:p>
        </w:tc>
        <w:tc>
          <w:tcPr>
            <w:tcW w:w="0" w:type="auto"/>
            <w:hideMark/>
          </w:tcPr>
          <w:p w14:paraId="03D5384B" w14:textId="77777777" w:rsidR="00276377" w:rsidRPr="00276377" w:rsidRDefault="00276377" w:rsidP="002E5790">
            <w:pPr>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Sensitive to underlying climate model and emission scenario uncertainty</w:t>
            </w:r>
          </w:p>
        </w:tc>
      </w:tr>
    </w:tbl>
    <w:p w14:paraId="3410C054"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i/>
          <w:iCs/>
          <w:sz w:val="24"/>
          <w:szCs w:val="24"/>
          <w:lang w:eastAsia="en-GB"/>
        </w:rPr>
        <w:t>Sources: Hosni et al. (2022); Kriticos et al. (2024); Newbold et al. (2020); Schneider et al. (2022).</w:t>
      </w:r>
    </w:p>
    <w:p w14:paraId="01AF3681" w14:textId="77777777" w:rsidR="00276377" w:rsidRPr="00276377" w:rsidRDefault="00276377" w:rsidP="002E5790">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276377">
        <w:rPr>
          <w:rFonts w:ascii="Times New Roman" w:eastAsia="Times New Roman" w:hAnsi="Times New Roman" w:cs="Times New Roman"/>
          <w:b/>
          <w:bCs/>
          <w:sz w:val="27"/>
          <w:szCs w:val="27"/>
          <w:lang w:eastAsia="en-GB"/>
        </w:rPr>
        <w:t>10. Adaptive Management: Biological Control, Pesticide Efficacy, and Cropping System Responses</w:t>
      </w:r>
    </w:p>
    <w:p w14:paraId="39CA9A20"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 xml:space="preserve">Climate-driven range shift and phenological change have direct implications for the tools used to manage insect pests. Biological control programmes depend on continued spatial and temporal overlap between pest populations and their natural enemies, and modelling of stemborer–natural enemy dynamics under alternative climate scenarios in East Africa demonstrates substantial uncertainty in whether this overlap will be preserved as both pest </w:t>
      </w:r>
      <w:r w:rsidRPr="00276377">
        <w:rPr>
          <w:rFonts w:ascii="Times New Roman" w:eastAsia="Times New Roman" w:hAnsi="Times New Roman" w:cs="Times New Roman"/>
          <w:sz w:val="24"/>
          <w:szCs w:val="24"/>
          <w:lang w:eastAsia="en-GB"/>
        </w:rPr>
        <w:lastRenderedPageBreak/>
        <w:t>and control agent ranges shift, with some scenarios projecting a widening spatial gap between the two (Jendritzki et al., 2023). Chemical control faces a related challenge, since warming can reduce the efficacy and persistence of insecticide residues on treated foliage while shortening pest generation time at the same time, a combination that increases both the frequency of required applications and the selective pressure favouring resistance evolution (Matzrafi, 2019).</w:t>
      </w:r>
    </w:p>
    <w:p w14:paraId="2C879E5C"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Cropping system diversification has been proposed as a complementary strategy less dependent on precisely tracking pest distribution shifts. Evidence from large-scale European farm data indicates that temporal diversification of crop rotations is associated with reduced pesticide reliance, offering a management lever that increases agroecosystem resilience without requiring continuous recalibration to a moving pest distribution (Guinet et al., 2023). Taken together, this evidence suggests that adaptive management under climate-driven range shift will likely need a combination of improved predictive monitoring, structural changes to cropping systems that reduce dependence on any single control tactic, and continued investment in biological control programmes designed with an awareness that natural enemy and pest ranges may not shift in lockstep.</w:t>
      </w:r>
    </w:p>
    <w:p w14:paraId="69D30D01" w14:textId="77777777" w:rsidR="00276377" w:rsidRPr="00276377" w:rsidRDefault="00276377" w:rsidP="002E5790">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276377">
        <w:rPr>
          <w:rFonts w:ascii="Times New Roman" w:eastAsia="Times New Roman" w:hAnsi="Times New Roman" w:cs="Times New Roman"/>
          <w:b/>
          <w:bCs/>
          <w:sz w:val="27"/>
          <w:szCs w:val="27"/>
          <w:lang w:eastAsia="en-GB"/>
        </w:rPr>
        <w:t>11. Future Directions</w:t>
      </w:r>
    </w:p>
    <w:p w14:paraId="60A6DA8B"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Priority should be given to closing several specific evidence gaps identified across the preceding sections. There is a clear need for expanded experimental work on combined temperature and elevated carbon dioxide effects across a wider range of crop-pest combinations, since current evidence suggests host-plant-specific and even direction-reversing outcomes that cannot yet be generalised into predictive rules suitable for large-scale modelling. Greater integration of biotic interaction data, particularly natural enemy distribution and host-plant range projections, into species distribution modelling frameworks would improve the realism of range-shift forecasts that currently treat pest species largely in isolation. Systematic long-term monitoring networks spanning tropical and subtropical regions remain comparatively sparse relative to temperate zones, limiting the ability to detect and attribute range shifts in precisely the regions where pest populations are closest to upper thermal limits, and where detection of contraction, as opposed to expansion, would be most policy-relevant. Closer coupling between climate-pest modelling and agricultural economic assessment would help translate biogeographic projections into the kind of quantified, regionally specific risk estimates that inform investment in adaptive breeding, monitoring infrastructure, and biosecurity policy. Finally, greater attention to the interaction between phenological mismatch and biological control efficacy, an area currently addressed by only a small number of regionally specific studies, would strengthen the evidence base needed to design climate-resilient integrated pest management programmes.</w:t>
      </w:r>
    </w:p>
    <w:p w14:paraId="7C1AF802" w14:textId="77777777" w:rsidR="00276377" w:rsidRPr="00276377" w:rsidRDefault="00276377" w:rsidP="002E5790">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276377">
        <w:rPr>
          <w:rFonts w:ascii="Times New Roman" w:eastAsia="Times New Roman" w:hAnsi="Times New Roman" w:cs="Times New Roman"/>
          <w:b/>
          <w:bCs/>
          <w:sz w:val="27"/>
          <w:szCs w:val="27"/>
          <w:lang w:eastAsia="en-GB"/>
        </w:rPr>
        <w:t>12. Conclusions</w:t>
      </w:r>
    </w:p>
    <w:p w14:paraId="31A96C0C" w14:textId="77777777" w:rsidR="00276377" w:rsidRP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 xml:space="preserve">Climate change is measurably and demonstrably redrawing the geographic and seasonal pattern of insect pest pressure on the world's major food crops. Warming drives faster development, expanded overwintering survival, and poleward and altitudinal range expansion across a broad range of agriculturally important taxa, while elevated carbon dioxide introduces an additional and less predictable pathway of influence through changes in host-plant chemistry. The net effect of these combined drivers is a redistribution of crop vulnerability that disproportionately increases risk in temperate production regions previously buffered by cooler climates, even as some tropical pest populations approach or exceed their </w:t>
      </w:r>
      <w:r w:rsidRPr="00276377">
        <w:rPr>
          <w:rFonts w:ascii="Times New Roman" w:eastAsia="Times New Roman" w:hAnsi="Times New Roman" w:cs="Times New Roman"/>
          <w:sz w:val="24"/>
          <w:szCs w:val="24"/>
          <w:lang w:eastAsia="en-GB"/>
        </w:rPr>
        <w:lastRenderedPageBreak/>
        <w:t>thermal tolerance limits. Economic assessments indicate that the costs of this redistribution, both from established invasive pests and from projected future increases in crop losses, are already substantial and likely to grow under continued warming. Species distribution modelling and mechanistic niche approaches provide useful, if imperfect, tools for anticipating where this redistribution will occur, but their reliability remains constrained by incomplete treatment of biotic interactions, host-plant range dynamics, and regional data gaps. Effective adaptation will require management strategies, from biological control to cropping system diversification, that are designed with explicit recognition that pest ranges, natural enemy ranges, and host-plant distributions are all in simultaneous motion rather than shifting predictably in tandem.</w:t>
      </w:r>
    </w:p>
    <w:p w14:paraId="4BA2E3FF" w14:textId="77777777" w:rsidR="00276377" w:rsidRPr="00276377" w:rsidRDefault="00276377" w:rsidP="002E5790">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276377">
        <w:rPr>
          <w:rFonts w:ascii="Times New Roman" w:eastAsia="Times New Roman" w:hAnsi="Times New Roman" w:cs="Times New Roman"/>
          <w:b/>
          <w:bCs/>
          <w:sz w:val="27"/>
          <w:szCs w:val="27"/>
          <w:lang w:eastAsia="en-GB"/>
        </w:rPr>
        <w:t>13. Limitations</w:t>
      </w:r>
    </w:p>
    <w:p w14:paraId="43118D18" w14:textId="77777777" w:rsidR="00276377" w:rsidRDefault="00276377"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This review is subject to several methodological limitations inherent to its narrative design. The literature search, while structured and multi-database, was restricted to English-language, peer-reviewed journal publications, which may exclude relevant regional literature published in other languages or in grey literature sources, particularly from regions where much of the applied pest-monitoring work occurs. The narrative approach, chosen deliberately for its capacity to integrate heterogeneous evidence types, does not permit formal quantitative pooling of effect sizes and is therefore more susceptible to selection emphasis than a systematic review with predefined inclusion weighting. The evidence base itself is unevenly distributed across taxa and regions, with substantially denser coverage of a small number of high-profile pest species, such as fall armyworm, relative to many other economically important but less-studied pests, limiting the generalisability of case-study conclusions. Finally, because the underlying science of climate-pest interaction is advancing rapidly, with new modelling studies and empirical observations published continually, any synthesis of this kind represents a snapshot that will require periodic revisiting as further evidence accumulates.</w:t>
      </w:r>
    </w:p>
    <w:p w14:paraId="135EBB4C" w14:textId="77777777" w:rsidR="002E00E0" w:rsidRPr="000839CE" w:rsidRDefault="002E00E0" w:rsidP="002E5790">
      <w:pPr>
        <w:spacing w:after="0" w:line="240" w:lineRule="auto"/>
        <w:jc w:val="both"/>
        <w:rPr>
          <w:rFonts w:ascii="Times New Roman" w:hAnsi="Times New Roman" w:cs="Times New Roman"/>
          <w:b/>
        </w:rPr>
      </w:pPr>
      <w:r w:rsidRPr="000839CE">
        <w:rPr>
          <w:rFonts w:ascii="Times New Roman" w:hAnsi="Times New Roman" w:cs="Times New Roman"/>
          <w:b/>
        </w:rPr>
        <w:t>Declaration of AI Use</w:t>
      </w:r>
    </w:p>
    <w:p w14:paraId="34440377" w14:textId="77777777" w:rsidR="002E00E0" w:rsidRPr="000839CE" w:rsidRDefault="002E00E0" w:rsidP="002E5790">
      <w:pPr>
        <w:spacing w:after="0" w:line="240" w:lineRule="auto"/>
        <w:jc w:val="both"/>
        <w:rPr>
          <w:rFonts w:ascii="Times New Roman" w:hAnsi="Times New Roman" w:cs="Times New Roman"/>
        </w:rPr>
      </w:pPr>
    </w:p>
    <w:p w14:paraId="3045B031" w14:textId="77777777" w:rsidR="002E00E0" w:rsidRPr="000839CE" w:rsidRDefault="002E00E0" w:rsidP="002E5790">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C8517F8" w14:textId="77777777" w:rsidR="002E00E0" w:rsidRPr="00276377" w:rsidRDefault="002E00E0" w:rsidP="002E5790">
      <w:pPr>
        <w:spacing w:before="100" w:beforeAutospacing="1" w:after="100" w:afterAutospacing="1" w:line="240" w:lineRule="auto"/>
        <w:jc w:val="both"/>
        <w:rPr>
          <w:rFonts w:ascii="Times New Roman" w:eastAsia="Times New Roman" w:hAnsi="Times New Roman" w:cs="Times New Roman"/>
          <w:sz w:val="24"/>
          <w:szCs w:val="24"/>
          <w:lang w:eastAsia="en-GB"/>
        </w:rPr>
      </w:pPr>
    </w:p>
    <w:p w14:paraId="18F592F0" w14:textId="77777777" w:rsidR="00276377" w:rsidRPr="00276377" w:rsidRDefault="00276377" w:rsidP="002E5790">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276377">
        <w:rPr>
          <w:rFonts w:ascii="Times New Roman" w:eastAsia="Times New Roman" w:hAnsi="Times New Roman" w:cs="Times New Roman"/>
          <w:b/>
          <w:bCs/>
          <w:sz w:val="27"/>
          <w:szCs w:val="27"/>
          <w:lang w:eastAsia="en-GB"/>
        </w:rPr>
        <w:t>References</w:t>
      </w:r>
    </w:p>
    <w:p w14:paraId="618F3252" w14:textId="77777777" w:rsidR="005452E1" w:rsidRPr="005452E1" w:rsidRDefault="005452E1" w:rsidP="005452E1">
      <w:pPr>
        <w:spacing w:after="0" w:line="240" w:lineRule="auto"/>
        <w:rPr>
          <w:rFonts w:ascii="Times New Roman" w:eastAsia="Times New Roman" w:hAnsi="Times New Roman" w:cs="Times New Roman"/>
          <w:sz w:val="24"/>
          <w:szCs w:val="24"/>
          <w:lang w:val="en-US"/>
        </w:rPr>
      </w:pPr>
      <w:r w:rsidRPr="005452E1">
        <w:rPr>
          <w:rFonts w:ascii="Times New Roman" w:eastAsia="Times New Roman" w:hAnsi="Symbol" w:cs="Times New Roman"/>
          <w:sz w:val="24"/>
          <w:szCs w:val="24"/>
          <w:lang w:val="en-US"/>
        </w:rPr>
        <w:t></w:t>
      </w:r>
      <w:r w:rsidRPr="005452E1">
        <w:rPr>
          <w:rFonts w:ascii="Times New Roman" w:eastAsia="Times New Roman" w:hAnsi="Times New Roman" w:cs="Times New Roman"/>
          <w:sz w:val="24"/>
          <w:szCs w:val="24"/>
          <w:lang w:val="en-US"/>
        </w:rPr>
        <w:t xml:space="preserve">  Ali, M. P., Kabir, M. M. M., Afrin, S., Nowrin, F., Haque, S. S., Haque, M. M., Hashem, A., Tabassum, B., Abd_Allah, E. F., &amp; Pittendrigh, B. R. (2019). Increased temperature induces leaffolder outbreak in rice field. </w:t>
      </w:r>
      <w:r w:rsidRPr="005452E1">
        <w:rPr>
          <w:rFonts w:ascii="Times New Roman" w:eastAsia="Times New Roman" w:hAnsi="Times New Roman" w:cs="Times New Roman"/>
          <w:i/>
          <w:iCs/>
          <w:sz w:val="24"/>
          <w:szCs w:val="24"/>
          <w:lang w:val="en-US"/>
        </w:rPr>
        <w:t>Journal of Applied Entomology, 143</w:t>
      </w:r>
      <w:r w:rsidRPr="005452E1">
        <w:rPr>
          <w:rFonts w:ascii="Times New Roman" w:eastAsia="Times New Roman" w:hAnsi="Times New Roman" w:cs="Times New Roman"/>
          <w:sz w:val="24"/>
          <w:szCs w:val="24"/>
          <w:lang w:val="en-US"/>
        </w:rPr>
        <w:t xml:space="preserve">(8), 867–874. </w:t>
      </w:r>
      <w:hyperlink r:id="rId7" w:history="1">
        <w:r w:rsidRPr="005452E1">
          <w:rPr>
            <w:rFonts w:ascii="Times New Roman" w:eastAsia="Times New Roman" w:hAnsi="Times New Roman" w:cs="Times New Roman"/>
            <w:color w:val="0000FF"/>
            <w:sz w:val="24"/>
            <w:szCs w:val="24"/>
            <w:u w:val="single"/>
            <w:lang w:val="en-US"/>
          </w:rPr>
          <w:t>https://doi.org/10.1111/jen.12652</w:t>
        </w:r>
      </w:hyperlink>
    </w:p>
    <w:p w14:paraId="4D8A62C2" w14:textId="77777777" w:rsidR="005452E1" w:rsidRPr="005452E1" w:rsidRDefault="005452E1" w:rsidP="005452E1">
      <w:pPr>
        <w:spacing w:after="0" w:line="240" w:lineRule="auto"/>
        <w:rPr>
          <w:rFonts w:ascii="Times New Roman" w:eastAsia="Times New Roman" w:hAnsi="Times New Roman" w:cs="Times New Roman"/>
          <w:sz w:val="24"/>
          <w:szCs w:val="24"/>
          <w:lang w:val="en-US"/>
        </w:rPr>
      </w:pPr>
      <w:r w:rsidRPr="005452E1">
        <w:rPr>
          <w:rFonts w:ascii="Times New Roman" w:eastAsia="Times New Roman" w:hAnsi="Symbol" w:cs="Times New Roman"/>
          <w:sz w:val="24"/>
          <w:szCs w:val="24"/>
          <w:lang w:val="en-US"/>
        </w:rPr>
        <w:t></w:t>
      </w:r>
      <w:r w:rsidRPr="005452E1">
        <w:rPr>
          <w:rFonts w:ascii="Times New Roman" w:eastAsia="Times New Roman" w:hAnsi="Times New Roman" w:cs="Times New Roman"/>
          <w:sz w:val="24"/>
          <w:szCs w:val="24"/>
          <w:lang w:val="en-US"/>
        </w:rPr>
        <w:t xml:space="preserve">  Ali, M. P., Bari, M. N., Haque, S. S., Kabir, M. M. M., Nowrin, F., Choudhury, T. R., Mankin, R. W., &amp; Ahmed, N. (2020). Response of a rice insect pest, </w:t>
      </w:r>
      <w:r w:rsidRPr="005452E1">
        <w:rPr>
          <w:rFonts w:ascii="Times New Roman" w:eastAsia="Times New Roman" w:hAnsi="Times New Roman" w:cs="Times New Roman"/>
          <w:i/>
          <w:iCs/>
          <w:sz w:val="24"/>
          <w:szCs w:val="24"/>
          <w:lang w:val="en-US"/>
        </w:rPr>
        <w:t>Scirpophaga incertulas</w:t>
      </w:r>
      <w:r w:rsidRPr="005452E1">
        <w:rPr>
          <w:rFonts w:ascii="Times New Roman" w:eastAsia="Times New Roman" w:hAnsi="Times New Roman" w:cs="Times New Roman"/>
          <w:sz w:val="24"/>
          <w:szCs w:val="24"/>
          <w:lang w:val="en-US"/>
        </w:rPr>
        <w:t xml:space="preserve"> </w:t>
      </w:r>
      <w:r w:rsidRPr="005452E1">
        <w:rPr>
          <w:rFonts w:ascii="Times New Roman" w:eastAsia="Times New Roman" w:hAnsi="Times New Roman" w:cs="Times New Roman"/>
          <w:sz w:val="24"/>
          <w:szCs w:val="24"/>
          <w:lang w:val="en-US"/>
        </w:rPr>
        <w:lastRenderedPageBreak/>
        <w:t xml:space="preserve">(Lepidoptera: Pyralidae), in a warmer world. </w:t>
      </w:r>
      <w:r w:rsidRPr="005452E1">
        <w:rPr>
          <w:rFonts w:ascii="Times New Roman" w:eastAsia="Times New Roman" w:hAnsi="Times New Roman" w:cs="Times New Roman"/>
          <w:i/>
          <w:iCs/>
          <w:sz w:val="24"/>
          <w:szCs w:val="24"/>
          <w:lang w:val="en-US"/>
        </w:rPr>
        <w:t>BMC Zoology, 5</w:t>
      </w:r>
      <w:r w:rsidRPr="005452E1">
        <w:rPr>
          <w:rFonts w:ascii="Times New Roman" w:eastAsia="Times New Roman" w:hAnsi="Times New Roman" w:cs="Times New Roman"/>
          <w:sz w:val="24"/>
          <w:szCs w:val="24"/>
          <w:lang w:val="en-US"/>
        </w:rPr>
        <w:t xml:space="preserve">, Article 6. </w:t>
      </w:r>
      <w:hyperlink r:id="rId8" w:history="1">
        <w:r w:rsidRPr="005452E1">
          <w:rPr>
            <w:rFonts w:ascii="Times New Roman" w:eastAsia="Times New Roman" w:hAnsi="Times New Roman" w:cs="Times New Roman"/>
            <w:color w:val="0000FF"/>
            <w:sz w:val="24"/>
            <w:szCs w:val="24"/>
            <w:u w:val="single"/>
            <w:lang w:val="en-US"/>
          </w:rPr>
          <w:t>https://doi.org/10.1186/s40850-020-00055-5</w:t>
        </w:r>
      </w:hyperlink>
    </w:p>
    <w:p w14:paraId="50FB86B1" w14:textId="77777777" w:rsidR="005452E1" w:rsidRPr="005452E1" w:rsidRDefault="005452E1" w:rsidP="005452E1">
      <w:pPr>
        <w:spacing w:after="0" w:line="240" w:lineRule="auto"/>
        <w:rPr>
          <w:rFonts w:ascii="Times New Roman" w:eastAsia="Times New Roman" w:hAnsi="Times New Roman" w:cs="Times New Roman"/>
          <w:sz w:val="24"/>
          <w:szCs w:val="24"/>
          <w:lang w:val="en-US"/>
        </w:rPr>
      </w:pPr>
      <w:r w:rsidRPr="005452E1">
        <w:rPr>
          <w:rFonts w:ascii="Times New Roman" w:eastAsia="Times New Roman" w:hAnsi="Symbol" w:cs="Times New Roman"/>
          <w:sz w:val="24"/>
          <w:szCs w:val="24"/>
          <w:lang w:val="en-US"/>
        </w:rPr>
        <w:t></w:t>
      </w:r>
      <w:r w:rsidRPr="005452E1">
        <w:rPr>
          <w:rFonts w:ascii="Times New Roman" w:eastAsia="Times New Roman" w:hAnsi="Times New Roman" w:cs="Times New Roman"/>
          <w:sz w:val="24"/>
          <w:szCs w:val="24"/>
          <w:lang w:val="en-US"/>
        </w:rPr>
        <w:t xml:space="preserve">  Bale, J. S., Masters, G. J., Hodkinson, I. D., Awmack, C., Bezemer, T. M., Brown, V. K., Butterfield, J., Buse, A., Coulson, J. C., Farrar, J., Good, J. E. G., Harrington, R., Hartley, S., Jones, T. H., Lindroth, R. L., Press, M. C., Symrnioudis, I., Watt, A. D., &amp; Whittaker, J. B. (2002). Herbivory in global climate change research: Direct effects of rising temperature on insect herbivores. </w:t>
      </w:r>
      <w:r w:rsidRPr="005452E1">
        <w:rPr>
          <w:rFonts w:ascii="Times New Roman" w:eastAsia="Times New Roman" w:hAnsi="Times New Roman" w:cs="Times New Roman"/>
          <w:i/>
          <w:iCs/>
          <w:sz w:val="24"/>
          <w:szCs w:val="24"/>
          <w:lang w:val="en-US"/>
        </w:rPr>
        <w:t>Global Change Biology, 8</w:t>
      </w:r>
      <w:r w:rsidRPr="005452E1">
        <w:rPr>
          <w:rFonts w:ascii="Times New Roman" w:eastAsia="Times New Roman" w:hAnsi="Times New Roman" w:cs="Times New Roman"/>
          <w:sz w:val="24"/>
          <w:szCs w:val="24"/>
          <w:lang w:val="en-US"/>
        </w:rPr>
        <w:t xml:space="preserve">(1), 1–16. </w:t>
      </w:r>
      <w:hyperlink r:id="rId9" w:history="1">
        <w:r w:rsidRPr="005452E1">
          <w:rPr>
            <w:rFonts w:ascii="Times New Roman" w:eastAsia="Times New Roman" w:hAnsi="Times New Roman" w:cs="Times New Roman"/>
            <w:color w:val="0000FF"/>
            <w:sz w:val="24"/>
            <w:szCs w:val="24"/>
            <w:u w:val="single"/>
            <w:lang w:val="en-US"/>
          </w:rPr>
          <w:t>https://doi.org/10.1046/j.1365-2486.2002.00451.x</w:t>
        </w:r>
      </w:hyperlink>
    </w:p>
    <w:p w14:paraId="5C6B0273" w14:textId="77777777" w:rsidR="005452E1" w:rsidRPr="005452E1" w:rsidRDefault="005452E1" w:rsidP="005452E1">
      <w:pPr>
        <w:spacing w:after="0" w:line="240" w:lineRule="auto"/>
        <w:rPr>
          <w:rFonts w:ascii="Times New Roman" w:eastAsia="Times New Roman" w:hAnsi="Times New Roman" w:cs="Times New Roman"/>
          <w:sz w:val="24"/>
          <w:szCs w:val="24"/>
          <w:lang w:val="en-US"/>
        </w:rPr>
      </w:pPr>
      <w:r w:rsidRPr="005452E1">
        <w:rPr>
          <w:rFonts w:ascii="Times New Roman" w:eastAsia="Times New Roman" w:hAnsi="Symbol" w:cs="Times New Roman"/>
          <w:sz w:val="24"/>
          <w:szCs w:val="24"/>
          <w:lang w:val="en-US"/>
        </w:rPr>
        <w:t></w:t>
      </w:r>
      <w:r w:rsidRPr="005452E1">
        <w:rPr>
          <w:rFonts w:ascii="Times New Roman" w:eastAsia="Times New Roman" w:hAnsi="Times New Roman" w:cs="Times New Roman"/>
          <w:sz w:val="24"/>
          <w:szCs w:val="24"/>
          <w:lang w:val="en-US"/>
        </w:rPr>
        <w:t xml:space="preserve">  Bebber, D. P., Ramotowski, M. A. T., &amp; Gurr, S. J. (2013). Crop pests and pathogens move polewards in a warming world. </w:t>
      </w:r>
      <w:r w:rsidRPr="005452E1">
        <w:rPr>
          <w:rFonts w:ascii="Times New Roman" w:eastAsia="Times New Roman" w:hAnsi="Times New Roman" w:cs="Times New Roman"/>
          <w:i/>
          <w:iCs/>
          <w:sz w:val="24"/>
          <w:szCs w:val="24"/>
          <w:lang w:val="en-US"/>
        </w:rPr>
        <w:t>Nature Climate Change, 3</w:t>
      </w:r>
      <w:r w:rsidRPr="005452E1">
        <w:rPr>
          <w:rFonts w:ascii="Times New Roman" w:eastAsia="Times New Roman" w:hAnsi="Times New Roman" w:cs="Times New Roman"/>
          <w:sz w:val="24"/>
          <w:szCs w:val="24"/>
          <w:lang w:val="en-US"/>
        </w:rPr>
        <w:t xml:space="preserve">, 985–988. </w:t>
      </w:r>
      <w:hyperlink r:id="rId10" w:history="1">
        <w:r w:rsidRPr="005452E1">
          <w:rPr>
            <w:rFonts w:ascii="Times New Roman" w:eastAsia="Times New Roman" w:hAnsi="Times New Roman" w:cs="Times New Roman"/>
            <w:color w:val="0000FF"/>
            <w:sz w:val="24"/>
            <w:szCs w:val="24"/>
            <w:u w:val="single"/>
            <w:lang w:val="en-US"/>
          </w:rPr>
          <w:t>https://doi.org/10.1038/nclimate1990</w:t>
        </w:r>
      </w:hyperlink>
    </w:p>
    <w:p w14:paraId="1049E0EE" w14:textId="77777777" w:rsidR="005452E1" w:rsidRPr="005452E1" w:rsidRDefault="005452E1" w:rsidP="005452E1">
      <w:pPr>
        <w:spacing w:after="0" w:line="240" w:lineRule="auto"/>
        <w:rPr>
          <w:rFonts w:ascii="Times New Roman" w:eastAsia="Times New Roman" w:hAnsi="Times New Roman" w:cs="Times New Roman"/>
          <w:sz w:val="24"/>
          <w:szCs w:val="24"/>
          <w:lang w:val="en-US"/>
        </w:rPr>
      </w:pPr>
      <w:r w:rsidRPr="005452E1">
        <w:rPr>
          <w:rFonts w:ascii="Times New Roman" w:eastAsia="Times New Roman" w:hAnsi="Symbol" w:cs="Times New Roman"/>
          <w:sz w:val="24"/>
          <w:szCs w:val="24"/>
          <w:lang w:val="en-US"/>
        </w:rPr>
        <w:t></w:t>
      </w:r>
      <w:r w:rsidRPr="005452E1">
        <w:rPr>
          <w:rFonts w:ascii="Times New Roman" w:eastAsia="Times New Roman" w:hAnsi="Times New Roman" w:cs="Times New Roman"/>
          <w:sz w:val="24"/>
          <w:szCs w:val="24"/>
          <w:lang w:val="en-US"/>
        </w:rPr>
        <w:t xml:space="preserve">  Betzholtz, P.-E., Forsman, A., &amp; Franzén, M. (2023). Associations of 16-year population dynamics in range-expanding moths with temperature and years since establishment. </w:t>
      </w:r>
      <w:r w:rsidRPr="005452E1">
        <w:rPr>
          <w:rFonts w:ascii="Times New Roman" w:eastAsia="Times New Roman" w:hAnsi="Times New Roman" w:cs="Times New Roman"/>
          <w:i/>
          <w:iCs/>
          <w:sz w:val="24"/>
          <w:szCs w:val="24"/>
          <w:lang w:val="en-US"/>
        </w:rPr>
        <w:t>Insects, 14</w:t>
      </w:r>
      <w:r w:rsidRPr="005452E1">
        <w:rPr>
          <w:rFonts w:ascii="Times New Roman" w:eastAsia="Times New Roman" w:hAnsi="Times New Roman" w:cs="Times New Roman"/>
          <w:sz w:val="24"/>
          <w:szCs w:val="24"/>
          <w:lang w:val="en-US"/>
        </w:rPr>
        <w:t xml:space="preserve">(1), Article 55. </w:t>
      </w:r>
      <w:hyperlink r:id="rId11" w:history="1">
        <w:r w:rsidRPr="005452E1">
          <w:rPr>
            <w:rFonts w:ascii="Times New Roman" w:eastAsia="Times New Roman" w:hAnsi="Times New Roman" w:cs="Times New Roman"/>
            <w:color w:val="0000FF"/>
            <w:sz w:val="24"/>
            <w:szCs w:val="24"/>
            <w:u w:val="single"/>
            <w:lang w:val="en-US"/>
          </w:rPr>
          <w:t>https://doi.org/10.3390/insects14010055</w:t>
        </w:r>
      </w:hyperlink>
    </w:p>
    <w:p w14:paraId="7D46B431" w14:textId="77777777" w:rsidR="005452E1" w:rsidRPr="005452E1" w:rsidRDefault="005452E1" w:rsidP="005452E1">
      <w:pPr>
        <w:spacing w:after="0" w:line="240" w:lineRule="auto"/>
        <w:rPr>
          <w:rFonts w:ascii="Times New Roman" w:eastAsia="Times New Roman" w:hAnsi="Times New Roman" w:cs="Times New Roman"/>
          <w:sz w:val="24"/>
          <w:szCs w:val="24"/>
          <w:lang w:val="en-US"/>
        </w:rPr>
      </w:pPr>
      <w:r w:rsidRPr="005452E1">
        <w:rPr>
          <w:rFonts w:ascii="Times New Roman" w:eastAsia="Times New Roman" w:hAnsi="Symbol" w:cs="Times New Roman"/>
          <w:sz w:val="24"/>
          <w:szCs w:val="24"/>
          <w:lang w:val="en-US"/>
        </w:rPr>
        <w:t></w:t>
      </w:r>
      <w:r w:rsidRPr="005452E1">
        <w:rPr>
          <w:rFonts w:ascii="Times New Roman" w:eastAsia="Times New Roman" w:hAnsi="Times New Roman" w:cs="Times New Roman"/>
          <w:sz w:val="24"/>
          <w:szCs w:val="24"/>
          <w:lang w:val="en-US"/>
        </w:rPr>
        <w:t xml:space="preserve">  Bradshaw, C. J. A., Leroy, B., Bellard, C., Roiz, D., Albert, C., Fournier, A., Barbet-Massin, M., Salles, J.-M., Simard, F., &amp; Courchamp, F. (2016). Massive yet grossly underestimated global costs of invasive insects. </w:t>
      </w:r>
      <w:r w:rsidRPr="005452E1">
        <w:rPr>
          <w:rFonts w:ascii="Times New Roman" w:eastAsia="Times New Roman" w:hAnsi="Times New Roman" w:cs="Times New Roman"/>
          <w:i/>
          <w:iCs/>
          <w:sz w:val="24"/>
          <w:szCs w:val="24"/>
          <w:lang w:val="en-US"/>
        </w:rPr>
        <w:t>Nature Communications, 7</w:t>
      </w:r>
      <w:r w:rsidRPr="005452E1">
        <w:rPr>
          <w:rFonts w:ascii="Times New Roman" w:eastAsia="Times New Roman" w:hAnsi="Times New Roman" w:cs="Times New Roman"/>
          <w:sz w:val="24"/>
          <w:szCs w:val="24"/>
          <w:lang w:val="en-US"/>
        </w:rPr>
        <w:t xml:space="preserve">, Article 12986. </w:t>
      </w:r>
      <w:hyperlink r:id="rId12" w:history="1">
        <w:r w:rsidRPr="005452E1">
          <w:rPr>
            <w:rFonts w:ascii="Times New Roman" w:eastAsia="Times New Roman" w:hAnsi="Times New Roman" w:cs="Times New Roman"/>
            <w:color w:val="0000FF"/>
            <w:sz w:val="24"/>
            <w:szCs w:val="24"/>
            <w:u w:val="single"/>
            <w:lang w:val="en-US"/>
          </w:rPr>
          <w:t>https://doi.org/10.1038/ncomms12986</w:t>
        </w:r>
      </w:hyperlink>
    </w:p>
    <w:p w14:paraId="1C7BC2AD" w14:textId="77777777" w:rsidR="005452E1" w:rsidRPr="005452E1" w:rsidRDefault="005452E1" w:rsidP="005452E1">
      <w:pPr>
        <w:spacing w:after="0" w:line="240" w:lineRule="auto"/>
        <w:rPr>
          <w:rFonts w:ascii="Times New Roman" w:eastAsia="Times New Roman" w:hAnsi="Times New Roman" w:cs="Times New Roman"/>
          <w:sz w:val="24"/>
          <w:szCs w:val="24"/>
          <w:lang w:val="en-US"/>
        </w:rPr>
      </w:pPr>
      <w:r w:rsidRPr="005452E1">
        <w:rPr>
          <w:rFonts w:ascii="Times New Roman" w:eastAsia="Times New Roman" w:hAnsi="Symbol" w:cs="Times New Roman"/>
          <w:sz w:val="24"/>
          <w:szCs w:val="24"/>
          <w:lang w:val="en-US"/>
        </w:rPr>
        <w:t></w:t>
      </w:r>
      <w:r w:rsidRPr="005452E1">
        <w:rPr>
          <w:rFonts w:ascii="Times New Roman" w:eastAsia="Times New Roman" w:hAnsi="Times New Roman" w:cs="Times New Roman"/>
          <w:sz w:val="24"/>
          <w:szCs w:val="24"/>
          <w:lang w:val="en-US"/>
        </w:rPr>
        <w:t xml:space="preserve">  Burc, E., Girard-Tercieux, C., Metz, M., Cazaux, E., Baur, J., Koppik, M., Rêgo, A., Hart, A. F., &amp; Berger, D. (2025). Life-history adaptation under climate warming magnifies the agricultural footprint of a cosmopolitan insect pest. </w:t>
      </w:r>
      <w:r w:rsidRPr="005452E1">
        <w:rPr>
          <w:rFonts w:ascii="Times New Roman" w:eastAsia="Times New Roman" w:hAnsi="Times New Roman" w:cs="Times New Roman"/>
          <w:i/>
          <w:iCs/>
          <w:sz w:val="24"/>
          <w:szCs w:val="24"/>
          <w:lang w:val="en-US"/>
        </w:rPr>
        <w:t>Nature Communications, 16</w:t>
      </w:r>
      <w:r w:rsidRPr="005452E1">
        <w:rPr>
          <w:rFonts w:ascii="Times New Roman" w:eastAsia="Times New Roman" w:hAnsi="Times New Roman" w:cs="Times New Roman"/>
          <w:sz w:val="24"/>
          <w:szCs w:val="24"/>
          <w:lang w:val="en-US"/>
        </w:rPr>
        <w:t xml:space="preserve">, Article 827. </w:t>
      </w:r>
      <w:hyperlink r:id="rId13" w:history="1">
        <w:r w:rsidRPr="005452E1">
          <w:rPr>
            <w:rFonts w:ascii="Times New Roman" w:eastAsia="Times New Roman" w:hAnsi="Times New Roman" w:cs="Times New Roman"/>
            <w:color w:val="0000FF"/>
            <w:sz w:val="24"/>
            <w:szCs w:val="24"/>
            <w:u w:val="single"/>
            <w:lang w:val="en-US"/>
          </w:rPr>
          <w:t>https://doi.org/10.1038/s41467-025-56177-2</w:t>
        </w:r>
      </w:hyperlink>
    </w:p>
    <w:p w14:paraId="52E81886" w14:textId="77777777" w:rsidR="005452E1" w:rsidRPr="005452E1" w:rsidRDefault="005452E1" w:rsidP="005452E1">
      <w:pPr>
        <w:spacing w:after="0" w:line="240" w:lineRule="auto"/>
        <w:rPr>
          <w:rFonts w:ascii="Times New Roman" w:eastAsia="Times New Roman" w:hAnsi="Times New Roman" w:cs="Times New Roman"/>
          <w:sz w:val="24"/>
          <w:szCs w:val="24"/>
          <w:lang w:val="en-US"/>
        </w:rPr>
      </w:pPr>
      <w:r w:rsidRPr="005452E1">
        <w:rPr>
          <w:rFonts w:ascii="Times New Roman" w:eastAsia="Times New Roman" w:hAnsi="Symbol" w:cs="Times New Roman"/>
          <w:sz w:val="24"/>
          <w:szCs w:val="24"/>
          <w:lang w:val="en-US"/>
        </w:rPr>
        <w:t></w:t>
      </w:r>
      <w:r w:rsidRPr="005452E1">
        <w:rPr>
          <w:rFonts w:ascii="Times New Roman" w:eastAsia="Times New Roman" w:hAnsi="Times New Roman" w:cs="Times New Roman"/>
          <w:sz w:val="24"/>
          <w:szCs w:val="24"/>
          <w:lang w:val="en-US"/>
        </w:rPr>
        <w:t xml:space="preserve">  Chaloner, T. M., Gurr, S. J., &amp; Bebber, D. P. (2021). Plant pathogen infection risk tracks global crop yields under climate change. </w:t>
      </w:r>
      <w:r w:rsidRPr="005452E1">
        <w:rPr>
          <w:rFonts w:ascii="Times New Roman" w:eastAsia="Times New Roman" w:hAnsi="Times New Roman" w:cs="Times New Roman"/>
          <w:i/>
          <w:iCs/>
          <w:sz w:val="24"/>
          <w:szCs w:val="24"/>
          <w:lang w:val="en-US"/>
        </w:rPr>
        <w:t>Nature Climate Change, 11</w:t>
      </w:r>
      <w:r w:rsidRPr="005452E1">
        <w:rPr>
          <w:rFonts w:ascii="Times New Roman" w:eastAsia="Times New Roman" w:hAnsi="Times New Roman" w:cs="Times New Roman"/>
          <w:sz w:val="24"/>
          <w:szCs w:val="24"/>
          <w:lang w:val="en-US"/>
        </w:rPr>
        <w:t xml:space="preserve">, 710–715. </w:t>
      </w:r>
      <w:hyperlink r:id="rId14" w:history="1">
        <w:r w:rsidRPr="005452E1">
          <w:rPr>
            <w:rFonts w:ascii="Times New Roman" w:eastAsia="Times New Roman" w:hAnsi="Times New Roman" w:cs="Times New Roman"/>
            <w:color w:val="0000FF"/>
            <w:sz w:val="24"/>
            <w:szCs w:val="24"/>
            <w:u w:val="single"/>
            <w:lang w:val="en-US"/>
          </w:rPr>
          <w:t>https://doi.org/10.1038/s41558-021-01104-8</w:t>
        </w:r>
      </w:hyperlink>
    </w:p>
    <w:p w14:paraId="2D01B6EE" w14:textId="77777777" w:rsidR="005452E1" w:rsidRPr="005452E1" w:rsidRDefault="005452E1" w:rsidP="005452E1">
      <w:pPr>
        <w:spacing w:after="0" w:line="240" w:lineRule="auto"/>
        <w:rPr>
          <w:rFonts w:ascii="Times New Roman" w:eastAsia="Times New Roman" w:hAnsi="Times New Roman" w:cs="Times New Roman"/>
          <w:sz w:val="24"/>
          <w:szCs w:val="24"/>
          <w:lang w:val="en-US"/>
        </w:rPr>
      </w:pPr>
      <w:r w:rsidRPr="005452E1">
        <w:rPr>
          <w:rFonts w:ascii="Times New Roman" w:eastAsia="Times New Roman" w:hAnsi="Symbol" w:cs="Times New Roman"/>
          <w:sz w:val="24"/>
          <w:szCs w:val="24"/>
          <w:lang w:val="en-US"/>
        </w:rPr>
        <w:t></w:t>
      </w:r>
      <w:r w:rsidRPr="005452E1">
        <w:rPr>
          <w:rFonts w:ascii="Times New Roman" w:eastAsia="Times New Roman" w:hAnsi="Times New Roman" w:cs="Times New Roman"/>
          <w:sz w:val="24"/>
          <w:szCs w:val="24"/>
          <w:lang w:val="en-US"/>
        </w:rPr>
        <w:t xml:space="preserve">  Deutsch, C. A., Tewksbury, J. J., Tigchelaar, M., Battisti, D. S., Merrill, S. C., Huey, R. B., &amp; Naylor, R. L. (2018). Increase in crop losses to insect pests in a warming climate. </w:t>
      </w:r>
      <w:r w:rsidRPr="005452E1">
        <w:rPr>
          <w:rFonts w:ascii="Times New Roman" w:eastAsia="Times New Roman" w:hAnsi="Times New Roman" w:cs="Times New Roman"/>
          <w:i/>
          <w:iCs/>
          <w:sz w:val="24"/>
          <w:szCs w:val="24"/>
          <w:lang w:val="en-US"/>
        </w:rPr>
        <w:t>Science, 361</w:t>
      </w:r>
      <w:r w:rsidRPr="005452E1">
        <w:rPr>
          <w:rFonts w:ascii="Times New Roman" w:eastAsia="Times New Roman" w:hAnsi="Times New Roman" w:cs="Times New Roman"/>
          <w:sz w:val="24"/>
          <w:szCs w:val="24"/>
          <w:lang w:val="en-US"/>
        </w:rPr>
        <w:t xml:space="preserve">(6405), 916–919. </w:t>
      </w:r>
      <w:hyperlink r:id="rId15" w:history="1">
        <w:r w:rsidRPr="005452E1">
          <w:rPr>
            <w:rFonts w:ascii="Times New Roman" w:eastAsia="Times New Roman" w:hAnsi="Times New Roman" w:cs="Times New Roman"/>
            <w:color w:val="0000FF"/>
            <w:sz w:val="24"/>
            <w:szCs w:val="24"/>
            <w:u w:val="single"/>
            <w:lang w:val="en-US"/>
          </w:rPr>
          <w:t>https://doi.org/10.1126/science.aat3466</w:t>
        </w:r>
      </w:hyperlink>
    </w:p>
    <w:p w14:paraId="35D391AB" w14:textId="77777777" w:rsidR="005452E1" w:rsidRPr="005452E1" w:rsidRDefault="005452E1" w:rsidP="005452E1">
      <w:pPr>
        <w:spacing w:after="0" w:line="240" w:lineRule="auto"/>
        <w:rPr>
          <w:rFonts w:ascii="Times New Roman" w:eastAsia="Times New Roman" w:hAnsi="Times New Roman" w:cs="Times New Roman"/>
          <w:sz w:val="24"/>
          <w:szCs w:val="24"/>
          <w:lang w:val="en-US"/>
        </w:rPr>
      </w:pPr>
      <w:r w:rsidRPr="005452E1">
        <w:rPr>
          <w:rFonts w:ascii="Times New Roman" w:eastAsia="Times New Roman" w:hAnsi="Symbol" w:cs="Times New Roman"/>
          <w:sz w:val="24"/>
          <w:szCs w:val="24"/>
          <w:lang w:val="en-US"/>
        </w:rPr>
        <w:t></w:t>
      </w:r>
      <w:r w:rsidRPr="005452E1">
        <w:rPr>
          <w:rFonts w:ascii="Times New Roman" w:eastAsia="Times New Roman" w:hAnsi="Times New Roman" w:cs="Times New Roman"/>
          <w:sz w:val="24"/>
          <w:szCs w:val="24"/>
          <w:lang w:val="en-US"/>
        </w:rPr>
        <w:t xml:space="preserve">  ElShahed, S. M., Mostafa, Z. K., Radwan, M. H., &amp; Hosni, E. M. (2023). Modeling the potential global distribution of the Egyptian cotton leafworm, </w:t>
      </w:r>
      <w:r w:rsidRPr="005452E1">
        <w:rPr>
          <w:rFonts w:ascii="Times New Roman" w:eastAsia="Times New Roman" w:hAnsi="Times New Roman" w:cs="Times New Roman"/>
          <w:i/>
          <w:iCs/>
          <w:sz w:val="24"/>
          <w:szCs w:val="24"/>
          <w:lang w:val="en-US"/>
        </w:rPr>
        <w:t>Spodoptera littoralis</w:t>
      </w:r>
      <w:r w:rsidRPr="005452E1">
        <w:rPr>
          <w:rFonts w:ascii="Times New Roman" w:eastAsia="Times New Roman" w:hAnsi="Times New Roman" w:cs="Times New Roman"/>
          <w:sz w:val="24"/>
          <w:szCs w:val="24"/>
          <w:lang w:val="en-US"/>
        </w:rPr>
        <w:t xml:space="preserve">, under climate change. </w:t>
      </w:r>
      <w:r w:rsidRPr="005452E1">
        <w:rPr>
          <w:rFonts w:ascii="Times New Roman" w:eastAsia="Times New Roman" w:hAnsi="Times New Roman" w:cs="Times New Roman"/>
          <w:i/>
          <w:iCs/>
          <w:sz w:val="24"/>
          <w:szCs w:val="24"/>
          <w:lang w:val="en-US"/>
        </w:rPr>
        <w:t>Scientific Reports, 13</w:t>
      </w:r>
      <w:r w:rsidRPr="005452E1">
        <w:rPr>
          <w:rFonts w:ascii="Times New Roman" w:eastAsia="Times New Roman" w:hAnsi="Times New Roman" w:cs="Times New Roman"/>
          <w:sz w:val="24"/>
          <w:szCs w:val="24"/>
          <w:lang w:val="en-US"/>
        </w:rPr>
        <w:t xml:space="preserve">, Article 17314. </w:t>
      </w:r>
      <w:hyperlink r:id="rId16" w:history="1">
        <w:r w:rsidRPr="005452E1">
          <w:rPr>
            <w:rFonts w:ascii="Times New Roman" w:eastAsia="Times New Roman" w:hAnsi="Times New Roman" w:cs="Times New Roman"/>
            <w:color w:val="0000FF"/>
            <w:sz w:val="24"/>
            <w:szCs w:val="24"/>
            <w:u w:val="single"/>
            <w:lang w:val="en-US"/>
          </w:rPr>
          <w:t>https://doi.org/10.1038/s41598-023-44441-8</w:t>
        </w:r>
      </w:hyperlink>
    </w:p>
    <w:p w14:paraId="1088125C" w14:textId="77777777" w:rsidR="005452E1" w:rsidRPr="005452E1" w:rsidRDefault="005452E1" w:rsidP="005452E1">
      <w:pPr>
        <w:spacing w:after="0" w:line="240" w:lineRule="auto"/>
        <w:rPr>
          <w:rFonts w:ascii="Times New Roman" w:eastAsia="Times New Roman" w:hAnsi="Times New Roman" w:cs="Times New Roman"/>
          <w:sz w:val="24"/>
          <w:szCs w:val="24"/>
          <w:lang w:val="en-US"/>
        </w:rPr>
      </w:pPr>
      <w:r w:rsidRPr="005452E1">
        <w:rPr>
          <w:rFonts w:ascii="Times New Roman" w:eastAsia="Times New Roman" w:hAnsi="Symbol" w:cs="Times New Roman"/>
          <w:sz w:val="24"/>
          <w:szCs w:val="24"/>
          <w:lang w:val="en-US"/>
        </w:rPr>
        <w:t></w:t>
      </w:r>
      <w:r w:rsidRPr="005452E1">
        <w:rPr>
          <w:rFonts w:ascii="Times New Roman" w:eastAsia="Times New Roman" w:hAnsi="Times New Roman" w:cs="Times New Roman"/>
          <w:sz w:val="24"/>
          <w:szCs w:val="24"/>
          <w:lang w:val="en-US"/>
        </w:rPr>
        <w:t xml:space="preserve">  Ferrari, R. (2015). Writing narrative style literature reviews. </w:t>
      </w:r>
      <w:r w:rsidRPr="005452E1">
        <w:rPr>
          <w:rFonts w:ascii="Times New Roman" w:eastAsia="Times New Roman" w:hAnsi="Times New Roman" w:cs="Times New Roman"/>
          <w:i/>
          <w:iCs/>
          <w:sz w:val="24"/>
          <w:szCs w:val="24"/>
          <w:lang w:val="en-US"/>
        </w:rPr>
        <w:t>Medical Writing, 24</w:t>
      </w:r>
      <w:r w:rsidRPr="005452E1">
        <w:rPr>
          <w:rFonts w:ascii="Times New Roman" w:eastAsia="Times New Roman" w:hAnsi="Times New Roman" w:cs="Times New Roman"/>
          <w:sz w:val="24"/>
          <w:szCs w:val="24"/>
          <w:lang w:val="en-US"/>
        </w:rPr>
        <w:t xml:space="preserve">(4), 230–235. </w:t>
      </w:r>
      <w:hyperlink r:id="rId17" w:history="1">
        <w:r w:rsidRPr="005452E1">
          <w:rPr>
            <w:rFonts w:ascii="Times New Roman" w:eastAsia="Times New Roman" w:hAnsi="Times New Roman" w:cs="Times New Roman"/>
            <w:color w:val="0000FF"/>
            <w:sz w:val="24"/>
            <w:szCs w:val="24"/>
            <w:u w:val="single"/>
            <w:lang w:val="en-US"/>
          </w:rPr>
          <w:t>https://doi.org/10.1179/2047480615Z.000000000329</w:t>
        </w:r>
      </w:hyperlink>
    </w:p>
    <w:p w14:paraId="4F35009A" w14:textId="77777777" w:rsidR="005452E1" w:rsidRPr="005452E1" w:rsidRDefault="005452E1" w:rsidP="005452E1">
      <w:pPr>
        <w:spacing w:after="0" w:line="240" w:lineRule="auto"/>
        <w:rPr>
          <w:rFonts w:ascii="Times New Roman" w:eastAsia="Times New Roman" w:hAnsi="Times New Roman" w:cs="Times New Roman"/>
          <w:sz w:val="24"/>
          <w:szCs w:val="24"/>
          <w:lang w:val="en-US"/>
        </w:rPr>
      </w:pPr>
      <w:r w:rsidRPr="005452E1">
        <w:rPr>
          <w:rFonts w:ascii="Times New Roman" w:eastAsia="Times New Roman" w:hAnsi="Symbol" w:cs="Times New Roman"/>
          <w:sz w:val="24"/>
          <w:szCs w:val="24"/>
          <w:lang w:val="en-US"/>
        </w:rPr>
        <w:t></w:t>
      </w:r>
      <w:r w:rsidRPr="005452E1">
        <w:rPr>
          <w:rFonts w:ascii="Times New Roman" w:eastAsia="Times New Roman" w:hAnsi="Times New Roman" w:cs="Times New Roman"/>
          <w:sz w:val="24"/>
          <w:szCs w:val="24"/>
          <w:lang w:val="en-US"/>
        </w:rPr>
        <w:t xml:space="preserve">  Guinet, M., Adeux, G., Cordeau, S., Courson, E., Nandillon, R., Zhang, Y., &amp; Munier-Jolain, N. (2023). Fostering temporal crop diversification to reduce pesticide use. </w:t>
      </w:r>
      <w:r w:rsidRPr="005452E1">
        <w:rPr>
          <w:rFonts w:ascii="Times New Roman" w:eastAsia="Times New Roman" w:hAnsi="Times New Roman" w:cs="Times New Roman"/>
          <w:i/>
          <w:iCs/>
          <w:sz w:val="24"/>
          <w:szCs w:val="24"/>
          <w:lang w:val="en-US"/>
        </w:rPr>
        <w:t>Nature Communications, 14</w:t>
      </w:r>
      <w:r w:rsidRPr="005452E1">
        <w:rPr>
          <w:rFonts w:ascii="Times New Roman" w:eastAsia="Times New Roman" w:hAnsi="Times New Roman" w:cs="Times New Roman"/>
          <w:sz w:val="24"/>
          <w:szCs w:val="24"/>
          <w:lang w:val="en-US"/>
        </w:rPr>
        <w:t xml:space="preserve">, Article 7416. </w:t>
      </w:r>
      <w:hyperlink r:id="rId18" w:history="1">
        <w:r w:rsidRPr="005452E1">
          <w:rPr>
            <w:rFonts w:ascii="Times New Roman" w:eastAsia="Times New Roman" w:hAnsi="Times New Roman" w:cs="Times New Roman"/>
            <w:color w:val="0000FF"/>
            <w:sz w:val="24"/>
            <w:szCs w:val="24"/>
            <w:u w:val="single"/>
            <w:lang w:val="en-US"/>
          </w:rPr>
          <w:t>https://doi.org/10.1038/s41467-023-43234-x</w:t>
        </w:r>
      </w:hyperlink>
    </w:p>
    <w:p w14:paraId="3F650217" w14:textId="77777777" w:rsidR="005452E1" w:rsidRPr="005452E1" w:rsidRDefault="005452E1" w:rsidP="005452E1">
      <w:pPr>
        <w:spacing w:after="0" w:line="240" w:lineRule="auto"/>
        <w:rPr>
          <w:rFonts w:ascii="Times New Roman" w:eastAsia="Times New Roman" w:hAnsi="Times New Roman" w:cs="Times New Roman"/>
          <w:sz w:val="24"/>
          <w:szCs w:val="24"/>
          <w:lang w:val="en-US"/>
        </w:rPr>
      </w:pPr>
      <w:r w:rsidRPr="005452E1">
        <w:rPr>
          <w:rFonts w:ascii="Times New Roman" w:eastAsia="Times New Roman" w:hAnsi="Symbol" w:cs="Times New Roman"/>
          <w:sz w:val="24"/>
          <w:szCs w:val="24"/>
          <w:lang w:val="en-US"/>
        </w:rPr>
        <w:t></w:t>
      </w:r>
      <w:r w:rsidRPr="005452E1">
        <w:rPr>
          <w:rFonts w:ascii="Times New Roman" w:eastAsia="Times New Roman" w:hAnsi="Times New Roman" w:cs="Times New Roman"/>
          <w:sz w:val="24"/>
          <w:szCs w:val="24"/>
          <w:lang w:val="en-US"/>
        </w:rPr>
        <w:t xml:space="preserve">  Habel, J. C., Schmitt, T., Gros, P., &amp; Ulrich, W. (2024). Active around the year: Butterflies and moths adapt their life cycles to a warming world. </w:t>
      </w:r>
      <w:r w:rsidRPr="005452E1">
        <w:rPr>
          <w:rFonts w:ascii="Times New Roman" w:eastAsia="Times New Roman" w:hAnsi="Times New Roman" w:cs="Times New Roman"/>
          <w:i/>
          <w:iCs/>
          <w:sz w:val="24"/>
          <w:szCs w:val="24"/>
          <w:lang w:val="en-US"/>
        </w:rPr>
        <w:t>Global Change Biology, 30</w:t>
      </w:r>
      <w:r w:rsidRPr="005452E1">
        <w:rPr>
          <w:rFonts w:ascii="Times New Roman" w:eastAsia="Times New Roman" w:hAnsi="Times New Roman" w:cs="Times New Roman"/>
          <w:sz w:val="24"/>
          <w:szCs w:val="24"/>
          <w:lang w:val="en-US"/>
        </w:rPr>
        <w:t xml:space="preserve">(1), Article e17103. </w:t>
      </w:r>
      <w:hyperlink r:id="rId19" w:history="1">
        <w:r w:rsidRPr="005452E1">
          <w:rPr>
            <w:rFonts w:ascii="Times New Roman" w:eastAsia="Times New Roman" w:hAnsi="Times New Roman" w:cs="Times New Roman"/>
            <w:color w:val="0000FF"/>
            <w:sz w:val="24"/>
            <w:szCs w:val="24"/>
            <w:u w:val="single"/>
            <w:lang w:val="en-US"/>
          </w:rPr>
          <w:t>https://doi.org/10.1111/gcb.17103</w:t>
        </w:r>
      </w:hyperlink>
    </w:p>
    <w:p w14:paraId="210E06A5" w14:textId="77777777" w:rsidR="005452E1" w:rsidRPr="005452E1" w:rsidRDefault="005452E1" w:rsidP="005452E1">
      <w:pPr>
        <w:spacing w:after="0" w:line="240" w:lineRule="auto"/>
        <w:rPr>
          <w:rFonts w:ascii="Times New Roman" w:eastAsia="Times New Roman" w:hAnsi="Times New Roman" w:cs="Times New Roman"/>
          <w:sz w:val="24"/>
          <w:szCs w:val="24"/>
          <w:lang w:val="en-US"/>
        </w:rPr>
      </w:pPr>
      <w:r w:rsidRPr="005452E1">
        <w:rPr>
          <w:rFonts w:ascii="Times New Roman" w:eastAsia="Times New Roman" w:hAnsi="Symbol" w:cs="Times New Roman"/>
          <w:sz w:val="24"/>
          <w:szCs w:val="24"/>
          <w:lang w:val="en-US"/>
        </w:rPr>
        <w:t></w:t>
      </w:r>
      <w:r w:rsidRPr="005452E1">
        <w:rPr>
          <w:rFonts w:ascii="Times New Roman" w:eastAsia="Times New Roman" w:hAnsi="Times New Roman" w:cs="Times New Roman"/>
          <w:sz w:val="24"/>
          <w:szCs w:val="24"/>
          <w:lang w:val="en-US"/>
        </w:rPr>
        <w:t xml:space="preserve">  Hosni, E. M., Al-Khalaf, A. A., Nasser, M. G., Abou-Shaara, H. F., &amp; Radwan, M. H. (2022). Modeling the potential global distribution of honeybee pest, </w:t>
      </w:r>
      <w:r w:rsidRPr="005452E1">
        <w:rPr>
          <w:rFonts w:ascii="Times New Roman" w:eastAsia="Times New Roman" w:hAnsi="Times New Roman" w:cs="Times New Roman"/>
          <w:i/>
          <w:iCs/>
          <w:sz w:val="24"/>
          <w:szCs w:val="24"/>
          <w:lang w:val="en-US"/>
        </w:rPr>
        <w:t>Galleria mellonella</w:t>
      </w:r>
      <w:r w:rsidRPr="005452E1">
        <w:rPr>
          <w:rFonts w:ascii="Times New Roman" w:eastAsia="Times New Roman" w:hAnsi="Times New Roman" w:cs="Times New Roman"/>
          <w:sz w:val="24"/>
          <w:szCs w:val="24"/>
          <w:lang w:val="en-US"/>
        </w:rPr>
        <w:t xml:space="preserve">, under changing climate. </w:t>
      </w:r>
      <w:r w:rsidRPr="005452E1">
        <w:rPr>
          <w:rFonts w:ascii="Times New Roman" w:eastAsia="Times New Roman" w:hAnsi="Times New Roman" w:cs="Times New Roman"/>
          <w:i/>
          <w:iCs/>
          <w:sz w:val="24"/>
          <w:szCs w:val="24"/>
          <w:lang w:val="en-US"/>
        </w:rPr>
        <w:t>Insects, 13</w:t>
      </w:r>
      <w:r w:rsidRPr="005452E1">
        <w:rPr>
          <w:rFonts w:ascii="Times New Roman" w:eastAsia="Times New Roman" w:hAnsi="Times New Roman" w:cs="Times New Roman"/>
          <w:sz w:val="24"/>
          <w:szCs w:val="24"/>
          <w:lang w:val="en-US"/>
        </w:rPr>
        <w:t xml:space="preserve">(5), Article 484. </w:t>
      </w:r>
      <w:hyperlink r:id="rId20" w:history="1">
        <w:r w:rsidRPr="005452E1">
          <w:rPr>
            <w:rFonts w:ascii="Times New Roman" w:eastAsia="Times New Roman" w:hAnsi="Times New Roman" w:cs="Times New Roman"/>
            <w:color w:val="0000FF"/>
            <w:sz w:val="24"/>
            <w:szCs w:val="24"/>
            <w:u w:val="single"/>
            <w:lang w:val="en-US"/>
          </w:rPr>
          <w:t>https://doi.org/10.3390/insects13050484</w:t>
        </w:r>
      </w:hyperlink>
    </w:p>
    <w:p w14:paraId="3221BD10" w14:textId="77777777" w:rsidR="005452E1" w:rsidRPr="005452E1" w:rsidRDefault="005452E1" w:rsidP="005452E1">
      <w:pPr>
        <w:spacing w:after="0" w:line="240" w:lineRule="auto"/>
        <w:rPr>
          <w:rFonts w:ascii="Times New Roman" w:eastAsia="Times New Roman" w:hAnsi="Times New Roman" w:cs="Times New Roman"/>
          <w:sz w:val="24"/>
          <w:szCs w:val="24"/>
          <w:lang w:val="en-US"/>
        </w:rPr>
      </w:pPr>
      <w:r w:rsidRPr="005452E1">
        <w:rPr>
          <w:rFonts w:ascii="Times New Roman" w:eastAsia="Times New Roman" w:hAnsi="Symbol" w:cs="Times New Roman"/>
          <w:sz w:val="24"/>
          <w:szCs w:val="24"/>
          <w:lang w:val="en-US"/>
        </w:rPr>
        <w:t></w:t>
      </w:r>
      <w:r w:rsidRPr="005452E1">
        <w:rPr>
          <w:rFonts w:ascii="Times New Roman" w:eastAsia="Times New Roman" w:hAnsi="Times New Roman" w:cs="Times New Roman"/>
          <w:sz w:val="24"/>
          <w:szCs w:val="24"/>
          <w:lang w:val="en-US"/>
        </w:rPr>
        <w:t xml:space="preserve">  Jendritzki, I., Tonnang, H. E. Z., Calatayud, P.-A., Borgemeister, C., Johansson, T., &amp; Biber-Freudenberger, L. (2023). Uncertainties in the effectiveness of biological control of stem borers under different climate change scenarios in Eastern Africa. </w:t>
      </w:r>
      <w:r w:rsidRPr="005452E1">
        <w:rPr>
          <w:rFonts w:ascii="Times New Roman" w:eastAsia="Times New Roman" w:hAnsi="Times New Roman" w:cs="Times New Roman"/>
          <w:i/>
          <w:iCs/>
          <w:sz w:val="24"/>
          <w:szCs w:val="24"/>
          <w:lang w:val="en-US"/>
        </w:rPr>
        <w:t>Climatic Change, 176</w:t>
      </w:r>
      <w:r w:rsidRPr="005452E1">
        <w:rPr>
          <w:rFonts w:ascii="Times New Roman" w:eastAsia="Times New Roman" w:hAnsi="Times New Roman" w:cs="Times New Roman"/>
          <w:sz w:val="24"/>
          <w:szCs w:val="24"/>
          <w:lang w:val="en-US"/>
        </w:rPr>
        <w:t xml:space="preserve">, Article 56. </w:t>
      </w:r>
      <w:hyperlink r:id="rId21" w:history="1">
        <w:r w:rsidRPr="005452E1">
          <w:rPr>
            <w:rFonts w:ascii="Times New Roman" w:eastAsia="Times New Roman" w:hAnsi="Times New Roman" w:cs="Times New Roman"/>
            <w:color w:val="0000FF"/>
            <w:sz w:val="24"/>
            <w:szCs w:val="24"/>
            <w:u w:val="single"/>
            <w:lang w:val="en-US"/>
          </w:rPr>
          <w:t>https://doi.org/10.1007/s10584-023-03514-3</w:t>
        </w:r>
      </w:hyperlink>
    </w:p>
    <w:p w14:paraId="535ECF7A" w14:textId="77777777" w:rsidR="005452E1" w:rsidRPr="005452E1" w:rsidRDefault="005452E1" w:rsidP="005452E1">
      <w:pPr>
        <w:spacing w:after="0" w:line="240" w:lineRule="auto"/>
        <w:rPr>
          <w:rFonts w:ascii="Times New Roman" w:eastAsia="Times New Roman" w:hAnsi="Times New Roman" w:cs="Times New Roman"/>
          <w:sz w:val="24"/>
          <w:szCs w:val="24"/>
          <w:lang w:val="en-US"/>
        </w:rPr>
      </w:pPr>
      <w:r w:rsidRPr="005452E1">
        <w:rPr>
          <w:rFonts w:ascii="Times New Roman" w:eastAsia="Times New Roman" w:hAnsi="Symbol" w:cs="Times New Roman"/>
          <w:sz w:val="24"/>
          <w:szCs w:val="24"/>
          <w:lang w:val="en-US"/>
        </w:rPr>
        <w:t></w:t>
      </w:r>
      <w:r w:rsidRPr="005452E1">
        <w:rPr>
          <w:rFonts w:ascii="Times New Roman" w:eastAsia="Times New Roman" w:hAnsi="Times New Roman" w:cs="Times New Roman"/>
          <w:sz w:val="24"/>
          <w:szCs w:val="24"/>
          <w:lang w:val="en-US"/>
        </w:rPr>
        <w:t xml:space="preserve">  Johnson, S. N., Waterman, J. M., &amp; Hall, C. R. (2020). Increased insect herbivore performance under elevated CO₂ is associated with lower plant defence signalling and </w:t>
      </w:r>
      <w:r w:rsidRPr="005452E1">
        <w:rPr>
          <w:rFonts w:ascii="Times New Roman" w:eastAsia="Times New Roman" w:hAnsi="Times New Roman" w:cs="Times New Roman"/>
          <w:sz w:val="24"/>
          <w:szCs w:val="24"/>
          <w:lang w:val="en-US"/>
        </w:rPr>
        <w:lastRenderedPageBreak/>
        <w:t xml:space="preserve">minimal declines in nutritional quality. </w:t>
      </w:r>
      <w:r w:rsidRPr="005452E1">
        <w:rPr>
          <w:rFonts w:ascii="Times New Roman" w:eastAsia="Times New Roman" w:hAnsi="Times New Roman" w:cs="Times New Roman"/>
          <w:i/>
          <w:iCs/>
          <w:sz w:val="24"/>
          <w:szCs w:val="24"/>
          <w:lang w:val="en-US"/>
        </w:rPr>
        <w:t>Scientific Reports, 10</w:t>
      </w:r>
      <w:r w:rsidRPr="005452E1">
        <w:rPr>
          <w:rFonts w:ascii="Times New Roman" w:eastAsia="Times New Roman" w:hAnsi="Times New Roman" w:cs="Times New Roman"/>
          <w:sz w:val="24"/>
          <w:szCs w:val="24"/>
          <w:lang w:val="en-US"/>
        </w:rPr>
        <w:t xml:space="preserve">, Article 14553. </w:t>
      </w:r>
      <w:hyperlink r:id="rId22" w:history="1">
        <w:r w:rsidRPr="005452E1">
          <w:rPr>
            <w:rFonts w:ascii="Times New Roman" w:eastAsia="Times New Roman" w:hAnsi="Times New Roman" w:cs="Times New Roman"/>
            <w:color w:val="0000FF"/>
            <w:sz w:val="24"/>
            <w:szCs w:val="24"/>
            <w:u w:val="single"/>
            <w:lang w:val="en-US"/>
          </w:rPr>
          <w:t>https://doi.org/10.1038/s41598-020-70823-3</w:t>
        </w:r>
      </w:hyperlink>
    </w:p>
    <w:p w14:paraId="774A4BCA" w14:textId="77777777" w:rsidR="005452E1" w:rsidRPr="005452E1" w:rsidRDefault="005452E1" w:rsidP="005452E1">
      <w:pPr>
        <w:spacing w:after="0" w:line="240" w:lineRule="auto"/>
        <w:rPr>
          <w:rFonts w:ascii="Times New Roman" w:eastAsia="Times New Roman" w:hAnsi="Times New Roman" w:cs="Times New Roman"/>
          <w:sz w:val="24"/>
          <w:szCs w:val="24"/>
          <w:lang w:val="en-US"/>
        </w:rPr>
      </w:pPr>
      <w:r w:rsidRPr="005452E1">
        <w:rPr>
          <w:rFonts w:ascii="Times New Roman" w:eastAsia="Times New Roman" w:hAnsi="Symbol" w:cs="Times New Roman"/>
          <w:sz w:val="24"/>
          <w:szCs w:val="24"/>
          <w:lang w:val="en-US"/>
        </w:rPr>
        <w:t></w:t>
      </w:r>
      <w:r w:rsidRPr="005452E1">
        <w:rPr>
          <w:rFonts w:ascii="Times New Roman" w:eastAsia="Times New Roman" w:hAnsi="Times New Roman" w:cs="Times New Roman"/>
          <w:sz w:val="24"/>
          <w:szCs w:val="24"/>
          <w:lang w:val="en-US"/>
        </w:rPr>
        <w:t xml:space="preserve">  Krishnan, S., &amp; Chander, S. (2015). Simulation of climatic change impact on crop–pest interactions: A case study of rice pink stem borer </w:t>
      </w:r>
      <w:r w:rsidRPr="005452E1">
        <w:rPr>
          <w:rFonts w:ascii="Times New Roman" w:eastAsia="Times New Roman" w:hAnsi="Times New Roman" w:cs="Times New Roman"/>
          <w:i/>
          <w:iCs/>
          <w:sz w:val="24"/>
          <w:szCs w:val="24"/>
          <w:lang w:val="en-US"/>
        </w:rPr>
        <w:t>Sesamia inferens</w:t>
      </w:r>
      <w:r w:rsidRPr="005452E1">
        <w:rPr>
          <w:rFonts w:ascii="Times New Roman" w:eastAsia="Times New Roman" w:hAnsi="Times New Roman" w:cs="Times New Roman"/>
          <w:sz w:val="24"/>
          <w:szCs w:val="24"/>
          <w:lang w:val="en-US"/>
        </w:rPr>
        <w:t xml:space="preserve"> (Walker). </w:t>
      </w:r>
      <w:r w:rsidRPr="005452E1">
        <w:rPr>
          <w:rFonts w:ascii="Times New Roman" w:eastAsia="Times New Roman" w:hAnsi="Times New Roman" w:cs="Times New Roman"/>
          <w:i/>
          <w:iCs/>
          <w:sz w:val="24"/>
          <w:szCs w:val="24"/>
          <w:lang w:val="en-US"/>
        </w:rPr>
        <w:t>Climatic Change, 131</w:t>
      </w:r>
      <w:r w:rsidRPr="005452E1">
        <w:rPr>
          <w:rFonts w:ascii="Times New Roman" w:eastAsia="Times New Roman" w:hAnsi="Times New Roman" w:cs="Times New Roman"/>
          <w:sz w:val="24"/>
          <w:szCs w:val="24"/>
          <w:lang w:val="en-US"/>
        </w:rPr>
        <w:t xml:space="preserve">(2), 259–272. </w:t>
      </w:r>
      <w:hyperlink r:id="rId23" w:history="1">
        <w:r w:rsidRPr="005452E1">
          <w:rPr>
            <w:rFonts w:ascii="Times New Roman" w:eastAsia="Times New Roman" w:hAnsi="Times New Roman" w:cs="Times New Roman"/>
            <w:color w:val="0000FF"/>
            <w:sz w:val="24"/>
            <w:szCs w:val="24"/>
            <w:u w:val="single"/>
            <w:lang w:val="en-US"/>
          </w:rPr>
          <w:t>https://doi.org/10.1007/s10584-015-1385-3</w:t>
        </w:r>
      </w:hyperlink>
    </w:p>
    <w:p w14:paraId="784A87BB" w14:textId="77777777" w:rsidR="005452E1" w:rsidRPr="005452E1" w:rsidRDefault="005452E1" w:rsidP="005452E1">
      <w:pPr>
        <w:spacing w:after="0" w:line="240" w:lineRule="auto"/>
        <w:rPr>
          <w:rFonts w:ascii="Times New Roman" w:eastAsia="Times New Roman" w:hAnsi="Times New Roman" w:cs="Times New Roman"/>
          <w:sz w:val="24"/>
          <w:szCs w:val="24"/>
          <w:lang w:val="en-US"/>
        </w:rPr>
      </w:pPr>
      <w:r w:rsidRPr="005452E1">
        <w:rPr>
          <w:rFonts w:ascii="Times New Roman" w:eastAsia="Times New Roman" w:hAnsi="Symbol" w:cs="Times New Roman"/>
          <w:sz w:val="24"/>
          <w:szCs w:val="24"/>
          <w:lang w:val="en-US"/>
        </w:rPr>
        <w:t></w:t>
      </w:r>
      <w:r w:rsidRPr="005452E1">
        <w:rPr>
          <w:rFonts w:ascii="Times New Roman" w:eastAsia="Times New Roman" w:hAnsi="Times New Roman" w:cs="Times New Roman"/>
          <w:sz w:val="24"/>
          <w:szCs w:val="24"/>
          <w:lang w:val="en-US"/>
        </w:rPr>
        <w:t xml:space="preserve">  Kriticos, D. J., Szyniszewska, A., Bradshaw, C., Li, C., Verykouki, E., Yonow, T., &amp; Duffy, C. (2024). Modelling tools for including climate change in pest risk assessments. </w:t>
      </w:r>
      <w:r w:rsidRPr="005452E1">
        <w:rPr>
          <w:rFonts w:ascii="Times New Roman" w:eastAsia="Times New Roman" w:hAnsi="Times New Roman" w:cs="Times New Roman"/>
          <w:i/>
          <w:iCs/>
          <w:sz w:val="24"/>
          <w:szCs w:val="24"/>
          <w:lang w:val="en-US"/>
        </w:rPr>
        <w:t>EPPO Bulletin, 54</w:t>
      </w:r>
      <w:r w:rsidRPr="005452E1">
        <w:rPr>
          <w:rFonts w:ascii="Times New Roman" w:eastAsia="Times New Roman" w:hAnsi="Times New Roman" w:cs="Times New Roman"/>
          <w:sz w:val="24"/>
          <w:szCs w:val="24"/>
          <w:lang w:val="en-US"/>
        </w:rPr>
        <w:t xml:space="preserve">(S1), 38–51. </w:t>
      </w:r>
      <w:hyperlink r:id="rId24" w:history="1">
        <w:r w:rsidRPr="005452E1">
          <w:rPr>
            <w:rFonts w:ascii="Times New Roman" w:eastAsia="Times New Roman" w:hAnsi="Times New Roman" w:cs="Times New Roman"/>
            <w:color w:val="0000FF"/>
            <w:sz w:val="24"/>
            <w:szCs w:val="24"/>
            <w:u w:val="single"/>
            <w:lang w:val="en-US"/>
          </w:rPr>
          <w:t>https://doi.org/10.1111/epp.12994</w:t>
        </w:r>
      </w:hyperlink>
    </w:p>
    <w:p w14:paraId="5E45FACE" w14:textId="77777777" w:rsidR="005452E1" w:rsidRPr="005452E1" w:rsidRDefault="005452E1" w:rsidP="005452E1">
      <w:pPr>
        <w:spacing w:after="0" w:line="240" w:lineRule="auto"/>
        <w:rPr>
          <w:rFonts w:ascii="Times New Roman" w:eastAsia="Times New Roman" w:hAnsi="Times New Roman" w:cs="Times New Roman"/>
          <w:sz w:val="24"/>
          <w:szCs w:val="24"/>
          <w:lang w:val="en-US"/>
        </w:rPr>
      </w:pPr>
      <w:r w:rsidRPr="005452E1">
        <w:rPr>
          <w:rFonts w:ascii="Times New Roman" w:eastAsia="Times New Roman" w:hAnsi="Symbol" w:cs="Times New Roman"/>
          <w:sz w:val="24"/>
          <w:szCs w:val="24"/>
          <w:lang w:val="en-US"/>
        </w:rPr>
        <w:t></w:t>
      </w:r>
      <w:r w:rsidRPr="005452E1">
        <w:rPr>
          <w:rFonts w:ascii="Times New Roman" w:eastAsia="Times New Roman" w:hAnsi="Times New Roman" w:cs="Times New Roman"/>
          <w:sz w:val="24"/>
          <w:szCs w:val="24"/>
          <w:lang w:val="en-US"/>
        </w:rPr>
        <w:t xml:space="preserve">  Lehmann, P., Ammunét, T., Barton, M., Battisti, A., Eigenbrode, S. D., Jepsen, J. U., Kalinkat, G., Neuvonen, S., Niemelä, P., Terblanche, J. S., Økland, B., &amp; Björkman, C. (2020). Complex responses of global insect pests to climate warming. </w:t>
      </w:r>
      <w:r w:rsidRPr="005452E1">
        <w:rPr>
          <w:rFonts w:ascii="Times New Roman" w:eastAsia="Times New Roman" w:hAnsi="Times New Roman" w:cs="Times New Roman"/>
          <w:i/>
          <w:iCs/>
          <w:sz w:val="24"/>
          <w:szCs w:val="24"/>
          <w:lang w:val="en-US"/>
        </w:rPr>
        <w:t>Frontiers in Ecology and the Environment, 18</w:t>
      </w:r>
      <w:r w:rsidRPr="005452E1">
        <w:rPr>
          <w:rFonts w:ascii="Times New Roman" w:eastAsia="Times New Roman" w:hAnsi="Times New Roman" w:cs="Times New Roman"/>
          <w:sz w:val="24"/>
          <w:szCs w:val="24"/>
          <w:lang w:val="en-US"/>
        </w:rPr>
        <w:t xml:space="preserve">(3), 141–150. </w:t>
      </w:r>
      <w:hyperlink r:id="rId25" w:history="1">
        <w:r w:rsidRPr="005452E1">
          <w:rPr>
            <w:rFonts w:ascii="Times New Roman" w:eastAsia="Times New Roman" w:hAnsi="Times New Roman" w:cs="Times New Roman"/>
            <w:color w:val="0000FF"/>
            <w:sz w:val="24"/>
            <w:szCs w:val="24"/>
            <w:u w:val="single"/>
            <w:lang w:val="en-US"/>
          </w:rPr>
          <w:t>https://doi.org/10.1002/fee.2160</w:t>
        </w:r>
      </w:hyperlink>
    </w:p>
    <w:p w14:paraId="3DB3A400" w14:textId="77777777" w:rsidR="005452E1" w:rsidRPr="005452E1" w:rsidRDefault="005452E1" w:rsidP="005452E1">
      <w:pPr>
        <w:spacing w:after="0" w:line="240" w:lineRule="auto"/>
        <w:rPr>
          <w:rFonts w:ascii="Times New Roman" w:eastAsia="Times New Roman" w:hAnsi="Times New Roman" w:cs="Times New Roman"/>
          <w:sz w:val="24"/>
          <w:szCs w:val="24"/>
          <w:lang w:val="en-US"/>
        </w:rPr>
      </w:pPr>
      <w:r w:rsidRPr="005452E1">
        <w:rPr>
          <w:rFonts w:ascii="Times New Roman" w:eastAsia="Times New Roman" w:hAnsi="Symbol" w:cs="Times New Roman"/>
          <w:sz w:val="24"/>
          <w:szCs w:val="24"/>
          <w:lang w:val="en-US"/>
        </w:rPr>
        <w:t></w:t>
      </w:r>
      <w:r w:rsidRPr="005452E1">
        <w:rPr>
          <w:rFonts w:ascii="Times New Roman" w:eastAsia="Times New Roman" w:hAnsi="Times New Roman" w:cs="Times New Roman"/>
          <w:sz w:val="24"/>
          <w:szCs w:val="24"/>
          <w:lang w:val="en-US"/>
        </w:rPr>
        <w:t xml:space="preserve">  Li, C., Zhong, H., Ning, W., Hu, G., Wu, M., Liu, Y., Yan, B., Ren, H., &amp; Sonne, C. (2024). Integrating climate-pest interactions into crop projections for sustainable agriculture. </w:t>
      </w:r>
      <w:r w:rsidRPr="005452E1">
        <w:rPr>
          <w:rFonts w:ascii="Times New Roman" w:eastAsia="Times New Roman" w:hAnsi="Times New Roman" w:cs="Times New Roman"/>
          <w:i/>
          <w:iCs/>
          <w:sz w:val="24"/>
          <w:szCs w:val="24"/>
          <w:lang w:val="en-US"/>
        </w:rPr>
        <w:t>Nature Food, 5</w:t>
      </w:r>
      <w:r w:rsidRPr="005452E1">
        <w:rPr>
          <w:rFonts w:ascii="Times New Roman" w:eastAsia="Times New Roman" w:hAnsi="Times New Roman" w:cs="Times New Roman"/>
          <w:sz w:val="24"/>
          <w:szCs w:val="24"/>
          <w:lang w:val="en-US"/>
        </w:rPr>
        <w:t xml:space="preserve">, 447–450. </w:t>
      </w:r>
      <w:hyperlink r:id="rId26" w:history="1">
        <w:r w:rsidRPr="005452E1">
          <w:rPr>
            <w:rFonts w:ascii="Times New Roman" w:eastAsia="Times New Roman" w:hAnsi="Times New Roman" w:cs="Times New Roman"/>
            <w:color w:val="0000FF"/>
            <w:sz w:val="24"/>
            <w:szCs w:val="24"/>
            <w:u w:val="single"/>
            <w:lang w:val="en-US"/>
          </w:rPr>
          <w:t>https://doi.org/10.1038/s43016-024-00994-z</w:t>
        </w:r>
      </w:hyperlink>
    </w:p>
    <w:p w14:paraId="2FA774CF" w14:textId="77777777" w:rsidR="005452E1" w:rsidRPr="005452E1" w:rsidRDefault="005452E1" w:rsidP="005452E1">
      <w:pPr>
        <w:spacing w:after="0" w:line="240" w:lineRule="auto"/>
        <w:rPr>
          <w:rFonts w:ascii="Times New Roman" w:eastAsia="Times New Roman" w:hAnsi="Times New Roman" w:cs="Times New Roman"/>
          <w:sz w:val="24"/>
          <w:szCs w:val="24"/>
          <w:lang w:val="en-US"/>
        </w:rPr>
      </w:pPr>
      <w:r w:rsidRPr="005452E1">
        <w:rPr>
          <w:rFonts w:ascii="Times New Roman" w:eastAsia="Times New Roman" w:hAnsi="Symbol" w:cs="Times New Roman"/>
          <w:sz w:val="24"/>
          <w:szCs w:val="24"/>
          <w:lang w:val="en-US"/>
        </w:rPr>
        <w:t></w:t>
      </w:r>
      <w:r w:rsidRPr="005452E1">
        <w:rPr>
          <w:rFonts w:ascii="Times New Roman" w:eastAsia="Times New Roman" w:hAnsi="Times New Roman" w:cs="Times New Roman"/>
          <w:sz w:val="24"/>
          <w:szCs w:val="24"/>
          <w:lang w:val="en-US"/>
        </w:rPr>
        <w:t xml:space="preserve">  Ma, C.-S., Wang, B.-X., Wang, X.-J., Lin, Q.-C., Zhang, W., Yang, X.-F., van Baaren, J., Bebber, D. P., Eigenbrode, S. D., Zalucki, M. P., Zeng, J., &amp; Ma, G. (2025). Crop pest responses to global changes in climate and land management. </w:t>
      </w:r>
      <w:r w:rsidRPr="005452E1">
        <w:rPr>
          <w:rFonts w:ascii="Times New Roman" w:eastAsia="Times New Roman" w:hAnsi="Times New Roman" w:cs="Times New Roman"/>
          <w:i/>
          <w:iCs/>
          <w:sz w:val="24"/>
          <w:szCs w:val="24"/>
          <w:lang w:val="en-US"/>
        </w:rPr>
        <w:t>Nature Reviews Earth &amp; Environment, 6</w:t>
      </w:r>
      <w:r w:rsidRPr="005452E1">
        <w:rPr>
          <w:rFonts w:ascii="Times New Roman" w:eastAsia="Times New Roman" w:hAnsi="Times New Roman" w:cs="Times New Roman"/>
          <w:sz w:val="24"/>
          <w:szCs w:val="24"/>
          <w:lang w:val="en-US"/>
        </w:rPr>
        <w:t xml:space="preserve">(4), 264–283. </w:t>
      </w:r>
      <w:hyperlink r:id="rId27" w:history="1">
        <w:r w:rsidRPr="005452E1">
          <w:rPr>
            <w:rFonts w:ascii="Times New Roman" w:eastAsia="Times New Roman" w:hAnsi="Times New Roman" w:cs="Times New Roman"/>
            <w:color w:val="0000FF"/>
            <w:sz w:val="24"/>
            <w:szCs w:val="24"/>
            <w:u w:val="single"/>
            <w:lang w:val="en-US"/>
          </w:rPr>
          <w:t>https://doi.org/10.1038/s43017-025-00652-3</w:t>
        </w:r>
      </w:hyperlink>
    </w:p>
    <w:p w14:paraId="4638F6C0" w14:textId="77777777" w:rsidR="005452E1" w:rsidRPr="005452E1" w:rsidRDefault="005452E1" w:rsidP="005452E1">
      <w:pPr>
        <w:spacing w:after="0" w:line="240" w:lineRule="auto"/>
        <w:rPr>
          <w:rFonts w:ascii="Times New Roman" w:eastAsia="Times New Roman" w:hAnsi="Times New Roman" w:cs="Times New Roman"/>
          <w:sz w:val="24"/>
          <w:szCs w:val="24"/>
          <w:lang w:val="en-US"/>
        </w:rPr>
      </w:pPr>
      <w:r w:rsidRPr="005452E1">
        <w:rPr>
          <w:rFonts w:ascii="Times New Roman" w:eastAsia="Times New Roman" w:hAnsi="Symbol" w:cs="Times New Roman"/>
          <w:sz w:val="24"/>
          <w:szCs w:val="24"/>
          <w:lang w:val="en-US"/>
        </w:rPr>
        <w:t></w:t>
      </w:r>
      <w:r w:rsidRPr="005452E1">
        <w:rPr>
          <w:rFonts w:ascii="Times New Roman" w:eastAsia="Times New Roman" w:hAnsi="Times New Roman" w:cs="Times New Roman"/>
          <w:sz w:val="24"/>
          <w:szCs w:val="24"/>
          <w:lang w:val="en-US"/>
        </w:rPr>
        <w:t xml:space="preserve">  Matzrafi, M. (2019). Climate change exacerbates pest damage through reduced pesticide efficacy. </w:t>
      </w:r>
      <w:r w:rsidRPr="005452E1">
        <w:rPr>
          <w:rFonts w:ascii="Times New Roman" w:eastAsia="Times New Roman" w:hAnsi="Times New Roman" w:cs="Times New Roman"/>
          <w:i/>
          <w:iCs/>
          <w:sz w:val="24"/>
          <w:szCs w:val="24"/>
          <w:lang w:val="en-US"/>
        </w:rPr>
        <w:t>Pest Management Science, 75</w:t>
      </w:r>
      <w:r w:rsidRPr="005452E1">
        <w:rPr>
          <w:rFonts w:ascii="Times New Roman" w:eastAsia="Times New Roman" w:hAnsi="Times New Roman" w:cs="Times New Roman"/>
          <w:sz w:val="24"/>
          <w:szCs w:val="24"/>
          <w:lang w:val="en-US"/>
        </w:rPr>
        <w:t xml:space="preserve">(1), 9–13. </w:t>
      </w:r>
      <w:hyperlink r:id="rId28" w:history="1">
        <w:r w:rsidRPr="005452E1">
          <w:rPr>
            <w:rFonts w:ascii="Times New Roman" w:eastAsia="Times New Roman" w:hAnsi="Times New Roman" w:cs="Times New Roman"/>
            <w:color w:val="0000FF"/>
            <w:sz w:val="24"/>
            <w:szCs w:val="24"/>
            <w:u w:val="single"/>
            <w:lang w:val="en-US"/>
          </w:rPr>
          <w:t>https://doi.org/10.1002/ps.5121</w:t>
        </w:r>
      </w:hyperlink>
    </w:p>
    <w:p w14:paraId="125EFD84" w14:textId="77777777" w:rsidR="005452E1" w:rsidRPr="005452E1" w:rsidRDefault="005452E1" w:rsidP="005452E1">
      <w:pPr>
        <w:spacing w:after="0" w:line="240" w:lineRule="auto"/>
        <w:rPr>
          <w:rFonts w:ascii="Times New Roman" w:eastAsia="Times New Roman" w:hAnsi="Times New Roman" w:cs="Times New Roman"/>
          <w:sz w:val="24"/>
          <w:szCs w:val="24"/>
          <w:lang w:val="en-US"/>
        </w:rPr>
      </w:pPr>
      <w:r w:rsidRPr="005452E1">
        <w:rPr>
          <w:rFonts w:ascii="Times New Roman" w:eastAsia="Times New Roman" w:hAnsi="Symbol" w:cs="Times New Roman"/>
          <w:sz w:val="24"/>
          <w:szCs w:val="24"/>
          <w:lang w:val="en-US"/>
        </w:rPr>
        <w:t></w:t>
      </w:r>
      <w:r w:rsidRPr="005452E1">
        <w:rPr>
          <w:rFonts w:ascii="Times New Roman" w:eastAsia="Times New Roman" w:hAnsi="Times New Roman" w:cs="Times New Roman"/>
          <w:sz w:val="24"/>
          <w:szCs w:val="24"/>
          <w:lang w:val="en-US"/>
        </w:rPr>
        <w:t xml:space="preserve">  Mwalusepo, S., Tonnang, H. E. Z., Massawe, E. S., Okuku, G. O., Khadioli, N., Johansson, T., Calatayud, P.-A., &amp; Le Ru, B. P. (2015). Predicting the impact of temperature change on the future distribution of maize stem borers and their natural enemies along East African mountain gradients using phenology models. </w:t>
      </w:r>
      <w:r w:rsidRPr="005452E1">
        <w:rPr>
          <w:rFonts w:ascii="Times New Roman" w:eastAsia="Times New Roman" w:hAnsi="Times New Roman" w:cs="Times New Roman"/>
          <w:i/>
          <w:iCs/>
          <w:sz w:val="24"/>
          <w:szCs w:val="24"/>
          <w:lang w:val="en-US"/>
        </w:rPr>
        <w:t>PLOS ONE, 10</w:t>
      </w:r>
      <w:r w:rsidRPr="005452E1">
        <w:rPr>
          <w:rFonts w:ascii="Times New Roman" w:eastAsia="Times New Roman" w:hAnsi="Times New Roman" w:cs="Times New Roman"/>
          <w:sz w:val="24"/>
          <w:szCs w:val="24"/>
          <w:lang w:val="en-US"/>
        </w:rPr>
        <w:t xml:space="preserve">(6), Article e0130427. </w:t>
      </w:r>
      <w:hyperlink r:id="rId29" w:history="1">
        <w:r w:rsidRPr="005452E1">
          <w:rPr>
            <w:rFonts w:ascii="Times New Roman" w:eastAsia="Times New Roman" w:hAnsi="Times New Roman" w:cs="Times New Roman"/>
            <w:color w:val="0000FF"/>
            <w:sz w:val="24"/>
            <w:szCs w:val="24"/>
            <w:u w:val="single"/>
            <w:lang w:val="en-US"/>
          </w:rPr>
          <w:t>https://doi.org/10.1371/journal.pone.0130427</w:t>
        </w:r>
      </w:hyperlink>
    </w:p>
    <w:p w14:paraId="61307BA8" w14:textId="77777777" w:rsidR="005452E1" w:rsidRPr="005452E1" w:rsidRDefault="005452E1" w:rsidP="005452E1">
      <w:pPr>
        <w:spacing w:after="0" w:line="240" w:lineRule="auto"/>
        <w:rPr>
          <w:rFonts w:ascii="Times New Roman" w:eastAsia="Times New Roman" w:hAnsi="Times New Roman" w:cs="Times New Roman"/>
          <w:sz w:val="24"/>
          <w:szCs w:val="24"/>
          <w:lang w:val="en-US"/>
        </w:rPr>
      </w:pPr>
      <w:r w:rsidRPr="005452E1">
        <w:rPr>
          <w:rFonts w:ascii="Times New Roman" w:eastAsia="Times New Roman" w:hAnsi="Symbol" w:cs="Times New Roman"/>
          <w:sz w:val="24"/>
          <w:szCs w:val="24"/>
          <w:lang w:val="en-US"/>
        </w:rPr>
        <w:t></w:t>
      </w:r>
      <w:r w:rsidRPr="005452E1">
        <w:rPr>
          <w:rFonts w:ascii="Times New Roman" w:eastAsia="Times New Roman" w:hAnsi="Times New Roman" w:cs="Times New Roman"/>
          <w:sz w:val="24"/>
          <w:szCs w:val="24"/>
          <w:lang w:val="en-US"/>
        </w:rPr>
        <w:t xml:space="preserve">  Newbold, T., Oppenheimer, P., Etard, A., &amp; Williams, J. J. (2020). Tropical and Mediterranean biodiversity is disproportionately sensitive to land-use and climate change. </w:t>
      </w:r>
      <w:r w:rsidRPr="005452E1">
        <w:rPr>
          <w:rFonts w:ascii="Times New Roman" w:eastAsia="Times New Roman" w:hAnsi="Times New Roman" w:cs="Times New Roman"/>
          <w:i/>
          <w:iCs/>
          <w:sz w:val="24"/>
          <w:szCs w:val="24"/>
          <w:lang w:val="en-US"/>
        </w:rPr>
        <w:t>Nature Ecology &amp; Evolution, 4</w:t>
      </w:r>
      <w:r w:rsidRPr="005452E1">
        <w:rPr>
          <w:rFonts w:ascii="Times New Roman" w:eastAsia="Times New Roman" w:hAnsi="Times New Roman" w:cs="Times New Roman"/>
          <w:sz w:val="24"/>
          <w:szCs w:val="24"/>
          <w:lang w:val="en-US"/>
        </w:rPr>
        <w:t xml:space="preserve">, 1630–1638. </w:t>
      </w:r>
      <w:hyperlink r:id="rId30" w:history="1">
        <w:r w:rsidRPr="005452E1">
          <w:rPr>
            <w:rFonts w:ascii="Times New Roman" w:eastAsia="Times New Roman" w:hAnsi="Times New Roman" w:cs="Times New Roman"/>
            <w:color w:val="0000FF"/>
            <w:sz w:val="24"/>
            <w:szCs w:val="24"/>
            <w:u w:val="single"/>
            <w:lang w:val="en-US"/>
          </w:rPr>
          <w:t>https://doi.org/10.1038/s41559-020-01303-0</w:t>
        </w:r>
      </w:hyperlink>
    </w:p>
    <w:p w14:paraId="1C04B98B" w14:textId="77777777" w:rsidR="005452E1" w:rsidRPr="005452E1" w:rsidRDefault="005452E1" w:rsidP="005452E1">
      <w:pPr>
        <w:spacing w:after="0" w:line="240" w:lineRule="auto"/>
        <w:rPr>
          <w:rFonts w:ascii="Times New Roman" w:eastAsia="Times New Roman" w:hAnsi="Times New Roman" w:cs="Times New Roman"/>
          <w:sz w:val="24"/>
          <w:szCs w:val="24"/>
          <w:lang w:val="en-US"/>
        </w:rPr>
      </w:pPr>
      <w:r w:rsidRPr="005452E1">
        <w:rPr>
          <w:rFonts w:ascii="Times New Roman" w:eastAsia="Times New Roman" w:hAnsi="Symbol" w:cs="Times New Roman"/>
          <w:sz w:val="24"/>
          <w:szCs w:val="24"/>
          <w:lang w:val="en-US"/>
        </w:rPr>
        <w:t></w:t>
      </w:r>
      <w:r w:rsidRPr="005452E1">
        <w:rPr>
          <w:rFonts w:ascii="Times New Roman" w:eastAsia="Times New Roman" w:hAnsi="Times New Roman" w:cs="Times New Roman"/>
          <w:sz w:val="24"/>
          <w:szCs w:val="24"/>
          <w:lang w:val="en-US"/>
        </w:rPr>
        <w:t xml:space="preserve">  Parmesan, C., &amp; Yohe, G. (2003). A globally coherent fingerprint of climate change impacts across natural systems. </w:t>
      </w:r>
      <w:r w:rsidRPr="005452E1">
        <w:rPr>
          <w:rFonts w:ascii="Times New Roman" w:eastAsia="Times New Roman" w:hAnsi="Times New Roman" w:cs="Times New Roman"/>
          <w:i/>
          <w:iCs/>
          <w:sz w:val="24"/>
          <w:szCs w:val="24"/>
          <w:lang w:val="en-US"/>
        </w:rPr>
        <w:t>Nature, 421</w:t>
      </w:r>
      <w:r w:rsidRPr="005452E1">
        <w:rPr>
          <w:rFonts w:ascii="Times New Roman" w:eastAsia="Times New Roman" w:hAnsi="Times New Roman" w:cs="Times New Roman"/>
          <w:sz w:val="24"/>
          <w:szCs w:val="24"/>
          <w:lang w:val="en-US"/>
        </w:rPr>
        <w:t xml:space="preserve">(6918), 37–42. </w:t>
      </w:r>
      <w:hyperlink r:id="rId31" w:history="1">
        <w:r w:rsidRPr="005452E1">
          <w:rPr>
            <w:rFonts w:ascii="Times New Roman" w:eastAsia="Times New Roman" w:hAnsi="Times New Roman" w:cs="Times New Roman"/>
            <w:color w:val="0000FF"/>
            <w:sz w:val="24"/>
            <w:szCs w:val="24"/>
            <w:u w:val="single"/>
            <w:lang w:val="en-US"/>
          </w:rPr>
          <w:t>https://doi.org/10.1038/nature01286</w:t>
        </w:r>
      </w:hyperlink>
    </w:p>
    <w:p w14:paraId="7C4ED758" w14:textId="77777777" w:rsidR="005452E1" w:rsidRPr="005452E1" w:rsidRDefault="005452E1" w:rsidP="005452E1">
      <w:pPr>
        <w:spacing w:after="0" w:line="240" w:lineRule="auto"/>
        <w:rPr>
          <w:rFonts w:ascii="Times New Roman" w:eastAsia="Times New Roman" w:hAnsi="Times New Roman" w:cs="Times New Roman"/>
          <w:sz w:val="24"/>
          <w:szCs w:val="24"/>
          <w:lang w:val="en-US"/>
        </w:rPr>
      </w:pPr>
      <w:r w:rsidRPr="005452E1">
        <w:rPr>
          <w:rFonts w:ascii="Times New Roman" w:eastAsia="Times New Roman" w:hAnsi="Symbol" w:cs="Times New Roman"/>
          <w:sz w:val="24"/>
          <w:szCs w:val="24"/>
          <w:lang w:val="en-US"/>
        </w:rPr>
        <w:t></w:t>
      </w:r>
      <w:r w:rsidRPr="005452E1">
        <w:rPr>
          <w:rFonts w:ascii="Times New Roman" w:eastAsia="Times New Roman" w:hAnsi="Times New Roman" w:cs="Times New Roman"/>
          <w:sz w:val="24"/>
          <w:szCs w:val="24"/>
          <w:lang w:val="en-US"/>
        </w:rPr>
        <w:t xml:space="preserve">  Perrin, M., Abram, P. K., Brodeur, J., Delattre, T., Siegwart, M., &amp; Moiroux, J. (2025). The projected effects of climate change on the management of agricultural insect pests. </w:t>
      </w:r>
      <w:r w:rsidRPr="005452E1">
        <w:rPr>
          <w:rFonts w:ascii="Times New Roman" w:eastAsia="Times New Roman" w:hAnsi="Times New Roman" w:cs="Times New Roman"/>
          <w:i/>
          <w:iCs/>
          <w:sz w:val="24"/>
          <w:szCs w:val="24"/>
          <w:lang w:val="en-US"/>
        </w:rPr>
        <w:t>Journal of Pest Science, 98</w:t>
      </w:r>
      <w:r w:rsidRPr="005452E1">
        <w:rPr>
          <w:rFonts w:ascii="Times New Roman" w:eastAsia="Times New Roman" w:hAnsi="Times New Roman" w:cs="Times New Roman"/>
          <w:sz w:val="24"/>
          <w:szCs w:val="24"/>
          <w:lang w:val="en-US"/>
        </w:rPr>
        <w:t xml:space="preserve">, 2191–2216. </w:t>
      </w:r>
      <w:hyperlink r:id="rId32" w:history="1">
        <w:r w:rsidRPr="005452E1">
          <w:rPr>
            <w:rFonts w:ascii="Times New Roman" w:eastAsia="Times New Roman" w:hAnsi="Times New Roman" w:cs="Times New Roman"/>
            <w:color w:val="0000FF"/>
            <w:sz w:val="24"/>
            <w:szCs w:val="24"/>
            <w:u w:val="single"/>
            <w:lang w:val="en-US"/>
          </w:rPr>
          <w:t>https://doi.org/10.1007/s10340-025-01933-y</w:t>
        </w:r>
      </w:hyperlink>
    </w:p>
    <w:p w14:paraId="77A8409A" w14:textId="77777777" w:rsidR="005452E1" w:rsidRPr="005452E1" w:rsidRDefault="005452E1" w:rsidP="005452E1">
      <w:pPr>
        <w:spacing w:after="0" w:line="240" w:lineRule="auto"/>
        <w:rPr>
          <w:rFonts w:ascii="Times New Roman" w:eastAsia="Times New Roman" w:hAnsi="Times New Roman" w:cs="Times New Roman"/>
          <w:sz w:val="24"/>
          <w:szCs w:val="24"/>
          <w:lang w:val="en-US"/>
        </w:rPr>
      </w:pPr>
      <w:r w:rsidRPr="005452E1">
        <w:rPr>
          <w:rFonts w:ascii="Times New Roman" w:eastAsia="Times New Roman" w:hAnsi="Symbol" w:cs="Times New Roman"/>
          <w:sz w:val="24"/>
          <w:szCs w:val="24"/>
          <w:lang w:val="en-US"/>
        </w:rPr>
        <w:t></w:t>
      </w:r>
      <w:r w:rsidRPr="005452E1">
        <w:rPr>
          <w:rFonts w:ascii="Times New Roman" w:eastAsia="Times New Roman" w:hAnsi="Times New Roman" w:cs="Times New Roman"/>
          <w:sz w:val="24"/>
          <w:szCs w:val="24"/>
          <w:lang w:val="en-US"/>
        </w:rPr>
        <w:t xml:space="preserve">  Régnier, B., Legrand, J., Calatayud, P.-A., &amp; Rebaudo, F. (2023). Developmental differentiations of major maize stemborers due to global warming in temperate and tropical climates. </w:t>
      </w:r>
      <w:r w:rsidRPr="005452E1">
        <w:rPr>
          <w:rFonts w:ascii="Times New Roman" w:eastAsia="Times New Roman" w:hAnsi="Times New Roman" w:cs="Times New Roman"/>
          <w:i/>
          <w:iCs/>
          <w:sz w:val="24"/>
          <w:szCs w:val="24"/>
          <w:lang w:val="en-US"/>
        </w:rPr>
        <w:t>Insects, 14</w:t>
      </w:r>
      <w:r w:rsidRPr="005452E1">
        <w:rPr>
          <w:rFonts w:ascii="Times New Roman" w:eastAsia="Times New Roman" w:hAnsi="Times New Roman" w:cs="Times New Roman"/>
          <w:sz w:val="24"/>
          <w:szCs w:val="24"/>
          <w:lang w:val="en-US"/>
        </w:rPr>
        <w:t xml:space="preserve">(1), Article 51. </w:t>
      </w:r>
      <w:hyperlink r:id="rId33" w:history="1">
        <w:r w:rsidRPr="005452E1">
          <w:rPr>
            <w:rFonts w:ascii="Times New Roman" w:eastAsia="Times New Roman" w:hAnsi="Times New Roman" w:cs="Times New Roman"/>
            <w:color w:val="0000FF"/>
            <w:sz w:val="24"/>
            <w:szCs w:val="24"/>
            <w:u w:val="single"/>
            <w:lang w:val="en-US"/>
          </w:rPr>
          <w:t>https://doi.org/10.3390/insects14010051</w:t>
        </w:r>
      </w:hyperlink>
    </w:p>
    <w:p w14:paraId="0CC35B0B" w14:textId="77777777" w:rsidR="005452E1" w:rsidRPr="005452E1" w:rsidRDefault="005452E1" w:rsidP="005452E1">
      <w:pPr>
        <w:spacing w:after="0" w:line="240" w:lineRule="auto"/>
        <w:rPr>
          <w:rFonts w:ascii="Times New Roman" w:eastAsia="Times New Roman" w:hAnsi="Times New Roman" w:cs="Times New Roman"/>
          <w:sz w:val="24"/>
          <w:szCs w:val="24"/>
          <w:lang w:val="en-US"/>
        </w:rPr>
      </w:pPr>
      <w:r w:rsidRPr="005452E1">
        <w:rPr>
          <w:rFonts w:ascii="Times New Roman" w:eastAsia="Times New Roman" w:hAnsi="Symbol" w:cs="Times New Roman"/>
          <w:sz w:val="24"/>
          <w:szCs w:val="24"/>
          <w:lang w:val="en-US"/>
        </w:rPr>
        <w:t></w:t>
      </w:r>
      <w:r w:rsidRPr="005452E1">
        <w:rPr>
          <w:rFonts w:ascii="Times New Roman" w:eastAsia="Times New Roman" w:hAnsi="Times New Roman" w:cs="Times New Roman"/>
          <w:sz w:val="24"/>
          <w:szCs w:val="24"/>
          <w:lang w:val="en-US"/>
        </w:rPr>
        <w:t xml:space="preserve">  Robinson, E. A., Ryan, G. D., &amp; Newman, J. A. (2012). A meta-analytical review of the effects of elevated CO₂ on plant–arthropod interactions highlights the importance of interacting environmental and biological variables. </w:t>
      </w:r>
      <w:r w:rsidRPr="005452E1">
        <w:rPr>
          <w:rFonts w:ascii="Times New Roman" w:eastAsia="Times New Roman" w:hAnsi="Times New Roman" w:cs="Times New Roman"/>
          <w:i/>
          <w:iCs/>
          <w:sz w:val="24"/>
          <w:szCs w:val="24"/>
          <w:lang w:val="en-US"/>
        </w:rPr>
        <w:t>New Phytologist, 194</w:t>
      </w:r>
      <w:r w:rsidRPr="005452E1">
        <w:rPr>
          <w:rFonts w:ascii="Times New Roman" w:eastAsia="Times New Roman" w:hAnsi="Times New Roman" w:cs="Times New Roman"/>
          <w:sz w:val="24"/>
          <w:szCs w:val="24"/>
          <w:lang w:val="en-US"/>
        </w:rPr>
        <w:t xml:space="preserve">(2), 321–336. </w:t>
      </w:r>
      <w:hyperlink r:id="rId34" w:history="1">
        <w:r w:rsidRPr="005452E1">
          <w:rPr>
            <w:rFonts w:ascii="Times New Roman" w:eastAsia="Times New Roman" w:hAnsi="Times New Roman" w:cs="Times New Roman"/>
            <w:color w:val="0000FF"/>
            <w:sz w:val="24"/>
            <w:szCs w:val="24"/>
            <w:u w:val="single"/>
            <w:lang w:val="en-US"/>
          </w:rPr>
          <w:t>https://doi.org/10.1111/j.1469-8137.2012.04074.x</w:t>
        </w:r>
      </w:hyperlink>
    </w:p>
    <w:p w14:paraId="3D887BA7" w14:textId="77777777" w:rsidR="005452E1" w:rsidRPr="005452E1" w:rsidRDefault="005452E1" w:rsidP="005452E1">
      <w:pPr>
        <w:spacing w:after="0" w:line="240" w:lineRule="auto"/>
        <w:rPr>
          <w:rFonts w:ascii="Times New Roman" w:eastAsia="Times New Roman" w:hAnsi="Times New Roman" w:cs="Times New Roman"/>
          <w:sz w:val="24"/>
          <w:szCs w:val="24"/>
          <w:lang w:val="en-US"/>
        </w:rPr>
      </w:pPr>
      <w:r w:rsidRPr="005452E1">
        <w:rPr>
          <w:rFonts w:ascii="Times New Roman" w:eastAsia="Times New Roman" w:hAnsi="Symbol" w:cs="Times New Roman"/>
          <w:sz w:val="24"/>
          <w:szCs w:val="24"/>
          <w:lang w:val="en-US"/>
        </w:rPr>
        <w:t></w:t>
      </w:r>
      <w:r w:rsidRPr="005452E1">
        <w:rPr>
          <w:rFonts w:ascii="Times New Roman" w:eastAsia="Times New Roman" w:hAnsi="Times New Roman" w:cs="Times New Roman"/>
          <w:sz w:val="24"/>
          <w:szCs w:val="24"/>
          <w:lang w:val="en-US"/>
        </w:rPr>
        <w:t xml:space="preserve">  Schneider, L., Rebetez, M., &amp; Rasmann, S. (2022). The effect of climate change on invasive crop pests across biomes. </w:t>
      </w:r>
      <w:r w:rsidRPr="005452E1">
        <w:rPr>
          <w:rFonts w:ascii="Times New Roman" w:eastAsia="Times New Roman" w:hAnsi="Times New Roman" w:cs="Times New Roman"/>
          <w:i/>
          <w:iCs/>
          <w:sz w:val="24"/>
          <w:szCs w:val="24"/>
          <w:lang w:val="en-US"/>
        </w:rPr>
        <w:t>Current Opinion in Insect Science, 50</w:t>
      </w:r>
      <w:r w:rsidRPr="005452E1">
        <w:rPr>
          <w:rFonts w:ascii="Times New Roman" w:eastAsia="Times New Roman" w:hAnsi="Times New Roman" w:cs="Times New Roman"/>
          <w:sz w:val="24"/>
          <w:szCs w:val="24"/>
          <w:lang w:val="en-US"/>
        </w:rPr>
        <w:t xml:space="preserve">, Article 100895. </w:t>
      </w:r>
      <w:hyperlink r:id="rId35" w:history="1">
        <w:r w:rsidRPr="005452E1">
          <w:rPr>
            <w:rFonts w:ascii="Times New Roman" w:eastAsia="Times New Roman" w:hAnsi="Times New Roman" w:cs="Times New Roman"/>
            <w:color w:val="0000FF"/>
            <w:sz w:val="24"/>
            <w:szCs w:val="24"/>
            <w:u w:val="single"/>
            <w:lang w:val="en-US"/>
          </w:rPr>
          <w:t>https://doi.org/10.1016/j.cois.2022.100895</w:t>
        </w:r>
      </w:hyperlink>
    </w:p>
    <w:p w14:paraId="37FC9A86" w14:textId="77777777" w:rsidR="005452E1" w:rsidRPr="005452E1" w:rsidRDefault="005452E1" w:rsidP="005452E1">
      <w:pPr>
        <w:spacing w:after="0" w:line="240" w:lineRule="auto"/>
        <w:rPr>
          <w:rFonts w:ascii="Times New Roman" w:eastAsia="Times New Roman" w:hAnsi="Times New Roman" w:cs="Times New Roman"/>
          <w:sz w:val="24"/>
          <w:szCs w:val="24"/>
          <w:lang w:val="en-US"/>
        </w:rPr>
      </w:pPr>
      <w:r w:rsidRPr="005452E1">
        <w:rPr>
          <w:rFonts w:ascii="Times New Roman" w:eastAsia="Times New Roman" w:hAnsi="Symbol" w:cs="Times New Roman"/>
          <w:sz w:val="24"/>
          <w:szCs w:val="24"/>
          <w:lang w:val="en-US"/>
        </w:rPr>
        <w:t></w:t>
      </w:r>
      <w:r w:rsidRPr="005452E1">
        <w:rPr>
          <w:rFonts w:ascii="Times New Roman" w:eastAsia="Times New Roman" w:hAnsi="Times New Roman" w:cs="Times New Roman"/>
          <w:sz w:val="24"/>
          <w:szCs w:val="24"/>
          <w:lang w:val="en-US"/>
        </w:rPr>
        <w:t xml:space="preserve">  Sinclair, B. J., Marshall, K. E., Sewell, M. A., Levesque, D. L., Willett, C. S., Slotsbo, S., Dong, Y., Harley, C. D. G., Marshall, D. J., Helmuth, B. S., &amp; Huey, R. B. (2016). Can we predict ectotherm responses to climate change using thermal performance curves and body temperatures? </w:t>
      </w:r>
      <w:r w:rsidRPr="005452E1">
        <w:rPr>
          <w:rFonts w:ascii="Times New Roman" w:eastAsia="Times New Roman" w:hAnsi="Times New Roman" w:cs="Times New Roman"/>
          <w:i/>
          <w:iCs/>
          <w:sz w:val="24"/>
          <w:szCs w:val="24"/>
          <w:lang w:val="en-US"/>
        </w:rPr>
        <w:t>Ecology Letters, 19</w:t>
      </w:r>
      <w:r w:rsidRPr="005452E1">
        <w:rPr>
          <w:rFonts w:ascii="Times New Roman" w:eastAsia="Times New Roman" w:hAnsi="Times New Roman" w:cs="Times New Roman"/>
          <w:sz w:val="24"/>
          <w:szCs w:val="24"/>
          <w:lang w:val="en-US"/>
        </w:rPr>
        <w:t xml:space="preserve">(11), 1372–1385. </w:t>
      </w:r>
      <w:hyperlink r:id="rId36" w:history="1">
        <w:r w:rsidRPr="005452E1">
          <w:rPr>
            <w:rFonts w:ascii="Times New Roman" w:eastAsia="Times New Roman" w:hAnsi="Times New Roman" w:cs="Times New Roman"/>
            <w:color w:val="0000FF"/>
            <w:sz w:val="24"/>
            <w:szCs w:val="24"/>
            <w:u w:val="single"/>
            <w:lang w:val="en-US"/>
          </w:rPr>
          <w:t>https://doi.org/10.1111/ele.12686</w:t>
        </w:r>
      </w:hyperlink>
    </w:p>
    <w:p w14:paraId="70C0CCE3" w14:textId="77777777" w:rsidR="005452E1" w:rsidRPr="005452E1" w:rsidRDefault="005452E1" w:rsidP="005452E1">
      <w:pPr>
        <w:spacing w:after="0" w:line="240" w:lineRule="auto"/>
        <w:rPr>
          <w:rFonts w:ascii="Times New Roman" w:eastAsia="Times New Roman" w:hAnsi="Times New Roman" w:cs="Times New Roman"/>
          <w:sz w:val="24"/>
          <w:szCs w:val="24"/>
          <w:lang w:val="en-US"/>
        </w:rPr>
      </w:pPr>
      <w:r w:rsidRPr="005452E1">
        <w:rPr>
          <w:rFonts w:ascii="Times New Roman" w:eastAsia="Times New Roman" w:hAnsi="Symbol" w:cs="Times New Roman"/>
          <w:sz w:val="24"/>
          <w:szCs w:val="24"/>
          <w:lang w:val="en-US"/>
        </w:rPr>
        <w:lastRenderedPageBreak/>
        <w:t></w:t>
      </w:r>
      <w:r w:rsidRPr="005452E1">
        <w:rPr>
          <w:rFonts w:ascii="Times New Roman" w:eastAsia="Times New Roman" w:hAnsi="Times New Roman" w:cs="Times New Roman"/>
          <w:sz w:val="24"/>
          <w:szCs w:val="24"/>
          <w:lang w:val="en-US"/>
        </w:rPr>
        <w:t xml:space="preserve">  Thackeray, S. J., Henrys, P. A., Hemming, D., Bell, J. R., Botham, M. S., Burthe, S., Helaouët, P., Johns, D. G., Jones, I. D., Leech, D. I., Mackay, E. B., Massimino, D., Atkinson, S., Bacon, P. J., Brereton, T. M., Carvalho, L., Clutton-Brock, T. H., Duck, C., Edwards, M., . . . Wanless, S. (2016). Phenological sensitivity to climate across taxa and trophic levels. </w:t>
      </w:r>
      <w:r w:rsidRPr="005452E1">
        <w:rPr>
          <w:rFonts w:ascii="Times New Roman" w:eastAsia="Times New Roman" w:hAnsi="Times New Roman" w:cs="Times New Roman"/>
          <w:i/>
          <w:iCs/>
          <w:sz w:val="24"/>
          <w:szCs w:val="24"/>
          <w:lang w:val="en-US"/>
        </w:rPr>
        <w:t>Nature, 535</w:t>
      </w:r>
      <w:r w:rsidRPr="005452E1">
        <w:rPr>
          <w:rFonts w:ascii="Times New Roman" w:eastAsia="Times New Roman" w:hAnsi="Times New Roman" w:cs="Times New Roman"/>
          <w:sz w:val="24"/>
          <w:szCs w:val="24"/>
          <w:lang w:val="en-US"/>
        </w:rPr>
        <w:t xml:space="preserve">(7611), 241–245. </w:t>
      </w:r>
      <w:hyperlink r:id="rId37" w:history="1">
        <w:r w:rsidRPr="005452E1">
          <w:rPr>
            <w:rFonts w:ascii="Times New Roman" w:eastAsia="Times New Roman" w:hAnsi="Times New Roman" w:cs="Times New Roman"/>
            <w:color w:val="0000FF"/>
            <w:sz w:val="24"/>
            <w:szCs w:val="24"/>
            <w:u w:val="single"/>
            <w:lang w:val="en-US"/>
          </w:rPr>
          <w:t>https://doi.org/10.1038/nature18608</w:t>
        </w:r>
      </w:hyperlink>
    </w:p>
    <w:p w14:paraId="2F8101DF" w14:textId="77777777" w:rsidR="005452E1" w:rsidRPr="005452E1" w:rsidRDefault="005452E1" w:rsidP="005452E1">
      <w:pPr>
        <w:spacing w:after="0" w:line="240" w:lineRule="auto"/>
        <w:rPr>
          <w:rFonts w:ascii="Times New Roman" w:eastAsia="Times New Roman" w:hAnsi="Times New Roman" w:cs="Times New Roman"/>
          <w:sz w:val="24"/>
          <w:szCs w:val="24"/>
          <w:lang w:val="en-US"/>
        </w:rPr>
      </w:pPr>
      <w:r w:rsidRPr="005452E1">
        <w:rPr>
          <w:rFonts w:ascii="Times New Roman" w:eastAsia="Times New Roman" w:hAnsi="Symbol" w:cs="Times New Roman"/>
          <w:sz w:val="24"/>
          <w:szCs w:val="24"/>
          <w:lang w:val="en-US"/>
        </w:rPr>
        <w:t></w:t>
      </w:r>
      <w:r w:rsidRPr="005452E1">
        <w:rPr>
          <w:rFonts w:ascii="Times New Roman" w:eastAsia="Times New Roman" w:hAnsi="Times New Roman" w:cs="Times New Roman"/>
          <w:sz w:val="24"/>
          <w:szCs w:val="24"/>
          <w:lang w:val="en-US"/>
        </w:rPr>
        <w:t xml:space="preserve">  Yan, X.-R., Wang, Z.-Y., Feng, S.-Q., Zhao, Z.-H., &amp; Li, Z.-H. (2022). Impact of temperature change on the fall armyworm, </w:t>
      </w:r>
      <w:r w:rsidRPr="005452E1">
        <w:rPr>
          <w:rFonts w:ascii="Times New Roman" w:eastAsia="Times New Roman" w:hAnsi="Times New Roman" w:cs="Times New Roman"/>
          <w:i/>
          <w:iCs/>
          <w:sz w:val="24"/>
          <w:szCs w:val="24"/>
          <w:lang w:val="en-US"/>
        </w:rPr>
        <w:t>Spodoptera frugiperda</w:t>
      </w:r>
      <w:r w:rsidRPr="005452E1">
        <w:rPr>
          <w:rFonts w:ascii="Times New Roman" w:eastAsia="Times New Roman" w:hAnsi="Times New Roman" w:cs="Times New Roman"/>
          <w:sz w:val="24"/>
          <w:szCs w:val="24"/>
          <w:lang w:val="en-US"/>
        </w:rPr>
        <w:t xml:space="preserve">, under global climate change. </w:t>
      </w:r>
      <w:r w:rsidRPr="005452E1">
        <w:rPr>
          <w:rFonts w:ascii="Times New Roman" w:eastAsia="Times New Roman" w:hAnsi="Times New Roman" w:cs="Times New Roman"/>
          <w:i/>
          <w:iCs/>
          <w:sz w:val="24"/>
          <w:szCs w:val="24"/>
          <w:lang w:val="en-US"/>
        </w:rPr>
        <w:t>Insects, 13</w:t>
      </w:r>
      <w:r w:rsidRPr="005452E1">
        <w:rPr>
          <w:rFonts w:ascii="Times New Roman" w:eastAsia="Times New Roman" w:hAnsi="Times New Roman" w:cs="Times New Roman"/>
          <w:sz w:val="24"/>
          <w:szCs w:val="24"/>
          <w:lang w:val="en-US"/>
        </w:rPr>
        <w:t xml:space="preserve">(11), Article 981. </w:t>
      </w:r>
      <w:hyperlink r:id="rId38" w:history="1">
        <w:r w:rsidRPr="005452E1">
          <w:rPr>
            <w:rFonts w:ascii="Times New Roman" w:eastAsia="Times New Roman" w:hAnsi="Times New Roman" w:cs="Times New Roman"/>
            <w:color w:val="0000FF"/>
            <w:sz w:val="24"/>
            <w:szCs w:val="24"/>
            <w:u w:val="single"/>
            <w:lang w:val="en-US"/>
          </w:rPr>
          <w:t>https://doi.org/10.3390/insects13110981</w:t>
        </w:r>
      </w:hyperlink>
    </w:p>
    <w:p w14:paraId="0331A6F3" w14:textId="77777777" w:rsidR="005452E1" w:rsidRPr="005452E1" w:rsidRDefault="005452E1" w:rsidP="005452E1">
      <w:pPr>
        <w:spacing w:after="0" w:line="240" w:lineRule="auto"/>
        <w:rPr>
          <w:rFonts w:ascii="Times New Roman" w:eastAsia="Times New Roman" w:hAnsi="Times New Roman" w:cs="Times New Roman"/>
          <w:sz w:val="24"/>
          <w:szCs w:val="24"/>
          <w:lang w:val="en-US"/>
        </w:rPr>
      </w:pPr>
      <w:r w:rsidRPr="005452E1">
        <w:rPr>
          <w:rFonts w:ascii="Times New Roman" w:eastAsia="Times New Roman" w:hAnsi="Symbol" w:cs="Times New Roman"/>
          <w:sz w:val="24"/>
          <w:szCs w:val="24"/>
          <w:lang w:val="en-US"/>
        </w:rPr>
        <w:t></w:t>
      </w:r>
      <w:r w:rsidRPr="005452E1">
        <w:rPr>
          <w:rFonts w:ascii="Times New Roman" w:eastAsia="Times New Roman" w:hAnsi="Times New Roman" w:cs="Times New Roman"/>
          <w:sz w:val="24"/>
          <w:szCs w:val="24"/>
          <w:lang w:val="en-US"/>
        </w:rPr>
        <w:t xml:space="preserve">  Zacarias, D. A. (2020). Global bioclimatic suitability for the fall armyworm, </w:t>
      </w:r>
      <w:r w:rsidRPr="005452E1">
        <w:rPr>
          <w:rFonts w:ascii="Times New Roman" w:eastAsia="Times New Roman" w:hAnsi="Times New Roman" w:cs="Times New Roman"/>
          <w:i/>
          <w:iCs/>
          <w:sz w:val="24"/>
          <w:szCs w:val="24"/>
          <w:lang w:val="en-US"/>
        </w:rPr>
        <w:t>Spodoptera frugiperda</w:t>
      </w:r>
      <w:r w:rsidRPr="005452E1">
        <w:rPr>
          <w:rFonts w:ascii="Times New Roman" w:eastAsia="Times New Roman" w:hAnsi="Times New Roman" w:cs="Times New Roman"/>
          <w:sz w:val="24"/>
          <w:szCs w:val="24"/>
          <w:lang w:val="en-US"/>
        </w:rPr>
        <w:t xml:space="preserve"> (Lepidoptera: Noctuidae), and potential co-occurrence with major host crops under climate change scenarios. </w:t>
      </w:r>
      <w:r w:rsidRPr="005452E1">
        <w:rPr>
          <w:rFonts w:ascii="Times New Roman" w:eastAsia="Times New Roman" w:hAnsi="Times New Roman" w:cs="Times New Roman"/>
          <w:i/>
          <w:iCs/>
          <w:sz w:val="24"/>
          <w:szCs w:val="24"/>
          <w:lang w:val="en-US"/>
        </w:rPr>
        <w:t>Climatic Change, 161</w:t>
      </w:r>
      <w:r w:rsidRPr="005452E1">
        <w:rPr>
          <w:rFonts w:ascii="Times New Roman" w:eastAsia="Times New Roman" w:hAnsi="Times New Roman" w:cs="Times New Roman"/>
          <w:sz w:val="24"/>
          <w:szCs w:val="24"/>
          <w:lang w:val="en-US"/>
        </w:rPr>
        <w:t xml:space="preserve">(4), 555–566. </w:t>
      </w:r>
      <w:hyperlink r:id="rId39" w:history="1">
        <w:r w:rsidRPr="005452E1">
          <w:rPr>
            <w:rFonts w:ascii="Times New Roman" w:eastAsia="Times New Roman" w:hAnsi="Times New Roman" w:cs="Times New Roman"/>
            <w:color w:val="0000FF"/>
            <w:sz w:val="24"/>
            <w:szCs w:val="24"/>
            <w:u w:val="single"/>
            <w:lang w:val="en-US"/>
          </w:rPr>
          <w:t>https://doi.org/10.1007/s10584-020-02722-5</w:t>
        </w:r>
      </w:hyperlink>
    </w:p>
    <w:p w14:paraId="4557A431" w14:textId="22DE7113" w:rsidR="004841B3" w:rsidRDefault="005452E1" w:rsidP="005452E1">
      <w:pPr>
        <w:jc w:val="both"/>
      </w:pPr>
      <w:r w:rsidRPr="005452E1">
        <w:rPr>
          <w:rFonts w:ascii="Times New Roman" w:eastAsia="Times New Roman" w:hAnsi="Symbol" w:cs="Times New Roman"/>
          <w:sz w:val="24"/>
          <w:szCs w:val="24"/>
          <w:lang w:val="en-US"/>
        </w:rPr>
        <w:t></w:t>
      </w:r>
      <w:r w:rsidRPr="005452E1">
        <w:rPr>
          <w:rFonts w:ascii="Times New Roman" w:eastAsia="Times New Roman" w:hAnsi="Times New Roman" w:cs="Times New Roman"/>
          <w:sz w:val="24"/>
          <w:szCs w:val="24"/>
          <w:lang w:val="en-US"/>
        </w:rPr>
        <w:t xml:space="preserve">  Zavala, J. A., Nabity, P. D., &amp; DeLucia, E. H. (2013). An emerging understanding of mechanisms governing insect herbivory under elevated CO₂. </w:t>
      </w:r>
      <w:r w:rsidRPr="005452E1">
        <w:rPr>
          <w:rFonts w:ascii="Times New Roman" w:eastAsia="Times New Roman" w:hAnsi="Times New Roman" w:cs="Times New Roman"/>
          <w:i/>
          <w:iCs/>
          <w:sz w:val="24"/>
          <w:szCs w:val="24"/>
          <w:lang w:val="en-US"/>
        </w:rPr>
        <w:t>Annual Review of Entomology, 58</w:t>
      </w:r>
      <w:r w:rsidRPr="005452E1">
        <w:rPr>
          <w:rFonts w:ascii="Times New Roman" w:eastAsia="Times New Roman" w:hAnsi="Times New Roman" w:cs="Times New Roman"/>
          <w:sz w:val="24"/>
          <w:szCs w:val="24"/>
          <w:lang w:val="en-US"/>
        </w:rPr>
        <w:t xml:space="preserve">, 79–97. </w:t>
      </w:r>
      <w:hyperlink r:id="rId40" w:history="1">
        <w:r w:rsidRPr="005452E1">
          <w:rPr>
            <w:rFonts w:ascii="Times New Roman" w:eastAsia="Times New Roman" w:hAnsi="Times New Roman" w:cs="Times New Roman"/>
            <w:color w:val="0000FF"/>
            <w:sz w:val="24"/>
            <w:szCs w:val="24"/>
            <w:u w:val="single"/>
            <w:lang w:val="en-US"/>
          </w:rPr>
          <w:t>https://doi.org/10.1146/annurev-ento-120811-153544</w:t>
        </w:r>
      </w:hyperlink>
    </w:p>
    <w:sectPr w:rsidR="004841B3" w:rsidSect="004841B3">
      <w:headerReference w:type="even" r:id="rId41"/>
      <w:headerReference w:type="default" r:id="rId42"/>
      <w:footerReference w:type="even" r:id="rId43"/>
      <w:footerReference w:type="default" r:id="rId44"/>
      <w:headerReference w:type="first" r:id="rId45"/>
      <w:footerReference w:type="first" r:id="rId4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78231" w14:textId="77777777" w:rsidR="00A7400C" w:rsidRDefault="00A7400C" w:rsidP="006065D1">
      <w:pPr>
        <w:spacing w:after="0" w:line="240" w:lineRule="auto"/>
      </w:pPr>
      <w:r>
        <w:separator/>
      </w:r>
    </w:p>
  </w:endnote>
  <w:endnote w:type="continuationSeparator" w:id="0">
    <w:p w14:paraId="37435A09" w14:textId="77777777" w:rsidR="00A7400C" w:rsidRDefault="00A7400C" w:rsidP="00606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405E4" w14:textId="77777777" w:rsidR="006065D1" w:rsidRDefault="006065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D543C" w14:textId="77777777" w:rsidR="006065D1" w:rsidRDefault="006065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758F5" w14:textId="77777777" w:rsidR="006065D1" w:rsidRDefault="006065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76EFB" w14:textId="77777777" w:rsidR="00A7400C" w:rsidRDefault="00A7400C" w:rsidP="006065D1">
      <w:pPr>
        <w:spacing w:after="0" w:line="240" w:lineRule="auto"/>
      </w:pPr>
      <w:r>
        <w:separator/>
      </w:r>
    </w:p>
  </w:footnote>
  <w:footnote w:type="continuationSeparator" w:id="0">
    <w:p w14:paraId="5335ED5C" w14:textId="77777777" w:rsidR="00A7400C" w:rsidRDefault="00A7400C" w:rsidP="006065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18DA5" w14:textId="77777777" w:rsidR="006065D1" w:rsidRDefault="00000000">
    <w:pPr>
      <w:pStyle w:val="Header"/>
    </w:pPr>
    <w:r>
      <w:rPr>
        <w:noProof/>
      </w:rPr>
      <w:pict w14:anchorId="3C7671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693438"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8EDC7" w14:textId="77777777" w:rsidR="006065D1" w:rsidRDefault="00000000">
    <w:pPr>
      <w:pStyle w:val="Header"/>
    </w:pPr>
    <w:r>
      <w:rPr>
        <w:noProof/>
      </w:rPr>
      <w:pict w14:anchorId="416E33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693439"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E256C" w14:textId="77777777" w:rsidR="006065D1" w:rsidRDefault="00000000">
    <w:pPr>
      <w:pStyle w:val="Header"/>
    </w:pPr>
    <w:r>
      <w:rPr>
        <w:noProof/>
      </w:rPr>
      <w:pict w14:anchorId="777878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693437"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4D2507"/>
    <w:multiLevelType w:val="hybridMultilevel"/>
    <w:tmpl w:val="8D929B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2409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rewtDA0NzYwszS0NDBX0lEKTi0uzszPAykwrAUAqamZaCwAAAA="/>
  </w:docVars>
  <w:rsids>
    <w:rsidRoot w:val="00276377"/>
    <w:rsid w:val="00071EF5"/>
    <w:rsid w:val="00103587"/>
    <w:rsid w:val="00276377"/>
    <w:rsid w:val="002E00E0"/>
    <w:rsid w:val="002E5790"/>
    <w:rsid w:val="00345F3B"/>
    <w:rsid w:val="00352E71"/>
    <w:rsid w:val="004841B3"/>
    <w:rsid w:val="005452E1"/>
    <w:rsid w:val="00593551"/>
    <w:rsid w:val="006065D1"/>
    <w:rsid w:val="006D34FD"/>
    <w:rsid w:val="0077779A"/>
    <w:rsid w:val="00824882"/>
    <w:rsid w:val="008551F7"/>
    <w:rsid w:val="008D04E5"/>
    <w:rsid w:val="00A7400C"/>
    <w:rsid w:val="00AA18C0"/>
    <w:rsid w:val="00AC227E"/>
    <w:rsid w:val="00B30FFC"/>
    <w:rsid w:val="00C446DC"/>
    <w:rsid w:val="00CE6214"/>
    <w:rsid w:val="00E361D4"/>
    <w:rsid w:val="00F109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3E623"/>
  <w15:docId w15:val="{D4A3BD27-15DE-4CB8-ADCE-4707F74B8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27637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27637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276377"/>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Shading1-Accent1">
    <w:name w:val="Medium Shading 1 Accent 1"/>
    <w:basedOn w:val="TableNormal"/>
    <w:uiPriority w:val="63"/>
    <w:rsid w:val="0082488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2Char">
    <w:name w:val="Heading 2 Char"/>
    <w:basedOn w:val="DefaultParagraphFont"/>
    <w:link w:val="Heading2"/>
    <w:uiPriority w:val="9"/>
    <w:rsid w:val="00276377"/>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276377"/>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276377"/>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27637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76377"/>
    <w:rPr>
      <w:b/>
      <w:bCs/>
    </w:rPr>
  </w:style>
  <w:style w:type="character" w:styleId="Emphasis">
    <w:name w:val="Emphasis"/>
    <w:basedOn w:val="DefaultParagraphFont"/>
    <w:uiPriority w:val="20"/>
    <w:qFormat/>
    <w:rsid w:val="00276377"/>
    <w:rPr>
      <w:i/>
      <w:iCs/>
    </w:rPr>
  </w:style>
  <w:style w:type="character" w:styleId="Hyperlink">
    <w:name w:val="Hyperlink"/>
    <w:basedOn w:val="DefaultParagraphFont"/>
    <w:uiPriority w:val="99"/>
    <w:semiHidden/>
    <w:unhideWhenUsed/>
    <w:rsid w:val="00276377"/>
    <w:rPr>
      <w:color w:val="0000FF"/>
      <w:u w:val="single"/>
    </w:rPr>
  </w:style>
  <w:style w:type="table" w:styleId="TableGrid">
    <w:name w:val="Table Grid"/>
    <w:basedOn w:val="TableNormal"/>
    <w:uiPriority w:val="59"/>
    <w:rsid w:val="00276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065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65D1"/>
  </w:style>
  <w:style w:type="paragraph" w:styleId="Footer">
    <w:name w:val="footer"/>
    <w:basedOn w:val="Normal"/>
    <w:link w:val="FooterChar"/>
    <w:uiPriority w:val="99"/>
    <w:unhideWhenUsed/>
    <w:rsid w:val="006065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65D1"/>
  </w:style>
  <w:style w:type="paragraph" w:styleId="ListParagraph">
    <w:name w:val="List Paragraph"/>
    <w:basedOn w:val="Normal"/>
    <w:uiPriority w:val="34"/>
    <w:qFormat/>
    <w:rsid w:val="00071E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432839">
      <w:bodyDiv w:val="1"/>
      <w:marLeft w:val="0"/>
      <w:marRight w:val="0"/>
      <w:marTop w:val="0"/>
      <w:marBottom w:val="0"/>
      <w:divBdr>
        <w:top w:val="none" w:sz="0" w:space="0" w:color="auto"/>
        <w:left w:val="none" w:sz="0" w:space="0" w:color="auto"/>
        <w:bottom w:val="none" w:sz="0" w:space="0" w:color="auto"/>
        <w:right w:val="none" w:sz="0" w:space="0" w:color="auto"/>
      </w:divBdr>
      <w:divsChild>
        <w:div w:id="889805885">
          <w:marLeft w:val="0"/>
          <w:marRight w:val="0"/>
          <w:marTop w:val="0"/>
          <w:marBottom w:val="0"/>
          <w:divBdr>
            <w:top w:val="none" w:sz="0" w:space="0" w:color="auto"/>
            <w:left w:val="none" w:sz="0" w:space="0" w:color="auto"/>
            <w:bottom w:val="none" w:sz="0" w:space="0" w:color="auto"/>
            <w:right w:val="none" w:sz="0" w:space="0" w:color="auto"/>
          </w:divBdr>
        </w:div>
        <w:div w:id="715743787">
          <w:marLeft w:val="0"/>
          <w:marRight w:val="0"/>
          <w:marTop w:val="0"/>
          <w:marBottom w:val="0"/>
          <w:divBdr>
            <w:top w:val="none" w:sz="0" w:space="0" w:color="auto"/>
            <w:left w:val="none" w:sz="0" w:space="0" w:color="auto"/>
            <w:bottom w:val="none" w:sz="0" w:space="0" w:color="auto"/>
            <w:right w:val="none" w:sz="0" w:space="0" w:color="auto"/>
          </w:divBdr>
        </w:div>
        <w:div w:id="723525945">
          <w:marLeft w:val="0"/>
          <w:marRight w:val="0"/>
          <w:marTop w:val="0"/>
          <w:marBottom w:val="0"/>
          <w:divBdr>
            <w:top w:val="none" w:sz="0" w:space="0" w:color="auto"/>
            <w:left w:val="none" w:sz="0" w:space="0" w:color="auto"/>
            <w:bottom w:val="none" w:sz="0" w:space="0" w:color="auto"/>
            <w:right w:val="none" w:sz="0" w:space="0" w:color="auto"/>
          </w:divBdr>
        </w:div>
        <w:div w:id="495532635">
          <w:marLeft w:val="0"/>
          <w:marRight w:val="0"/>
          <w:marTop w:val="0"/>
          <w:marBottom w:val="0"/>
          <w:divBdr>
            <w:top w:val="none" w:sz="0" w:space="0" w:color="auto"/>
            <w:left w:val="none" w:sz="0" w:space="0" w:color="auto"/>
            <w:bottom w:val="none" w:sz="0" w:space="0" w:color="auto"/>
            <w:right w:val="none" w:sz="0" w:space="0" w:color="auto"/>
          </w:divBdr>
        </w:div>
        <w:div w:id="10155748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38/s41467-025-56177-2" TargetMode="External"/><Relationship Id="rId18" Type="http://schemas.openxmlformats.org/officeDocument/2006/relationships/hyperlink" Target="https://doi.org/10.1038/s41467-023-43234-x" TargetMode="External"/><Relationship Id="rId26" Type="http://schemas.openxmlformats.org/officeDocument/2006/relationships/hyperlink" Target="https://doi.org/10.1038/s43016-024-00994-z" TargetMode="External"/><Relationship Id="rId39" Type="http://schemas.openxmlformats.org/officeDocument/2006/relationships/hyperlink" Target="https://doi.org/10.1007/s10584-020-02722-5" TargetMode="External"/><Relationship Id="rId21" Type="http://schemas.openxmlformats.org/officeDocument/2006/relationships/hyperlink" Target="https://doi.org/10.1007/s10584-023-03514-3" TargetMode="External"/><Relationship Id="rId34" Type="http://schemas.openxmlformats.org/officeDocument/2006/relationships/hyperlink" Target="https://doi.org/10.1111/j.1469-8137.2012.04074.x"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hyperlink" Target="https://doi.org/10.1111/jen.12652" TargetMode="External"/><Relationship Id="rId2" Type="http://schemas.openxmlformats.org/officeDocument/2006/relationships/styles" Target="styles.xml"/><Relationship Id="rId16" Type="http://schemas.openxmlformats.org/officeDocument/2006/relationships/hyperlink" Target="https://doi.org/10.1038/s41598-023-44441-8" TargetMode="External"/><Relationship Id="rId29" Type="http://schemas.openxmlformats.org/officeDocument/2006/relationships/hyperlink" Target="https://doi.org/10.1371/journal.pone.013042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390/insects14010055" TargetMode="External"/><Relationship Id="rId24" Type="http://schemas.openxmlformats.org/officeDocument/2006/relationships/hyperlink" Target="https://doi.org/10.1111/epp.12994" TargetMode="External"/><Relationship Id="rId32" Type="http://schemas.openxmlformats.org/officeDocument/2006/relationships/hyperlink" Target="https://doi.org/10.1007/s10340-025-01933-y" TargetMode="External"/><Relationship Id="rId37" Type="http://schemas.openxmlformats.org/officeDocument/2006/relationships/hyperlink" Target="https://doi.org/10.1038/nature18608" TargetMode="External"/><Relationship Id="rId40" Type="http://schemas.openxmlformats.org/officeDocument/2006/relationships/hyperlink" Target="https://doi.org/10.1146/annurev-ento-120811-153544" TargetMode="External"/><Relationship Id="rId45"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doi.org/10.1126/science.aat3466" TargetMode="External"/><Relationship Id="rId23" Type="http://schemas.openxmlformats.org/officeDocument/2006/relationships/hyperlink" Target="https://doi.org/10.1007/s10584-015-1385-3" TargetMode="External"/><Relationship Id="rId28" Type="http://schemas.openxmlformats.org/officeDocument/2006/relationships/hyperlink" Target="https://doi.org/10.1002/ps.5121" TargetMode="External"/><Relationship Id="rId36" Type="http://schemas.openxmlformats.org/officeDocument/2006/relationships/hyperlink" Target="https://doi.org/10.1111/ele.12686" TargetMode="External"/><Relationship Id="rId10" Type="http://schemas.openxmlformats.org/officeDocument/2006/relationships/hyperlink" Target="https://doi.org/10.1038/nclimate1990" TargetMode="External"/><Relationship Id="rId19" Type="http://schemas.openxmlformats.org/officeDocument/2006/relationships/hyperlink" Target="https://doi.org/10.1111/gcb.17103" TargetMode="External"/><Relationship Id="rId31" Type="http://schemas.openxmlformats.org/officeDocument/2006/relationships/hyperlink" Target="https://doi.org/10.1038/nature01286" TargetMode="External"/><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doi.org/10.1046/j.1365-2486.2002.00451.x" TargetMode="External"/><Relationship Id="rId14" Type="http://schemas.openxmlformats.org/officeDocument/2006/relationships/hyperlink" Target="https://doi.org/10.1038/s41558-021-01104-8" TargetMode="External"/><Relationship Id="rId22" Type="http://schemas.openxmlformats.org/officeDocument/2006/relationships/hyperlink" Target="https://doi.org/10.1038/s41598-020-70823-3" TargetMode="External"/><Relationship Id="rId27" Type="http://schemas.openxmlformats.org/officeDocument/2006/relationships/hyperlink" Target="https://doi.org/10.1038/s43017-025-00652-3" TargetMode="External"/><Relationship Id="rId30" Type="http://schemas.openxmlformats.org/officeDocument/2006/relationships/hyperlink" Target="https://doi.org/10.1038/s41559-020-01303-0" TargetMode="External"/><Relationship Id="rId35" Type="http://schemas.openxmlformats.org/officeDocument/2006/relationships/hyperlink" Target="https://doi.org/10.1016/j.cois.2022.100895" TargetMode="External"/><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hyperlink" Target="https://doi.org/10.1186/s40850-020-00055-5" TargetMode="External"/><Relationship Id="rId3" Type="http://schemas.openxmlformats.org/officeDocument/2006/relationships/settings" Target="settings.xml"/><Relationship Id="rId12" Type="http://schemas.openxmlformats.org/officeDocument/2006/relationships/hyperlink" Target="https://doi.org/10.1038/ncomms12986" TargetMode="External"/><Relationship Id="rId17" Type="http://schemas.openxmlformats.org/officeDocument/2006/relationships/hyperlink" Target="https://doi.org/10.1179/2047480615Z.000000000329" TargetMode="External"/><Relationship Id="rId25" Type="http://schemas.openxmlformats.org/officeDocument/2006/relationships/hyperlink" Target="https://doi.org/10.1002/fee.2160" TargetMode="External"/><Relationship Id="rId33" Type="http://schemas.openxmlformats.org/officeDocument/2006/relationships/hyperlink" Target="https://doi.org/10.3390/insects14010051" TargetMode="External"/><Relationship Id="rId38" Type="http://schemas.openxmlformats.org/officeDocument/2006/relationships/hyperlink" Target="https://doi.org/10.3390/insects13110981" TargetMode="External"/><Relationship Id="rId46" Type="http://schemas.openxmlformats.org/officeDocument/2006/relationships/footer" Target="footer3.xml"/><Relationship Id="rId20" Type="http://schemas.openxmlformats.org/officeDocument/2006/relationships/hyperlink" Target="https://doi.org/10.3390/insects13050484" TargetMode="External"/><Relationship Id="rId4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17</Pages>
  <Words>8511</Words>
  <Characters>48517</Characters>
  <Application>Microsoft Office Word</Application>
  <DocSecurity>0</DocSecurity>
  <Lines>404</Lines>
  <Paragraphs>113</Paragraphs>
  <ScaleCrop>false</ScaleCrop>
  <Company>HP</Company>
  <LinksUpToDate>false</LinksUpToDate>
  <CharactersWithSpaces>56915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1087</cp:lastModifiedBy>
  <cp:revision>12</cp:revision>
  <dcterms:created xsi:type="dcterms:W3CDTF">2026-07-04T10:01:00Z</dcterms:created>
  <dcterms:modified xsi:type="dcterms:W3CDTF">2026-07-11T08:10:00Z</dcterms:modified>
</cp:coreProperties>
</file>