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C65B8" w14:textId="77777777" w:rsidR="003611C2" w:rsidRPr="003611C2" w:rsidRDefault="003611C2" w:rsidP="00947E76">
      <w:pPr>
        <w:spacing w:before="100" w:beforeAutospacing="1" w:after="100" w:afterAutospacing="1" w:line="240" w:lineRule="auto"/>
        <w:jc w:val="both"/>
        <w:outlineLvl w:val="1"/>
        <w:rPr>
          <w:rFonts w:ascii="Times New Roman" w:eastAsia="Times New Roman" w:hAnsi="Times New Roman" w:cs="Times New Roman"/>
          <w:b/>
          <w:bCs/>
          <w:i/>
          <w:iCs/>
          <w:sz w:val="36"/>
          <w:szCs w:val="36"/>
          <w:u w:val="single"/>
          <w:lang w:val="en-US" w:eastAsia="en-GB"/>
        </w:rPr>
      </w:pPr>
      <w:r w:rsidRPr="003611C2">
        <w:rPr>
          <w:rFonts w:ascii="Times New Roman" w:eastAsia="Times New Roman" w:hAnsi="Times New Roman" w:cs="Times New Roman"/>
          <w:b/>
          <w:bCs/>
          <w:i/>
          <w:iCs/>
          <w:sz w:val="36"/>
          <w:szCs w:val="36"/>
          <w:u w:val="single"/>
          <w:lang w:val="en-US" w:eastAsia="en-GB"/>
        </w:rPr>
        <w:t>Review Article</w:t>
      </w:r>
    </w:p>
    <w:p w14:paraId="54B71870" w14:textId="77777777" w:rsidR="00DF0D1B" w:rsidRPr="00DF0D1B" w:rsidRDefault="006D6C6C" w:rsidP="00947E76">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6D6C6C">
        <w:rPr>
          <w:rFonts w:ascii="Times New Roman" w:eastAsia="Times New Roman" w:hAnsi="Times New Roman" w:cs="Times New Roman"/>
          <w:b/>
          <w:bCs/>
          <w:sz w:val="36"/>
          <w:szCs w:val="36"/>
          <w:lang w:eastAsia="en-GB"/>
        </w:rPr>
        <w:t>Agricultural value chain transformation, donor investment and agroecological resilience in Cameroon</w:t>
      </w:r>
      <w:r w:rsidR="00921B5C">
        <w:rPr>
          <w:rFonts w:ascii="Times New Roman" w:eastAsia="Times New Roman" w:hAnsi="Times New Roman" w:cs="Times New Roman"/>
          <w:b/>
          <w:bCs/>
          <w:sz w:val="36"/>
          <w:szCs w:val="36"/>
          <w:lang w:eastAsia="en-GB"/>
        </w:rPr>
        <w:t>: A Critical Review</w:t>
      </w:r>
      <w:r w:rsidR="00DF0D1B" w:rsidRPr="00DF0D1B">
        <w:rPr>
          <w:rFonts w:ascii="Times New Roman" w:eastAsia="Times New Roman" w:hAnsi="Times New Roman" w:cs="Times New Roman"/>
          <w:b/>
          <w:bCs/>
          <w:sz w:val="36"/>
          <w:szCs w:val="36"/>
          <w:lang w:eastAsia="en-GB"/>
        </w:rPr>
        <w:t xml:space="preserve"> </w:t>
      </w:r>
    </w:p>
    <w:p w14:paraId="0F315D4D" w14:textId="77777777" w:rsidR="00DF0D1B" w:rsidRPr="00DF0D1B" w:rsidRDefault="00DF0D1B" w:rsidP="00947E7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Abstract</w:t>
      </w:r>
    </w:p>
    <w:p w14:paraId="73D519ED"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Cameroon's agricultural sector has undergone six decades of structural change, moving from colonial-era export monocultures through state-led marketing boards, structural adjustment and liberalisation, and, more recently, donor-financed value chain development programmes layered onto an emerging agroecological resilience agenda. This review synthesises the peer-reviewed and institutional evidence on how these successive policy regimes have shaped the performance of Cameroon's principal agricultural value chains, the scale and modality of donor and multilateral investment, and the extent to which value chain upgrading has been compatible with ecological sustainability and climate resilience among smallholder producers. Drawing on a narrative synthesis of English-language academic literature, supplemented by classical value chain theory and authoritative multilateral reports, the review traces the historical trajectory of cocoa, cassava, oil palm and other commodity chains; assesses the effectiveness and limitations of donor-financed interventions, including those of the African Development Bank, the World Bank and bilateral partners; and examines land tenure, gender and climate dimensions that mediate outcomes for smallholder households. The evidence indicates that donor investment has generated measurable productivity and market-access gains in discrete project areas but has frequently reproduced pre-existing asymmetries of land, gender and market power, while agroecological and agroforestry-based resilience strategies remain under-resourced relative to conventional input-intensive upgrading pathways. The review concludes that a more coherent alignment between value chain financing instruments and agroecological principles is required if Cameroon's agricultural transformation is to deliver durable rural livelihoods alongside export competitiveness.</w:t>
      </w:r>
    </w:p>
    <w:p w14:paraId="515099D3"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b/>
          <w:bCs/>
          <w:sz w:val="24"/>
          <w:szCs w:val="24"/>
          <w:lang w:eastAsia="en-GB"/>
        </w:rPr>
        <w:t>Keywords:</w:t>
      </w:r>
      <w:r w:rsidRPr="00DF0D1B">
        <w:rPr>
          <w:rFonts w:ascii="Times New Roman" w:eastAsia="Times New Roman" w:hAnsi="Times New Roman" w:cs="Times New Roman"/>
          <w:sz w:val="24"/>
          <w:szCs w:val="24"/>
          <w:lang w:eastAsia="en-GB"/>
        </w:rPr>
        <w:t xml:space="preserve"> agricultural value chains; donor investment; agroecology; smallholder resilience; Cameroon; structural adjustment</w:t>
      </w:r>
    </w:p>
    <w:p w14:paraId="1C2A0FE4" w14:textId="77777777" w:rsidR="00DF0D1B" w:rsidRPr="00DF0D1B" w:rsidRDefault="00DF0D1B" w:rsidP="00947E7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1. Introduction</w:t>
      </w:r>
    </w:p>
    <w:p w14:paraId="14B0684F"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1.1 Agricultural transformation in the Central African context</w:t>
      </w:r>
    </w:p>
    <w:p w14:paraId="4E9E674E"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Agriculture remains the principal source of livelihood, foreign exchange and rural employment across much of Central Africa, and Cameroon exemplifies both the promise and the persistent constraints of commodity-dependent, smallholder-based farming systems. The country's </w:t>
      </w:r>
      <w:proofErr w:type="spellStart"/>
      <w:r w:rsidRPr="00DF0D1B">
        <w:rPr>
          <w:rFonts w:ascii="Times New Roman" w:eastAsia="Times New Roman" w:hAnsi="Times New Roman" w:cs="Times New Roman"/>
          <w:sz w:val="24"/>
          <w:szCs w:val="24"/>
          <w:lang w:eastAsia="en-GB"/>
        </w:rPr>
        <w:t>agro</w:t>
      </w:r>
      <w:proofErr w:type="spellEnd"/>
      <w:r w:rsidRPr="00DF0D1B">
        <w:rPr>
          <w:rFonts w:ascii="Times New Roman" w:eastAsia="Times New Roman" w:hAnsi="Times New Roman" w:cs="Times New Roman"/>
          <w:sz w:val="24"/>
          <w:szCs w:val="24"/>
          <w:lang w:eastAsia="en-GB"/>
        </w:rPr>
        <w:t xml:space="preserve">-ecological diversity, spanning five recognised zones from the humid bimodal rainforest of the Centre and South to the semi-arid Sudano-Sahelian belt of the Far North, has historically supported a broad commodity base encompassing cocoa, coffee, oil palm, cotton, cassava, maize and plantain (Mbarga </w:t>
      </w:r>
      <w:proofErr w:type="spellStart"/>
      <w:r w:rsidRPr="00DF0D1B">
        <w:rPr>
          <w:rFonts w:ascii="Times New Roman" w:eastAsia="Times New Roman" w:hAnsi="Times New Roman" w:cs="Times New Roman"/>
          <w:sz w:val="24"/>
          <w:szCs w:val="24"/>
          <w:lang w:eastAsia="en-GB"/>
        </w:rPr>
        <w:t>Evouna</w:t>
      </w:r>
      <w:proofErr w:type="spellEnd"/>
      <w:r w:rsidRPr="00DF0D1B">
        <w:rPr>
          <w:rFonts w:ascii="Times New Roman" w:eastAsia="Times New Roman" w:hAnsi="Times New Roman" w:cs="Times New Roman"/>
          <w:sz w:val="24"/>
          <w:szCs w:val="24"/>
          <w:lang w:eastAsia="en-GB"/>
        </w:rPr>
        <w:t xml:space="preserve"> et al., 2024). Since independence in 1960, successive governments have pursued agricultural policy through markedly different institutional architectures: state marketing monopolies and parastatal agro-industrial estates in the first two decades, externally imposed structural adjustment and market liberalisation from </w:t>
      </w:r>
      <w:r w:rsidRPr="00DF0D1B">
        <w:rPr>
          <w:rFonts w:ascii="Times New Roman" w:eastAsia="Times New Roman" w:hAnsi="Times New Roman" w:cs="Times New Roman"/>
          <w:sz w:val="24"/>
          <w:szCs w:val="24"/>
          <w:lang w:eastAsia="en-GB"/>
        </w:rPr>
        <w:lastRenderedPageBreak/>
        <w:t>the mid-1980s, and, since the early 2000s, an increasingly donor-mediated model of value chain development financed through multilateral loans, bilateral grants and blended finance instruments (Benjamin, 1996). Each of these regimes has left an imprint on the structure of commodity markets, the distribution of returns among value chain actors and the ecological condition of the agricultural resource base. These dynamics are not unique to Cameroon; food security across Sub-Saharan Africa more broadly remains shaped by weak infrastructure, low investment in irrigated agriculture and vulnerability to external shocks, factors that make the Cameroonian case instructive for the wider region (</w:t>
      </w:r>
      <w:proofErr w:type="spellStart"/>
      <w:r w:rsidRPr="00DF0D1B">
        <w:rPr>
          <w:rFonts w:ascii="Times New Roman" w:eastAsia="Times New Roman" w:hAnsi="Times New Roman" w:cs="Times New Roman"/>
          <w:sz w:val="24"/>
          <w:szCs w:val="24"/>
          <w:lang w:eastAsia="en-GB"/>
        </w:rPr>
        <w:t>Wudil</w:t>
      </w:r>
      <w:proofErr w:type="spellEnd"/>
      <w:r w:rsidRPr="00DF0D1B">
        <w:rPr>
          <w:rFonts w:ascii="Times New Roman" w:eastAsia="Times New Roman" w:hAnsi="Times New Roman" w:cs="Times New Roman"/>
          <w:sz w:val="24"/>
          <w:szCs w:val="24"/>
          <w:lang w:eastAsia="en-GB"/>
        </w:rPr>
        <w:t xml:space="preserve"> et al., 2022).</w:t>
      </w:r>
      <w:r>
        <w:rPr>
          <w:b/>
          <w:highlight w:val="yellow"/>
        </w:rPr>
        <w:t xml:space="preserve"> </w:t>
      </w:r>
      <w:r w:rsidRPr="00947E76">
        <w:rPr>
          <w:bCs/>
          <w:highlight w:val="yellow"/>
        </w:rPr>
        <w:t>Recent Cameroon-specific evidence further indicates that climate-resilience planning for smallholder farms in the Centre Region is shaped by farmers' access to income, inputs, machinery and farmer organisations, reinforcing the need to interpret agricultural transformation through both ecological and institutional lenses (Chimi et al., 2024).</w:t>
      </w:r>
    </w:p>
    <w:p w14:paraId="2DEDF58D"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1.2 Value chains, donor investment and resilience as intersecting research themes</w:t>
      </w:r>
    </w:p>
    <w:p w14:paraId="1CF1F060"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Three bodies of scholarship intersect in the study of Cameroon's agricultural transformation but have rarely been synthesised together. The first is the global value chain and industrial cluster literature, which conceptualises agricultural commodity systems as governed networks in which upgrading opportunities for developing-country producers depend on the type of governance exercised by lead firms and the capacity of local actors to capture a larger share of value added (</w:t>
      </w:r>
      <w:proofErr w:type="spellStart"/>
      <w:r w:rsidRPr="00DF0D1B">
        <w:rPr>
          <w:rFonts w:ascii="Times New Roman" w:eastAsia="Times New Roman" w:hAnsi="Times New Roman" w:cs="Times New Roman"/>
          <w:sz w:val="24"/>
          <w:szCs w:val="24"/>
          <w:lang w:eastAsia="en-GB"/>
        </w:rPr>
        <w:t>Gereffi</w:t>
      </w:r>
      <w:proofErr w:type="spellEnd"/>
      <w:r w:rsidRPr="00DF0D1B">
        <w:rPr>
          <w:rFonts w:ascii="Times New Roman" w:eastAsia="Times New Roman" w:hAnsi="Times New Roman" w:cs="Times New Roman"/>
          <w:sz w:val="24"/>
          <w:szCs w:val="24"/>
          <w:lang w:eastAsia="en-GB"/>
        </w:rPr>
        <w:t xml:space="preserve"> et al., 2005; Humphrey &amp; Schmitz, 2002; Kaplinsky, 2000). The second is the development finance and aid effectiveness literature, which has examined whether donor and multilateral capital directed at African agriculture translates into productivity, income and food security gains, and under what institutional conditions such investment is most and least effective (</w:t>
      </w:r>
      <w:proofErr w:type="spellStart"/>
      <w:r w:rsidRPr="00DF0D1B">
        <w:rPr>
          <w:rFonts w:ascii="Times New Roman" w:eastAsia="Times New Roman" w:hAnsi="Times New Roman" w:cs="Times New Roman"/>
          <w:sz w:val="24"/>
          <w:szCs w:val="24"/>
          <w:lang w:eastAsia="en-GB"/>
        </w:rPr>
        <w:t>Balcilar</w:t>
      </w:r>
      <w:proofErr w:type="spellEnd"/>
      <w:r w:rsidRPr="00DF0D1B">
        <w:rPr>
          <w:rFonts w:ascii="Times New Roman" w:eastAsia="Times New Roman" w:hAnsi="Times New Roman" w:cs="Times New Roman"/>
          <w:sz w:val="24"/>
          <w:szCs w:val="24"/>
          <w:lang w:eastAsia="en-GB"/>
        </w:rPr>
        <w:t xml:space="preserve"> et al., 2025; McArthur &amp; Sachs, 2019; Mfouapon et al., 2024). The third, and most recent, is the agroecology and climate resilience literature, which interrogates whether commercially oriented value chain upgrading is compatible with, or in tension with, ecologically sound farming practices, land tenure security and gender-equitable outcomes among smallholder households (Awazi &amp; Tchamba, </w:t>
      </w:r>
      <w:r w:rsidR="00436ABF" w:rsidRPr="00436ABF">
        <w:rPr>
          <w:rFonts w:ascii="Times New Roman" w:eastAsia="Times New Roman" w:hAnsi="Times New Roman" w:cs="Times New Roman"/>
          <w:sz w:val="24"/>
          <w:szCs w:val="24"/>
          <w:lang w:eastAsia="en-GB"/>
        </w:rPr>
        <w:t>2021</w:t>
      </w:r>
      <w:r w:rsidRPr="00DF0D1B">
        <w:rPr>
          <w:rFonts w:ascii="Times New Roman" w:eastAsia="Times New Roman" w:hAnsi="Times New Roman" w:cs="Times New Roman"/>
          <w:sz w:val="24"/>
          <w:szCs w:val="24"/>
          <w:lang w:eastAsia="en-GB"/>
        </w:rPr>
        <w:t>; Ingram et al., 2025; Mbuli et al., 2021). Cameroon offers an unusually well-documented setting in which to examine the interaction of these three strands, given the density of empirical case studies on its cocoa, cassava and oil palm sectors and the long history of donor engagement with its agricultural ministries.</w:t>
      </w:r>
      <w:r>
        <w:rPr>
          <w:b/>
          <w:highlight w:val="yellow"/>
        </w:rPr>
        <w:t xml:space="preserve"> </w:t>
      </w:r>
      <w:r w:rsidRPr="00947E76">
        <w:rPr>
          <w:bCs/>
          <w:highlight w:val="yellow"/>
        </w:rPr>
        <w:t>Recent evidence-gap mapping of agricultural value-chain policy in developing countries also shows that interventions are concentrated at the input-supply stage, while governance, gender, poverty and other social dimensions remain comparatively under-examined, a pattern that supports the integrated framing adopted in this review (</w:t>
      </w:r>
      <w:proofErr w:type="spellStart"/>
      <w:r w:rsidRPr="00947E76">
        <w:rPr>
          <w:bCs/>
          <w:highlight w:val="yellow"/>
        </w:rPr>
        <w:t>Yeritsyan</w:t>
      </w:r>
      <w:proofErr w:type="spellEnd"/>
      <w:r w:rsidRPr="00947E76">
        <w:rPr>
          <w:bCs/>
          <w:highlight w:val="yellow"/>
        </w:rPr>
        <w:t xml:space="preserve"> et al., 2024). Recent reviews of African smallholder resilience and agroecology further emphasise that technical adaptation measures need to be assessed alongside equity, agency and social-ecological trade-offs, rather than treated as standalone productivity interventions (Madsen et al., 2025; </w:t>
      </w:r>
      <w:proofErr w:type="spellStart"/>
      <w:r w:rsidRPr="00947E76">
        <w:rPr>
          <w:bCs/>
          <w:highlight w:val="yellow"/>
        </w:rPr>
        <w:t>Shilomboleni</w:t>
      </w:r>
      <w:proofErr w:type="spellEnd"/>
      <w:r w:rsidRPr="00947E76">
        <w:rPr>
          <w:bCs/>
          <w:highlight w:val="yellow"/>
        </w:rPr>
        <w:t xml:space="preserve"> et al., 2024).</w:t>
      </w:r>
    </w:p>
    <w:p w14:paraId="089F57AA"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1.3 Scope, research gap and objectives of this review</w:t>
      </w:r>
    </w:p>
    <w:p w14:paraId="63F2BE7E" w14:textId="77777777" w:rsidR="00DF0D1B" w:rsidRPr="00DF0D1B" w:rsidRDefault="00DF0D1B" w:rsidP="00947E76">
      <w:pPr>
        <w:jc w:val="both"/>
      </w:pPr>
      <w:r>
        <w:t xml:space="preserve">Although individual commodity chains, individual donor projects and individual climate adaptation interventions in Cameroon have each attracted a substantial empirical literature, no synthesis has yet integrated these three dimensions into a single longitudinal account spanning the post-independence period to the present. Existing reviews tend either to be commodity-specific, confined to a single region of the country, or focused narrowly on climate adaptation without engaging the political economy of donor finance and value chain governance that shapes which adaptation options are actually implemented at scale. This creates a research gap: the relationship between the </w:t>
      </w:r>
      <w:r>
        <w:lastRenderedPageBreak/>
        <w:t>modality of external investment (grant versus loan, nucleus-estate versus smallholder-</w:t>
      </w:r>
      <w:proofErr w:type="spellStart"/>
      <w:r>
        <w:t>outgrower</w:t>
      </w:r>
      <w:proofErr w:type="spellEnd"/>
      <w:r>
        <w:t xml:space="preserve">, </w:t>
      </w:r>
      <w:proofErr w:type="spellStart"/>
      <w:r>
        <w:t>productivist</w:t>
      </w:r>
      <w:proofErr w:type="spellEnd"/>
      <w:r>
        <w:t xml:space="preserve"> versus agroecological) and the durability of the resilience outcomes it produces has not been systematically assessed for Cameroon. </w:t>
      </w:r>
      <w:r w:rsidRPr="00947E76">
        <w:rPr>
          <w:bCs/>
          <w:highlight w:val="yellow"/>
        </w:rPr>
        <w:t>The gap is therefore not simply the absence of commodity-level evidence, but the limited integration of value-chain governance, donor-finance modalities and agroecological resilience within a single Cameroon-focused analytical frame.</w:t>
      </w:r>
      <w:r>
        <w:rPr>
          <w:b/>
          <w:highlight w:val="yellow"/>
        </w:rPr>
        <w:t xml:space="preserve"> </w:t>
      </w:r>
      <w:r>
        <w:t>This review addresses that gap. Its objectives are threefold: first, to trace the historical evolution of agricultural policy and value chain structure in Cameroon from 1960 to 2025; second, to characterise the scale, instruments and documented effectiveness of donor and multilateral investment in Cameroonian agricultural value chains; and third, to assess the extent to which value chain transformation has advanced, or undermined, agroecological resilience and equitable outcomes for smallholder producers, with particular attention to land tenure and gender dimensions. The review closes by identifying directions for future research and policy design.</w:t>
      </w:r>
    </w:p>
    <w:p w14:paraId="7282C847" w14:textId="77777777" w:rsidR="00DF0D1B" w:rsidRPr="00DF0D1B" w:rsidRDefault="00DF0D1B" w:rsidP="00947E7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2. Methods for Literature Selection</w:t>
      </w:r>
    </w:p>
    <w:p w14:paraId="1E4A4A33"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2.1 Databases and search strategy</w:t>
      </w:r>
    </w:p>
    <w:p w14:paraId="230D4A7D"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This review is a narrative rather than a systematic review, and the literature search was designed accordingly to prioritise breadth and contextual interpretation over exhaustive protocol-driven retrieval. Searches were conducted in Web of Science, Scopus, Google Scholar and PubMed, supplemented by six field-specific indexing platforms selected for their relevance to agricultural economics, development studies and forestry/agroforestry research: AGRICOLA, </w:t>
      </w:r>
      <w:proofErr w:type="spellStart"/>
      <w:r w:rsidRPr="00DF0D1B">
        <w:rPr>
          <w:rFonts w:ascii="Times New Roman" w:eastAsia="Times New Roman" w:hAnsi="Times New Roman" w:cs="Times New Roman"/>
          <w:sz w:val="24"/>
          <w:szCs w:val="24"/>
          <w:lang w:eastAsia="en-GB"/>
        </w:rPr>
        <w:t>AgEcon</w:t>
      </w:r>
      <w:proofErr w:type="spellEnd"/>
      <w:r w:rsidRPr="00DF0D1B">
        <w:rPr>
          <w:rFonts w:ascii="Times New Roman" w:eastAsia="Times New Roman" w:hAnsi="Times New Roman" w:cs="Times New Roman"/>
          <w:sz w:val="24"/>
          <w:szCs w:val="24"/>
          <w:lang w:eastAsia="en-GB"/>
        </w:rPr>
        <w:t xml:space="preserve"> Search, CAB Abstracts, the Directory of Open Access Journals, </w:t>
      </w:r>
      <w:proofErr w:type="spellStart"/>
      <w:r w:rsidRPr="00DF0D1B">
        <w:rPr>
          <w:rFonts w:ascii="Times New Roman" w:eastAsia="Times New Roman" w:hAnsi="Times New Roman" w:cs="Times New Roman"/>
          <w:sz w:val="24"/>
          <w:szCs w:val="24"/>
          <w:lang w:eastAsia="en-GB"/>
        </w:rPr>
        <w:t>RePEc</w:t>
      </w:r>
      <w:proofErr w:type="spellEnd"/>
      <w:r w:rsidRPr="00DF0D1B">
        <w:rPr>
          <w:rFonts w:ascii="Times New Roman" w:eastAsia="Times New Roman" w:hAnsi="Times New Roman" w:cs="Times New Roman"/>
          <w:sz w:val="24"/>
          <w:szCs w:val="24"/>
          <w:lang w:eastAsia="en-GB"/>
        </w:rPr>
        <w:t>/IDEAS, and the CGIAR Library. Search terms combined the geographic anchor "Cameroon" with combinations of the following concept clusters: value chain terms ("agricultural value chain", "commodity chain", "value chain upgrading", "value chain governance"); donor and finance terms ("donor investment", "foreign aid", "official development assistance", "structural adjustment", "development finance", "World Bank", "African Development Bank"); and resilience and agroecology terms ("agroecology", "climate resilience", "agroforestry", "smallholder adaptation", "food security"). Boolean strings of the form ("Cameroon" AND ("value chain*" OR "commodity chain*") AND ("donor*" OR "aid" OR "investment")) and ("Cameroon" AND ("</w:t>
      </w:r>
      <w:proofErr w:type="spellStart"/>
      <w:r w:rsidRPr="00DF0D1B">
        <w:rPr>
          <w:rFonts w:ascii="Times New Roman" w:eastAsia="Times New Roman" w:hAnsi="Times New Roman" w:cs="Times New Roman"/>
          <w:sz w:val="24"/>
          <w:szCs w:val="24"/>
          <w:lang w:eastAsia="en-GB"/>
        </w:rPr>
        <w:t>agroecolog</w:t>
      </w:r>
      <w:proofErr w:type="spellEnd"/>
      <w:r w:rsidRPr="00DF0D1B">
        <w:rPr>
          <w:rFonts w:ascii="Times New Roman" w:eastAsia="Times New Roman" w:hAnsi="Times New Roman" w:cs="Times New Roman"/>
          <w:sz w:val="24"/>
          <w:szCs w:val="24"/>
          <w:lang w:eastAsia="en-GB"/>
        </w:rPr>
        <w:t>*" OR "agroforestry" OR "resilience") AND ("smallholder*" OR "farming household*")) were iterated across databases, with truncation and proximity operators adjusted to each platform's syntax.</w:t>
      </w:r>
    </w:p>
    <w:p w14:paraId="4FEF6D95"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2.2 Search string and date range</w:t>
      </w:r>
    </w:p>
    <w:p w14:paraId="2F4BD49B"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The principal literature search covered material published between 1 January 2000 and 3 April 2026. This range was chosen to capture the period in which the value chain framework became the dominant paradigm in agricultural development policy and academic analysis, following the seminal contributions of Kaplinsky (2000), Humphrey and Schmitz (2002) and </w:t>
      </w:r>
      <w:proofErr w:type="spellStart"/>
      <w:r w:rsidRPr="00DF0D1B">
        <w:rPr>
          <w:rFonts w:ascii="Times New Roman" w:eastAsia="Times New Roman" w:hAnsi="Times New Roman" w:cs="Times New Roman"/>
          <w:sz w:val="24"/>
          <w:szCs w:val="24"/>
          <w:lang w:eastAsia="en-GB"/>
        </w:rPr>
        <w:t>Gereffi</w:t>
      </w:r>
      <w:proofErr w:type="spellEnd"/>
      <w:r w:rsidRPr="00DF0D1B">
        <w:rPr>
          <w:rFonts w:ascii="Times New Roman" w:eastAsia="Times New Roman" w:hAnsi="Times New Roman" w:cs="Times New Roman"/>
          <w:sz w:val="24"/>
          <w:szCs w:val="24"/>
          <w:lang w:eastAsia="en-GB"/>
        </w:rPr>
        <w:t xml:space="preserve"> et al. (2005), while allowing sufficient elapsed time from Cameroon's structural adjustment period for empirical assessment of its consequences to have been published. Classic theoretical references predating this window were retained where they remain foundational to the value chain governance framework applied throughout the review.</w:t>
      </w:r>
    </w:p>
    <w:p w14:paraId="0B28123B"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2.3 Inclusion and exclusion criteria</w:t>
      </w:r>
    </w:p>
    <w:p w14:paraId="1B5025B2"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Sources were included if they were published in peer-reviewed academic journals, reported original empirical research, a systematic or narrative review, or theoretical analysis directly relevant to Cameroonian agricultural value chains, donor-financed agricultural investment in Sub-Saharan Africa, or agroecological resilience among smallholder farming systems, and were available in English or French with an English-language abstract. Authoritative institutional reports from multilateral development banks and United Nations agencies were included where they provided verifiable primary data on investment volumes or programme design, even in the absence of a digital object identifier, provided a stable uniform resource locator was available. Sources were excluded if they were books, unpublished theses, conference proceedings, trade magazines, preprints not subsequently peer reviewed, patents, or non-peer-reviewed grey literature without institutional authority. Comparative studies from other Sub-Saharan African countries were included selectively where they illuminated mechanisms directly relevant to the Cameroonian case, such as producer group effects on cocoa technical efficiency in Ghana or foreign agricultural aid effects on food security across the region.</w:t>
      </w:r>
    </w:p>
    <w:p w14:paraId="6CC2E358"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2.4 Rationale for a narrative review approach</w:t>
      </w:r>
    </w:p>
    <w:p w14:paraId="0B98A454"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 narrative rather than a systematic review methodology was adopted because the research questions addressed here span three distinct literatures with heterogeneous methodologies, ranging from computable general equilibrium modelling of structural adjustment to qualitative stakeholder perception studies of cocoa sector transitions, that cannot be meaningfully pooled through meta-analytic techniques. Narrative reviews are well suited to synthesising conceptually related but methodologically diverse bodies of evidence and to tracing historical processes that unfold over long time horizons, precisely the task undertaken here (Grant &amp; Booth, 2009). Where a systematic review would demand a single, narrowly defined research question amenable to structured appraisal, this review instead seeks to integrate historical, economic and ecological perspectives into a coherent account of a national agricultural transformation, a purpose for which narrative synthesis is the more appropriate instrument.</w:t>
      </w:r>
    </w:p>
    <w:p w14:paraId="79E4D9A4"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2.5 Screening, duplicate handling and selection of influential studies</w:t>
      </w:r>
    </w:p>
    <w:p w14:paraId="5B7E7272"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Search results retrieved across databases were consolidated into a single reference library, and duplicate records were identified and removed using bibliographic metadata matching on title, author and publication year. Titles and abstracts were screened for topical relevance to Cameroonian agricultural value chains, donor investment or agroecological resilience, and full texts of apparently relevant records were retrieved for detailed appraisal. Where multiple studies addressed closely related empirical questions, such as the technical efficiency of smallholder cocoa production, priority was given to studies offering distinct methodological contributions, more recent data, or coverage of an under-represented region or commodity, so as to maximise the breadth of empirical evidence synthesised rather than duplicating closely convergent findings. Language restriction to English-language material, with French-language Cameroonian sources considered only where an English abstract permitted assessment of relevance, is acknowledged as a limitation addressed further in Section 11. The search strategy applied across this process is summarised in Table 1, which sets out the databases, concept clusters and inclusion boundaries described above.</w:t>
      </w:r>
    </w:p>
    <w:p w14:paraId="1CF961A6"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b/>
          <w:bCs/>
          <w:sz w:val="24"/>
          <w:szCs w:val="24"/>
          <w:lang w:eastAsia="en-GB"/>
        </w:rPr>
        <w:t>Table 1. Summary of literature search strategy</w:t>
      </w:r>
    </w:p>
    <w:tbl>
      <w:tblPr>
        <w:tblStyle w:val="TableGrid"/>
        <w:tblW w:w="0" w:type="auto"/>
        <w:tblLook w:val="04A0" w:firstRow="1" w:lastRow="0" w:firstColumn="1" w:lastColumn="0" w:noHBand="0" w:noVBand="1"/>
      </w:tblPr>
      <w:tblGrid>
        <w:gridCol w:w="2013"/>
        <w:gridCol w:w="7229"/>
      </w:tblGrid>
      <w:tr w:rsidR="00DF0D1B" w:rsidRPr="00DF0D1B" w14:paraId="42BCD894" w14:textId="77777777" w:rsidTr="00436ABF">
        <w:tc>
          <w:tcPr>
            <w:tcW w:w="0" w:type="auto"/>
            <w:hideMark/>
          </w:tcPr>
          <w:p w14:paraId="2623D5CD"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lastRenderedPageBreak/>
              <w:t>Element</w:t>
            </w:r>
          </w:p>
        </w:tc>
        <w:tc>
          <w:tcPr>
            <w:tcW w:w="0" w:type="auto"/>
            <w:hideMark/>
          </w:tcPr>
          <w:p w14:paraId="47CDF1AA"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Specification</w:t>
            </w:r>
          </w:p>
        </w:tc>
      </w:tr>
      <w:tr w:rsidR="00DF0D1B" w:rsidRPr="00DF0D1B" w14:paraId="1C8AA0E5" w14:textId="77777777" w:rsidTr="00436ABF">
        <w:tc>
          <w:tcPr>
            <w:tcW w:w="0" w:type="auto"/>
            <w:hideMark/>
          </w:tcPr>
          <w:p w14:paraId="61CD8D17"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Databases searched</w:t>
            </w:r>
          </w:p>
        </w:tc>
        <w:tc>
          <w:tcPr>
            <w:tcW w:w="0" w:type="auto"/>
            <w:hideMark/>
          </w:tcPr>
          <w:p w14:paraId="25AA97B4"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Web of Science, Scopus, Google Scholar, PubMed</w:t>
            </w:r>
          </w:p>
        </w:tc>
      </w:tr>
      <w:tr w:rsidR="00DF0D1B" w:rsidRPr="00DF0D1B" w14:paraId="5091F6A9" w14:textId="77777777" w:rsidTr="00436ABF">
        <w:tc>
          <w:tcPr>
            <w:tcW w:w="0" w:type="auto"/>
            <w:hideMark/>
          </w:tcPr>
          <w:p w14:paraId="0D4B3621"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Field-specific databases</w:t>
            </w:r>
          </w:p>
        </w:tc>
        <w:tc>
          <w:tcPr>
            <w:tcW w:w="0" w:type="auto"/>
            <w:hideMark/>
          </w:tcPr>
          <w:p w14:paraId="196847AA"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AGRICOLA, </w:t>
            </w:r>
            <w:proofErr w:type="spellStart"/>
            <w:r w:rsidRPr="00DF0D1B">
              <w:rPr>
                <w:rFonts w:ascii="Times New Roman" w:eastAsia="Times New Roman" w:hAnsi="Times New Roman" w:cs="Times New Roman"/>
                <w:sz w:val="24"/>
                <w:szCs w:val="24"/>
                <w:lang w:eastAsia="en-GB"/>
              </w:rPr>
              <w:t>AgEcon</w:t>
            </w:r>
            <w:proofErr w:type="spellEnd"/>
            <w:r w:rsidRPr="00DF0D1B">
              <w:rPr>
                <w:rFonts w:ascii="Times New Roman" w:eastAsia="Times New Roman" w:hAnsi="Times New Roman" w:cs="Times New Roman"/>
                <w:sz w:val="24"/>
                <w:szCs w:val="24"/>
                <w:lang w:eastAsia="en-GB"/>
              </w:rPr>
              <w:t xml:space="preserve"> Search, CAB Abstracts, DOAJ, </w:t>
            </w:r>
            <w:proofErr w:type="spellStart"/>
            <w:r w:rsidRPr="00DF0D1B">
              <w:rPr>
                <w:rFonts w:ascii="Times New Roman" w:eastAsia="Times New Roman" w:hAnsi="Times New Roman" w:cs="Times New Roman"/>
                <w:sz w:val="24"/>
                <w:szCs w:val="24"/>
                <w:lang w:eastAsia="en-GB"/>
              </w:rPr>
              <w:t>RePEc</w:t>
            </w:r>
            <w:proofErr w:type="spellEnd"/>
            <w:r w:rsidRPr="00DF0D1B">
              <w:rPr>
                <w:rFonts w:ascii="Times New Roman" w:eastAsia="Times New Roman" w:hAnsi="Times New Roman" w:cs="Times New Roman"/>
                <w:sz w:val="24"/>
                <w:szCs w:val="24"/>
                <w:lang w:eastAsia="en-GB"/>
              </w:rPr>
              <w:t>/IDEAS, CGIAR Library</w:t>
            </w:r>
          </w:p>
        </w:tc>
      </w:tr>
      <w:tr w:rsidR="00DF0D1B" w:rsidRPr="00DF0D1B" w14:paraId="17276084" w14:textId="77777777" w:rsidTr="00436ABF">
        <w:tc>
          <w:tcPr>
            <w:tcW w:w="0" w:type="auto"/>
            <w:hideMark/>
          </w:tcPr>
          <w:p w14:paraId="0AB08A30"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Date range</w:t>
            </w:r>
          </w:p>
        </w:tc>
        <w:tc>
          <w:tcPr>
            <w:tcW w:w="0" w:type="auto"/>
            <w:hideMark/>
          </w:tcPr>
          <w:p w14:paraId="31B21048"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1 January 2000 – 3 April 2026 (classic theoretical works predating this range retained)</w:t>
            </w:r>
          </w:p>
        </w:tc>
      </w:tr>
      <w:tr w:rsidR="00DF0D1B" w:rsidRPr="00DF0D1B" w14:paraId="523D42DC" w14:textId="77777777" w:rsidTr="00436ABF">
        <w:tc>
          <w:tcPr>
            <w:tcW w:w="0" w:type="auto"/>
            <w:hideMark/>
          </w:tcPr>
          <w:p w14:paraId="5CAE70EF"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Geographic anchor</w:t>
            </w:r>
          </w:p>
        </w:tc>
        <w:tc>
          <w:tcPr>
            <w:tcW w:w="0" w:type="auto"/>
            <w:hideMark/>
          </w:tcPr>
          <w:p w14:paraId="2B2F5785"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Cameroon (with selective comparative Sub-Saharan African material)</w:t>
            </w:r>
          </w:p>
        </w:tc>
      </w:tr>
      <w:tr w:rsidR="00DF0D1B" w:rsidRPr="00DF0D1B" w14:paraId="735463FC" w14:textId="77777777" w:rsidTr="00436ABF">
        <w:tc>
          <w:tcPr>
            <w:tcW w:w="0" w:type="auto"/>
            <w:hideMark/>
          </w:tcPr>
          <w:p w14:paraId="133ADEF2"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Core concept clusters</w:t>
            </w:r>
          </w:p>
        </w:tc>
        <w:tc>
          <w:tcPr>
            <w:tcW w:w="0" w:type="auto"/>
            <w:hideMark/>
          </w:tcPr>
          <w:p w14:paraId="5487A867"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Value chain governance and upgrading; donor and development finance; agroecology and climate resilience</w:t>
            </w:r>
          </w:p>
        </w:tc>
      </w:tr>
      <w:tr w:rsidR="00DF0D1B" w:rsidRPr="00DF0D1B" w14:paraId="403AB495" w14:textId="77777777" w:rsidTr="00436ABF">
        <w:tc>
          <w:tcPr>
            <w:tcW w:w="0" w:type="auto"/>
            <w:hideMark/>
          </w:tcPr>
          <w:p w14:paraId="078CC252"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Language</w:t>
            </w:r>
          </w:p>
        </w:tc>
        <w:tc>
          <w:tcPr>
            <w:tcW w:w="0" w:type="auto"/>
            <w:hideMark/>
          </w:tcPr>
          <w:p w14:paraId="3E077C5C"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English (French sources considered where an English abstract was available)</w:t>
            </w:r>
          </w:p>
        </w:tc>
      </w:tr>
      <w:tr w:rsidR="00DF0D1B" w:rsidRPr="00DF0D1B" w14:paraId="72A23E4D" w14:textId="77777777" w:rsidTr="00436ABF">
        <w:tc>
          <w:tcPr>
            <w:tcW w:w="0" w:type="auto"/>
            <w:hideMark/>
          </w:tcPr>
          <w:p w14:paraId="272E85D5"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Source types included</w:t>
            </w:r>
          </w:p>
        </w:tc>
        <w:tc>
          <w:tcPr>
            <w:tcW w:w="0" w:type="auto"/>
            <w:hideMark/>
          </w:tcPr>
          <w:p w14:paraId="3ED0FDB7"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Peer-reviewed journal articles; authoritative multilateral/institutional reports with verifiable URLs</w:t>
            </w:r>
          </w:p>
        </w:tc>
      </w:tr>
      <w:tr w:rsidR="00DF0D1B" w:rsidRPr="00DF0D1B" w14:paraId="348AA07F" w14:textId="77777777" w:rsidTr="00436ABF">
        <w:tc>
          <w:tcPr>
            <w:tcW w:w="0" w:type="auto"/>
            <w:hideMark/>
          </w:tcPr>
          <w:p w14:paraId="553D1498"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Source types excluded</w:t>
            </w:r>
          </w:p>
        </w:tc>
        <w:tc>
          <w:tcPr>
            <w:tcW w:w="0" w:type="auto"/>
            <w:hideMark/>
          </w:tcPr>
          <w:p w14:paraId="234BF88B"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Books, theses, conference proceedings, trade magazines, preprints, patents, non-peer-reviewed grey literature</w:t>
            </w:r>
          </w:p>
        </w:tc>
      </w:tr>
      <w:tr w:rsidR="00DF0D1B" w:rsidRPr="00DF0D1B" w14:paraId="472E14E2" w14:textId="77777777" w:rsidTr="00436ABF">
        <w:tc>
          <w:tcPr>
            <w:tcW w:w="0" w:type="auto"/>
            <w:hideMark/>
          </w:tcPr>
          <w:p w14:paraId="453C0439"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Review type</w:t>
            </w:r>
          </w:p>
        </w:tc>
        <w:tc>
          <w:tcPr>
            <w:tcW w:w="0" w:type="auto"/>
            <w:hideMark/>
          </w:tcPr>
          <w:p w14:paraId="2A7AE19D"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Narrative review (Grant &amp; Booth, 2009)</w:t>
            </w:r>
          </w:p>
        </w:tc>
      </w:tr>
    </w:tbl>
    <w:p w14:paraId="4DE3FB91" w14:textId="77777777" w:rsidR="00DF0D1B" w:rsidRPr="00DF0D1B" w:rsidRDefault="00DF0D1B" w:rsidP="00947E7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3. Historical Trajectory of Cameroon's Agricultural Value Chains, 1960–2025</w:t>
      </w:r>
    </w:p>
    <w:p w14:paraId="3E36BEDF"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3.1 The post-independence marketing board era, 1960–1985</w:t>
      </w:r>
    </w:p>
    <w:p w14:paraId="554538A4"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At independence, Cameroon inherited an agricultural economy structured around colonial export monocultures, with cocoa, coffee, cotton and, increasingly, oil palm cultivated through a mixture of smallholder </w:t>
      </w:r>
      <w:proofErr w:type="spellStart"/>
      <w:r w:rsidRPr="00DF0D1B">
        <w:rPr>
          <w:rFonts w:ascii="Times New Roman" w:eastAsia="Times New Roman" w:hAnsi="Times New Roman" w:cs="Times New Roman"/>
          <w:sz w:val="24"/>
          <w:szCs w:val="24"/>
          <w:lang w:eastAsia="en-GB"/>
        </w:rPr>
        <w:t>outgrower</w:t>
      </w:r>
      <w:proofErr w:type="spellEnd"/>
      <w:r w:rsidRPr="00DF0D1B">
        <w:rPr>
          <w:rFonts w:ascii="Times New Roman" w:eastAsia="Times New Roman" w:hAnsi="Times New Roman" w:cs="Times New Roman"/>
          <w:sz w:val="24"/>
          <w:szCs w:val="24"/>
          <w:lang w:eastAsia="en-GB"/>
        </w:rPr>
        <w:t xml:space="preserve"> arrangements and large agro-industrial estates such as the Cameroon Development Corporation. The immediate post-independence decades were characterised by strong state involvement in commodity marketing through parastatal boards that fixed producer prices, controlled export channels and captured a substantial share of world market rents for public investment purposes. Growth during this period was underpinned first by agricultural exports and then, from the late 1970s, by rising petroleum production, which supplemented and eventually overshadowed agricultural export earnings as the principal driver of national income (Benjamin, 1996). This oil-driven expansion permitted a degree of policy complacency toward the agricultural sector's underlying competitiveness, as public spending increasingly favoured urban infrastructure and an expanding public sector rather than rural productivity investment.</w:t>
      </w:r>
    </w:p>
    <w:p w14:paraId="5B9ADE4B"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3.2 Structural adjustment and market liberalisation, 1985–2000</w:t>
      </w:r>
    </w:p>
    <w:p w14:paraId="5F4EC09B"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The collapse of international cocoa, coffee and petroleum prices in the mid-1980s precipitated a severe balance-of-payments and fiscal crisis, compelling Cameroon to enter a sequence of International Monetary Fund and World Bank structural adjustment programmes from the late 1980s onward. These programmes mandated the dismantling of state marketing monopolies, currency devaluation through the 1994 realignment of the CFA franc, privatisation of major agro-industrial parastatals including the sugar and palm oil companies, and fiscal retrenchment in agricultural extension and input subsidy systems (Benjamin, 1996). Computable general equilibrium modelling of this period found that public spending directed toward reducing transport and marketing costs was disproportionately beneficial to poor rural households and to aggregate growth, even where such spending competed with </w:t>
      </w:r>
      <w:r w:rsidRPr="00DF0D1B">
        <w:rPr>
          <w:rFonts w:ascii="Times New Roman" w:eastAsia="Times New Roman" w:hAnsi="Times New Roman" w:cs="Times New Roman"/>
          <w:sz w:val="24"/>
          <w:szCs w:val="24"/>
          <w:lang w:eastAsia="en-GB"/>
        </w:rPr>
        <w:lastRenderedPageBreak/>
        <w:t>other public investment priorities, suggesting that the adjustment programmes' emphasis on macroeconomic stabilisation over targeted rural infrastructure investment left substantial welfare gains unrealised (Benjamin, 1996). The liberalisation of cocoa and coffee marketing exposed smallholders directly to volatile world prices without the price-smoothing function previously performed by marketing boards, a transition that is widely regarded in the subsequent literature as having weakened, rather than strengthened, the terms on which smallholders engaged with export value chains.</w:t>
      </w:r>
    </w:p>
    <w:p w14:paraId="6B3FE095"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3.3 The value chain and donor-financed development era, 2000–2025</w:t>
      </w:r>
    </w:p>
    <w:p w14:paraId="0C97B203"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From the early 2000s, Cameroonian agricultural policy shifted toward an explicitly value-chain-oriented paradigm, reflecting the broader diffusion of the global value chain governance framework through international development discourse (</w:t>
      </w:r>
      <w:proofErr w:type="spellStart"/>
      <w:r w:rsidRPr="00DF0D1B">
        <w:rPr>
          <w:rFonts w:ascii="Times New Roman" w:eastAsia="Times New Roman" w:hAnsi="Times New Roman" w:cs="Times New Roman"/>
          <w:sz w:val="24"/>
          <w:szCs w:val="24"/>
          <w:lang w:eastAsia="en-GB"/>
        </w:rPr>
        <w:t>Gereffi</w:t>
      </w:r>
      <w:proofErr w:type="spellEnd"/>
      <w:r w:rsidRPr="00DF0D1B">
        <w:rPr>
          <w:rFonts w:ascii="Times New Roman" w:eastAsia="Times New Roman" w:hAnsi="Times New Roman" w:cs="Times New Roman"/>
          <w:sz w:val="24"/>
          <w:szCs w:val="24"/>
          <w:lang w:eastAsia="en-GB"/>
        </w:rPr>
        <w:t xml:space="preserve"> et al., 2005; Humphrey &amp; Schmitz, 2002). This period is characterised by the proliferation of donor- and multilaterally financed programmes explicitly targeting value chain competitiveness and upgrading rather than simple production expansion, including the 2008 World Bank competitiveness study of six national value chains, cassava, cotton, maize, palm oil, plantain and poultry, and, from the 2010s onward, a succession of African Development Bank-financed Agricultural Value Chain Development Projects targeting oil palm, plantain and pineapple in the Central and Littoral basins (African Development Bank, 2022). This era has also seen the emergence of a parallel discourse around agroecological transition, climate-smart agriculture and cocoa-driven deforestation, reflecting growing international attention to the environmental footprint of Cameroon's principal export commodities (Ingram et al., 2025; Ordway et al., 2019). Table 2 sets out this periodisation in summary form, tracing how the dominant policy paradigm, its instruments and its characteristic outcomes have shifted across the six decades under review.</w:t>
      </w:r>
    </w:p>
    <w:p w14:paraId="3294D690"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b/>
          <w:bCs/>
          <w:sz w:val="24"/>
          <w:szCs w:val="24"/>
          <w:lang w:eastAsia="en-GB"/>
        </w:rPr>
        <w:t>Table 2. Periodisation of Cameroon's agricultural and value chain policy, 1960–2025</w:t>
      </w:r>
    </w:p>
    <w:tbl>
      <w:tblPr>
        <w:tblStyle w:val="TableGrid"/>
        <w:tblW w:w="0" w:type="auto"/>
        <w:tblLook w:val="04A0" w:firstRow="1" w:lastRow="0" w:firstColumn="1" w:lastColumn="0" w:noHBand="0" w:noVBand="1"/>
      </w:tblPr>
      <w:tblGrid>
        <w:gridCol w:w="954"/>
        <w:gridCol w:w="2146"/>
        <w:gridCol w:w="3148"/>
        <w:gridCol w:w="2994"/>
      </w:tblGrid>
      <w:tr w:rsidR="00DF0D1B" w:rsidRPr="00DF0D1B" w14:paraId="2DCE6FC2" w14:textId="77777777" w:rsidTr="00436ABF">
        <w:tc>
          <w:tcPr>
            <w:tcW w:w="0" w:type="auto"/>
            <w:hideMark/>
          </w:tcPr>
          <w:p w14:paraId="12F81201"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Period</w:t>
            </w:r>
          </w:p>
        </w:tc>
        <w:tc>
          <w:tcPr>
            <w:tcW w:w="0" w:type="auto"/>
            <w:hideMark/>
          </w:tcPr>
          <w:p w14:paraId="51D772F9"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Dominant policy paradigm</w:t>
            </w:r>
          </w:p>
        </w:tc>
        <w:tc>
          <w:tcPr>
            <w:tcW w:w="0" w:type="auto"/>
            <w:hideMark/>
          </w:tcPr>
          <w:p w14:paraId="5162A6A7"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Principal instruments</w:t>
            </w:r>
          </w:p>
        </w:tc>
        <w:tc>
          <w:tcPr>
            <w:tcW w:w="0" w:type="auto"/>
            <w:hideMark/>
          </w:tcPr>
          <w:p w14:paraId="50A03998"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Characteristic outcomes</w:t>
            </w:r>
          </w:p>
        </w:tc>
      </w:tr>
      <w:tr w:rsidR="00DF0D1B" w:rsidRPr="00DF0D1B" w14:paraId="1ACA49F4" w14:textId="77777777" w:rsidTr="00436ABF">
        <w:tc>
          <w:tcPr>
            <w:tcW w:w="0" w:type="auto"/>
            <w:hideMark/>
          </w:tcPr>
          <w:p w14:paraId="63A242C3"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1960–1978</w:t>
            </w:r>
          </w:p>
        </w:tc>
        <w:tc>
          <w:tcPr>
            <w:tcW w:w="0" w:type="auto"/>
            <w:hideMark/>
          </w:tcPr>
          <w:p w14:paraId="62E81226"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State-led commodity marketing</w:t>
            </w:r>
          </w:p>
        </w:tc>
        <w:tc>
          <w:tcPr>
            <w:tcW w:w="0" w:type="auto"/>
            <w:hideMark/>
          </w:tcPr>
          <w:p w14:paraId="7C0D1770"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Parastatal marketing boards; nucleus-estate smallholder schemes</w:t>
            </w:r>
          </w:p>
        </w:tc>
        <w:tc>
          <w:tcPr>
            <w:tcW w:w="0" w:type="auto"/>
            <w:hideMark/>
          </w:tcPr>
          <w:p w14:paraId="1D492983"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Steady export-led growth; producer price stabilisation; limited productivity investment</w:t>
            </w:r>
          </w:p>
        </w:tc>
      </w:tr>
      <w:tr w:rsidR="00DF0D1B" w:rsidRPr="00DF0D1B" w14:paraId="6A759AE8" w14:textId="77777777" w:rsidTr="00436ABF">
        <w:tc>
          <w:tcPr>
            <w:tcW w:w="0" w:type="auto"/>
            <w:hideMark/>
          </w:tcPr>
          <w:p w14:paraId="5D83D46E"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1978–1985</w:t>
            </w:r>
          </w:p>
        </w:tc>
        <w:tc>
          <w:tcPr>
            <w:tcW w:w="0" w:type="auto"/>
            <w:hideMark/>
          </w:tcPr>
          <w:p w14:paraId="2579620B"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Oil-financed public expansion</w:t>
            </w:r>
          </w:p>
        </w:tc>
        <w:tc>
          <w:tcPr>
            <w:tcW w:w="0" w:type="auto"/>
            <w:hideMark/>
          </w:tcPr>
          <w:p w14:paraId="3CB310EB"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Petroleum-financed public sector growth</w:t>
            </w:r>
          </w:p>
        </w:tc>
        <w:tc>
          <w:tcPr>
            <w:tcW w:w="0" w:type="auto"/>
            <w:hideMark/>
          </w:tcPr>
          <w:p w14:paraId="3C9CE7CE"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Agricultural sector relative neglect; rising import substitution ambitions</w:t>
            </w:r>
          </w:p>
        </w:tc>
      </w:tr>
      <w:tr w:rsidR="00DF0D1B" w:rsidRPr="00DF0D1B" w14:paraId="6650F41C" w14:textId="77777777" w:rsidTr="00436ABF">
        <w:tc>
          <w:tcPr>
            <w:tcW w:w="0" w:type="auto"/>
            <w:hideMark/>
          </w:tcPr>
          <w:p w14:paraId="3CC4A4A7"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1985–2000</w:t>
            </w:r>
          </w:p>
        </w:tc>
        <w:tc>
          <w:tcPr>
            <w:tcW w:w="0" w:type="auto"/>
            <w:hideMark/>
          </w:tcPr>
          <w:p w14:paraId="5EED637F"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Structural adjustment and liberalisation</w:t>
            </w:r>
          </w:p>
        </w:tc>
        <w:tc>
          <w:tcPr>
            <w:tcW w:w="0" w:type="auto"/>
            <w:hideMark/>
          </w:tcPr>
          <w:p w14:paraId="540EEE41"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IMF/World Bank Structural Adjustment Programmes; CFA franc devaluation (1994); parastatal privatisation</w:t>
            </w:r>
          </w:p>
        </w:tc>
        <w:tc>
          <w:tcPr>
            <w:tcW w:w="0" w:type="auto"/>
            <w:hideMark/>
          </w:tcPr>
          <w:p w14:paraId="5BD71BC3"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Exposure of smallholders to price volatility; fiscal retrenchment in extension services</w:t>
            </w:r>
          </w:p>
        </w:tc>
      </w:tr>
      <w:tr w:rsidR="00DF0D1B" w:rsidRPr="00DF0D1B" w14:paraId="2080F614" w14:textId="77777777" w:rsidTr="00436ABF">
        <w:tc>
          <w:tcPr>
            <w:tcW w:w="0" w:type="auto"/>
            <w:hideMark/>
          </w:tcPr>
          <w:p w14:paraId="4AB1C211"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2000–2012</w:t>
            </w:r>
          </w:p>
        </w:tc>
        <w:tc>
          <w:tcPr>
            <w:tcW w:w="0" w:type="auto"/>
            <w:hideMark/>
          </w:tcPr>
          <w:p w14:paraId="206EF599"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Emergence of value chain paradigm</w:t>
            </w:r>
          </w:p>
        </w:tc>
        <w:tc>
          <w:tcPr>
            <w:tcW w:w="0" w:type="auto"/>
            <w:hideMark/>
          </w:tcPr>
          <w:p w14:paraId="5BD0A5E1"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Competitiveness studies; access-to-finance projects; certification schemes</w:t>
            </w:r>
          </w:p>
        </w:tc>
        <w:tc>
          <w:tcPr>
            <w:tcW w:w="0" w:type="auto"/>
            <w:hideMark/>
          </w:tcPr>
          <w:p w14:paraId="6E788486"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Selective productivity and market-access gains; persistent infrastructure gaps</w:t>
            </w:r>
          </w:p>
        </w:tc>
      </w:tr>
      <w:tr w:rsidR="00DF0D1B" w:rsidRPr="00DF0D1B" w14:paraId="26AF8CB7" w14:textId="77777777" w:rsidTr="00436ABF">
        <w:tc>
          <w:tcPr>
            <w:tcW w:w="0" w:type="auto"/>
            <w:hideMark/>
          </w:tcPr>
          <w:p w14:paraId="0E6D183D"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2012–2025</w:t>
            </w:r>
          </w:p>
        </w:tc>
        <w:tc>
          <w:tcPr>
            <w:tcW w:w="0" w:type="auto"/>
            <w:hideMark/>
          </w:tcPr>
          <w:p w14:paraId="0A478DC4"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Donor-financed value chain and climate-resilience integration</w:t>
            </w:r>
          </w:p>
        </w:tc>
        <w:tc>
          <w:tcPr>
            <w:tcW w:w="0" w:type="auto"/>
            <w:hideMark/>
          </w:tcPr>
          <w:p w14:paraId="7616551E"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AfDB Agricultural Value Chain Development Projects; blended finance; climate-smart agriculture </w:t>
            </w:r>
            <w:r w:rsidRPr="00DF0D1B">
              <w:rPr>
                <w:rFonts w:ascii="Times New Roman" w:eastAsia="Times New Roman" w:hAnsi="Times New Roman" w:cs="Times New Roman"/>
                <w:sz w:val="24"/>
                <w:szCs w:val="24"/>
                <w:lang w:eastAsia="en-GB"/>
              </w:rPr>
              <w:lastRenderedPageBreak/>
              <w:t>programming</w:t>
            </w:r>
          </w:p>
        </w:tc>
        <w:tc>
          <w:tcPr>
            <w:tcW w:w="0" w:type="auto"/>
            <w:hideMark/>
          </w:tcPr>
          <w:p w14:paraId="51CC5396"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 xml:space="preserve">Coexistence of commercial upgrading and agroecological resilience agendas; land and </w:t>
            </w:r>
            <w:r w:rsidRPr="00DF0D1B">
              <w:rPr>
                <w:rFonts w:ascii="Times New Roman" w:eastAsia="Times New Roman" w:hAnsi="Times New Roman" w:cs="Times New Roman"/>
                <w:sz w:val="24"/>
                <w:szCs w:val="24"/>
                <w:lang w:eastAsia="en-GB"/>
              </w:rPr>
              <w:lastRenderedPageBreak/>
              <w:t>deforestation pressures</w:t>
            </w:r>
          </w:p>
        </w:tc>
      </w:tr>
    </w:tbl>
    <w:p w14:paraId="37B61F8C"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i/>
          <w:iCs/>
          <w:sz w:val="24"/>
          <w:szCs w:val="24"/>
          <w:lang w:eastAsia="en-GB"/>
        </w:rPr>
        <w:lastRenderedPageBreak/>
        <w:t xml:space="preserve">Sources: Benjamin (1996); African Development Bank (2022); </w:t>
      </w:r>
      <w:proofErr w:type="spellStart"/>
      <w:r w:rsidRPr="00DF0D1B">
        <w:rPr>
          <w:rFonts w:ascii="Times New Roman" w:eastAsia="Times New Roman" w:hAnsi="Times New Roman" w:cs="Times New Roman"/>
          <w:i/>
          <w:iCs/>
          <w:sz w:val="24"/>
          <w:szCs w:val="24"/>
          <w:lang w:eastAsia="en-GB"/>
        </w:rPr>
        <w:t>Gereffi</w:t>
      </w:r>
      <w:proofErr w:type="spellEnd"/>
      <w:r w:rsidRPr="00DF0D1B">
        <w:rPr>
          <w:rFonts w:ascii="Times New Roman" w:eastAsia="Times New Roman" w:hAnsi="Times New Roman" w:cs="Times New Roman"/>
          <w:i/>
          <w:iCs/>
          <w:sz w:val="24"/>
          <w:szCs w:val="24"/>
          <w:lang w:eastAsia="en-GB"/>
        </w:rPr>
        <w:t xml:space="preserve"> et al. (2005); Ingram et al. (2025).</w:t>
      </w:r>
    </w:p>
    <w:p w14:paraId="60E51A3F" w14:textId="77777777" w:rsidR="00DF0D1B" w:rsidRPr="00DF0D1B" w:rsidRDefault="00DF0D1B" w:rsidP="00947E7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4. Donor Investment and Value Chain Transformation</w:t>
      </w:r>
    </w:p>
    <w:p w14:paraId="502CBB4D"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4.1 Instruments and scale of external financing</w:t>
      </w:r>
    </w:p>
    <w:p w14:paraId="5F1A5FB3"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Donor and multilateral investment in Cameroonian agriculture since the early 2000s has operated through a heterogeneous mixture of financing instruments, spanning concessional and non-concessional loans, grants, blended finance vehicles combining public and private capital, and partial credit guarantees intended to de-risk commercial lending to agricultural value chain actors. The African Development Bank's Agricultural Value Chain Development Project illustrates the scale and structure of contemporary financing: an approximately eighty-nine million euro loan directed at oil palm, plantain and pineapple value chains in the Central and Littoral basins, structured to eliminate infrastructural and coordination constraints on competitiveness while targeting job creation for approximately 242,000 direct beneficiaries, half of them women (African Development Bank, 2022). A complementary Agricultural Sector Development Fund, established through an agreement between the African Development Bank and the Commercial Bank of Cameroon, channels medium-term resources to microfinance institutions for onward lending to value chain enterprises, reflecting a broader shift in donor practice away from direct production subsidy and toward financial intermediation designed to crowd in private capital (African Development Bank, 2022). This pattern is consistent with the global evolution of value chain governance theory, in which the capacity of local producers to capture value depends substantially on their access to finance and their position within buyer-driven or relational governance structures rather than on production volume alone (</w:t>
      </w:r>
      <w:proofErr w:type="spellStart"/>
      <w:r w:rsidRPr="00DF0D1B">
        <w:rPr>
          <w:rFonts w:ascii="Times New Roman" w:eastAsia="Times New Roman" w:hAnsi="Times New Roman" w:cs="Times New Roman"/>
          <w:sz w:val="24"/>
          <w:szCs w:val="24"/>
          <w:lang w:eastAsia="en-GB"/>
        </w:rPr>
        <w:t>Gereffi</w:t>
      </w:r>
      <w:proofErr w:type="spellEnd"/>
      <w:r w:rsidRPr="00DF0D1B">
        <w:rPr>
          <w:rFonts w:ascii="Times New Roman" w:eastAsia="Times New Roman" w:hAnsi="Times New Roman" w:cs="Times New Roman"/>
          <w:sz w:val="24"/>
          <w:szCs w:val="24"/>
          <w:lang w:eastAsia="en-GB"/>
        </w:rPr>
        <w:t xml:space="preserve"> et al., 2005; Humphrey &amp; Schmitz, 2002).</w:t>
      </w:r>
    </w:p>
    <w:p w14:paraId="11D630FE"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4.2 Evidence on the effectiveness of agricultural aid</w:t>
      </w:r>
    </w:p>
    <w:p w14:paraId="61224761"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The broader Sub-Saharan African evidence on the effectiveness of foreign agricultural aid presents a genuinely contested picture that Cameroon-specific studies both reflect and refine. Cross-country panel analysis covering the period 1990–2020 finds that foreign agricultural aid contributes positively to national food security outcomes across Sub-Saharan Africa, though the magnitude and significance of this effect varies substantially according to the heterogeneous institutional and agroecological conditions of recipient countries (</w:t>
      </w:r>
      <w:proofErr w:type="spellStart"/>
      <w:r w:rsidRPr="00DF0D1B">
        <w:rPr>
          <w:rFonts w:ascii="Times New Roman" w:eastAsia="Times New Roman" w:hAnsi="Times New Roman" w:cs="Times New Roman"/>
          <w:sz w:val="24"/>
          <w:szCs w:val="24"/>
          <w:lang w:eastAsia="en-GB"/>
        </w:rPr>
        <w:t>Balcilar</w:t>
      </w:r>
      <w:proofErr w:type="spellEnd"/>
      <w:r w:rsidRPr="00DF0D1B">
        <w:rPr>
          <w:rFonts w:ascii="Times New Roman" w:eastAsia="Times New Roman" w:hAnsi="Times New Roman" w:cs="Times New Roman"/>
          <w:sz w:val="24"/>
          <w:szCs w:val="24"/>
          <w:lang w:eastAsia="en-GB"/>
        </w:rPr>
        <w:t xml:space="preserve"> et al., 2025). Complementary work applying a general equilibrium framework to agricultural aid pathways demonstrates that aid effectiveness depends critically on how financing interacts with soil nutrient variation, domestic transport costs, labour mobility and constraints on farmers' capacity to self-finance input purchases, factors that vary sharply across Cameroon's five agroecological zones (McArthur &amp; Sachs, 2019). A further complication specific to the political economy of aid allocation is that democratic governance quality appears to condition both the volume and the effectiveness of agricultural aid received by African states, with donor confidence and long-term aid commitments responding positively to political liberalisation even as resource-rent dependency can undermine the incentives for governments to prioritise agricultural investment absorption (Mfouapon et al., 2024). These findings imply that the effectiveness of donor investment in Cameroon cannot be assessed independently of the country's broader governance trajectory, a caveat that is frequently absent from project-level evaluations focused narrowly on output or income indicators.</w:t>
      </w:r>
    </w:p>
    <w:p w14:paraId="7B193C89"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lastRenderedPageBreak/>
        <w:t>4.3 Project-level evidence from Cameroonian value chains</w:t>
      </w:r>
    </w:p>
    <w:p w14:paraId="12344DFB"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At the project level, evidence on donor-financed value chain interventions in Cameroon is more fragmented but broadly consistent with the cross-country pattern of conditional effectiveness. Certification-linked interventions in the cocoa sector, frequently financed or facilitated through donor-supported technical assistance, have demonstrated measurable but unevenly distributed economic benefits: an assessment of certified cocoa-based agroforestry systems in Cameroon's Centre and South-West production basins found that certification improved the economic performance of participating farms relative to non-certified counterparts, though the benefits accrued disproportionately to better-resourced farmers with larger orchards able to absorb the transaction costs of certification compliance (</w:t>
      </w:r>
      <w:proofErr w:type="spellStart"/>
      <w:r w:rsidRPr="00DF0D1B">
        <w:rPr>
          <w:rFonts w:ascii="Times New Roman" w:eastAsia="Times New Roman" w:hAnsi="Times New Roman" w:cs="Times New Roman"/>
          <w:sz w:val="24"/>
          <w:szCs w:val="24"/>
          <w:lang w:eastAsia="en-GB"/>
        </w:rPr>
        <w:t>Ngoucheme</w:t>
      </w:r>
      <w:proofErr w:type="spellEnd"/>
      <w:r w:rsidRPr="00DF0D1B">
        <w:rPr>
          <w:rFonts w:ascii="Times New Roman" w:eastAsia="Times New Roman" w:hAnsi="Times New Roman" w:cs="Times New Roman"/>
          <w:sz w:val="24"/>
          <w:szCs w:val="24"/>
          <w:lang w:eastAsia="en-GB"/>
        </w:rPr>
        <w:t xml:space="preserve"> et al., 2023). Similarly, stakeholder-perception research into the cocoa sector's sustainability transition found that although public and private actors broadly recognise the need to incorporate sustainability-oriented innovations into the value chain, coordination failures between state agencies, exporters and farmer organisations have repeatedly hindered the translation of pilot innovations into sector-wide transformation, underscoring those governance frictions that formal project design frequently underestimates (Vogel et al., 2020). These findings are consistent with the broader literature on aid effectiveness in African agriculture, which cautions against assuming that capital injection alone, absent complementary investment in extension, market information and institutional coordination, will translate reliably into durable productivity or income gains (McArthur &amp; Sachs, 2019). Table 3 summarises the principal financing instruments discussed in this section, indicating their target commodities and the modality through which each operates.</w:t>
      </w:r>
    </w:p>
    <w:p w14:paraId="7BA0538C"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b/>
          <w:bCs/>
          <w:sz w:val="24"/>
          <w:szCs w:val="24"/>
          <w:lang w:eastAsia="en-GB"/>
        </w:rPr>
        <w:t>Table 3. Major donor and multilateral investment instruments in Cameroonian agricultural value chains</w:t>
      </w:r>
    </w:p>
    <w:tbl>
      <w:tblPr>
        <w:tblStyle w:val="TableGrid"/>
        <w:tblW w:w="0" w:type="auto"/>
        <w:tblLook w:val="04A0" w:firstRow="1" w:lastRow="0" w:firstColumn="1" w:lastColumn="0" w:noHBand="0" w:noVBand="1"/>
      </w:tblPr>
      <w:tblGrid>
        <w:gridCol w:w="2105"/>
        <w:gridCol w:w="2121"/>
        <w:gridCol w:w="2634"/>
        <w:gridCol w:w="2382"/>
      </w:tblGrid>
      <w:tr w:rsidR="00DF0D1B" w:rsidRPr="00DF0D1B" w14:paraId="5C096284" w14:textId="77777777" w:rsidTr="00436ABF">
        <w:tc>
          <w:tcPr>
            <w:tcW w:w="0" w:type="auto"/>
            <w:hideMark/>
          </w:tcPr>
          <w:p w14:paraId="50B218FF"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Instrument</w:t>
            </w:r>
          </w:p>
        </w:tc>
        <w:tc>
          <w:tcPr>
            <w:tcW w:w="0" w:type="auto"/>
            <w:hideMark/>
          </w:tcPr>
          <w:p w14:paraId="5B75C148"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Financing agency</w:t>
            </w:r>
          </w:p>
        </w:tc>
        <w:tc>
          <w:tcPr>
            <w:tcW w:w="0" w:type="auto"/>
            <w:hideMark/>
          </w:tcPr>
          <w:p w14:paraId="4F84CE68"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Target commodities/regions</w:t>
            </w:r>
          </w:p>
        </w:tc>
        <w:tc>
          <w:tcPr>
            <w:tcW w:w="0" w:type="auto"/>
            <w:hideMark/>
          </w:tcPr>
          <w:p w14:paraId="34EF5129"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Modality</w:t>
            </w:r>
          </w:p>
        </w:tc>
      </w:tr>
      <w:tr w:rsidR="00DF0D1B" w:rsidRPr="00DF0D1B" w14:paraId="06657058" w14:textId="77777777" w:rsidTr="00436ABF">
        <w:tc>
          <w:tcPr>
            <w:tcW w:w="0" w:type="auto"/>
            <w:hideMark/>
          </w:tcPr>
          <w:p w14:paraId="6F154CE0"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Agricultural Value Chain Development Project</w:t>
            </w:r>
          </w:p>
        </w:tc>
        <w:tc>
          <w:tcPr>
            <w:tcW w:w="0" w:type="auto"/>
            <w:hideMark/>
          </w:tcPr>
          <w:p w14:paraId="1F330EEF"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African Development Bank; Government of Cameroon</w:t>
            </w:r>
          </w:p>
        </w:tc>
        <w:tc>
          <w:tcPr>
            <w:tcW w:w="0" w:type="auto"/>
            <w:hideMark/>
          </w:tcPr>
          <w:p w14:paraId="04D0AD7C"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Oil palm, plantain, pineapple; Central and Littoral basins</w:t>
            </w:r>
          </w:p>
        </w:tc>
        <w:tc>
          <w:tcPr>
            <w:tcW w:w="0" w:type="auto"/>
            <w:hideMark/>
          </w:tcPr>
          <w:p w14:paraId="549C2C89"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Concessional loan; infrastructure and youth entrepreneurship support</w:t>
            </w:r>
          </w:p>
        </w:tc>
      </w:tr>
      <w:tr w:rsidR="00DF0D1B" w:rsidRPr="00DF0D1B" w14:paraId="181DEEEE" w14:textId="77777777" w:rsidTr="00436ABF">
        <w:tc>
          <w:tcPr>
            <w:tcW w:w="0" w:type="auto"/>
            <w:hideMark/>
          </w:tcPr>
          <w:p w14:paraId="7C939B02"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Agricultural Sector Development Fund</w:t>
            </w:r>
          </w:p>
        </w:tc>
        <w:tc>
          <w:tcPr>
            <w:tcW w:w="0" w:type="auto"/>
            <w:hideMark/>
          </w:tcPr>
          <w:p w14:paraId="45AEA106"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African Development Bank; Commercial Bank of Cameroon</w:t>
            </w:r>
          </w:p>
        </w:tc>
        <w:tc>
          <w:tcPr>
            <w:tcW w:w="0" w:type="auto"/>
            <w:hideMark/>
          </w:tcPr>
          <w:p w14:paraId="5764426A"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Cross-sector agricultural enterprises</w:t>
            </w:r>
          </w:p>
        </w:tc>
        <w:tc>
          <w:tcPr>
            <w:tcW w:w="0" w:type="auto"/>
            <w:hideMark/>
          </w:tcPr>
          <w:p w14:paraId="3C54B12D"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Medium-term credit lines via microfinance institutions; partial credit guarantee</w:t>
            </w:r>
          </w:p>
        </w:tc>
      </w:tr>
      <w:tr w:rsidR="00DF0D1B" w:rsidRPr="00DF0D1B" w14:paraId="5FE65C5A" w14:textId="77777777" w:rsidTr="00436ABF">
        <w:tc>
          <w:tcPr>
            <w:tcW w:w="0" w:type="auto"/>
            <w:hideMark/>
          </w:tcPr>
          <w:p w14:paraId="4F63E34C"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Modernising Agricultural Value Chains project</w:t>
            </w:r>
          </w:p>
        </w:tc>
        <w:tc>
          <w:tcPr>
            <w:tcW w:w="0" w:type="auto"/>
            <w:hideMark/>
          </w:tcPr>
          <w:p w14:paraId="4613B559"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International Finance Corporation; Global Agriculture and Food Security Program</w:t>
            </w:r>
          </w:p>
        </w:tc>
        <w:tc>
          <w:tcPr>
            <w:tcW w:w="0" w:type="auto"/>
            <w:hideMark/>
          </w:tcPr>
          <w:p w14:paraId="7D20EFE5"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Cross-sector, national</w:t>
            </w:r>
          </w:p>
        </w:tc>
        <w:tc>
          <w:tcPr>
            <w:tcW w:w="0" w:type="auto"/>
            <w:hideMark/>
          </w:tcPr>
          <w:p w14:paraId="73A018DA"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Access-to-finance facility via commercial banking partner</w:t>
            </w:r>
          </w:p>
        </w:tc>
      </w:tr>
      <w:tr w:rsidR="00DF0D1B" w:rsidRPr="00DF0D1B" w14:paraId="3D0D2899" w14:textId="77777777" w:rsidTr="00436ABF">
        <w:tc>
          <w:tcPr>
            <w:tcW w:w="0" w:type="auto"/>
            <w:hideMark/>
          </w:tcPr>
          <w:p w14:paraId="2371DDF6"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Agricultural Value Chain Competitiveness Study</w:t>
            </w:r>
          </w:p>
        </w:tc>
        <w:tc>
          <w:tcPr>
            <w:tcW w:w="0" w:type="auto"/>
            <w:hideMark/>
          </w:tcPr>
          <w:p w14:paraId="625CE41B"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World Bank</w:t>
            </w:r>
          </w:p>
        </w:tc>
        <w:tc>
          <w:tcPr>
            <w:tcW w:w="0" w:type="auto"/>
            <w:hideMark/>
          </w:tcPr>
          <w:p w14:paraId="20A7D36D"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Cassava, cotton, maize, palm oil, plantain, poultry</w:t>
            </w:r>
          </w:p>
        </w:tc>
        <w:tc>
          <w:tcPr>
            <w:tcW w:w="0" w:type="auto"/>
            <w:hideMark/>
          </w:tcPr>
          <w:p w14:paraId="6166BA7D"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Diagnostic and policy advisory financing</w:t>
            </w:r>
          </w:p>
        </w:tc>
      </w:tr>
      <w:tr w:rsidR="00DF0D1B" w:rsidRPr="00DF0D1B" w14:paraId="100CFF93" w14:textId="77777777" w:rsidTr="00436ABF">
        <w:tc>
          <w:tcPr>
            <w:tcW w:w="0" w:type="auto"/>
            <w:hideMark/>
          </w:tcPr>
          <w:p w14:paraId="3CDB5198"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Certification and sustainability </w:t>
            </w:r>
            <w:r w:rsidRPr="00DF0D1B">
              <w:rPr>
                <w:rFonts w:ascii="Times New Roman" w:eastAsia="Times New Roman" w:hAnsi="Times New Roman" w:cs="Times New Roman"/>
                <w:sz w:val="24"/>
                <w:szCs w:val="24"/>
                <w:lang w:eastAsia="en-GB"/>
              </w:rPr>
              <w:lastRenderedPageBreak/>
              <w:t>transition support</w:t>
            </w:r>
          </w:p>
        </w:tc>
        <w:tc>
          <w:tcPr>
            <w:tcW w:w="0" w:type="auto"/>
            <w:hideMark/>
          </w:tcPr>
          <w:p w14:paraId="44D61028"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 xml:space="preserve">Multiple donors via technical assistance </w:t>
            </w:r>
            <w:r w:rsidRPr="00DF0D1B">
              <w:rPr>
                <w:rFonts w:ascii="Times New Roman" w:eastAsia="Times New Roman" w:hAnsi="Times New Roman" w:cs="Times New Roman"/>
                <w:sz w:val="24"/>
                <w:szCs w:val="24"/>
                <w:lang w:eastAsia="en-GB"/>
              </w:rPr>
              <w:lastRenderedPageBreak/>
              <w:t>projects</w:t>
            </w:r>
          </w:p>
        </w:tc>
        <w:tc>
          <w:tcPr>
            <w:tcW w:w="0" w:type="auto"/>
            <w:hideMark/>
          </w:tcPr>
          <w:p w14:paraId="6336A380"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Cocoa</w:t>
            </w:r>
          </w:p>
        </w:tc>
        <w:tc>
          <w:tcPr>
            <w:tcW w:w="0" w:type="auto"/>
            <w:hideMark/>
          </w:tcPr>
          <w:p w14:paraId="422B3E97"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Grant-financed technical assistance </w:t>
            </w:r>
            <w:r w:rsidRPr="00DF0D1B">
              <w:rPr>
                <w:rFonts w:ascii="Times New Roman" w:eastAsia="Times New Roman" w:hAnsi="Times New Roman" w:cs="Times New Roman"/>
                <w:sz w:val="24"/>
                <w:szCs w:val="24"/>
                <w:lang w:eastAsia="en-GB"/>
              </w:rPr>
              <w:lastRenderedPageBreak/>
              <w:t>and certification facilitation</w:t>
            </w:r>
          </w:p>
        </w:tc>
      </w:tr>
    </w:tbl>
    <w:p w14:paraId="5DB56046"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i/>
          <w:iCs/>
          <w:sz w:val="24"/>
          <w:szCs w:val="24"/>
          <w:lang w:eastAsia="en-GB"/>
        </w:rPr>
        <w:lastRenderedPageBreak/>
        <w:t xml:space="preserve">Sources: African Development Bank (2022); World Bank (2008); </w:t>
      </w:r>
      <w:proofErr w:type="spellStart"/>
      <w:r w:rsidRPr="00DF0D1B">
        <w:rPr>
          <w:rFonts w:ascii="Times New Roman" w:eastAsia="Times New Roman" w:hAnsi="Times New Roman" w:cs="Times New Roman"/>
          <w:i/>
          <w:iCs/>
          <w:sz w:val="24"/>
          <w:szCs w:val="24"/>
          <w:lang w:eastAsia="en-GB"/>
        </w:rPr>
        <w:t>Ngoucheme</w:t>
      </w:r>
      <w:proofErr w:type="spellEnd"/>
      <w:r w:rsidRPr="00DF0D1B">
        <w:rPr>
          <w:rFonts w:ascii="Times New Roman" w:eastAsia="Times New Roman" w:hAnsi="Times New Roman" w:cs="Times New Roman"/>
          <w:i/>
          <w:iCs/>
          <w:sz w:val="24"/>
          <w:szCs w:val="24"/>
          <w:lang w:eastAsia="en-GB"/>
        </w:rPr>
        <w:t xml:space="preserve"> et al. (2023); Vogel et al. (2020).</w:t>
      </w:r>
    </w:p>
    <w:p w14:paraId="123B4E46" w14:textId="77777777" w:rsidR="00DF0D1B" w:rsidRPr="00DF0D1B" w:rsidRDefault="00DF0D1B" w:rsidP="00947E7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5. Commodity Value Chain Case Studies</w:t>
      </w:r>
    </w:p>
    <w:p w14:paraId="08369C0A"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5.1 Cocoa</w:t>
      </w:r>
    </w:p>
    <w:p w14:paraId="320CDF7C"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Cocoa remains Cameroon's most extensively studied export value chain and, alongside crude petroleum, one of its principal sources of foreign exchange. Production is dominated by smallholders operating relatively small landholdings, and technical efficiency analysis of Cameroonian cocoa production finds the sector characterised by persistent productivity constraints linked to limited access to appropriate technical skills and financial resources, factors that value chain interventions targeting credit access and extension provision are specifically designed to address (Mukete et al., 2018). Comparative evidence from Ghana's cocoa sector reinforces this point: producer groups that facilitate training, extension and input access have been shown to raise both the technical efficiency and productivity of member farmers relative to non-members, suggesting that farmer organisation, rather than certification or credit access alone, is a meaningful lever for closing the efficiency gap that limits Cameroonian cocoa incomes (Donkor et al., 2023). Sector governance has grown increasingly complex as certification schemes, including Rainforest Alliance and Fairtrade standards, have been layered onto customary land tenure arrangements in which cocoa orchards and interplanted fruit trees are frequently inherited separately by different family members, a customary practice that can materially constrain incentives for tree-planting investment unless accompanied by land tenure reforms that ensure fair revenue sharing between orchard and tree right-holders (Jaza </w:t>
      </w:r>
      <w:proofErr w:type="spellStart"/>
      <w:r w:rsidRPr="00DF0D1B">
        <w:rPr>
          <w:rFonts w:ascii="Times New Roman" w:eastAsia="Times New Roman" w:hAnsi="Times New Roman" w:cs="Times New Roman"/>
          <w:sz w:val="24"/>
          <w:szCs w:val="24"/>
          <w:lang w:eastAsia="en-GB"/>
        </w:rPr>
        <w:t>Folefack</w:t>
      </w:r>
      <w:proofErr w:type="spellEnd"/>
      <w:r w:rsidRPr="00DF0D1B">
        <w:rPr>
          <w:rFonts w:ascii="Times New Roman" w:eastAsia="Times New Roman" w:hAnsi="Times New Roman" w:cs="Times New Roman"/>
          <w:sz w:val="24"/>
          <w:szCs w:val="24"/>
          <w:lang w:eastAsia="en-GB"/>
        </w:rPr>
        <w:t xml:space="preserve"> &amp; Darr, 2021). The environmental dimension of cocoa expansion has attracted growing scrutiny: recent remote-sensing and ground-validated analysis around the Mbam and Kim administrative division found increasing small-scale cocoa-driven deforestation, with a substantial share of observed cocoa farms mapped as former forest, even as national policy simultaneously promotes both yield intensification and zero-deforestation commitments that are, in practice, difficult to reconcile within existing farming systems (Ingram et al., 2025).</w:t>
      </w:r>
    </w:p>
    <w:p w14:paraId="32E66633"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5.2 Cassava</w:t>
      </w:r>
    </w:p>
    <w:p w14:paraId="4BEB7750"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Cassava functions as both a food security staple and an increasingly commercialised value chain commodity. Market structure analysis employing parametric and non-parametric techniques across cassava markets in the Centre, East and South regions found high market concentration, with Gini coefficients between 0.76 and 0.79 for wholesalers and retailers respectively, indicating an oligopolistic structure in which a relatively small number of intermediaries capture disproportionate bargaining power relative to smallholder producers, even as average retailer marketing efficiency was measured at only 14.2 per cent (Mbarga </w:t>
      </w:r>
      <w:proofErr w:type="spellStart"/>
      <w:r w:rsidRPr="00DF0D1B">
        <w:rPr>
          <w:rFonts w:ascii="Times New Roman" w:eastAsia="Times New Roman" w:hAnsi="Times New Roman" w:cs="Times New Roman"/>
          <w:sz w:val="24"/>
          <w:szCs w:val="24"/>
          <w:lang w:eastAsia="en-GB"/>
        </w:rPr>
        <w:t>Evouna</w:t>
      </w:r>
      <w:proofErr w:type="spellEnd"/>
      <w:r w:rsidRPr="00DF0D1B">
        <w:rPr>
          <w:rFonts w:ascii="Times New Roman" w:eastAsia="Times New Roman" w:hAnsi="Times New Roman" w:cs="Times New Roman"/>
          <w:sz w:val="24"/>
          <w:szCs w:val="24"/>
          <w:lang w:eastAsia="en-GB"/>
        </w:rPr>
        <w:t xml:space="preserve"> et al., 2024). This market structure evidence is consistent with the broader value chain governance literature's expectation that, absent deliberate intervention, agricultural commodity chains in developing countries tend toward buyer-driven or captive governance forms that constrain the upgrading opportunities available to primary producers (Humphrey &amp; Schmitz, 2002). Agronomic research on cassava-based farming systems in southern Cameroon further demonstrates that serious soil fertility depletion accompanies intensive </w:t>
      </w:r>
      <w:r w:rsidRPr="00DF0D1B">
        <w:rPr>
          <w:rFonts w:ascii="Times New Roman" w:eastAsia="Times New Roman" w:hAnsi="Times New Roman" w:cs="Times New Roman"/>
          <w:sz w:val="24"/>
          <w:szCs w:val="24"/>
          <w:lang w:eastAsia="en-GB"/>
        </w:rPr>
        <w:lastRenderedPageBreak/>
        <w:t>cassava cultivation, with organic manure and combined organic-inorganic fertiliser management shown to improve both soil physical properties and the economic returns to cultivation, suggesting that agroecological soil management practices offer a technically feasible complement to market-access interventions within this value chain (Bilong et al., 2022a, 2022b).</w:t>
      </w:r>
    </w:p>
    <w:p w14:paraId="234D082A"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5.3 Oil palm</w:t>
      </w:r>
    </w:p>
    <w:p w14:paraId="5D3EED67"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Oil palm occupies a distinctive position within Cameroon's agricultural value chains as a commodity historically associated with large-scale agro-industrial estates that has, since the late 1970s, increasingly incorporated smallholder </w:t>
      </w:r>
      <w:proofErr w:type="spellStart"/>
      <w:r w:rsidRPr="00DF0D1B">
        <w:rPr>
          <w:rFonts w:ascii="Times New Roman" w:eastAsia="Times New Roman" w:hAnsi="Times New Roman" w:cs="Times New Roman"/>
          <w:sz w:val="24"/>
          <w:szCs w:val="24"/>
          <w:lang w:eastAsia="en-GB"/>
        </w:rPr>
        <w:t>outgrowers</w:t>
      </w:r>
      <w:proofErr w:type="spellEnd"/>
      <w:r w:rsidRPr="00DF0D1B">
        <w:rPr>
          <w:rFonts w:ascii="Times New Roman" w:eastAsia="Times New Roman" w:hAnsi="Times New Roman" w:cs="Times New Roman"/>
          <w:sz w:val="24"/>
          <w:szCs w:val="24"/>
          <w:lang w:eastAsia="en-GB"/>
        </w:rPr>
        <w:t xml:space="preserve"> through nucleus-estate schemes such as those established by the Cameroon Development Corporation and its successor institutions. Nucleus-estate smallholder models substantially improved participating farmers' access to technical assistance, planting material and subsidised inputs during their operational period, though such schemes have historically proven financially and institutionally fragile, and have tended to benefit wealthier, already land-endowed farmers over marginalised groups including youth and women. Contemporary smallholder oil palm production remains dominated by adult males, a pattern that reflects the land-intensive character of plantation establishment interacting with customary land tenure systems that favour male inheritance of land rights. Environmental assessment using satellite-based deforestation monitoring found that oil palm expansion in Southwest Cameroon has been closely associated with the proliferation of informal, small-scale palm oil mills operating outside the regulatory oversight applied to large agro-industrial concessions, generating deforestation impacts that are more diffuse and harder to monitor than those attributable to large plantation concessions alone (Ordway et al., 2019). More recent analysis of sustainable production and circular waste management frameworks for the smallholder oil palm sector identifies substantial potential to reduce sector-wide emissions and improve farmer livelihoods through integrated approaches combining good agricultural practice, diversified cropping and valorisation of palm oil mill effluent and other processing residues into organic fertiliser, biogas and </w:t>
      </w:r>
      <w:proofErr w:type="spellStart"/>
      <w:r w:rsidRPr="00DF0D1B">
        <w:rPr>
          <w:rFonts w:ascii="Times New Roman" w:eastAsia="Times New Roman" w:hAnsi="Times New Roman" w:cs="Times New Roman"/>
          <w:sz w:val="24"/>
          <w:szCs w:val="24"/>
          <w:lang w:eastAsia="en-GB"/>
        </w:rPr>
        <w:t>biocomposite</w:t>
      </w:r>
      <w:proofErr w:type="spellEnd"/>
      <w:r w:rsidRPr="00DF0D1B">
        <w:rPr>
          <w:rFonts w:ascii="Times New Roman" w:eastAsia="Times New Roman" w:hAnsi="Times New Roman" w:cs="Times New Roman"/>
          <w:sz w:val="24"/>
          <w:szCs w:val="24"/>
          <w:lang w:eastAsia="en-GB"/>
        </w:rPr>
        <w:t xml:space="preserve"> products, though realising this potential is contingent on strengthened certification infrastructure and targeted smallholder financing that remains only partially in place (</w:t>
      </w:r>
      <w:proofErr w:type="spellStart"/>
      <w:r w:rsidRPr="00DF0D1B">
        <w:rPr>
          <w:rFonts w:ascii="Times New Roman" w:eastAsia="Times New Roman" w:hAnsi="Times New Roman" w:cs="Times New Roman"/>
          <w:sz w:val="24"/>
          <w:szCs w:val="24"/>
          <w:lang w:eastAsia="en-GB"/>
        </w:rPr>
        <w:t>Ayompe</w:t>
      </w:r>
      <w:proofErr w:type="spellEnd"/>
      <w:r w:rsidRPr="00DF0D1B">
        <w:rPr>
          <w:rFonts w:ascii="Times New Roman" w:eastAsia="Times New Roman" w:hAnsi="Times New Roman" w:cs="Times New Roman"/>
          <w:sz w:val="24"/>
          <w:szCs w:val="24"/>
          <w:lang w:eastAsia="en-GB"/>
        </w:rPr>
        <w:t xml:space="preserve"> et al., 2025).</w:t>
      </w:r>
    </w:p>
    <w:p w14:paraId="52266075"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5.4 Other commodities: cotton, maize, vegetables and horticulture</w:t>
      </w:r>
    </w:p>
    <w:p w14:paraId="254F52C1"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Beyond the three principal export and staple commodities examined above, Cameroon's agricultural value chain literature documents a broader set of crops whose value chains illustrate common structural themes. Vegetable production, including carrot cultivation increasingly practised in the western highlands, faces production and marketing constraints related to input access, extension coverage and post-harvest handling that mirror those documented in the cassava and cocoa sectors, even as such horticultural chains have historically received comparatively less donor attention than export commodities (Djoufack et al., 2024). The cotton sector, subject to a protracted and still unresolved privatisation process following structural adjustment, illustrates the institutional legacy costs of incomplete liberalisation, in which legal and governance uncertainties have constrained the emergence of the competitive, well-capitalised private sector that adjustment programmes anticipated (Benjamin, 1996). Comparative evidence from youth participation in agricultural value chains in neighbouring South Africa, while not Cameroon-specific, offers a useful benchmark demonstrating that limited access to information, land and start-up finance systematically constrains youth engagement across value chains throughout the region, a constraint that is </w:t>
      </w:r>
      <w:r w:rsidRPr="00DF0D1B">
        <w:rPr>
          <w:rFonts w:ascii="Times New Roman" w:eastAsia="Times New Roman" w:hAnsi="Times New Roman" w:cs="Times New Roman"/>
          <w:sz w:val="24"/>
          <w:szCs w:val="24"/>
          <w:lang w:eastAsia="en-GB"/>
        </w:rPr>
        <w:lastRenderedPageBreak/>
        <w:t>corroborated within Cameroon by donor programme design that increasingly, if still insufficiently, targets youth entrepreneurship as an explicit beneficiary category (Geza et al., 2023). Table 4 draws these commodity case studies together, comparing their governance structure, principal constraints and documented environmental pressures.</w:t>
      </w:r>
    </w:p>
    <w:p w14:paraId="6F267F51"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b/>
          <w:bCs/>
          <w:sz w:val="24"/>
          <w:szCs w:val="24"/>
          <w:lang w:eastAsia="en-GB"/>
        </w:rPr>
        <w:t>Table 4. Comparative overview of selected Cameroonian commodity value chains</w:t>
      </w:r>
    </w:p>
    <w:tbl>
      <w:tblPr>
        <w:tblStyle w:val="TableGrid"/>
        <w:tblW w:w="0" w:type="auto"/>
        <w:tblLook w:val="04A0" w:firstRow="1" w:lastRow="0" w:firstColumn="1" w:lastColumn="0" w:noHBand="0" w:noVBand="1"/>
      </w:tblPr>
      <w:tblGrid>
        <w:gridCol w:w="2325"/>
        <w:gridCol w:w="1390"/>
        <w:gridCol w:w="2037"/>
        <w:gridCol w:w="1876"/>
        <w:gridCol w:w="1614"/>
      </w:tblGrid>
      <w:tr w:rsidR="00DF0D1B" w:rsidRPr="00DF0D1B" w14:paraId="5952B4C8" w14:textId="77777777" w:rsidTr="00436ABF">
        <w:tc>
          <w:tcPr>
            <w:tcW w:w="0" w:type="auto"/>
            <w:hideMark/>
          </w:tcPr>
          <w:p w14:paraId="32EF3206"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Commodity</w:t>
            </w:r>
          </w:p>
        </w:tc>
        <w:tc>
          <w:tcPr>
            <w:tcW w:w="0" w:type="auto"/>
            <w:hideMark/>
          </w:tcPr>
          <w:p w14:paraId="1D5EE3BA"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Scale indicator</w:t>
            </w:r>
          </w:p>
        </w:tc>
        <w:tc>
          <w:tcPr>
            <w:tcW w:w="0" w:type="auto"/>
            <w:hideMark/>
          </w:tcPr>
          <w:p w14:paraId="5C531E5A"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Dominant governance structure</w:t>
            </w:r>
          </w:p>
        </w:tc>
        <w:tc>
          <w:tcPr>
            <w:tcW w:w="0" w:type="auto"/>
            <w:hideMark/>
          </w:tcPr>
          <w:p w14:paraId="7BC03CFB"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Principal constraint</w:t>
            </w:r>
          </w:p>
        </w:tc>
        <w:tc>
          <w:tcPr>
            <w:tcW w:w="0" w:type="auto"/>
            <w:hideMark/>
          </w:tcPr>
          <w:p w14:paraId="18F064AB"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Documented environmental pressure</w:t>
            </w:r>
          </w:p>
        </w:tc>
      </w:tr>
      <w:tr w:rsidR="00DF0D1B" w:rsidRPr="00DF0D1B" w14:paraId="29D2D186" w14:textId="77777777" w:rsidTr="00436ABF">
        <w:tc>
          <w:tcPr>
            <w:tcW w:w="0" w:type="auto"/>
            <w:hideMark/>
          </w:tcPr>
          <w:p w14:paraId="54EE537E"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Cocoa</w:t>
            </w:r>
          </w:p>
        </w:tc>
        <w:tc>
          <w:tcPr>
            <w:tcW w:w="0" w:type="auto"/>
            <w:hideMark/>
          </w:tcPr>
          <w:p w14:paraId="5605E5C2"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Smallholder-dominated production</w:t>
            </w:r>
          </w:p>
        </w:tc>
        <w:tc>
          <w:tcPr>
            <w:tcW w:w="0" w:type="auto"/>
            <w:hideMark/>
          </w:tcPr>
          <w:p w14:paraId="3B4C2D47"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Buyer-driven export chain; certification-mediated</w:t>
            </w:r>
          </w:p>
        </w:tc>
        <w:tc>
          <w:tcPr>
            <w:tcW w:w="0" w:type="auto"/>
            <w:hideMark/>
          </w:tcPr>
          <w:p w14:paraId="7471C28C"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Ageing tree stock; limited technical/financial access</w:t>
            </w:r>
          </w:p>
        </w:tc>
        <w:tc>
          <w:tcPr>
            <w:tcW w:w="0" w:type="auto"/>
            <w:hideMark/>
          </w:tcPr>
          <w:p w14:paraId="4B41792F"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Small-scale, cumulative deforestation</w:t>
            </w:r>
          </w:p>
        </w:tc>
      </w:tr>
      <w:tr w:rsidR="00DF0D1B" w:rsidRPr="00DF0D1B" w14:paraId="67F65ECC" w14:textId="77777777" w:rsidTr="00436ABF">
        <w:tc>
          <w:tcPr>
            <w:tcW w:w="0" w:type="auto"/>
            <w:hideMark/>
          </w:tcPr>
          <w:p w14:paraId="17BCC62B"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Cassava</w:t>
            </w:r>
          </w:p>
        </w:tc>
        <w:tc>
          <w:tcPr>
            <w:tcW w:w="0" w:type="auto"/>
            <w:hideMark/>
          </w:tcPr>
          <w:p w14:paraId="400B13D9"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Major national staple crop</w:t>
            </w:r>
          </w:p>
        </w:tc>
        <w:tc>
          <w:tcPr>
            <w:tcW w:w="0" w:type="auto"/>
            <w:hideMark/>
          </w:tcPr>
          <w:p w14:paraId="04053677"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Oligopolistic wholesale/retail intermediation</w:t>
            </w:r>
          </w:p>
        </w:tc>
        <w:tc>
          <w:tcPr>
            <w:tcW w:w="0" w:type="auto"/>
            <w:hideMark/>
          </w:tcPr>
          <w:p w14:paraId="57072369"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Market concentration; low retailer marketing efficiency</w:t>
            </w:r>
          </w:p>
        </w:tc>
        <w:tc>
          <w:tcPr>
            <w:tcW w:w="0" w:type="auto"/>
            <w:hideMark/>
          </w:tcPr>
          <w:p w14:paraId="47E6451E"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Soil fertility depletion under intensive cultivation</w:t>
            </w:r>
          </w:p>
        </w:tc>
      </w:tr>
      <w:tr w:rsidR="00DF0D1B" w:rsidRPr="00DF0D1B" w14:paraId="6574BC5B" w14:textId="77777777" w:rsidTr="00436ABF">
        <w:tc>
          <w:tcPr>
            <w:tcW w:w="0" w:type="auto"/>
            <w:hideMark/>
          </w:tcPr>
          <w:p w14:paraId="719F9C36"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Oil palm</w:t>
            </w:r>
          </w:p>
        </w:tc>
        <w:tc>
          <w:tcPr>
            <w:tcW w:w="0" w:type="auto"/>
            <w:hideMark/>
          </w:tcPr>
          <w:p w14:paraId="1338B73C"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Mixed large agro-industrial and smallholder nucleus-estate</w:t>
            </w:r>
          </w:p>
        </w:tc>
        <w:tc>
          <w:tcPr>
            <w:tcW w:w="0" w:type="auto"/>
            <w:hideMark/>
          </w:tcPr>
          <w:p w14:paraId="01DA36C4"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Captive/hierarchical (large estates); informal milling (smallholder)</w:t>
            </w:r>
          </w:p>
        </w:tc>
        <w:tc>
          <w:tcPr>
            <w:tcW w:w="0" w:type="auto"/>
            <w:hideMark/>
          </w:tcPr>
          <w:p w14:paraId="2B73B8FF"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Male-dominated land access; input cost</w:t>
            </w:r>
          </w:p>
        </w:tc>
        <w:tc>
          <w:tcPr>
            <w:tcW w:w="0" w:type="auto"/>
            <w:hideMark/>
          </w:tcPr>
          <w:p w14:paraId="118CE688"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Deforestation linked to informal mill proliferation</w:t>
            </w:r>
          </w:p>
        </w:tc>
      </w:tr>
      <w:tr w:rsidR="00DF0D1B" w:rsidRPr="00DF0D1B" w14:paraId="094100FC" w14:textId="77777777" w:rsidTr="00436ABF">
        <w:tc>
          <w:tcPr>
            <w:tcW w:w="0" w:type="auto"/>
            <w:hideMark/>
          </w:tcPr>
          <w:p w14:paraId="4A6ADDCD"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Vegetables/horticulture</w:t>
            </w:r>
          </w:p>
        </w:tc>
        <w:tc>
          <w:tcPr>
            <w:tcW w:w="0" w:type="auto"/>
            <w:hideMark/>
          </w:tcPr>
          <w:p w14:paraId="00CBED26"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Growing, under-documented</w:t>
            </w:r>
          </w:p>
        </w:tc>
        <w:tc>
          <w:tcPr>
            <w:tcW w:w="0" w:type="auto"/>
            <w:hideMark/>
          </w:tcPr>
          <w:p w14:paraId="2A557EF5"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Fragmented, largely domestic market</w:t>
            </w:r>
          </w:p>
        </w:tc>
        <w:tc>
          <w:tcPr>
            <w:tcW w:w="0" w:type="auto"/>
            <w:hideMark/>
          </w:tcPr>
          <w:p w14:paraId="2CF440AB"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Extension and post-harvest infrastructure gaps</w:t>
            </w:r>
          </w:p>
        </w:tc>
        <w:tc>
          <w:tcPr>
            <w:tcW w:w="0" w:type="auto"/>
            <w:hideMark/>
          </w:tcPr>
          <w:p w14:paraId="31619FEC"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Localised soil and water pressures</w:t>
            </w:r>
          </w:p>
        </w:tc>
      </w:tr>
      <w:tr w:rsidR="00DF0D1B" w:rsidRPr="00DF0D1B" w14:paraId="156CE8F1" w14:textId="77777777" w:rsidTr="00436ABF">
        <w:tc>
          <w:tcPr>
            <w:tcW w:w="0" w:type="auto"/>
            <w:hideMark/>
          </w:tcPr>
          <w:p w14:paraId="1DCF7005"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Cotton</w:t>
            </w:r>
          </w:p>
        </w:tc>
        <w:tc>
          <w:tcPr>
            <w:tcW w:w="0" w:type="auto"/>
            <w:hideMark/>
          </w:tcPr>
          <w:p w14:paraId="3A092EF2"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Declining post-privatisation</w:t>
            </w:r>
          </w:p>
        </w:tc>
        <w:tc>
          <w:tcPr>
            <w:tcW w:w="0" w:type="auto"/>
            <w:hideMark/>
          </w:tcPr>
          <w:p w14:paraId="0D5AC1D0"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Incomplete privatisation; legal uncertainty</w:t>
            </w:r>
          </w:p>
        </w:tc>
        <w:tc>
          <w:tcPr>
            <w:tcW w:w="0" w:type="auto"/>
            <w:hideMark/>
          </w:tcPr>
          <w:p w14:paraId="6DC9F3B8"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Institutional and governance uncertainty</w:t>
            </w:r>
          </w:p>
        </w:tc>
        <w:tc>
          <w:tcPr>
            <w:tcW w:w="0" w:type="auto"/>
            <w:hideMark/>
          </w:tcPr>
          <w:p w14:paraId="7797CBA8"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Limited recent documentation</w:t>
            </w:r>
          </w:p>
        </w:tc>
      </w:tr>
    </w:tbl>
    <w:p w14:paraId="0E31113D"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i/>
          <w:iCs/>
          <w:sz w:val="24"/>
          <w:szCs w:val="24"/>
          <w:lang w:eastAsia="en-GB"/>
        </w:rPr>
        <w:t xml:space="preserve">Sources: Mukete et al. (2018); Donkor et al. (2023); Ingram et al. (2025); Mbarga </w:t>
      </w:r>
      <w:proofErr w:type="spellStart"/>
      <w:r w:rsidRPr="00DF0D1B">
        <w:rPr>
          <w:rFonts w:ascii="Times New Roman" w:eastAsia="Times New Roman" w:hAnsi="Times New Roman" w:cs="Times New Roman"/>
          <w:i/>
          <w:iCs/>
          <w:sz w:val="24"/>
          <w:szCs w:val="24"/>
          <w:lang w:eastAsia="en-GB"/>
        </w:rPr>
        <w:t>Evouna</w:t>
      </w:r>
      <w:proofErr w:type="spellEnd"/>
      <w:r w:rsidRPr="00DF0D1B">
        <w:rPr>
          <w:rFonts w:ascii="Times New Roman" w:eastAsia="Times New Roman" w:hAnsi="Times New Roman" w:cs="Times New Roman"/>
          <w:i/>
          <w:iCs/>
          <w:sz w:val="24"/>
          <w:szCs w:val="24"/>
          <w:lang w:eastAsia="en-GB"/>
        </w:rPr>
        <w:t xml:space="preserve"> et al. (2024); Bilong et al. (2022a, 2022b); Ordway et al. (2019); </w:t>
      </w:r>
      <w:proofErr w:type="spellStart"/>
      <w:r w:rsidRPr="00DF0D1B">
        <w:rPr>
          <w:rFonts w:ascii="Times New Roman" w:eastAsia="Times New Roman" w:hAnsi="Times New Roman" w:cs="Times New Roman"/>
          <w:i/>
          <w:iCs/>
          <w:sz w:val="24"/>
          <w:szCs w:val="24"/>
          <w:lang w:eastAsia="en-GB"/>
        </w:rPr>
        <w:t>Ayompe</w:t>
      </w:r>
      <w:proofErr w:type="spellEnd"/>
      <w:r w:rsidRPr="00DF0D1B">
        <w:rPr>
          <w:rFonts w:ascii="Times New Roman" w:eastAsia="Times New Roman" w:hAnsi="Times New Roman" w:cs="Times New Roman"/>
          <w:i/>
          <w:iCs/>
          <w:sz w:val="24"/>
          <w:szCs w:val="24"/>
          <w:lang w:eastAsia="en-GB"/>
        </w:rPr>
        <w:t xml:space="preserve"> et al. (2025); Djoufack et al. (2024); Benjamin (1996); Geza et al. (2023).</w:t>
      </w:r>
    </w:p>
    <w:p w14:paraId="0B6F00AB" w14:textId="77777777" w:rsidR="00DF0D1B" w:rsidRPr="00DF0D1B" w:rsidRDefault="00DF0D1B" w:rsidP="00947E7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6. Land Tenure, Gender and Social Dimensions of Value Chain Transformation</w:t>
      </w:r>
    </w:p>
    <w:p w14:paraId="3C7959BE"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6.1 Customary and statutory land tenure as a mediating constraint</w:t>
      </w:r>
    </w:p>
    <w:p w14:paraId="16749BA7"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Land tenure security exerts a pervasive influence on the capacity of Cameroonian smallholders to make the long-horizon investments that value chain upgrading typically requires, from tree crop establishment to soil conservation infrastructure. The coexistence of customary and statutory land tenure systems has generated persistent legal ambiguity that disproportionately disadvantages rural communities relative to well-capitalised agribusiness </w:t>
      </w:r>
      <w:r w:rsidRPr="00DF0D1B">
        <w:rPr>
          <w:rFonts w:ascii="Times New Roman" w:eastAsia="Times New Roman" w:hAnsi="Times New Roman" w:cs="Times New Roman"/>
          <w:sz w:val="24"/>
          <w:szCs w:val="24"/>
          <w:lang w:eastAsia="en-GB"/>
        </w:rPr>
        <w:lastRenderedPageBreak/>
        <w:t xml:space="preserve">investors able to navigate formal land allocation and environmental compliance procedures. This asymmetry has been most sharply documented in cases of large-scale agricultural land acquisition in Southwest Cameroon, where contestation between multinational plantation companies and local communities over land rights has generated sustained political conflict rooted in the developmental state's production of territory in favour of capital-intensive agro-industrial enclaves (Ndi &amp; </w:t>
      </w:r>
      <w:proofErr w:type="spellStart"/>
      <w:r w:rsidRPr="00DF0D1B">
        <w:rPr>
          <w:rFonts w:ascii="Times New Roman" w:eastAsia="Times New Roman" w:hAnsi="Times New Roman" w:cs="Times New Roman"/>
          <w:sz w:val="24"/>
          <w:szCs w:val="24"/>
          <w:lang w:eastAsia="en-GB"/>
        </w:rPr>
        <w:t>Batterbury</w:t>
      </w:r>
      <w:proofErr w:type="spellEnd"/>
      <w:r w:rsidRPr="00DF0D1B">
        <w:rPr>
          <w:rFonts w:ascii="Times New Roman" w:eastAsia="Times New Roman" w:hAnsi="Times New Roman" w:cs="Times New Roman"/>
          <w:sz w:val="24"/>
          <w:szCs w:val="24"/>
          <w:lang w:eastAsia="en-GB"/>
        </w:rPr>
        <w:t xml:space="preserve">, 2017). Even within smallholder-dominated value chains such as cocoa, customary inheritance practices that separate ownership of land from ownership of interplanted trees have been shown to actively discourage tree-planting investment unless accompanied by tenure reforms that more equitably share the resulting revenue between land and tree right-holders (Jaza </w:t>
      </w:r>
      <w:proofErr w:type="spellStart"/>
      <w:r w:rsidRPr="00DF0D1B">
        <w:rPr>
          <w:rFonts w:ascii="Times New Roman" w:eastAsia="Times New Roman" w:hAnsi="Times New Roman" w:cs="Times New Roman"/>
          <w:sz w:val="24"/>
          <w:szCs w:val="24"/>
          <w:lang w:eastAsia="en-GB"/>
        </w:rPr>
        <w:t>Folefack</w:t>
      </w:r>
      <w:proofErr w:type="spellEnd"/>
      <w:r w:rsidRPr="00DF0D1B">
        <w:rPr>
          <w:rFonts w:ascii="Times New Roman" w:eastAsia="Times New Roman" w:hAnsi="Times New Roman" w:cs="Times New Roman"/>
          <w:sz w:val="24"/>
          <w:szCs w:val="24"/>
          <w:lang w:eastAsia="en-GB"/>
        </w:rPr>
        <w:t xml:space="preserve"> &amp; Darr, 2021).</w:t>
      </w:r>
    </w:p>
    <w:p w14:paraId="1284100A"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6.2 Gender dynamics across value chain nodes</w:t>
      </w:r>
    </w:p>
    <w:p w14:paraId="6F681636"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Gender inequality constitutes a second pervasive structural constraint on the distribution of value chain benefits in Cameroon, operating through mechanisms that are broadly consistent with those documented across Sub-Saharan African agriculture more generally. Women contribute the majority of agricultural labour in Cameroon while facing systematically constrained access to land, credit, extension services and decision-making authority over the disposition of agricultural income, patterns rooted in customary land tenure systems that favour male inheritance and in social norms that channel women's participation toward lower-return value chain nodes such as processing and petty trading rather than production or export marketing (Quisumbing et al., 2021). Evidence from women-focused value chain interventions elsewhere in West Africa demonstrates that gender-sensitive project design, encompassing deliberate attention to women's control over processing technology, market access and household decision-making, can meaningfully improve women's income, dietary diversity and empowerment outcomes, though such gains depend on interventions moving beyond simple inclusion targets toward structural attention to the norms and institutions that constrain women's bargaining power (O'Brien et al., 2022). Within Cameroon's oil palm sector specifically, the land-intensive character of plantation establishment interacts with customary tenure systems favouring male land ownership to produce a smallholder sector that remains overwhelmingly male-dominated, a pattern that donor-financed value chain projects targeting female beneficiary quotas have only partially offset given the underlying land access constraint that quota mechanisms alone cannot resolve.</w:t>
      </w:r>
    </w:p>
    <w:p w14:paraId="072919DF"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6.3 Aid, governance and the political economy of agricultural investment</w:t>
      </w:r>
    </w:p>
    <w:p w14:paraId="4ED2240D"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The distributional outcomes of donor-financed value chain investment in Cameroon cannot be fully understood without reference to the broader governance environment within which such investment is allocated and absorbed. Cross-national evidence indicates that the volume and consistency of agricultural aid flows to African states respond significantly to indicators of democratic governance quality, with more open political systems associated with greater long-run donor confidence and correspondingly larger agricultural aid commitments, even as resource-rent dependency, a characteristic feature of Cameroon's oil-endowed economy, can weaken the domestic political incentives to prioritise absorption and effective deployment of that aid toward agricultural productivity objectives (Mfouapon et al., 2024). This governance-conditioned effectiveness dynamic helps to explain why project-level evidence on donor-financed value chain interventions in Cameroon frequently documents partial rather than transformative success: certification and finance-access interventions demonstrably improve outcomes for participating farmers, yet these gains have proven difficult to scale into sector-wide transformation absent complementary reform of the land, credit and market governance </w:t>
      </w:r>
      <w:r w:rsidRPr="00DF0D1B">
        <w:rPr>
          <w:rFonts w:ascii="Times New Roman" w:eastAsia="Times New Roman" w:hAnsi="Times New Roman" w:cs="Times New Roman"/>
          <w:sz w:val="24"/>
          <w:szCs w:val="24"/>
          <w:lang w:eastAsia="en-GB"/>
        </w:rPr>
        <w:lastRenderedPageBreak/>
        <w:t>institutions that continue to constrain smallholder capture of value chain returns (</w:t>
      </w:r>
      <w:proofErr w:type="spellStart"/>
      <w:r w:rsidRPr="00DF0D1B">
        <w:rPr>
          <w:rFonts w:ascii="Times New Roman" w:eastAsia="Times New Roman" w:hAnsi="Times New Roman" w:cs="Times New Roman"/>
          <w:sz w:val="24"/>
          <w:szCs w:val="24"/>
          <w:lang w:eastAsia="en-GB"/>
        </w:rPr>
        <w:t>Ngoucheme</w:t>
      </w:r>
      <w:proofErr w:type="spellEnd"/>
      <w:r w:rsidRPr="00DF0D1B">
        <w:rPr>
          <w:rFonts w:ascii="Times New Roman" w:eastAsia="Times New Roman" w:hAnsi="Times New Roman" w:cs="Times New Roman"/>
          <w:sz w:val="24"/>
          <w:szCs w:val="24"/>
          <w:lang w:eastAsia="en-GB"/>
        </w:rPr>
        <w:t xml:space="preserve"> et al., 2023; Vogel et al., 2020).</w:t>
      </w:r>
    </w:p>
    <w:p w14:paraId="6EBDEEB8" w14:textId="77777777" w:rsidR="00DF0D1B" w:rsidRPr="00DF0D1B" w:rsidRDefault="00DF0D1B" w:rsidP="00947E7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7. Agroecological Resilience and Climate Adaptation</w:t>
      </w:r>
    </w:p>
    <w:p w14:paraId="077C0D8C"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7.1 Agroforestry as a resilience strategy in Cameroonian smallholder systems</w:t>
      </w:r>
    </w:p>
    <w:p w14:paraId="3D205B59" w14:textId="75B6F7C8"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Agroforestry has emerged as the most extensively documented agroecological adaptation strategy among Cameroonian smallholders, reflecting both its compatibility with existing tree-crop-based farming systems and its demonstrated capacity to deliver multiple ecosystem services simultaneously. Household and field survey evidence from the Western Highlands found that smallholder farmers adopt a diverse repertoire of agroforestry practices, categorised into </w:t>
      </w:r>
      <w:proofErr w:type="spellStart"/>
      <w:r w:rsidRPr="00DF0D1B">
        <w:rPr>
          <w:rFonts w:ascii="Times New Roman" w:eastAsia="Times New Roman" w:hAnsi="Times New Roman" w:cs="Times New Roman"/>
          <w:sz w:val="24"/>
          <w:szCs w:val="24"/>
          <w:lang w:eastAsia="en-GB"/>
        </w:rPr>
        <w:t>agrosilvicultural</w:t>
      </w:r>
      <w:proofErr w:type="spellEnd"/>
      <w:r w:rsidRPr="00DF0D1B">
        <w:rPr>
          <w:rFonts w:ascii="Times New Roman" w:eastAsia="Times New Roman" w:hAnsi="Times New Roman" w:cs="Times New Roman"/>
          <w:sz w:val="24"/>
          <w:szCs w:val="24"/>
          <w:lang w:eastAsia="en-GB"/>
        </w:rPr>
        <w:t xml:space="preserve">, </w:t>
      </w:r>
      <w:proofErr w:type="spellStart"/>
      <w:r w:rsidRPr="00DF0D1B">
        <w:rPr>
          <w:rFonts w:ascii="Times New Roman" w:eastAsia="Times New Roman" w:hAnsi="Times New Roman" w:cs="Times New Roman"/>
          <w:sz w:val="24"/>
          <w:szCs w:val="24"/>
          <w:lang w:eastAsia="en-GB"/>
        </w:rPr>
        <w:t>silvopastoral</w:t>
      </w:r>
      <w:proofErr w:type="spellEnd"/>
      <w:r w:rsidRPr="00DF0D1B">
        <w:rPr>
          <w:rFonts w:ascii="Times New Roman" w:eastAsia="Times New Roman" w:hAnsi="Times New Roman" w:cs="Times New Roman"/>
          <w:sz w:val="24"/>
          <w:szCs w:val="24"/>
          <w:lang w:eastAsia="en-GB"/>
        </w:rPr>
        <w:t xml:space="preserve"> and </w:t>
      </w:r>
      <w:proofErr w:type="spellStart"/>
      <w:r w:rsidRPr="00DF0D1B">
        <w:rPr>
          <w:rFonts w:ascii="Times New Roman" w:eastAsia="Times New Roman" w:hAnsi="Times New Roman" w:cs="Times New Roman"/>
          <w:sz w:val="24"/>
          <w:szCs w:val="24"/>
          <w:lang w:eastAsia="en-GB"/>
        </w:rPr>
        <w:t>agrosilvopastoral</w:t>
      </w:r>
      <w:proofErr w:type="spellEnd"/>
      <w:r w:rsidRPr="00DF0D1B">
        <w:rPr>
          <w:rFonts w:ascii="Times New Roman" w:eastAsia="Times New Roman" w:hAnsi="Times New Roman" w:cs="Times New Roman"/>
          <w:sz w:val="24"/>
          <w:szCs w:val="24"/>
          <w:lang w:eastAsia="en-GB"/>
        </w:rPr>
        <w:t xml:space="preserve"> systems, that provide provisioning services including food, fuelwood and building materials alongside regulating services such as erosion control, all of which farmers themselves identify as contributing directly to their resilience against climate variability (</w:t>
      </w:r>
      <w:r w:rsidR="00E379A5" w:rsidRPr="00E379A5">
        <w:rPr>
          <w:rFonts w:ascii="Times New Roman" w:eastAsia="Times New Roman" w:hAnsi="Times New Roman" w:cs="Times New Roman"/>
          <w:sz w:val="24"/>
          <w:szCs w:val="24"/>
          <w:lang w:eastAsia="en-GB"/>
        </w:rPr>
        <w:t>Awazi</w:t>
      </w:r>
      <w:r w:rsidR="00436ABF">
        <w:rPr>
          <w:rFonts w:ascii="Times New Roman" w:eastAsia="Times New Roman" w:hAnsi="Times New Roman" w:cs="Times New Roman"/>
          <w:sz w:val="24"/>
          <w:szCs w:val="24"/>
          <w:lang w:eastAsia="en-GB"/>
        </w:rPr>
        <w:t xml:space="preserve"> et al., 2020</w:t>
      </w:r>
      <w:r w:rsidRPr="00DF0D1B">
        <w:rPr>
          <w:rFonts w:ascii="Times New Roman" w:eastAsia="Times New Roman" w:hAnsi="Times New Roman" w:cs="Times New Roman"/>
          <w:sz w:val="24"/>
          <w:szCs w:val="24"/>
          <w:lang w:eastAsia="en-GB"/>
        </w:rPr>
        <w:t xml:space="preserve">). Complementary analysis of climate-smart practices among Cameroonian smallholders confirms that agroforestry adoption is associated with improved capacity to withstand and adapt to variable rainfall and temperature patterns, though the same research emphasises that supportive policy frameworks, including access to credit and targeted training, remain necessary preconditions for scaling these practices beyond the pioneering farmers who have adopted them largely through informal knowledge transfer (Awazi &amp; Tchamba, </w:t>
      </w:r>
      <w:r w:rsidR="00436ABF" w:rsidRPr="00436ABF">
        <w:rPr>
          <w:rFonts w:ascii="Times New Roman" w:eastAsia="Times New Roman" w:hAnsi="Times New Roman" w:cs="Times New Roman"/>
          <w:sz w:val="24"/>
          <w:szCs w:val="24"/>
          <w:lang w:eastAsia="en-GB"/>
        </w:rPr>
        <w:t>2021</w:t>
      </w:r>
      <w:r w:rsidRPr="00DF0D1B">
        <w:rPr>
          <w:rFonts w:ascii="Times New Roman" w:eastAsia="Times New Roman" w:hAnsi="Times New Roman" w:cs="Times New Roman"/>
          <w:sz w:val="24"/>
          <w:szCs w:val="24"/>
          <w:lang w:eastAsia="en-GB"/>
        </w:rPr>
        <w:t>).</w:t>
      </w:r>
    </w:p>
    <w:p w14:paraId="1D5D349C"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7.2 Climate vulnerability and differentiated adaptive capacity</w:t>
      </w:r>
    </w:p>
    <w:p w14:paraId="1BB7FEE5"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The distribution of climate vulnerability across Cameroon's agroecological zones is markedly uneven, and the adaptive strategies available to smallholders vary correspondingly. Analysis of small farmers' vulnerability to food insecurity under climate change found that the interconnectedness between farmer productivity, climate stress and food security is compounded by the systemic neglect of smallholder-oriented investment amid growing instability in rainfall and temperature patterns, producing what the authors characterise as a vicious circle in which limited adaptive capacity itself constrains the productivity gains that would otherwise support investment in further adaptation (Mbuli et al., 2021). This underlying fragility was further exposed by the COVID-19 pandemic, which disrupted the movement of smallholder farmers, agricultural inputs and food products across Sub-Saharan Africa and measurably worsened food security indicators in several countries including Cameroon, illustrating how climate stress and external shocks can compound one another in already constrained farming systems (</w:t>
      </w:r>
      <w:proofErr w:type="spellStart"/>
      <w:r w:rsidRPr="00DF0D1B">
        <w:rPr>
          <w:rFonts w:ascii="Times New Roman" w:eastAsia="Times New Roman" w:hAnsi="Times New Roman" w:cs="Times New Roman"/>
          <w:sz w:val="24"/>
          <w:szCs w:val="24"/>
          <w:lang w:eastAsia="en-GB"/>
        </w:rPr>
        <w:t>Onyeaka</w:t>
      </w:r>
      <w:proofErr w:type="spellEnd"/>
      <w:r w:rsidRPr="00DF0D1B">
        <w:rPr>
          <w:rFonts w:ascii="Times New Roman" w:eastAsia="Times New Roman" w:hAnsi="Times New Roman" w:cs="Times New Roman"/>
          <w:sz w:val="24"/>
          <w:szCs w:val="24"/>
          <w:lang w:eastAsia="en-GB"/>
        </w:rPr>
        <w:t xml:space="preserve"> et al., 2022). Vulnerability is particularly acute in the semi-arid Far North region, where smallholder farmers face compounding hazards to food security that require locally tailored adaptive responses rather than the generic adaptation packages frequently promoted through national-level programming. The unevenness of adaptive capacity across regions and social groups underscores a broader finding within the resilience literature: that climate adaptation interventions delivered through standard project design frequently fail to account for the differentiated capture of adaptation resources by different categories of farming households, with better-resourced, male-headed households typically better positioned to access and benefit from state- and donor-provided adaptation packages than poorer or female-headed households.</w:t>
      </w:r>
    </w:p>
    <w:p w14:paraId="7CBA4FD5"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7.3 Strength and limits of the current evidence base</w:t>
      </w:r>
    </w:p>
    <w:p w14:paraId="1295AADF" w14:textId="56E0280D"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Much of the Cameroon-specific evidence on agroecological resilience reviewed above rests on farmers' own reported perceptions of the benefits delivered by agroforestry and related practices, gathered through household and field surveys, rather than on quantitative panel data tracking productivity or income outcomes over successive climate shocks (</w:t>
      </w:r>
      <w:r w:rsidR="00E379A5" w:rsidRPr="00E379A5">
        <w:rPr>
          <w:rFonts w:ascii="Times New Roman" w:eastAsia="Times New Roman" w:hAnsi="Times New Roman" w:cs="Times New Roman"/>
          <w:sz w:val="24"/>
          <w:szCs w:val="24"/>
          <w:lang w:eastAsia="en-GB"/>
        </w:rPr>
        <w:t>Awazi</w:t>
      </w:r>
      <w:r w:rsidR="00436ABF">
        <w:rPr>
          <w:rFonts w:ascii="Times New Roman" w:eastAsia="Times New Roman" w:hAnsi="Times New Roman" w:cs="Times New Roman"/>
          <w:sz w:val="24"/>
          <w:szCs w:val="24"/>
          <w:lang w:eastAsia="en-GB"/>
        </w:rPr>
        <w:t xml:space="preserve"> et al., 2020</w:t>
      </w:r>
      <w:r w:rsidRPr="00DF0D1B">
        <w:rPr>
          <w:rFonts w:ascii="Times New Roman" w:eastAsia="Times New Roman" w:hAnsi="Times New Roman" w:cs="Times New Roman"/>
          <w:sz w:val="24"/>
          <w:szCs w:val="24"/>
          <w:lang w:eastAsia="en-GB"/>
        </w:rPr>
        <w:t xml:space="preserve">; Awazi &amp; Tchamba, </w:t>
      </w:r>
      <w:r w:rsidR="00436ABF" w:rsidRPr="00436ABF">
        <w:rPr>
          <w:rFonts w:ascii="Times New Roman" w:eastAsia="Times New Roman" w:hAnsi="Times New Roman" w:cs="Times New Roman"/>
          <w:sz w:val="24"/>
          <w:szCs w:val="24"/>
          <w:lang w:eastAsia="en-GB"/>
        </w:rPr>
        <w:t>2021</w:t>
      </w:r>
      <w:r w:rsidRPr="00DF0D1B">
        <w:rPr>
          <w:rFonts w:ascii="Times New Roman" w:eastAsia="Times New Roman" w:hAnsi="Times New Roman" w:cs="Times New Roman"/>
          <w:sz w:val="24"/>
          <w:szCs w:val="24"/>
          <w:lang w:eastAsia="en-GB"/>
        </w:rPr>
        <w:t>). This is a genuine limitation. Perception-based evidence establishes that farmers value these practices and attribute resilience benefits to them, but it does not, on its own, establish the magnitude of the causal effect that agroforestry or diversified cropping has on measured vulnerability. The Mbuli et al. (2021) finding of a self-reinforcing cycle between low productivity and climate exposure is consistent with the idea that resilience gains from agroecological adoption may take considerable time to materialise and may depend on complementary investments, such as credit access, that are themselves unevenly distributed. A more rigorous evidence base, capable of separating the effect of agroecological practice from the characteristics of farmers already better positioned to adopt it, remains an outstanding requirement for the field, a point taken up further in Section 9.</w:t>
      </w:r>
    </w:p>
    <w:p w14:paraId="12C8F6AB" w14:textId="77777777" w:rsidR="00DF0D1B" w:rsidRPr="00DF0D1B" w:rsidRDefault="00DF0D1B" w:rsidP="00947E7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7.4 Tension between commercial upgrading and ecological sustainability</w:t>
      </w:r>
    </w:p>
    <w:p w14:paraId="42ABC6CD"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A recurring theme across the commodity case studies examined in Section 5 is the underlying tension between the </w:t>
      </w:r>
      <w:proofErr w:type="spellStart"/>
      <w:r w:rsidRPr="00DF0D1B">
        <w:rPr>
          <w:rFonts w:ascii="Times New Roman" w:eastAsia="Times New Roman" w:hAnsi="Times New Roman" w:cs="Times New Roman"/>
          <w:sz w:val="24"/>
          <w:szCs w:val="24"/>
          <w:lang w:eastAsia="en-GB"/>
        </w:rPr>
        <w:t>productivist</w:t>
      </w:r>
      <w:proofErr w:type="spellEnd"/>
      <w:r w:rsidRPr="00DF0D1B">
        <w:rPr>
          <w:rFonts w:ascii="Times New Roman" w:eastAsia="Times New Roman" w:hAnsi="Times New Roman" w:cs="Times New Roman"/>
          <w:sz w:val="24"/>
          <w:szCs w:val="24"/>
          <w:lang w:eastAsia="en-GB"/>
        </w:rPr>
        <w:t xml:space="preserve"> logic embedded in most donor-financed value chain upgrading interventions and the ecological sustainability objectives that increasingly accompany them within the same policy documents. Cocoa sector policy in Cameroon simultaneously promotes yield intensification to raise farmer incomes and state export revenues while also incentivising zero-deforestation production consistent with emerging international regulatory requirements such as the European Union Deforestation Regulation, yet on-ground evidence indicates that these objectives are, in current farming system configurations, difficult to reconcile: farmers pursuing yield intensification through orchard expansion continue to clear forest at a measurable rate even as they do not themselves perceive their practices as constituting deforestation, reflecting a fundamental disjuncture between policy categories and farmers' lived economic incentives (Ingram et al., 2025). A comparable tension characterises the oil palm sector, where the informal milling infrastructure that has expanded to serve smallholder producers has simultaneously improved smallholders' capacity to process and market their crop while also driving deforestation patterns that are more diffuse and harder to regulate than those associated with large concession-holders (Ordway et al., 2019). These findings collectively suggest that agroecological resilience and commercial value chain upgrading are not automatically complementary, and that donor investment strategies premised on the assumption that improved market access alone will incentivise sustainable production may require explicit ecological safeguards, land tenure reform and differentiated support for genuinely low-input agroecological pathways to avoid reproducing the deforestation and resource degradation patterns documented across multiple commodity chains. Table 5 draws together the principal agroecological and climate-resilience practices discussed across this section, indicating their function, main adoption constraint and the relative strength of the supporting evidence.</w:t>
      </w:r>
    </w:p>
    <w:p w14:paraId="52F687A7"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b/>
          <w:bCs/>
          <w:sz w:val="24"/>
          <w:szCs w:val="24"/>
          <w:lang w:eastAsia="en-GB"/>
        </w:rPr>
        <w:t>Table 5. Agroecological and climate-resilience practices in Cameroonian smallholder farming systems</w:t>
      </w:r>
    </w:p>
    <w:tbl>
      <w:tblPr>
        <w:tblStyle w:val="TableGrid"/>
        <w:tblW w:w="0" w:type="auto"/>
        <w:tblLook w:val="04A0" w:firstRow="1" w:lastRow="0" w:firstColumn="1" w:lastColumn="0" w:noHBand="0" w:noVBand="1"/>
      </w:tblPr>
      <w:tblGrid>
        <w:gridCol w:w="2513"/>
        <w:gridCol w:w="2708"/>
        <w:gridCol w:w="2278"/>
        <w:gridCol w:w="1743"/>
      </w:tblGrid>
      <w:tr w:rsidR="00DF0D1B" w:rsidRPr="00DF0D1B" w14:paraId="6F56DBA3" w14:textId="77777777" w:rsidTr="00436ABF">
        <w:tc>
          <w:tcPr>
            <w:tcW w:w="0" w:type="auto"/>
            <w:hideMark/>
          </w:tcPr>
          <w:p w14:paraId="56BF020F"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Practice/strategy</w:t>
            </w:r>
          </w:p>
        </w:tc>
        <w:tc>
          <w:tcPr>
            <w:tcW w:w="0" w:type="auto"/>
            <w:hideMark/>
          </w:tcPr>
          <w:p w14:paraId="78BEE4F8"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Primary ecosystem/resilience function</w:t>
            </w:r>
          </w:p>
        </w:tc>
        <w:tc>
          <w:tcPr>
            <w:tcW w:w="0" w:type="auto"/>
            <w:hideMark/>
          </w:tcPr>
          <w:p w14:paraId="4E62F109"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Principal adoption constraint</w:t>
            </w:r>
          </w:p>
        </w:tc>
        <w:tc>
          <w:tcPr>
            <w:tcW w:w="0" w:type="auto"/>
            <w:hideMark/>
          </w:tcPr>
          <w:p w14:paraId="44C5B252" w14:textId="77777777" w:rsidR="00DF0D1B" w:rsidRPr="00DF0D1B" w:rsidRDefault="00DF0D1B" w:rsidP="00947E76">
            <w:pPr>
              <w:jc w:val="both"/>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Evidence strength</w:t>
            </w:r>
          </w:p>
        </w:tc>
      </w:tr>
      <w:tr w:rsidR="00DF0D1B" w:rsidRPr="00DF0D1B" w14:paraId="28710887" w14:textId="77777777" w:rsidTr="00436ABF">
        <w:tc>
          <w:tcPr>
            <w:tcW w:w="0" w:type="auto"/>
            <w:hideMark/>
          </w:tcPr>
          <w:p w14:paraId="7234F2F9" w14:textId="77777777" w:rsidR="00DF0D1B" w:rsidRPr="00DF0D1B" w:rsidRDefault="00DF0D1B" w:rsidP="00947E76">
            <w:pPr>
              <w:jc w:val="both"/>
              <w:rPr>
                <w:rFonts w:ascii="Times New Roman" w:eastAsia="Times New Roman" w:hAnsi="Times New Roman" w:cs="Times New Roman"/>
                <w:sz w:val="24"/>
                <w:szCs w:val="24"/>
                <w:lang w:eastAsia="en-GB"/>
              </w:rPr>
            </w:pPr>
            <w:proofErr w:type="spellStart"/>
            <w:r w:rsidRPr="00DF0D1B">
              <w:rPr>
                <w:rFonts w:ascii="Times New Roman" w:eastAsia="Times New Roman" w:hAnsi="Times New Roman" w:cs="Times New Roman"/>
                <w:sz w:val="24"/>
                <w:szCs w:val="24"/>
                <w:lang w:eastAsia="en-GB"/>
              </w:rPr>
              <w:t>Agrosilvicultural</w:t>
            </w:r>
            <w:proofErr w:type="spellEnd"/>
            <w:r w:rsidRPr="00DF0D1B">
              <w:rPr>
                <w:rFonts w:ascii="Times New Roman" w:eastAsia="Times New Roman" w:hAnsi="Times New Roman" w:cs="Times New Roman"/>
                <w:sz w:val="24"/>
                <w:szCs w:val="24"/>
                <w:lang w:eastAsia="en-GB"/>
              </w:rPr>
              <w:t xml:space="preserve"> and </w:t>
            </w:r>
            <w:proofErr w:type="spellStart"/>
            <w:r w:rsidRPr="00DF0D1B">
              <w:rPr>
                <w:rFonts w:ascii="Times New Roman" w:eastAsia="Times New Roman" w:hAnsi="Times New Roman" w:cs="Times New Roman"/>
                <w:sz w:val="24"/>
                <w:szCs w:val="24"/>
                <w:lang w:eastAsia="en-GB"/>
              </w:rPr>
              <w:lastRenderedPageBreak/>
              <w:t>silvopastoral</w:t>
            </w:r>
            <w:proofErr w:type="spellEnd"/>
            <w:r w:rsidRPr="00DF0D1B">
              <w:rPr>
                <w:rFonts w:ascii="Times New Roman" w:eastAsia="Times New Roman" w:hAnsi="Times New Roman" w:cs="Times New Roman"/>
                <w:sz w:val="24"/>
                <w:szCs w:val="24"/>
                <w:lang w:eastAsia="en-GB"/>
              </w:rPr>
              <w:t xml:space="preserve"> agroforestry</w:t>
            </w:r>
          </w:p>
        </w:tc>
        <w:tc>
          <w:tcPr>
            <w:tcW w:w="0" w:type="auto"/>
            <w:hideMark/>
          </w:tcPr>
          <w:p w14:paraId="745A36E9"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 xml:space="preserve">Erosion control; </w:t>
            </w:r>
            <w:r w:rsidRPr="00DF0D1B">
              <w:rPr>
                <w:rFonts w:ascii="Times New Roman" w:eastAsia="Times New Roman" w:hAnsi="Times New Roman" w:cs="Times New Roman"/>
                <w:sz w:val="24"/>
                <w:szCs w:val="24"/>
                <w:lang w:eastAsia="en-GB"/>
              </w:rPr>
              <w:lastRenderedPageBreak/>
              <w:t>diversified provisioning services; microclimate buffering</w:t>
            </w:r>
          </w:p>
        </w:tc>
        <w:tc>
          <w:tcPr>
            <w:tcW w:w="0" w:type="auto"/>
            <w:hideMark/>
          </w:tcPr>
          <w:p w14:paraId="43F97D9C"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 xml:space="preserve">Limited credit </w:t>
            </w:r>
            <w:r w:rsidRPr="00DF0D1B">
              <w:rPr>
                <w:rFonts w:ascii="Times New Roman" w:eastAsia="Times New Roman" w:hAnsi="Times New Roman" w:cs="Times New Roman"/>
                <w:sz w:val="24"/>
                <w:szCs w:val="24"/>
                <w:lang w:eastAsia="en-GB"/>
              </w:rPr>
              <w:lastRenderedPageBreak/>
              <w:t>access; weak extension coverage</w:t>
            </w:r>
          </w:p>
        </w:tc>
        <w:tc>
          <w:tcPr>
            <w:tcW w:w="0" w:type="auto"/>
            <w:hideMark/>
          </w:tcPr>
          <w:p w14:paraId="555491FA"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 xml:space="preserve">Moderate; </w:t>
            </w:r>
            <w:r w:rsidRPr="00DF0D1B">
              <w:rPr>
                <w:rFonts w:ascii="Times New Roman" w:eastAsia="Times New Roman" w:hAnsi="Times New Roman" w:cs="Times New Roman"/>
                <w:sz w:val="24"/>
                <w:szCs w:val="24"/>
                <w:lang w:eastAsia="en-GB"/>
              </w:rPr>
              <w:lastRenderedPageBreak/>
              <w:t>largely perception-based household survey evidence</w:t>
            </w:r>
          </w:p>
        </w:tc>
      </w:tr>
      <w:tr w:rsidR="00DF0D1B" w:rsidRPr="00DF0D1B" w14:paraId="1C08CBE6" w14:textId="77777777" w:rsidTr="00436ABF">
        <w:tc>
          <w:tcPr>
            <w:tcW w:w="0" w:type="auto"/>
            <w:hideMark/>
          </w:tcPr>
          <w:p w14:paraId="1360DB51"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Organic and combined organic-inorganic soil fertility management (cassava systems)</w:t>
            </w:r>
          </w:p>
        </w:tc>
        <w:tc>
          <w:tcPr>
            <w:tcW w:w="0" w:type="auto"/>
            <w:hideMark/>
          </w:tcPr>
          <w:p w14:paraId="05CA75B7"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Soil physical property restoration; yield stabilisation</w:t>
            </w:r>
          </w:p>
        </w:tc>
        <w:tc>
          <w:tcPr>
            <w:tcW w:w="0" w:type="auto"/>
            <w:hideMark/>
          </w:tcPr>
          <w:p w14:paraId="4312A54D"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Cost and availability of organic amendments</w:t>
            </w:r>
          </w:p>
        </w:tc>
        <w:tc>
          <w:tcPr>
            <w:tcW w:w="0" w:type="auto"/>
            <w:hideMark/>
          </w:tcPr>
          <w:p w14:paraId="3D5C612D"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Moderate; field-trial evidence available</w:t>
            </w:r>
          </w:p>
        </w:tc>
      </w:tr>
      <w:tr w:rsidR="00DF0D1B" w:rsidRPr="00DF0D1B" w14:paraId="53302A0B" w14:textId="77777777" w:rsidTr="00436ABF">
        <w:tc>
          <w:tcPr>
            <w:tcW w:w="0" w:type="auto"/>
            <w:hideMark/>
          </w:tcPr>
          <w:p w14:paraId="1882F426"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Cocoa and coffee-based agroforestry shade systems</w:t>
            </w:r>
          </w:p>
        </w:tc>
        <w:tc>
          <w:tcPr>
            <w:tcW w:w="0" w:type="auto"/>
            <w:hideMark/>
          </w:tcPr>
          <w:p w14:paraId="72DD151E"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Biodiversity conservation; climate buffering; income diversification</w:t>
            </w:r>
          </w:p>
        </w:tc>
        <w:tc>
          <w:tcPr>
            <w:tcW w:w="0" w:type="auto"/>
            <w:hideMark/>
          </w:tcPr>
          <w:p w14:paraId="26800C65"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Customary tenure separation of land and tree rights</w:t>
            </w:r>
          </w:p>
        </w:tc>
        <w:tc>
          <w:tcPr>
            <w:tcW w:w="0" w:type="auto"/>
            <w:hideMark/>
          </w:tcPr>
          <w:p w14:paraId="19685922"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Moderate; region-specific</w:t>
            </w:r>
          </w:p>
        </w:tc>
      </w:tr>
      <w:tr w:rsidR="00DF0D1B" w:rsidRPr="00DF0D1B" w14:paraId="26402EC4" w14:textId="77777777" w:rsidTr="00436ABF">
        <w:tc>
          <w:tcPr>
            <w:tcW w:w="0" w:type="auto"/>
            <w:hideMark/>
          </w:tcPr>
          <w:p w14:paraId="79C9C6C7"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Circular palm oil waste valorisation (biogas, </w:t>
            </w:r>
            <w:proofErr w:type="spellStart"/>
            <w:r w:rsidRPr="00DF0D1B">
              <w:rPr>
                <w:rFonts w:ascii="Times New Roman" w:eastAsia="Times New Roman" w:hAnsi="Times New Roman" w:cs="Times New Roman"/>
                <w:sz w:val="24"/>
                <w:szCs w:val="24"/>
                <w:lang w:eastAsia="en-GB"/>
              </w:rPr>
              <w:t>biocomposite</w:t>
            </w:r>
            <w:proofErr w:type="spellEnd"/>
            <w:r w:rsidRPr="00DF0D1B">
              <w:rPr>
                <w:rFonts w:ascii="Times New Roman" w:eastAsia="Times New Roman" w:hAnsi="Times New Roman" w:cs="Times New Roman"/>
                <w:sz w:val="24"/>
                <w:szCs w:val="24"/>
                <w:lang w:eastAsia="en-GB"/>
              </w:rPr>
              <w:t>, organic fertiliser)</w:t>
            </w:r>
          </w:p>
        </w:tc>
        <w:tc>
          <w:tcPr>
            <w:tcW w:w="0" w:type="auto"/>
            <w:hideMark/>
          </w:tcPr>
          <w:p w14:paraId="4CDBB7E1"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Emissions reduction; nutrient cycling; additional revenue streams</w:t>
            </w:r>
          </w:p>
        </w:tc>
        <w:tc>
          <w:tcPr>
            <w:tcW w:w="0" w:type="auto"/>
            <w:hideMark/>
          </w:tcPr>
          <w:p w14:paraId="242A08AF"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Certification and technical capacity gaps</w:t>
            </w:r>
          </w:p>
        </w:tc>
        <w:tc>
          <w:tcPr>
            <w:tcW w:w="0" w:type="auto"/>
            <w:hideMark/>
          </w:tcPr>
          <w:p w14:paraId="7B9BE229"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Emerging; largely synthesis-based</w:t>
            </w:r>
          </w:p>
        </w:tc>
      </w:tr>
      <w:tr w:rsidR="00DF0D1B" w:rsidRPr="00DF0D1B" w14:paraId="10B978CA" w14:textId="77777777" w:rsidTr="00436ABF">
        <w:tc>
          <w:tcPr>
            <w:tcW w:w="0" w:type="auto"/>
            <w:hideMark/>
          </w:tcPr>
          <w:p w14:paraId="074ED007"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Differentiated, locality-specific adaptation packages</w:t>
            </w:r>
          </w:p>
        </w:tc>
        <w:tc>
          <w:tcPr>
            <w:tcW w:w="0" w:type="auto"/>
            <w:hideMark/>
          </w:tcPr>
          <w:p w14:paraId="758F4035"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Targeted vulnerability reduction</w:t>
            </w:r>
          </w:p>
        </w:tc>
        <w:tc>
          <w:tcPr>
            <w:tcW w:w="0" w:type="auto"/>
            <w:hideMark/>
          </w:tcPr>
          <w:p w14:paraId="139F1CC7"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Standardisation of national adaptation programming; gendered capture of resources</w:t>
            </w:r>
          </w:p>
        </w:tc>
        <w:tc>
          <w:tcPr>
            <w:tcW w:w="0" w:type="auto"/>
            <w:hideMark/>
          </w:tcPr>
          <w:p w14:paraId="5A1FCAF1" w14:textId="77777777" w:rsidR="00DF0D1B" w:rsidRPr="00DF0D1B" w:rsidRDefault="00DF0D1B" w:rsidP="00947E76">
            <w:pPr>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Limited; case-study evidence only</w:t>
            </w:r>
          </w:p>
        </w:tc>
      </w:tr>
    </w:tbl>
    <w:p w14:paraId="365B8CD0" w14:textId="5B6DAD6A"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i/>
          <w:iCs/>
          <w:sz w:val="24"/>
          <w:szCs w:val="24"/>
          <w:lang w:eastAsia="en-GB"/>
        </w:rPr>
        <w:t xml:space="preserve">Sources: </w:t>
      </w:r>
      <w:r w:rsidR="00E379A5" w:rsidRPr="00E379A5">
        <w:rPr>
          <w:rFonts w:ascii="Times New Roman" w:eastAsia="Times New Roman" w:hAnsi="Times New Roman" w:cs="Times New Roman"/>
          <w:i/>
          <w:iCs/>
          <w:sz w:val="24"/>
          <w:szCs w:val="24"/>
          <w:lang w:eastAsia="en-GB"/>
        </w:rPr>
        <w:t>Awazi</w:t>
      </w:r>
      <w:r w:rsidR="00436ABF">
        <w:rPr>
          <w:rFonts w:ascii="Times New Roman" w:eastAsia="Times New Roman" w:hAnsi="Times New Roman" w:cs="Times New Roman"/>
          <w:i/>
          <w:iCs/>
          <w:sz w:val="24"/>
          <w:szCs w:val="24"/>
          <w:lang w:eastAsia="en-GB"/>
        </w:rPr>
        <w:t xml:space="preserve"> et al. (2020)</w:t>
      </w:r>
      <w:r w:rsidRPr="00DF0D1B">
        <w:rPr>
          <w:rFonts w:ascii="Times New Roman" w:eastAsia="Times New Roman" w:hAnsi="Times New Roman" w:cs="Times New Roman"/>
          <w:i/>
          <w:iCs/>
          <w:sz w:val="24"/>
          <w:szCs w:val="24"/>
          <w:lang w:eastAsia="en-GB"/>
        </w:rPr>
        <w:t>; Awazi &amp; Tchamba (</w:t>
      </w:r>
      <w:r w:rsidR="00436ABF" w:rsidRPr="00436ABF">
        <w:rPr>
          <w:rFonts w:ascii="Times New Roman" w:eastAsia="Times New Roman" w:hAnsi="Times New Roman" w:cs="Times New Roman"/>
          <w:i/>
          <w:iCs/>
          <w:sz w:val="24"/>
          <w:szCs w:val="24"/>
          <w:lang w:eastAsia="en-GB"/>
        </w:rPr>
        <w:t>2021</w:t>
      </w:r>
      <w:r w:rsidRPr="00DF0D1B">
        <w:rPr>
          <w:rFonts w:ascii="Times New Roman" w:eastAsia="Times New Roman" w:hAnsi="Times New Roman" w:cs="Times New Roman"/>
          <w:i/>
          <w:iCs/>
          <w:sz w:val="24"/>
          <w:szCs w:val="24"/>
          <w:lang w:eastAsia="en-GB"/>
        </w:rPr>
        <w:t xml:space="preserve">); Bilong et al. (2022a, 2022b); </w:t>
      </w:r>
      <w:proofErr w:type="spellStart"/>
      <w:r w:rsidRPr="00DF0D1B">
        <w:rPr>
          <w:rFonts w:ascii="Times New Roman" w:eastAsia="Times New Roman" w:hAnsi="Times New Roman" w:cs="Times New Roman"/>
          <w:i/>
          <w:iCs/>
          <w:sz w:val="24"/>
          <w:szCs w:val="24"/>
          <w:lang w:eastAsia="en-GB"/>
        </w:rPr>
        <w:t>Ayompe</w:t>
      </w:r>
      <w:proofErr w:type="spellEnd"/>
      <w:r w:rsidRPr="00DF0D1B">
        <w:rPr>
          <w:rFonts w:ascii="Times New Roman" w:eastAsia="Times New Roman" w:hAnsi="Times New Roman" w:cs="Times New Roman"/>
          <w:i/>
          <w:iCs/>
          <w:sz w:val="24"/>
          <w:szCs w:val="24"/>
          <w:lang w:eastAsia="en-GB"/>
        </w:rPr>
        <w:t xml:space="preserve"> et al. (2025); Jaza </w:t>
      </w:r>
      <w:proofErr w:type="spellStart"/>
      <w:r w:rsidRPr="00DF0D1B">
        <w:rPr>
          <w:rFonts w:ascii="Times New Roman" w:eastAsia="Times New Roman" w:hAnsi="Times New Roman" w:cs="Times New Roman"/>
          <w:i/>
          <w:iCs/>
          <w:sz w:val="24"/>
          <w:szCs w:val="24"/>
          <w:lang w:eastAsia="en-GB"/>
        </w:rPr>
        <w:t>Folefack</w:t>
      </w:r>
      <w:proofErr w:type="spellEnd"/>
      <w:r w:rsidRPr="00DF0D1B">
        <w:rPr>
          <w:rFonts w:ascii="Times New Roman" w:eastAsia="Times New Roman" w:hAnsi="Times New Roman" w:cs="Times New Roman"/>
          <w:i/>
          <w:iCs/>
          <w:sz w:val="24"/>
          <w:szCs w:val="24"/>
          <w:lang w:eastAsia="en-GB"/>
        </w:rPr>
        <w:t xml:space="preserve"> &amp; Darr (2021); Mbuli et al. (2021).</w:t>
      </w:r>
    </w:p>
    <w:p w14:paraId="7135E093" w14:textId="77777777" w:rsidR="00DF0D1B" w:rsidRPr="00DF0D1B" w:rsidRDefault="00DF0D1B" w:rsidP="00947E7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8. Synthesis: Linking Donor Investment, Value Chain Governance and Agroecological Resilience</w:t>
      </w:r>
    </w:p>
    <w:p w14:paraId="3AF55F83"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The evidence reviewed across Sections 3 through 7 supports an integrated interpretation of Cameroon's agricultural transformation as a sequence of externally influenced institutional regimes, each of which has reshaped, without fully resolving, the structural constraints on smallholder value capture that have characterised the country's agricultural value chains since independence. The marketing board era concentrated commodity market power in state institutions, insulating farmers from world price volatility but at the cost of limited productivity investment; structural adjustment dismantled this insulation without substituting an equivalent mechanism for correcting the market and infrastructural failures that continue to depress smallholder marketing efficiency, as the persistently oligopolistic structure of contemporary cassava markets illustrates (Mbarga Evouna et al., 2024). The subsequent donor-financed value chain era has introduced substantial new capital and technical assistance without, in most documented cases, achieving the land tenure and gender reforms that the underlying value chain governance theory identifies as necessary preconditions for durable upgrading (Humphrey &amp; Schmitz, 2002; Jaza </w:t>
      </w:r>
      <w:proofErr w:type="spellStart"/>
      <w:r w:rsidRPr="00DF0D1B">
        <w:rPr>
          <w:rFonts w:ascii="Times New Roman" w:eastAsia="Times New Roman" w:hAnsi="Times New Roman" w:cs="Times New Roman"/>
          <w:sz w:val="24"/>
          <w:szCs w:val="24"/>
          <w:lang w:eastAsia="en-GB"/>
        </w:rPr>
        <w:t>Folefack</w:t>
      </w:r>
      <w:proofErr w:type="spellEnd"/>
      <w:r w:rsidRPr="00DF0D1B">
        <w:rPr>
          <w:rFonts w:ascii="Times New Roman" w:eastAsia="Times New Roman" w:hAnsi="Times New Roman" w:cs="Times New Roman"/>
          <w:sz w:val="24"/>
          <w:szCs w:val="24"/>
          <w:lang w:eastAsia="en-GB"/>
        </w:rPr>
        <w:t xml:space="preserve"> &amp; Darr, 2021; Ndi &amp; </w:t>
      </w:r>
      <w:proofErr w:type="spellStart"/>
      <w:r w:rsidRPr="00DF0D1B">
        <w:rPr>
          <w:rFonts w:ascii="Times New Roman" w:eastAsia="Times New Roman" w:hAnsi="Times New Roman" w:cs="Times New Roman"/>
          <w:sz w:val="24"/>
          <w:szCs w:val="24"/>
          <w:lang w:eastAsia="en-GB"/>
        </w:rPr>
        <w:t>Batterbury</w:t>
      </w:r>
      <w:proofErr w:type="spellEnd"/>
      <w:r w:rsidRPr="00DF0D1B">
        <w:rPr>
          <w:rFonts w:ascii="Times New Roman" w:eastAsia="Times New Roman" w:hAnsi="Times New Roman" w:cs="Times New Roman"/>
          <w:sz w:val="24"/>
          <w:szCs w:val="24"/>
          <w:lang w:eastAsia="en-GB"/>
        </w:rPr>
        <w:t>, 2017). The aid effectiveness literature's finding that agricultural aid impact is conditioned by domestic governance quality provides a plausible explanation for why individually well-designed donor projects, such as certification-linked cocoa interventions or nucleus-estate oil palm schemes, have generated measurable but geographically and socially bounded gains rather than sector-wide transformation (McArthur &amp; Sachs, 2019; Mfouapon et al., 2024).</w:t>
      </w:r>
    </w:p>
    <w:p w14:paraId="725E0505" w14:textId="17F8D4E8"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 xml:space="preserve">The agroecological resilience literature adds a further dimension largely absent from earlier value chain and aid effectiveness scholarship: the recognition that the ecological sustainability of value chain upgrading cannot be assumed and must be actively designed for, given documented evidence that </w:t>
      </w:r>
      <w:proofErr w:type="spellStart"/>
      <w:r w:rsidRPr="00DF0D1B">
        <w:rPr>
          <w:rFonts w:ascii="Times New Roman" w:eastAsia="Times New Roman" w:hAnsi="Times New Roman" w:cs="Times New Roman"/>
          <w:sz w:val="24"/>
          <w:szCs w:val="24"/>
          <w:lang w:eastAsia="en-GB"/>
        </w:rPr>
        <w:t>productivist</w:t>
      </w:r>
      <w:proofErr w:type="spellEnd"/>
      <w:r w:rsidRPr="00DF0D1B">
        <w:rPr>
          <w:rFonts w:ascii="Times New Roman" w:eastAsia="Times New Roman" w:hAnsi="Times New Roman" w:cs="Times New Roman"/>
          <w:sz w:val="24"/>
          <w:szCs w:val="24"/>
          <w:lang w:eastAsia="en-GB"/>
        </w:rPr>
        <w:t xml:space="preserve"> upgrading pathways in both cocoa and oil palm have been associated with measurable deforestation even as they deliver income gains to participating farmers (Ingram et al., 2025; Ordway et al., 2019). The most promising evidence for reconciling commercial and ecological objectives comes from agroforestry-based systems, in which shade-grown cocoa and coffee, combined with diversified tree crops, appear capable of delivering both income diversification and ecosystem service provision simultaneously, though this evidence remains predominantly perception-based and would benefit from more rigorous causal identification, as discussed in Section 7.3 (</w:t>
      </w:r>
      <w:r w:rsidR="00E379A5" w:rsidRPr="00E379A5">
        <w:rPr>
          <w:rFonts w:ascii="Times New Roman" w:eastAsia="Times New Roman" w:hAnsi="Times New Roman" w:cs="Times New Roman"/>
          <w:sz w:val="24"/>
          <w:szCs w:val="24"/>
          <w:lang w:eastAsia="en-GB"/>
        </w:rPr>
        <w:t>Awazi</w:t>
      </w:r>
      <w:r w:rsidR="00436ABF">
        <w:rPr>
          <w:rFonts w:ascii="Times New Roman" w:eastAsia="Times New Roman" w:hAnsi="Times New Roman" w:cs="Times New Roman"/>
          <w:sz w:val="24"/>
          <w:szCs w:val="24"/>
          <w:lang w:eastAsia="en-GB"/>
        </w:rPr>
        <w:t xml:space="preserve"> et al., 2020</w:t>
      </w:r>
      <w:r w:rsidRPr="00DF0D1B">
        <w:rPr>
          <w:rFonts w:ascii="Times New Roman" w:eastAsia="Times New Roman" w:hAnsi="Times New Roman" w:cs="Times New Roman"/>
          <w:sz w:val="24"/>
          <w:szCs w:val="24"/>
          <w:lang w:eastAsia="en-GB"/>
        </w:rPr>
        <w:t>). Taken together, the synthesis suggests that Cameroon's agricultural value chain transformation has been most successful where donor investment, secure land tenure and agroecologically appropriate technical packages have converged at the project level, and least successful where capital investment has been deployed without corresponding attention to the institutional and ecological conditions that determine whether such investment translates into durable, equitably distributed and environmentally sustainable outcomes.</w:t>
      </w:r>
    </w:p>
    <w:p w14:paraId="1BF38841" w14:textId="77777777" w:rsidR="00DF0D1B" w:rsidRPr="00DF0D1B" w:rsidRDefault="00DF0D1B" w:rsidP="00947E7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9. Future Directions</w:t>
      </w:r>
    </w:p>
    <w:p w14:paraId="68BEEDC4"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Future research on Cameroon's agricultural value chains would benefit substantially from longitudinal panel studies that track the same smallholder households across multiple donor project cycles and climate shocks, enabling researchers to distinguish the durable effects of value chain investment from short-term project-cycle gains that dissipate once external support concludes. Greater methodological rigour in agroecology and resilience research, moving beyond farmer perception surveys toward quasi-experimental or experimental designs capable of isolating the causal contribution of agroforestry and other agroecological practices to measured productivity, income and vulnerability outcomes, would substantially strengthen the evidentiary basis for policy prioritisation between agroecological and conventional intensification pathways. Research explicitly integrating land tenure reform outcomes with value chain performance metrics is similarly needed, given that existing studies tend to treat tenure security and value chain upgrading as parallel rather than interacting research questions. Comparative research examining how differing donor financing modalities, concessional loans, grants, blended finance and partial credit guarantees, differentially affect smallholder value capture and ecological outcomes would help clarify which instruments are best suited to which value chain contexts. Given the demonstrated importance of governance quality in conditioning aid effectiveness, future work should also incorporate political economy analysis of donor-government-private sector relationships more explicitly into value chain assessments, rather than treating project design and implementation as technically separable from the broader governance environment within which Cameroonian agricultural policy is formulated and executed. Expanding the evidence base to include French-language Cameroonian and Central African scholarship not currently well represented in internationally indexed databases would broaden the empirical foundation available to future reviews of this kind.</w:t>
      </w:r>
    </w:p>
    <w:p w14:paraId="7FB47554" w14:textId="77777777" w:rsidR="00DF0D1B" w:rsidRPr="00DF0D1B" w:rsidRDefault="00DF0D1B" w:rsidP="00947E7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10. Conclusions</w:t>
      </w:r>
    </w:p>
    <w:p w14:paraId="490624C1" w14:textId="77777777" w:rsidR="00DF0D1B" w:rsidRP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Cameroon's agricultural value chains have been shaped over six decades by successive and only partially reconciled policy paradigms, from state-led commodity marketing through structural adjustment to contemporary donor-financed value chain development. Donor and </w:t>
      </w:r>
      <w:r w:rsidRPr="00DF0D1B">
        <w:rPr>
          <w:rFonts w:ascii="Times New Roman" w:eastAsia="Times New Roman" w:hAnsi="Times New Roman" w:cs="Times New Roman"/>
          <w:sz w:val="24"/>
          <w:szCs w:val="24"/>
          <w:lang w:eastAsia="en-GB"/>
        </w:rPr>
        <w:lastRenderedPageBreak/>
        <w:t xml:space="preserve">multilateral investment has delivered documented, if geographically and socially bounded, gains in productivity, market access and farmer income across cocoa, oil palm and other commodity chains, particularly where financing has been paired with certification, credit access and technical assistance. These gains, however, have frequently been constrained by unresolved structural conditions, including insecure and gender-asymmetric land tenure, oligopolistic intermediary market power, and governance quality variation that shapes how effectively external capital is absorbed and deployed. The parallel emergence of an agroecological resilience agenda has introduced valuable evidence on the potential of agroforestry and diversified farming systems to deliver climate adaptation benefits alongside income diversification, yet this evidence remains predominantly qualitative and has not yet been systematically integrated into the design of mainstream donor-financed value chain interventions, which continue to be oriented primarily toward </w:t>
      </w:r>
      <w:proofErr w:type="spellStart"/>
      <w:r w:rsidRPr="00DF0D1B">
        <w:rPr>
          <w:rFonts w:ascii="Times New Roman" w:eastAsia="Times New Roman" w:hAnsi="Times New Roman" w:cs="Times New Roman"/>
          <w:sz w:val="24"/>
          <w:szCs w:val="24"/>
          <w:lang w:eastAsia="en-GB"/>
        </w:rPr>
        <w:t>productivist</w:t>
      </w:r>
      <w:proofErr w:type="spellEnd"/>
      <w:r w:rsidRPr="00DF0D1B">
        <w:rPr>
          <w:rFonts w:ascii="Times New Roman" w:eastAsia="Times New Roman" w:hAnsi="Times New Roman" w:cs="Times New Roman"/>
          <w:sz w:val="24"/>
          <w:szCs w:val="24"/>
          <w:lang w:eastAsia="en-GB"/>
        </w:rPr>
        <w:t xml:space="preserve"> upgrading objectives. A more coherent alignment between value chain financing instruments, land tenure reform and agroecological principles represents the most promising pathway toward an agricultural transformation in Cameroon capable of delivering durable rural livelihoods alongside export competitiveness and ecological sustainability.</w:t>
      </w:r>
    </w:p>
    <w:p w14:paraId="0BBCE917" w14:textId="77777777" w:rsidR="00DF0D1B" w:rsidRPr="00DF0D1B" w:rsidRDefault="00DF0D1B" w:rsidP="00947E7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11. Limitations</w:t>
      </w:r>
    </w:p>
    <w:p w14:paraId="6946DD30" w14:textId="77777777" w:rsidR="00DF0D1B" w:rsidRDefault="00DF0D1B"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This review is subject to several limitations that should inform interpretation of its conclusions. The narrative review methodology, while appropriate to the breadth and heterogeneity of the literature synthesised, does not permit the systematic quality appraisal or effect-size pooling characteristic of systematic reviews, and the selection of studies discussed, while guided by explicit inclusion criteria, inevitably reflects a degree of interpretive judgement regarding relevance and significance. The restriction to English-language sources with available English abstracts likely excludes a substantial body of French-language Cameroonian and Central African scholarship, given that French is Cameroon's dominant administrative and academic language, and this restriction may bias the evidence base toward internationally coauthored or internationally indexed research at the expense of domestically published work. The literature reviewed is unevenly distributed across commodities and regions, with cocoa and, increasingly, cassava and oil palm considerably better documented than cotton, coffee or livestock value chains, and with the Western Highlands and Centre regions more extensively studied than the Far North or East regions, limiting the generalisability of some conclusions across the full national territory. Much of the agroecological resilience evidence reviewed relies on farmer perception data collected through household surveys rather than on quantitative productivity or income measurements, constraining the strength of causal claims that can be drawn regarding the effectiveness of specific adaptation practices. Finally, donor investment volumes and programme design details are drawn substantially from institutional project documentation, which, while authoritative, may present intended rather than realised outcomes, and independent, longitudinal impact evaluation evidence for many of the specific projects discussed remains limited within the peer-reviewed literature available at the time of this review.</w:t>
      </w:r>
    </w:p>
    <w:p w14:paraId="5EA05F5D" w14:textId="77777777" w:rsidR="00283EC5" w:rsidRPr="000839CE" w:rsidRDefault="00283EC5" w:rsidP="00947E76">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49776653" w14:textId="77777777" w:rsidR="00283EC5" w:rsidRPr="000839CE" w:rsidRDefault="00283EC5" w:rsidP="00947E76">
      <w:pPr>
        <w:spacing w:after="0" w:line="240" w:lineRule="auto"/>
        <w:jc w:val="both"/>
        <w:rPr>
          <w:rFonts w:ascii="Times New Roman" w:hAnsi="Times New Roman" w:cs="Times New Roman"/>
        </w:rPr>
      </w:pPr>
    </w:p>
    <w:p w14:paraId="049D5B71" w14:textId="77777777" w:rsidR="00283EC5" w:rsidRPr="000839CE" w:rsidRDefault="00283EC5" w:rsidP="00947E76">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w:t>
      </w:r>
      <w:r w:rsidRPr="00C56790">
        <w:rPr>
          <w:rFonts w:ascii="Times New Roman" w:hAnsi="Times New Roman" w:cs="Times New Roman"/>
        </w:rPr>
        <w:lastRenderedPageBreak/>
        <w:t>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3C9B700" w14:textId="77777777" w:rsidR="00283EC5" w:rsidRPr="00DF0D1B" w:rsidRDefault="00283EC5" w:rsidP="00947E76">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0C7E3047" w14:textId="77777777" w:rsidR="00DF0D1B" w:rsidRPr="00DF0D1B" w:rsidRDefault="00DF0D1B" w:rsidP="00947E7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References</w:t>
      </w:r>
    </w:p>
    <w:p w14:paraId="09BA50AF"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African Development Bank Group. (2022, September 16). </w:t>
      </w:r>
      <w:r w:rsidRPr="000D154E">
        <w:rPr>
          <w:rFonts w:ascii="Times New Roman" w:eastAsia="Times New Roman" w:hAnsi="Times New Roman" w:cs="Times New Roman"/>
          <w:i/>
          <w:iCs/>
          <w:sz w:val="24"/>
          <w:szCs w:val="24"/>
          <w:lang w:val="en-US"/>
        </w:rPr>
        <w:t>Cameroon: The African Development Bank and the government support a financing agreement to develop agricultural value chains</w:t>
      </w:r>
      <w:r w:rsidRPr="000D154E">
        <w:rPr>
          <w:rFonts w:ascii="Times New Roman" w:eastAsia="Times New Roman" w:hAnsi="Times New Roman" w:cs="Times New Roman"/>
          <w:sz w:val="24"/>
          <w:szCs w:val="24"/>
          <w:lang w:val="en-US"/>
        </w:rPr>
        <w:t xml:space="preserve">. </w:t>
      </w:r>
      <w:hyperlink r:id="rId7" w:tgtFrame="_new" w:history="1">
        <w:r w:rsidRPr="000D154E">
          <w:rPr>
            <w:rFonts w:ascii="Times New Roman" w:eastAsia="Times New Roman" w:hAnsi="Times New Roman" w:cs="Times New Roman"/>
            <w:color w:val="0000FF"/>
            <w:sz w:val="24"/>
            <w:szCs w:val="24"/>
            <w:u w:val="single"/>
            <w:lang w:val="en-US"/>
          </w:rPr>
          <w:t>https://www.afdb.org/en/news-and-events/press-releases/cameroon-african-development-bank-and-government-support-financing-agreement-develop-agricultural-value-chains-54814</w:t>
        </w:r>
      </w:hyperlink>
      <w:r w:rsidRPr="000D154E">
        <w:rPr>
          <w:rFonts w:ascii="Times New Roman" w:eastAsia="Times New Roman" w:hAnsi="Times New Roman" w:cs="Times New Roman"/>
          <w:sz w:val="24"/>
          <w:szCs w:val="24"/>
          <w:lang w:val="en-US"/>
        </w:rPr>
        <w:t xml:space="preserve"> </w:t>
      </w:r>
    </w:p>
    <w:p w14:paraId="4BB60F55"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Awazi, N. P., &amp; Tchamba, M. N. (2021). Climate-smart practices of smallholder farmers in Cameroon confronted with climate variability and change: The example of agroforestry. </w:t>
      </w:r>
      <w:r w:rsidRPr="000D154E">
        <w:rPr>
          <w:rFonts w:ascii="Times New Roman" w:eastAsia="Times New Roman" w:hAnsi="Times New Roman" w:cs="Times New Roman"/>
          <w:i/>
          <w:iCs/>
          <w:sz w:val="24"/>
          <w:szCs w:val="24"/>
          <w:lang w:val="en-US"/>
        </w:rPr>
        <w:t>Agricultural Research, 10</w:t>
      </w:r>
      <w:r w:rsidRPr="000D154E">
        <w:rPr>
          <w:rFonts w:ascii="Times New Roman" w:eastAsia="Times New Roman" w:hAnsi="Times New Roman" w:cs="Times New Roman"/>
          <w:sz w:val="24"/>
          <w:szCs w:val="24"/>
          <w:lang w:val="en-US"/>
        </w:rPr>
        <w:t xml:space="preserve">, 83–96. </w:t>
      </w:r>
      <w:hyperlink r:id="rId8" w:tgtFrame="_new" w:history="1">
        <w:r w:rsidRPr="000D154E">
          <w:rPr>
            <w:rFonts w:ascii="Times New Roman" w:eastAsia="Times New Roman" w:hAnsi="Times New Roman" w:cs="Times New Roman"/>
            <w:color w:val="0000FF"/>
            <w:sz w:val="24"/>
            <w:szCs w:val="24"/>
            <w:u w:val="single"/>
            <w:lang w:val="en-US"/>
          </w:rPr>
          <w:t>https://doi.org/10.1007/s40003-020-00477-0</w:t>
        </w:r>
      </w:hyperlink>
      <w:r w:rsidRPr="000D154E">
        <w:rPr>
          <w:rFonts w:ascii="Times New Roman" w:eastAsia="Times New Roman" w:hAnsi="Times New Roman" w:cs="Times New Roman"/>
          <w:sz w:val="24"/>
          <w:szCs w:val="24"/>
          <w:lang w:val="en-US"/>
        </w:rPr>
        <w:t xml:space="preserve"> </w:t>
      </w:r>
    </w:p>
    <w:p w14:paraId="22770DD7" w14:textId="3CC8F28F"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Awazi, N. P., Tchamba, M. N., &amp; Temgoua, L. F. (2020). Enhancement of resilience to climate variability and change through agroforestry practices in smallholder farming systems in Cameroon. </w:t>
      </w:r>
      <w:r w:rsidRPr="000D154E">
        <w:rPr>
          <w:rFonts w:ascii="Times New Roman" w:eastAsia="Times New Roman" w:hAnsi="Times New Roman" w:cs="Times New Roman"/>
          <w:i/>
          <w:iCs/>
          <w:sz w:val="24"/>
          <w:szCs w:val="24"/>
          <w:lang w:val="en-US"/>
        </w:rPr>
        <w:t>Agroforestry Systems, 94</w:t>
      </w:r>
      <w:r w:rsidRPr="000D154E">
        <w:rPr>
          <w:rFonts w:ascii="Times New Roman" w:eastAsia="Times New Roman" w:hAnsi="Times New Roman" w:cs="Times New Roman"/>
          <w:sz w:val="24"/>
          <w:szCs w:val="24"/>
          <w:lang w:val="en-US"/>
        </w:rPr>
        <w:t xml:space="preserve">(3), 687–705. </w:t>
      </w:r>
      <w:hyperlink r:id="rId9" w:tgtFrame="_new" w:history="1">
        <w:r w:rsidRPr="000D154E">
          <w:rPr>
            <w:rFonts w:ascii="Times New Roman" w:eastAsia="Times New Roman" w:hAnsi="Times New Roman" w:cs="Times New Roman"/>
            <w:color w:val="0000FF"/>
            <w:sz w:val="24"/>
            <w:szCs w:val="24"/>
            <w:u w:val="single"/>
            <w:lang w:val="en-US"/>
          </w:rPr>
          <w:t>https://doi.org/10.1007/s10457-019-00435-y</w:t>
        </w:r>
      </w:hyperlink>
      <w:r w:rsidRPr="000D154E">
        <w:rPr>
          <w:rFonts w:ascii="Times New Roman" w:eastAsia="Times New Roman" w:hAnsi="Times New Roman" w:cs="Times New Roman"/>
          <w:sz w:val="24"/>
          <w:szCs w:val="24"/>
          <w:lang w:val="en-US"/>
        </w:rPr>
        <w:t xml:space="preserve">  </w:t>
      </w:r>
    </w:p>
    <w:p w14:paraId="4C5AC267"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w:t>
      </w:r>
      <w:proofErr w:type="spellStart"/>
      <w:r w:rsidRPr="000D154E">
        <w:rPr>
          <w:rFonts w:ascii="Times New Roman" w:eastAsia="Times New Roman" w:hAnsi="Times New Roman" w:cs="Times New Roman"/>
          <w:sz w:val="24"/>
          <w:szCs w:val="24"/>
          <w:lang w:val="en-US"/>
        </w:rPr>
        <w:t>Ayompe</w:t>
      </w:r>
      <w:proofErr w:type="spellEnd"/>
      <w:r w:rsidRPr="000D154E">
        <w:rPr>
          <w:rFonts w:ascii="Times New Roman" w:eastAsia="Times New Roman" w:hAnsi="Times New Roman" w:cs="Times New Roman"/>
          <w:sz w:val="24"/>
          <w:szCs w:val="24"/>
          <w:lang w:val="en-US"/>
        </w:rPr>
        <w:t xml:space="preserve">, L. M., Nkongho, R. N., </w:t>
      </w:r>
      <w:proofErr w:type="spellStart"/>
      <w:r w:rsidRPr="000D154E">
        <w:rPr>
          <w:rFonts w:ascii="Times New Roman" w:eastAsia="Times New Roman" w:hAnsi="Times New Roman" w:cs="Times New Roman"/>
          <w:sz w:val="24"/>
          <w:szCs w:val="24"/>
          <w:lang w:val="en-US"/>
        </w:rPr>
        <w:t>Acobta</w:t>
      </w:r>
      <w:proofErr w:type="spellEnd"/>
      <w:r w:rsidRPr="000D154E">
        <w:rPr>
          <w:rFonts w:ascii="Times New Roman" w:eastAsia="Times New Roman" w:hAnsi="Times New Roman" w:cs="Times New Roman"/>
          <w:sz w:val="24"/>
          <w:szCs w:val="24"/>
          <w:lang w:val="en-US"/>
        </w:rPr>
        <w:t xml:space="preserve">, A. N., Masso, C., &amp; Egoh, B. N. (2025). Transforming palm oil production: Sustainable techniques and waste management strategies for Cameroon’s smallholder farmers. </w:t>
      </w:r>
      <w:r w:rsidRPr="000D154E">
        <w:rPr>
          <w:rFonts w:ascii="Times New Roman" w:eastAsia="Times New Roman" w:hAnsi="Times New Roman" w:cs="Times New Roman"/>
          <w:i/>
          <w:iCs/>
          <w:sz w:val="24"/>
          <w:szCs w:val="24"/>
          <w:lang w:val="en-US"/>
        </w:rPr>
        <w:t>Frontiers in Sustainable Food Systems, 9</w:t>
      </w:r>
      <w:r w:rsidRPr="000D154E">
        <w:rPr>
          <w:rFonts w:ascii="Times New Roman" w:eastAsia="Times New Roman" w:hAnsi="Times New Roman" w:cs="Times New Roman"/>
          <w:sz w:val="24"/>
          <w:szCs w:val="24"/>
          <w:lang w:val="en-US"/>
        </w:rPr>
        <w:t xml:space="preserve">, Article 1606323. </w:t>
      </w:r>
      <w:hyperlink r:id="rId10" w:tgtFrame="_new" w:history="1">
        <w:r w:rsidRPr="000D154E">
          <w:rPr>
            <w:rFonts w:ascii="Times New Roman" w:eastAsia="Times New Roman" w:hAnsi="Times New Roman" w:cs="Times New Roman"/>
            <w:color w:val="0000FF"/>
            <w:sz w:val="24"/>
            <w:szCs w:val="24"/>
            <w:u w:val="single"/>
            <w:lang w:val="en-US"/>
          </w:rPr>
          <w:t>https://doi.org/10.3389/fsufs.2025.1606323</w:t>
        </w:r>
      </w:hyperlink>
      <w:r w:rsidRPr="000D154E">
        <w:rPr>
          <w:rFonts w:ascii="Times New Roman" w:eastAsia="Times New Roman" w:hAnsi="Times New Roman" w:cs="Times New Roman"/>
          <w:sz w:val="24"/>
          <w:szCs w:val="24"/>
          <w:lang w:val="en-US"/>
        </w:rPr>
        <w:t xml:space="preserve"> </w:t>
      </w:r>
    </w:p>
    <w:p w14:paraId="50E0C654"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w:t>
      </w:r>
      <w:proofErr w:type="spellStart"/>
      <w:r w:rsidRPr="000D154E">
        <w:rPr>
          <w:rFonts w:ascii="Times New Roman" w:eastAsia="Times New Roman" w:hAnsi="Times New Roman" w:cs="Times New Roman"/>
          <w:sz w:val="24"/>
          <w:szCs w:val="24"/>
          <w:lang w:val="en-US"/>
        </w:rPr>
        <w:t>Balcilar</w:t>
      </w:r>
      <w:proofErr w:type="spellEnd"/>
      <w:r w:rsidRPr="000D154E">
        <w:rPr>
          <w:rFonts w:ascii="Times New Roman" w:eastAsia="Times New Roman" w:hAnsi="Times New Roman" w:cs="Times New Roman"/>
          <w:sz w:val="24"/>
          <w:szCs w:val="24"/>
          <w:lang w:val="en-US"/>
        </w:rPr>
        <w:t xml:space="preserve">, M., Olasehinde-Williams, G., &amp; Tokar, B. (2025). Achieving national food security in sub-Saharan African countries: The role of foreign agricultural aid. </w:t>
      </w:r>
      <w:r w:rsidRPr="000D154E">
        <w:rPr>
          <w:rFonts w:ascii="Times New Roman" w:eastAsia="Times New Roman" w:hAnsi="Times New Roman" w:cs="Times New Roman"/>
          <w:i/>
          <w:iCs/>
          <w:sz w:val="24"/>
          <w:szCs w:val="24"/>
          <w:lang w:val="en-US"/>
        </w:rPr>
        <w:t>Food and Energy Security, 14</w:t>
      </w:r>
      <w:r w:rsidRPr="000D154E">
        <w:rPr>
          <w:rFonts w:ascii="Times New Roman" w:eastAsia="Times New Roman" w:hAnsi="Times New Roman" w:cs="Times New Roman"/>
          <w:sz w:val="24"/>
          <w:szCs w:val="24"/>
          <w:lang w:val="en-US"/>
        </w:rPr>
        <w:t xml:space="preserve">(1), Article e70042. </w:t>
      </w:r>
      <w:hyperlink r:id="rId11" w:tgtFrame="_new" w:history="1">
        <w:r w:rsidRPr="000D154E">
          <w:rPr>
            <w:rFonts w:ascii="Times New Roman" w:eastAsia="Times New Roman" w:hAnsi="Times New Roman" w:cs="Times New Roman"/>
            <w:color w:val="0000FF"/>
            <w:sz w:val="24"/>
            <w:szCs w:val="24"/>
            <w:u w:val="single"/>
            <w:lang w:val="en-US"/>
          </w:rPr>
          <w:t>https://doi.org/10.1002/fes3.70042</w:t>
        </w:r>
      </w:hyperlink>
      <w:r w:rsidRPr="000D154E">
        <w:rPr>
          <w:rFonts w:ascii="Times New Roman" w:eastAsia="Times New Roman" w:hAnsi="Times New Roman" w:cs="Times New Roman"/>
          <w:sz w:val="24"/>
          <w:szCs w:val="24"/>
          <w:lang w:val="en-US"/>
        </w:rPr>
        <w:t xml:space="preserve"> </w:t>
      </w:r>
    </w:p>
    <w:p w14:paraId="5A256758"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Benjamin, N. (1996). Adjustment and income distribution in an agricultural economy: A general equilibrium analysis of Cameroon. </w:t>
      </w:r>
      <w:r w:rsidRPr="000D154E">
        <w:rPr>
          <w:rFonts w:ascii="Times New Roman" w:eastAsia="Times New Roman" w:hAnsi="Times New Roman" w:cs="Times New Roman"/>
          <w:i/>
          <w:iCs/>
          <w:sz w:val="24"/>
          <w:szCs w:val="24"/>
          <w:lang w:val="en-US"/>
        </w:rPr>
        <w:t>World Development, 24</w:t>
      </w:r>
      <w:r w:rsidRPr="000D154E">
        <w:rPr>
          <w:rFonts w:ascii="Times New Roman" w:eastAsia="Times New Roman" w:hAnsi="Times New Roman" w:cs="Times New Roman"/>
          <w:sz w:val="24"/>
          <w:szCs w:val="24"/>
          <w:lang w:val="en-US"/>
        </w:rPr>
        <w:t xml:space="preserve">(6), 1003–1013. </w:t>
      </w:r>
      <w:hyperlink r:id="rId12" w:tgtFrame="_new" w:history="1">
        <w:r w:rsidRPr="000D154E">
          <w:rPr>
            <w:rFonts w:ascii="Times New Roman" w:eastAsia="Times New Roman" w:hAnsi="Times New Roman" w:cs="Times New Roman"/>
            <w:color w:val="0000FF"/>
            <w:sz w:val="24"/>
            <w:szCs w:val="24"/>
            <w:u w:val="single"/>
            <w:lang w:val="en-US"/>
          </w:rPr>
          <w:t>https://doi.org/10.1016/0305-750X(96)00016-2</w:t>
        </w:r>
      </w:hyperlink>
      <w:r w:rsidRPr="000D154E">
        <w:rPr>
          <w:rFonts w:ascii="Times New Roman" w:eastAsia="Times New Roman" w:hAnsi="Times New Roman" w:cs="Times New Roman"/>
          <w:sz w:val="24"/>
          <w:szCs w:val="24"/>
          <w:lang w:val="en-US"/>
        </w:rPr>
        <w:t xml:space="preserve"> </w:t>
      </w:r>
    </w:p>
    <w:p w14:paraId="67FA8B36"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Bilong, E. G., Abossolo-Angue, M., </w:t>
      </w:r>
      <w:proofErr w:type="spellStart"/>
      <w:r w:rsidRPr="000D154E">
        <w:rPr>
          <w:rFonts w:ascii="Times New Roman" w:eastAsia="Times New Roman" w:hAnsi="Times New Roman" w:cs="Times New Roman"/>
          <w:sz w:val="24"/>
          <w:szCs w:val="24"/>
          <w:lang w:val="en-US"/>
        </w:rPr>
        <w:t>Ajebesone</w:t>
      </w:r>
      <w:proofErr w:type="spellEnd"/>
      <w:r w:rsidRPr="000D154E">
        <w:rPr>
          <w:rFonts w:ascii="Times New Roman" w:eastAsia="Times New Roman" w:hAnsi="Times New Roman" w:cs="Times New Roman"/>
          <w:sz w:val="24"/>
          <w:szCs w:val="24"/>
          <w:lang w:val="en-US"/>
        </w:rPr>
        <w:t xml:space="preserve">, F. N., Anaba, B. D., À </w:t>
      </w:r>
      <w:proofErr w:type="spellStart"/>
      <w:r w:rsidRPr="000D154E">
        <w:rPr>
          <w:rFonts w:ascii="Times New Roman" w:eastAsia="Times New Roman" w:hAnsi="Times New Roman" w:cs="Times New Roman"/>
          <w:sz w:val="24"/>
          <w:szCs w:val="24"/>
          <w:lang w:val="en-US"/>
        </w:rPr>
        <w:t>Madong</w:t>
      </w:r>
      <w:proofErr w:type="spellEnd"/>
      <w:r w:rsidRPr="000D154E">
        <w:rPr>
          <w:rFonts w:ascii="Times New Roman" w:eastAsia="Times New Roman" w:hAnsi="Times New Roman" w:cs="Times New Roman"/>
          <w:sz w:val="24"/>
          <w:szCs w:val="24"/>
          <w:lang w:val="en-US"/>
        </w:rPr>
        <w:t xml:space="preserve">, B., Nomo, L. B., &amp; Bilong, P. (2022a). Improving soil physical properties and cassava productivity through organic manures management in southern Cameroon. </w:t>
      </w:r>
      <w:proofErr w:type="spellStart"/>
      <w:r w:rsidRPr="000D154E">
        <w:rPr>
          <w:rFonts w:ascii="Times New Roman" w:eastAsia="Times New Roman" w:hAnsi="Times New Roman" w:cs="Times New Roman"/>
          <w:i/>
          <w:iCs/>
          <w:sz w:val="24"/>
          <w:szCs w:val="24"/>
          <w:lang w:val="en-US"/>
        </w:rPr>
        <w:t>Heliyon</w:t>
      </w:r>
      <w:proofErr w:type="spellEnd"/>
      <w:r w:rsidRPr="000D154E">
        <w:rPr>
          <w:rFonts w:ascii="Times New Roman" w:eastAsia="Times New Roman" w:hAnsi="Times New Roman" w:cs="Times New Roman"/>
          <w:i/>
          <w:iCs/>
          <w:sz w:val="24"/>
          <w:szCs w:val="24"/>
          <w:lang w:val="en-US"/>
        </w:rPr>
        <w:t>, 8</w:t>
      </w:r>
      <w:r w:rsidRPr="000D154E">
        <w:rPr>
          <w:rFonts w:ascii="Times New Roman" w:eastAsia="Times New Roman" w:hAnsi="Times New Roman" w:cs="Times New Roman"/>
          <w:sz w:val="24"/>
          <w:szCs w:val="24"/>
          <w:lang w:val="en-US"/>
        </w:rPr>
        <w:t xml:space="preserve">(6), Article e09570. </w:t>
      </w:r>
      <w:hyperlink r:id="rId13" w:tgtFrame="_new" w:history="1">
        <w:r w:rsidRPr="000D154E">
          <w:rPr>
            <w:rFonts w:ascii="Times New Roman" w:eastAsia="Times New Roman" w:hAnsi="Times New Roman" w:cs="Times New Roman"/>
            <w:color w:val="0000FF"/>
            <w:sz w:val="24"/>
            <w:szCs w:val="24"/>
            <w:u w:val="single"/>
            <w:lang w:val="en-US"/>
          </w:rPr>
          <w:t>https://doi.org/10.1016/j.heliyon.2022.e09570</w:t>
        </w:r>
      </w:hyperlink>
      <w:r w:rsidRPr="000D154E">
        <w:rPr>
          <w:rFonts w:ascii="Times New Roman" w:eastAsia="Times New Roman" w:hAnsi="Times New Roman" w:cs="Times New Roman"/>
          <w:sz w:val="24"/>
          <w:szCs w:val="24"/>
          <w:lang w:val="en-US"/>
        </w:rPr>
        <w:t xml:space="preserve"> </w:t>
      </w:r>
    </w:p>
    <w:p w14:paraId="11BB7435"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Bilong, E. G., Abossolo-Angue, M., </w:t>
      </w:r>
      <w:proofErr w:type="spellStart"/>
      <w:r w:rsidRPr="000D154E">
        <w:rPr>
          <w:rFonts w:ascii="Times New Roman" w:eastAsia="Times New Roman" w:hAnsi="Times New Roman" w:cs="Times New Roman"/>
          <w:sz w:val="24"/>
          <w:szCs w:val="24"/>
          <w:lang w:val="en-US"/>
        </w:rPr>
        <w:t>Nanganoa</w:t>
      </w:r>
      <w:proofErr w:type="spellEnd"/>
      <w:r w:rsidRPr="000D154E">
        <w:rPr>
          <w:rFonts w:ascii="Times New Roman" w:eastAsia="Times New Roman" w:hAnsi="Times New Roman" w:cs="Times New Roman"/>
          <w:sz w:val="24"/>
          <w:szCs w:val="24"/>
          <w:lang w:val="en-US"/>
        </w:rPr>
        <w:t xml:space="preserve">, L. T., Anaba, B. D., </w:t>
      </w:r>
      <w:proofErr w:type="spellStart"/>
      <w:r w:rsidRPr="000D154E">
        <w:rPr>
          <w:rFonts w:ascii="Times New Roman" w:eastAsia="Times New Roman" w:hAnsi="Times New Roman" w:cs="Times New Roman"/>
          <w:sz w:val="24"/>
          <w:szCs w:val="24"/>
          <w:lang w:val="en-US"/>
        </w:rPr>
        <w:t>Ajebesone</w:t>
      </w:r>
      <w:proofErr w:type="spellEnd"/>
      <w:r w:rsidRPr="000D154E">
        <w:rPr>
          <w:rFonts w:ascii="Times New Roman" w:eastAsia="Times New Roman" w:hAnsi="Times New Roman" w:cs="Times New Roman"/>
          <w:sz w:val="24"/>
          <w:szCs w:val="24"/>
          <w:lang w:val="en-US"/>
        </w:rPr>
        <w:t xml:space="preserve">, F. N., À </w:t>
      </w:r>
      <w:proofErr w:type="spellStart"/>
      <w:r w:rsidRPr="000D154E">
        <w:rPr>
          <w:rFonts w:ascii="Times New Roman" w:eastAsia="Times New Roman" w:hAnsi="Times New Roman" w:cs="Times New Roman"/>
          <w:sz w:val="24"/>
          <w:szCs w:val="24"/>
          <w:lang w:val="en-US"/>
        </w:rPr>
        <w:t>Madong</w:t>
      </w:r>
      <w:proofErr w:type="spellEnd"/>
      <w:r w:rsidRPr="000D154E">
        <w:rPr>
          <w:rFonts w:ascii="Times New Roman" w:eastAsia="Times New Roman" w:hAnsi="Times New Roman" w:cs="Times New Roman"/>
          <w:sz w:val="24"/>
          <w:szCs w:val="24"/>
          <w:lang w:val="en-US"/>
        </w:rPr>
        <w:t xml:space="preserve">, B., &amp; Bilong, P. (2022b). Organic manures and inorganic fertilizers effects on soil properties and economic analysis under cassava cultivation in southern Cameroon. </w:t>
      </w:r>
      <w:r w:rsidRPr="000D154E">
        <w:rPr>
          <w:rFonts w:ascii="Times New Roman" w:eastAsia="Times New Roman" w:hAnsi="Times New Roman" w:cs="Times New Roman"/>
          <w:i/>
          <w:iCs/>
          <w:sz w:val="24"/>
          <w:szCs w:val="24"/>
          <w:lang w:val="en-US"/>
        </w:rPr>
        <w:t>Scientific Reports, 12</w:t>
      </w:r>
      <w:r w:rsidRPr="000D154E">
        <w:rPr>
          <w:rFonts w:ascii="Times New Roman" w:eastAsia="Times New Roman" w:hAnsi="Times New Roman" w:cs="Times New Roman"/>
          <w:sz w:val="24"/>
          <w:szCs w:val="24"/>
          <w:lang w:val="en-US"/>
        </w:rPr>
        <w:t xml:space="preserve">, Article 20598. </w:t>
      </w:r>
      <w:hyperlink r:id="rId14" w:tgtFrame="_new" w:history="1">
        <w:r w:rsidRPr="000D154E">
          <w:rPr>
            <w:rFonts w:ascii="Times New Roman" w:eastAsia="Times New Roman" w:hAnsi="Times New Roman" w:cs="Times New Roman"/>
            <w:color w:val="0000FF"/>
            <w:sz w:val="24"/>
            <w:szCs w:val="24"/>
            <w:u w:val="single"/>
            <w:lang w:val="en-US"/>
          </w:rPr>
          <w:t>https://doi.org/10.1038/s41598-022-17991-6</w:t>
        </w:r>
      </w:hyperlink>
      <w:r w:rsidRPr="000D154E">
        <w:rPr>
          <w:rFonts w:ascii="Times New Roman" w:eastAsia="Times New Roman" w:hAnsi="Times New Roman" w:cs="Times New Roman"/>
          <w:sz w:val="24"/>
          <w:szCs w:val="24"/>
          <w:lang w:val="en-US"/>
        </w:rPr>
        <w:t xml:space="preserve"> </w:t>
      </w:r>
    </w:p>
    <w:p w14:paraId="5F65C3B5"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Djoufack, M. M. T., Kouam, E. B., Kouam Foko, E. M., </w:t>
      </w:r>
      <w:proofErr w:type="spellStart"/>
      <w:r w:rsidRPr="000D154E">
        <w:rPr>
          <w:rFonts w:ascii="Times New Roman" w:eastAsia="Times New Roman" w:hAnsi="Times New Roman" w:cs="Times New Roman"/>
          <w:sz w:val="24"/>
          <w:szCs w:val="24"/>
          <w:lang w:val="en-US"/>
        </w:rPr>
        <w:t>Anoumaa</w:t>
      </w:r>
      <w:proofErr w:type="spellEnd"/>
      <w:r w:rsidRPr="000D154E">
        <w:rPr>
          <w:rFonts w:ascii="Times New Roman" w:eastAsia="Times New Roman" w:hAnsi="Times New Roman" w:cs="Times New Roman"/>
          <w:sz w:val="24"/>
          <w:szCs w:val="24"/>
          <w:lang w:val="en-US"/>
        </w:rPr>
        <w:t xml:space="preserve">, M., Lontsi Meli, G. R., </w:t>
      </w:r>
      <w:proofErr w:type="spellStart"/>
      <w:r w:rsidRPr="000D154E">
        <w:rPr>
          <w:rFonts w:ascii="Times New Roman" w:eastAsia="Times New Roman" w:hAnsi="Times New Roman" w:cs="Times New Roman"/>
          <w:sz w:val="24"/>
          <w:szCs w:val="24"/>
          <w:lang w:val="en-US"/>
        </w:rPr>
        <w:t>Kaktcham</w:t>
      </w:r>
      <w:proofErr w:type="spellEnd"/>
      <w:r w:rsidRPr="000D154E">
        <w:rPr>
          <w:rFonts w:ascii="Times New Roman" w:eastAsia="Times New Roman" w:hAnsi="Times New Roman" w:cs="Times New Roman"/>
          <w:sz w:val="24"/>
          <w:szCs w:val="24"/>
          <w:lang w:val="en-US"/>
        </w:rPr>
        <w:t>, P. M., &amp; Ngoufack Zambou, F. (2024). Determinants and constraints of carrot (</w:t>
      </w:r>
      <w:r w:rsidRPr="000D154E">
        <w:rPr>
          <w:rFonts w:ascii="Times New Roman" w:eastAsia="Times New Roman" w:hAnsi="Times New Roman" w:cs="Times New Roman"/>
          <w:i/>
          <w:iCs/>
          <w:sz w:val="24"/>
          <w:szCs w:val="24"/>
          <w:lang w:val="en-US"/>
        </w:rPr>
        <w:t>Daucus carota</w:t>
      </w:r>
      <w:r w:rsidRPr="000D154E">
        <w:rPr>
          <w:rFonts w:ascii="Times New Roman" w:eastAsia="Times New Roman" w:hAnsi="Times New Roman" w:cs="Times New Roman"/>
          <w:sz w:val="24"/>
          <w:szCs w:val="24"/>
          <w:lang w:val="en-US"/>
        </w:rPr>
        <w:t xml:space="preserve"> L.) production and marketing in Cameroon. </w:t>
      </w:r>
      <w:r w:rsidRPr="000D154E">
        <w:rPr>
          <w:rFonts w:ascii="Times New Roman" w:eastAsia="Times New Roman" w:hAnsi="Times New Roman" w:cs="Times New Roman"/>
          <w:i/>
          <w:iCs/>
          <w:sz w:val="24"/>
          <w:szCs w:val="24"/>
          <w:lang w:val="en-US"/>
        </w:rPr>
        <w:t>PLOS ONE, 19</w:t>
      </w:r>
      <w:r w:rsidRPr="000D154E">
        <w:rPr>
          <w:rFonts w:ascii="Times New Roman" w:eastAsia="Times New Roman" w:hAnsi="Times New Roman" w:cs="Times New Roman"/>
          <w:sz w:val="24"/>
          <w:szCs w:val="24"/>
          <w:lang w:val="en-US"/>
        </w:rPr>
        <w:t xml:space="preserve">(1), Article e0296418. </w:t>
      </w:r>
      <w:hyperlink r:id="rId15" w:tgtFrame="_new" w:history="1">
        <w:r w:rsidRPr="000D154E">
          <w:rPr>
            <w:rFonts w:ascii="Times New Roman" w:eastAsia="Times New Roman" w:hAnsi="Times New Roman" w:cs="Times New Roman"/>
            <w:color w:val="0000FF"/>
            <w:sz w:val="24"/>
            <w:szCs w:val="24"/>
            <w:u w:val="single"/>
            <w:lang w:val="en-US"/>
          </w:rPr>
          <w:t>https://doi.org/10.1371/journal.pone.0296418</w:t>
        </w:r>
      </w:hyperlink>
      <w:r w:rsidRPr="000D154E">
        <w:rPr>
          <w:rFonts w:ascii="Times New Roman" w:eastAsia="Times New Roman" w:hAnsi="Times New Roman" w:cs="Times New Roman"/>
          <w:sz w:val="24"/>
          <w:szCs w:val="24"/>
          <w:lang w:val="en-US"/>
        </w:rPr>
        <w:t xml:space="preserve"> </w:t>
      </w:r>
    </w:p>
    <w:p w14:paraId="5E11E845"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Donkor, E., </w:t>
      </w:r>
      <w:proofErr w:type="spellStart"/>
      <w:r w:rsidRPr="000D154E">
        <w:rPr>
          <w:rFonts w:ascii="Times New Roman" w:eastAsia="Times New Roman" w:hAnsi="Times New Roman" w:cs="Times New Roman"/>
          <w:sz w:val="24"/>
          <w:szCs w:val="24"/>
          <w:lang w:val="en-US"/>
        </w:rPr>
        <w:t>Amegbe</w:t>
      </w:r>
      <w:proofErr w:type="spellEnd"/>
      <w:r w:rsidRPr="000D154E">
        <w:rPr>
          <w:rFonts w:ascii="Times New Roman" w:eastAsia="Times New Roman" w:hAnsi="Times New Roman" w:cs="Times New Roman"/>
          <w:sz w:val="24"/>
          <w:szCs w:val="24"/>
          <w:lang w:val="en-US"/>
        </w:rPr>
        <w:t xml:space="preserve">, E. D., </w:t>
      </w:r>
      <w:proofErr w:type="spellStart"/>
      <w:r w:rsidRPr="000D154E">
        <w:rPr>
          <w:rFonts w:ascii="Times New Roman" w:eastAsia="Times New Roman" w:hAnsi="Times New Roman" w:cs="Times New Roman"/>
          <w:sz w:val="24"/>
          <w:szCs w:val="24"/>
          <w:lang w:val="en-US"/>
        </w:rPr>
        <w:t>Ratinger</w:t>
      </w:r>
      <w:proofErr w:type="spellEnd"/>
      <w:r w:rsidRPr="000D154E">
        <w:rPr>
          <w:rFonts w:ascii="Times New Roman" w:eastAsia="Times New Roman" w:hAnsi="Times New Roman" w:cs="Times New Roman"/>
          <w:sz w:val="24"/>
          <w:szCs w:val="24"/>
          <w:lang w:val="en-US"/>
        </w:rPr>
        <w:t xml:space="preserve">, T., &amp; </w:t>
      </w:r>
      <w:proofErr w:type="spellStart"/>
      <w:r w:rsidRPr="000D154E">
        <w:rPr>
          <w:rFonts w:ascii="Times New Roman" w:eastAsia="Times New Roman" w:hAnsi="Times New Roman" w:cs="Times New Roman"/>
          <w:sz w:val="24"/>
          <w:szCs w:val="24"/>
          <w:lang w:val="en-US"/>
        </w:rPr>
        <w:t>Hejkrlik</w:t>
      </w:r>
      <w:proofErr w:type="spellEnd"/>
      <w:r w:rsidRPr="000D154E">
        <w:rPr>
          <w:rFonts w:ascii="Times New Roman" w:eastAsia="Times New Roman" w:hAnsi="Times New Roman" w:cs="Times New Roman"/>
          <w:sz w:val="24"/>
          <w:szCs w:val="24"/>
          <w:lang w:val="en-US"/>
        </w:rPr>
        <w:t xml:space="preserve">, J. (2023). The effect of producer groups on the productivity and technical efficiency of smallholder cocoa farmers in Ghana. </w:t>
      </w:r>
      <w:r w:rsidRPr="000D154E">
        <w:rPr>
          <w:rFonts w:ascii="Times New Roman" w:eastAsia="Times New Roman" w:hAnsi="Times New Roman" w:cs="Times New Roman"/>
          <w:i/>
          <w:iCs/>
          <w:sz w:val="24"/>
          <w:szCs w:val="24"/>
          <w:lang w:val="en-US"/>
        </w:rPr>
        <w:t>PLOS ONE, 18</w:t>
      </w:r>
      <w:r w:rsidRPr="000D154E">
        <w:rPr>
          <w:rFonts w:ascii="Times New Roman" w:eastAsia="Times New Roman" w:hAnsi="Times New Roman" w:cs="Times New Roman"/>
          <w:sz w:val="24"/>
          <w:szCs w:val="24"/>
          <w:lang w:val="en-US"/>
        </w:rPr>
        <w:t xml:space="preserve">(12), Article e0294716. </w:t>
      </w:r>
      <w:hyperlink r:id="rId16" w:tgtFrame="_new" w:history="1">
        <w:r w:rsidRPr="000D154E">
          <w:rPr>
            <w:rFonts w:ascii="Times New Roman" w:eastAsia="Times New Roman" w:hAnsi="Times New Roman" w:cs="Times New Roman"/>
            <w:color w:val="0000FF"/>
            <w:sz w:val="24"/>
            <w:szCs w:val="24"/>
            <w:u w:val="single"/>
            <w:lang w:val="en-US"/>
          </w:rPr>
          <w:t>https://doi.org/10.1371/journal.pone.0294716</w:t>
        </w:r>
      </w:hyperlink>
      <w:r w:rsidRPr="000D154E">
        <w:rPr>
          <w:rFonts w:ascii="Times New Roman" w:eastAsia="Times New Roman" w:hAnsi="Times New Roman" w:cs="Times New Roman"/>
          <w:sz w:val="24"/>
          <w:szCs w:val="24"/>
          <w:lang w:val="en-US"/>
        </w:rPr>
        <w:t xml:space="preserve"> </w:t>
      </w:r>
    </w:p>
    <w:p w14:paraId="70088005"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Gereffi, G., Humphrey, J., &amp; Sturgeon, T. (2005). The governance of global value chains. </w:t>
      </w:r>
      <w:r w:rsidRPr="000D154E">
        <w:rPr>
          <w:rFonts w:ascii="Times New Roman" w:eastAsia="Times New Roman" w:hAnsi="Times New Roman" w:cs="Times New Roman"/>
          <w:i/>
          <w:iCs/>
          <w:sz w:val="24"/>
          <w:szCs w:val="24"/>
          <w:lang w:val="en-US"/>
        </w:rPr>
        <w:t>Review of International Political Economy, 12</w:t>
      </w:r>
      <w:r w:rsidRPr="000D154E">
        <w:rPr>
          <w:rFonts w:ascii="Times New Roman" w:eastAsia="Times New Roman" w:hAnsi="Times New Roman" w:cs="Times New Roman"/>
          <w:sz w:val="24"/>
          <w:szCs w:val="24"/>
          <w:lang w:val="en-US"/>
        </w:rPr>
        <w:t xml:space="preserve">(1), 78–104. </w:t>
      </w:r>
      <w:hyperlink r:id="rId17" w:tgtFrame="_new" w:history="1">
        <w:r w:rsidRPr="000D154E">
          <w:rPr>
            <w:rFonts w:ascii="Times New Roman" w:eastAsia="Times New Roman" w:hAnsi="Times New Roman" w:cs="Times New Roman"/>
            <w:color w:val="0000FF"/>
            <w:sz w:val="24"/>
            <w:szCs w:val="24"/>
            <w:u w:val="single"/>
            <w:lang w:val="en-US"/>
          </w:rPr>
          <w:t>https://doi.org/10.1080/09692290500049805</w:t>
        </w:r>
      </w:hyperlink>
      <w:r w:rsidRPr="000D154E">
        <w:rPr>
          <w:rFonts w:ascii="Times New Roman" w:eastAsia="Times New Roman" w:hAnsi="Times New Roman" w:cs="Times New Roman"/>
          <w:sz w:val="24"/>
          <w:szCs w:val="24"/>
          <w:lang w:val="en-US"/>
        </w:rPr>
        <w:t xml:space="preserve"> </w:t>
      </w:r>
    </w:p>
    <w:p w14:paraId="112441AC"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lastRenderedPageBreak/>
        <w:t></w:t>
      </w:r>
      <w:r w:rsidRPr="000D154E">
        <w:rPr>
          <w:rFonts w:ascii="Times New Roman" w:eastAsia="Times New Roman" w:hAnsi="Times New Roman" w:cs="Times New Roman"/>
          <w:sz w:val="24"/>
          <w:szCs w:val="24"/>
          <w:lang w:val="en-US"/>
        </w:rPr>
        <w:t xml:space="preserve">  Geza, W., Ngidi, M. S. C., </w:t>
      </w:r>
      <w:proofErr w:type="spellStart"/>
      <w:r w:rsidRPr="000D154E">
        <w:rPr>
          <w:rFonts w:ascii="Times New Roman" w:eastAsia="Times New Roman" w:hAnsi="Times New Roman" w:cs="Times New Roman"/>
          <w:sz w:val="24"/>
          <w:szCs w:val="24"/>
          <w:lang w:val="en-US"/>
        </w:rPr>
        <w:t>Mudhara</w:t>
      </w:r>
      <w:proofErr w:type="spellEnd"/>
      <w:r w:rsidRPr="000D154E">
        <w:rPr>
          <w:rFonts w:ascii="Times New Roman" w:eastAsia="Times New Roman" w:hAnsi="Times New Roman" w:cs="Times New Roman"/>
          <w:sz w:val="24"/>
          <w:szCs w:val="24"/>
          <w:lang w:val="en-US"/>
        </w:rPr>
        <w:t xml:space="preserve">, M., </w:t>
      </w:r>
      <w:proofErr w:type="spellStart"/>
      <w:r w:rsidRPr="000D154E">
        <w:rPr>
          <w:rFonts w:ascii="Times New Roman" w:eastAsia="Times New Roman" w:hAnsi="Times New Roman" w:cs="Times New Roman"/>
          <w:sz w:val="24"/>
          <w:szCs w:val="24"/>
          <w:lang w:val="en-US"/>
        </w:rPr>
        <w:t>Slotow</w:t>
      </w:r>
      <w:proofErr w:type="spellEnd"/>
      <w:r w:rsidRPr="000D154E">
        <w:rPr>
          <w:rFonts w:ascii="Times New Roman" w:eastAsia="Times New Roman" w:hAnsi="Times New Roman" w:cs="Times New Roman"/>
          <w:sz w:val="24"/>
          <w:szCs w:val="24"/>
          <w:lang w:val="en-US"/>
        </w:rPr>
        <w:t xml:space="preserve">, R., &amp; </w:t>
      </w:r>
      <w:proofErr w:type="spellStart"/>
      <w:r w:rsidRPr="000D154E">
        <w:rPr>
          <w:rFonts w:ascii="Times New Roman" w:eastAsia="Times New Roman" w:hAnsi="Times New Roman" w:cs="Times New Roman"/>
          <w:sz w:val="24"/>
          <w:szCs w:val="24"/>
          <w:lang w:val="en-US"/>
        </w:rPr>
        <w:t>Mabhaudhi</w:t>
      </w:r>
      <w:proofErr w:type="spellEnd"/>
      <w:r w:rsidRPr="000D154E">
        <w:rPr>
          <w:rFonts w:ascii="Times New Roman" w:eastAsia="Times New Roman" w:hAnsi="Times New Roman" w:cs="Times New Roman"/>
          <w:sz w:val="24"/>
          <w:szCs w:val="24"/>
          <w:lang w:val="en-US"/>
        </w:rPr>
        <w:t xml:space="preserve">, T. (2023). “Is there value for us in agriculture?” A case study of youth participation in agricultural value chains in KwaZulu-Natal, South Africa. </w:t>
      </w:r>
      <w:r w:rsidRPr="000D154E">
        <w:rPr>
          <w:rFonts w:ascii="Times New Roman" w:eastAsia="Times New Roman" w:hAnsi="Times New Roman" w:cs="Times New Roman"/>
          <w:i/>
          <w:iCs/>
          <w:sz w:val="24"/>
          <w:szCs w:val="24"/>
          <w:lang w:val="en-US"/>
        </w:rPr>
        <w:t>Cogent Food &amp; Agriculture, 9</w:t>
      </w:r>
      <w:r w:rsidRPr="000D154E">
        <w:rPr>
          <w:rFonts w:ascii="Times New Roman" w:eastAsia="Times New Roman" w:hAnsi="Times New Roman" w:cs="Times New Roman"/>
          <w:sz w:val="24"/>
          <w:szCs w:val="24"/>
          <w:lang w:val="en-US"/>
        </w:rPr>
        <w:t xml:space="preserve">(2), Article 2280365. </w:t>
      </w:r>
      <w:hyperlink r:id="rId18" w:tgtFrame="_new" w:history="1">
        <w:r w:rsidRPr="000D154E">
          <w:rPr>
            <w:rFonts w:ascii="Times New Roman" w:eastAsia="Times New Roman" w:hAnsi="Times New Roman" w:cs="Times New Roman"/>
            <w:color w:val="0000FF"/>
            <w:sz w:val="24"/>
            <w:szCs w:val="24"/>
            <w:u w:val="single"/>
            <w:lang w:val="en-US"/>
          </w:rPr>
          <w:t>https://doi.org/10.1080/23311932.2023.2280365</w:t>
        </w:r>
      </w:hyperlink>
      <w:r w:rsidRPr="000D154E">
        <w:rPr>
          <w:rFonts w:ascii="Times New Roman" w:eastAsia="Times New Roman" w:hAnsi="Times New Roman" w:cs="Times New Roman"/>
          <w:sz w:val="24"/>
          <w:szCs w:val="24"/>
          <w:lang w:val="en-US"/>
        </w:rPr>
        <w:t xml:space="preserve"> </w:t>
      </w:r>
    </w:p>
    <w:p w14:paraId="36F80EB8"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Grant, M. J., &amp; Booth, A. (2009). A typology of reviews: An analysis of 14 review types and associated methodologies. </w:t>
      </w:r>
      <w:r w:rsidRPr="000D154E">
        <w:rPr>
          <w:rFonts w:ascii="Times New Roman" w:eastAsia="Times New Roman" w:hAnsi="Times New Roman" w:cs="Times New Roman"/>
          <w:i/>
          <w:iCs/>
          <w:sz w:val="24"/>
          <w:szCs w:val="24"/>
          <w:lang w:val="en-US"/>
        </w:rPr>
        <w:t>Health Information and Libraries Journal, 26</w:t>
      </w:r>
      <w:r w:rsidRPr="000D154E">
        <w:rPr>
          <w:rFonts w:ascii="Times New Roman" w:eastAsia="Times New Roman" w:hAnsi="Times New Roman" w:cs="Times New Roman"/>
          <w:sz w:val="24"/>
          <w:szCs w:val="24"/>
          <w:lang w:val="en-US"/>
        </w:rPr>
        <w:t xml:space="preserve">(2), 91–108. </w:t>
      </w:r>
      <w:hyperlink r:id="rId19" w:tgtFrame="_new" w:history="1">
        <w:r w:rsidRPr="000D154E">
          <w:rPr>
            <w:rFonts w:ascii="Times New Roman" w:eastAsia="Times New Roman" w:hAnsi="Times New Roman" w:cs="Times New Roman"/>
            <w:color w:val="0000FF"/>
            <w:sz w:val="24"/>
            <w:szCs w:val="24"/>
            <w:u w:val="single"/>
            <w:lang w:val="en-US"/>
          </w:rPr>
          <w:t>https://doi.org/10.1111/j.1471-1842.2009.00848.x</w:t>
        </w:r>
      </w:hyperlink>
      <w:r w:rsidRPr="000D154E">
        <w:rPr>
          <w:rFonts w:ascii="Times New Roman" w:eastAsia="Times New Roman" w:hAnsi="Times New Roman" w:cs="Times New Roman"/>
          <w:sz w:val="24"/>
          <w:szCs w:val="24"/>
          <w:lang w:val="en-US"/>
        </w:rPr>
        <w:t xml:space="preserve"> </w:t>
      </w:r>
    </w:p>
    <w:p w14:paraId="65597B43"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Humphrey, J., &amp; Schmitz, H. (2002). How does insertion in global value chains affect upgrading in industrial clusters? </w:t>
      </w:r>
      <w:r w:rsidRPr="000D154E">
        <w:rPr>
          <w:rFonts w:ascii="Times New Roman" w:eastAsia="Times New Roman" w:hAnsi="Times New Roman" w:cs="Times New Roman"/>
          <w:i/>
          <w:iCs/>
          <w:sz w:val="24"/>
          <w:szCs w:val="24"/>
          <w:lang w:val="en-US"/>
        </w:rPr>
        <w:t>Regional Studies, 36</w:t>
      </w:r>
      <w:r w:rsidRPr="000D154E">
        <w:rPr>
          <w:rFonts w:ascii="Times New Roman" w:eastAsia="Times New Roman" w:hAnsi="Times New Roman" w:cs="Times New Roman"/>
          <w:sz w:val="24"/>
          <w:szCs w:val="24"/>
          <w:lang w:val="en-US"/>
        </w:rPr>
        <w:t xml:space="preserve">(9), 1017–1027. </w:t>
      </w:r>
      <w:hyperlink r:id="rId20" w:tgtFrame="_new" w:history="1">
        <w:r w:rsidRPr="000D154E">
          <w:rPr>
            <w:rFonts w:ascii="Times New Roman" w:eastAsia="Times New Roman" w:hAnsi="Times New Roman" w:cs="Times New Roman"/>
            <w:color w:val="0000FF"/>
            <w:sz w:val="24"/>
            <w:szCs w:val="24"/>
            <w:u w:val="single"/>
            <w:lang w:val="en-US"/>
          </w:rPr>
          <w:t>https://doi.org/10.1080/0034340022000022198</w:t>
        </w:r>
      </w:hyperlink>
      <w:r w:rsidRPr="000D154E">
        <w:rPr>
          <w:rFonts w:ascii="Times New Roman" w:eastAsia="Times New Roman" w:hAnsi="Times New Roman" w:cs="Times New Roman"/>
          <w:sz w:val="24"/>
          <w:szCs w:val="24"/>
          <w:lang w:val="en-US"/>
        </w:rPr>
        <w:t xml:space="preserve"> </w:t>
      </w:r>
    </w:p>
    <w:p w14:paraId="34DAB20D"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Ingram, V., Janssen, V., Neh, V. A., &amp; </w:t>
      </w:r>
      <w:proofErr w:type="spellStart"/>
      <w:r w:rsidRPr="000D154E">
        <w:rPr>
          <w:rFonts w:ascii="Times New Roman" w:eastAsia="Times New Roman" w:hAnsi="Times New Roman" w:cs="Times New Roman"/>
          <w:sz w:val="24"/>
          <w:szCs w:val="24"/>
          <w:lang w:val="en-US"/>
        </w:rPr>
        <w:t>Pratihast</w:t>
      </w:r>
      <w:proofErr w:type="spellEnd"/>
      <w:r w:rsidRPr="000D154E">
        <w:rPr>
          <w:rFonts w:ascii="Times New Roman" w:eastAsia="Times New Roman" w:hAnsi="Times New Roman" w:cs="Times New Roman"/>
          <w:sz w:val="24"/>
          <w:szCs w:val="24"/>
          <w:lang w:val="en-US"/>
        </w:rPr>
        <w:t xml:space="preserve">, A. K. (2025). Cocoa driven deforestation in Cameroon: Practices and policy. </w:t>
      </w:r>
      <w:r w:rsidRPr="000D154E">
        <w:rPr>
          <w:rFonts w:ascii="Times New Roman" w:eastAsia="Times New Roman" w:hAnsi="Times New Roman" w:cs="Times New Roman"/>
          <w:i/>
          <w:iCs/>
          <w:sz w:val="24"/>
          <w:szCs w:val="24"/>
          <w:lang w:val="en-US"/>
        </w:rPr>
        <w:t>Forest Policy and Economics, 177</w:t>
      </w:r>
      <w:r w:rsidRPr="000D154E">
        <w:rPr>
          <w:rFonts w:ascii="Times New Roman" w:eastAsia="Times New Roman" w:hAnsi="Times New Roman" w:cs="Times New Roman"/>
          <w:sz w:val="24"/>
          <w:szCs w:val="24"/>
          <w:lang w:val="en-US"/>
        </w:rPr>
        <w:t xml:space="preserve">, Article 103533. </w:t>
      </w:r>
      <w:hyperlink r:id="rId21" w:tgtFrame="_new" w:history="1">
        <w:r w:rsidRPr="000D154E">
          <w:rPr>
            <w:rFonts w:ascii="Times New Roman" w:eastAsia="Times New Roman" w:hAnsi="Times New Roman" w:cs="Times New Roman"/>
            <w:color w:val="0000FF"/>
            <w:sz w:val="24"/>
            <w:szCs w:val="24"/>
            <w:u w:val="single"/>
            <w:lang w:val="en-US"/>
          </w:rPr>
          <w:t>https://doi.org/10.1016/j.forpol.2025.103533</w:t>
        </w:r>
      </w:hyperlink>
      <w:r w:rsidRPr="000D154E">
        <w:rPr>
          <w:rFonts w:ascii="Times New Roman" w:eastAsia="Times New Roman" w:hAnsi="Times New Roman" w:cs="Times New Roman"/>
          <w:sz w:val="24"/>
          <w:szCs w:val="24"/>
          <w:lang w:val="en-US"/>
        </w:rPr>
        <w:t xml:space="preserve"> </w:t>
      </w:r>
    </w:p>
    <w:p w14:paraId="44ED681A"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Jaza </w:t>
      </w:r>
      <w:proofErr w:type="spellStart"/>
      <w:r w:rsidRPr="000D154E">
        <w:rPr>
          <w:rFonts w:ascii="Times New Roman" w:eastAsia="Times New Roman" w:hAnsi="Times New Roman" w:cs="Times New Roman"/>
          <w:sz w:val="24"/>
          <w:szCs w:val="24"/>
          <w:lang w:val="en-US"/>
        </w:rPr>
        <w:t>Folefack</w:t>
      </w:r>
      <w:proofErr w:type="spellEnd"/>
      <w:r w:rsidRPr="000D154E">
        <w:rPr>
          <w:rFonts w:ascii="Times New Roman" w:eastAsia="Times New Roman" w:hAnsi="Times New Roman" w:cs="Times New Roman"/>
          <w:sz w:val="24"/>
          <w:szCs w:val="24"/>
          <w:lang w:val="en-US"/>
        </w:rPr>
        <w:t xml:space="preserve">, A. J., &amp; Darr, D. (2021). Promoting cocoa agroforestry under conditions of separated ownership of land and trees: Strengthening customary tenure institutions in Cameroon. </w:t>
      </w:r>
      <w:r w:rsidRPr="000D154E">
        <w:rPr>
          <w:rFonts w:ascii="Times New Roman" w:eastAsia="Times New Roman" w:hAnsi="Times New Roman" w:cs="Times New Roman"/>
          <w:i/>
          <w:iCs/>
          <w:sz w:val="24"/>
          <w:szCs w:val="24"/>
          <w:lang w:val="en-US"/>
        </w:rPr>
        <w:t>Land Use Policy, 108</w:t>
      </w:r>
      <w:r w:rsidRPr="000D154E">
        <w:rPr>
          <w:rFonts w:ascii="Times New Roman" w:eastAsia="Times New Roman" w:hAnsi="Times New Roman" w:cs="Times New Roman"/>
          <w:sz w:val="24"/>
          <w:szCs w:val="24"/>
          <w:lang w:val="en-US"/>
        </w:rPr>
        <w:t xml:space="preserve">, Article 105524. </w:t>
      </w:r>
      <w:hyperlink r:id="rId22" w:tgtFrame="_new" w:history="1">
        <w:r w:rsidRPr="000D154E">
          <w:rPr>
            <w:rFonts w:ascii="Times New Roman" w:eastAsia="Times New Roman" w:hAnsi="Times New Roman" w:cs="Times New Roman"/>
            <w:color w:val="0000FF"/>
            <w:sz w:val="24"/>
            <w:szCs w:val="24"/>
            <w:u w:val="single"/>
            <w:lang w:val="en-US"/>
          </w:rPr>
          <w:t>https://doi.org/10.1016/j.landusepol.2021.105524</w:t>
        </w:r>
      </w:hyperlink>
      <w:r w:rsidRPr="000D154E">
        <w:rPr>
          <w:rFonts w:ascii="Times New Roman" w:eastAsia="Times New Roman" w:hAnsi="Times New Roman" w:cs="Times New Roman"/>
          <w:sz w:val="24"/>
          <w:szCs w:val="24"/>
          <w:lang w:val="en-US"/>
        </w:rPr>
        <w:t xml:space="preserve"> </w:t>
      </w:r>
    </w:p>
    <w:p w14:paraId="62BF7CF1"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Kaplinsky, R. (2000). </w:t>
      </w:r>
      <w:proofErr w:type="spellStart"/>
      <w:r w:rsidRPr="000D154E">
        <w:rPr>
          <w:rFonts w:ascii="Times New Roman" w:eastAsia="Times New Roman" w:hAnsi="Times New Roman" w:cs="Times New Roman"/>
          <w:sz w:val="24"/>
          <w:szCs w:val="24"/>
          <w:lang w:val="en-US"/>
        </w:rPr>
        <w:t>Globalisation</w:t>
      </w:r>
      <w:proofErr w:type="spellEnd"/>
      <w:r w:rsidRPr="000D154E">
        <w:rPr>
          <w:rFonts w:ascii="Times New Roman" w:eastAsia="Times New Roman" w:hAnsi="Times New Roman" w:cs="Times New Roman"/>
          <w:sz w:val="24"/>
          <w:szCs w:val="24"/>
          <w:lang w:val="en-US"/>
        </w:rPr>
        <w:t xml:space="preserve"> and </w:t>
      </w:r>
      <w:proofErr w:type="spellStart"/>
      <w:r w:rsidRPr="000D154E">
        <w:rPr>
          <w:rFonts w:ascii="Times New Roman" w:eastAsia="Times New Roman" w:hAnsi="Times New Roman" w:cs="Times New Roman"/>
          <w:sz w:val="24"/>
          <w:szCs w:val="24"/>
          <w:lang w:val="en-US"/>
        </w:rPr>
        <w:t>unequalisation</w:t>
      </w:r>
      <w:proofErr w:type="spellEnd"/>
      <w:r w:rsidRPr="000D154E">
        <w:rPr>
          <w:rFonts w:ascii="Times New Roman" w:eastAsia="Times New Roman" w:hAnsi="Times New Roman" w:cs="Times New Roman"/>
          <w:sz w:val="24"/>
          <w:szCs w:val="24"/>
          <w:lang w:val="en-US"/>
        </w:rPr>
        <w:t xml:space="preserve">: What can be learned from value chain analysis? </w:t>
      </w:r>
      <w:r w:rsidRPr="000D154E">
        <w:rPr>
          <w:rFonts w:ascii="Times New Roman" w:eastAsia="Times New Roman" w:hAnsi="Times New Roman" w:cs="Times New Roman"/>
          <w:i/>
          <w:iCs/>
          <w:sz w:val="24"/>
          <w:szCs w:val="24"/>
          <w:lang w:val="en-US"/>
        </w:rPr>
        <w:t>Journal of Development Studies, 37</w:t>
      </w:r>
      <w:r w:rsidRPr="000D154E">
        <w:rPr>
          <w:rFonts w:ascii="Times New Roman" w:eastAsia="Times New Roman" w:hAnsi="Times New Roman" w:cs="Times New Roman"/>
          <w:sz w:val="24"/>
          <w:szCs w:val="24"/>
          <w:lang w:val="en-US"/>
        </w:rPr>
        <w:t xml:space="preserve">(2), 117–146. </w:t>
      </w:r>
      <w:hyperlink r:id="rId23" w:tgtFrame="_new" w:history="1">
        <w:r w:rsidRPr="000D154E">
          <w:rPr>
            <w:rFonts w:ascii="Times New Roman" w:eastAsia="Times New Roman" w:hAnsi="Times New Roman" w:cs="Times New Roman"/>
            <w:color w:val="0000FF"/>
            <w:sz w:val="24"/>
            <w:szCs w:val="24"/>
            <w:u w:val="single"/>
            <w:lang w:val="en-US"/>
          </w:rPr>
          <w:t>https://doi.org/10.1080/713600071</w:t>
        </w:r>
      </w:hyperlink>
      <w:r w:rsidRPr="000D154E">
        <w:rPr>
          <w:rFonts w:ascii="Times New Roman" w:eastAsia="Times New Roman" w:hAnsi="Times New Roman" w:cs="Times New Roman"/>
          <w:sz w:val="24"/>
          <w:szCs w:val="24"/>
          <w:lang w:val="en-US"/>
        </w:rPr>
        <w:t xml:space="preserve"> </w:t>
      </w:r>
    </w:p>
    <w:p w14:paraId="67291F09"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Mbarga Evouna, J. S., </w:t>
      </w:r>
      <w:proofErr w:type="spellStart"/>
      <w:r w:rsidRPr="000D154E">
        <w:rPr>
          <w:rFonts w:ascii="Times New Roman" w:eastAsia="Times New Roman" w:hAnsi="Times New Roman" w:cs="Times New Roman"/>
          <w:sz w:val="24"/>
          <w:szCs w:val="24"/>
          <w:lang w:val="en-US"/>
        </w:rPr>
        <w:t>Molua</w:t>
      </w:r>
      <w:proofErr w:type="spellEnd"/>
      <w:r w:rsidRPr="000D154E">
        <w:rPr>
          <w:rFonts w:ascii="Times New Roman" w:eastAsia="Times New Roman" w:hAnsi="Times New Roman" w:cs="Times New Roman"/>
          <w:sz w:val="24"/>
          <w:szCs w:val="24"/>
          <w:lang w:val="en-US"/>
        </w:rPr>
        <w:t xml:space="preserve">, E. L., Djomo </w:t>
      </w:r>
      <w:proofErr w:type="spellStart"/>
      <w:r w:rsidRPr="000D154E">
        <w:rPr>
          <w:rFonts w:ascii="Times New Roman" w:eastAsia="Times New Roman" w:hAnsi="Times New Roman" w:cs="Times New Roman"/>
          <w:sz w:val="24"/>
          <w:szCs w:val="24"/>
          <w:lang w:val="en-US"/>
        </w:rPr>
        <w:t>Choumbou</w:t>
      </w:r>
      <w:proofErr w:type="spellEnd"/>
      <w:r w:rsidRPr="000D154E">
        <w:rPr>
          <w:rFonts w:ascii="Times New Roman" w:eastAsia="Times New Roman" w:hAnsi="Times New Roman" w:cs="Times New Roman"/>
          <w:sz w:val="24"/>
          <w:szCs w:val="24"/>
          <w:lang w:val="en-US"/>
        </w:rPr>
        <w:t xml:space="preserve">, R. F., &amp; </w:t>
      </w:r>
      <w:proofErr w:type="spellStart"/>
      <w:r w:rsidRPr="000D154E">
        <w:rPr>
          <w:rFonts w:ascii="Times New Roman" w:eastAsia="Times New Roman" w:hAnsi="Times New Roman" w:cs="Times New Roman"/>
          <w:sz w:val="24"/>
          <w:szCs w:val="24"/>
          <w:lang w:val="en-US"/>
        </w:rPr>
        <w:t>Kemeni</w:t>
      </w:r>
      <w:proofErr w:type="spellEnd"/>
      <w:r w:rsidRPr="000D154E">
        <w:rPr>
          <w:rFonts w:ascii="Times New Roman" w:eastAsia="Times New Roman" w:hAnsi="Times New Roman" w:cs="Times New Roman"/>
          <w:sz w:val="24"/>
          <w:szCs w:val="24"/>
          <w:lang w:val="en-US"/>
        </w:rPr>
        <w:t xml:space="preserve"> </w:t>
      </w:r>
      <w:proofErr w:type="spellStart"/>
      <w:r w:rsidRPr="000D154E">
        <w:rPr>
          <w:rFonts w:ascii="Times New Roman" w:eastAsia="Times New Roman" w:hAnsi="Times New Roman" w:cs="Times New Roman"/>
          <w:sz w:val="24"/>
          <w:szCs w:val="24"/>
          <w:lang w:val="en-US"/>
        </w:rPr>
        <w:t>Kambiet</w:t>
      </w:r>
      <w:proofErr w:type="spellEnd"/>
      <w:r w:rsidRPr="000D154E">
        <w:rPr>
          <w:rFonts w:ascii="Times New Roman" w:eastAsia="Times New Roman" w:hAnsi="Times New Roman" w:cs="Times New Roman"/>
          <w:sz w:val="24"/>
          <w:szCs w:val="24"/>
          <w:lang w:val="en-US"/>
        </w:rPr>
        <w:t xml:space="preserve">, P. L. (2024). Structure and performance of cassava markets: Challenges of food security and connecting small farmers to markets in Cameroon. </w:t>
      </w:r>
      <w:r w:rsidRPr="000D154E">
        <w:rPr>
          <w:rFonts w:ascii="Times New Roman" w:eastAsia="Times New Roman" w:hAnsi="Times New Roman" w:cs="Times New Roman"/>
          <w:i/>
          <w:iCs/>
          <w:sz w:val="24"/>
          <w:szCs w:val="24"/>
          <w:lang w:val="en-US"/>
        </w:rPr>
        <w:t>Frontiers in Sustainable Food Systems, 8</w:t>
      </w:r>
      <w:r w:rsidRPr="000D154E">
        <w:rPr>
          <w:rFonts w:ascii="Times New Roman" w:eastAsia="Times New Roman" w:hAnsi="Times New Roman" w:cs="Times New Roman"/>
          <w:sz w:val="24"/>
          <w:szCs w:val="24"/>
          <w:lang w:val="en-US"/>
        </w:rPr>
        <w:t xml:space="preserve">, Article 1353565. </w:t>
      </w:r>
      <w:hyperlink r:id="rId24" w:tgtFrame="_new" w:history="1">
        <w:r w:rsidRPr="000D154E">
          <w:rPr>
            <w:rFonts w:ascii="Times New Roman" w:eastAsia="Times New Roman" w:hAnsi="Times New Roman" w:cs="Times New Roman"/>
            <w:color w:val="0000FF"/>
            <w:sz w:val="24"/>
            <w:szCs w:val="24"/>
            <w:u w:val="single"/>
            <w:lang w:val="en-US"/>
          </w:rPr>
          <w:t>https://doi.org/10.3389/fsufs.2024.1353565</w:t>
        </w:r>
      </w:hyperlink>
      <w:r w:rsidRPr="000D154E">
        <w:rPr>
          <w:rFonts w:ascii="Times New Roman" w:eastAsia="Times New Roman" w:hAnsi="Times New Roman" w:cs="Times New Roman"/>
          <w:sz w:val="24"/>
          <w:szCs w:val="24"/>
          <w:lang w:val="en-US"/>
        </w:rPr>
        <w:t xml:space="preserve"> </w:t>
      </w:r>
    </w:p>
    <w:p w14:paraId="2F989548"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Mbuli, C. S., </w:t>
      </w:r>
      <w:proofErr w:type="spellStart"/>
      <w:r w:rsidRPr="000D154E">
        <w:rPr>
          <w:rFonts w:ascii="Times New Roman" w:eastAsia="Times New Roman" w:hAnsi="Times New Roman" w:cs="Times New Roman"/>
          <w:sz w:val="24"/>
          <w:szCs w:val="24"/>
          <w:lang w:val="en-US"/>
        </w:rPr>
        <w:t>Fonjong</w:t>
      </w:r>
      <w:proofErr w:type="spellEnd"/>
      <w:r w:rsidRPr="000D154E">
        <w:rPr>
          <w:rFonts w:ascii="Times New Roman" w:eastAsia="Times New Roman" w:hAnsi="Times New Roman" w:cs="Times New Roman"/>
          <w:sz w:val="24"/>
          <w:szCs w:val="24"/>
          <w:lang w:val="en-US"/>
        </w:rPr>
        <w:t xml:space="preserve">, L. N., &amp; Fletcher, A. J. (2021). Climate change and small farmers’ vulnerability to food insecurity in Cameroon. </w:t>
      </w:r>
      <w:r w:rsidRPr="000D154E">
        <w:rPr>
          <w:rFonts w:ascii="Times New Roman" w:eastAsia="Times New Roman" w:hAnsi="Times New Roman" w:cs="Times New Roman"/>
          <w:i/>
          <w:iCs/>
          <w:sz w:val="24"/>
          <w:szCs w:val="24"/>
          <w:lang w:val="en-US"/>
        </w:rPr>
        <w:t>Sustainability, 13</w:t>
      </w:r>
      <w:r w:rsidRPr="000D154E">
        <w:rPr>
          <w:rFonts w:ascii="Times New Roman" w:eastAsia="Times New Roman" w:hAnsi="Times New Roman" w:cs="Times New Roman"/>
          <w:sz w:val="24"/>
          <w:szCs w:val="24"/>
          <w:lang w:val="en-US"/>
        </w:rPr>
        <w:t xml:space="preserve">(3), Article 1523. </w:t>
      </w:r>
      <w:hyperlink r:id="rId25" w:tgtFrame="_new" w:history="1">
        <w:r w:rsidRPr="000D154E">
          <w:rPr>
            <w:rFonts w:ascii="Times New Roman" w:eastAsia="Times New Roman" w:hAnsi="Times New Roman" w:cs="Times New Roman"/>
            <w:color w:val="0000FF"/>
            <w:sz w:val="24"/>
            <w:szCs w:val="24"/>
            <w:u w:val="single"/>
            <w:lang w:val="en-US"/>
          </w:rPr>
          <w:t>https://doi.org/10.3390/su13031523</w:t>
        </w:r>
      </w:hyperlink>
      <w:r w:rsidRPr="000D154E">
        <w:rPr>
          <w:rFonts w:ascii="Times New Roman" w:eastAsia="Times New Roman" w:hAnsi="Times New Roman" w:cs="Times New Roman"/>
          <w:sz w:val="24"/>
          <w:szCs w:val="24"/>
          <w:lang w:val="en-US"/>
        </w:rPr>
        <w:t xml:space="preserve"> </w:t>
      </w:r>
    </w:p>
    <w:p w14:paraId="0BA3AC0C"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McArthur, J. W., &amp; Sachs, J. D. (2019). Agriculture, aid, and economic growth in Africa. </w:t>
      </w:r>
      <w:r w:rsidRPr="000D154E">
        <w:rPr>
          <w:rFonts w:ascii="Times New Roman" w:eastAsia="Times New Roman" w:hAnsi="Times New Roman" w:cs="Times New Roman"/>
          <w:i/>
          <w:iCs/>
          <w:sz w:val="24"/>
          <w:szCs w:val="24"/>
          <w:lang w:val="en-US"/>
        </w:rPr>
        <w:t>The World Bank Economic Review, 33</w:t>
      </w:r>
      <w:r w:rsidRPr="000D154E">
        <w:rPr>
          <w:rFonts w:ascii="Times New Roman" w:eastAsia="Times New Roman" w:hAnsi="Times New Roman" w:cs="Times New Roman"/>
          <w:sz w:val="24"/>
          <w:szCs w:val="24"/>
          <w:lang w:val="en-US"/>
        </w:rPr>
        <w:t xml:space="preserve">(1), 1–20. </w:t>
      </w:r>
      <w:hyperlink r:id="rId26" w:tgtFrame="_new" w:history="1">
        <w:r w:rsidRPr="000D154E">
          <w:rPr>
            <w:rFonts w:ascii="Times New Roman" w:eastAsia="Times New Roman" w:hAnsi="Times New Roman" w:cs="Times New Roman"/>
            <w:color w:val="0000FF"/>
            <w:sz w:val="24"/>
            <w:szCs w:val="24"/>
            <w:u w:val="single"/>
            <w:lang w:val="en-US"/>
          </w:rPr>
          <w:t>https://doi.org/10.1093/wber/lhx029</w:t>
        </w:r>
      </w:hyperlink>
      <w:r w:rsidRPr="000D154E">
        <w:rPr>
          <w:rFonts w:ascii="Times New Roman" w:eastAsia="Times New Roman" w:hAnsi="Times New Roman" w:cs="Times New Roman"/>
          <w:sz w:val="24"/>
          <w:szCs w:val="24"/>
          <w:lang w:val="en-US"/>
        </w:rPr>
        <w:t xml:space="preserve"> </w:t>
      </w:r>
    </w:p>
    <w:p w14:paraId="210C0760"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Mfouapon, A., Kamdem, C. B., Mohammadou, N., &amp; Djoumessi, Y. F. (2024). Democracy, natural resources, and agricultural aid in Africa: Exploring the complex nexus of aid effectiveness and resource rent dependency. </w:t>
      </w:r>
      <w:r w:rsidRPr="000D154E">
        <w:rPr>
          <w:rFonts w:ascii="Times New Roman" w:eastAsia="Times New Roman" w:hAnsi="Times New Roman" w:cs="Times New Roman"/>
          <w:i/>
          <w:iCs/>
          <w:sz w:val="24"/>
          <w:szCs w:val="24"/>
          <w:lang w:val="en-US"/>
        </w:rPr>
        <w:t>Natural Resources Forum, 48</w:t>
      </w:r>
      <w:r w:rsidRPr="000D154E">
        <w:rPr>
          <w:rFonts w:ascii="Times New Roman" w:eastAsia="Times New Roman" w:hAnsi="Times New Roman" w:cs="Times New Roman"/>
          <w:sz w:val="24"/>
          <w:szCs w:val="24"/>
          <w:lang w:val="en-US"/>
        </w:rPr>
        <w:t xml:space="preserve">(4), 1048–1087. </w:t>
      </w:r>
      <w:hyperlink r:id="rId27" w:tgtFrame="_new" w:history="1">
        <w:r w:rsidRPr="000D154E">
          <w:rPr>
            <w:rFonts w:ascii="Times New Roman" w:eastAsia="Times New Roman" w:hAnsi="Times New Roman" w:cs="Times New Roman"/>
            <w:color w:val="0000FF"/>
            <w:sz w:val="24"/>
            <w:szCs w:val="24"/>
            <w:u w:val="single"/>
            <w:lang w:val="en-US"/>
          </w:rPr>
          <w:t>https://doi.org/10.1111/1477-8947.12344</w:t>
        </w:r>
      </w:hyperlink>
      <w:r w:rsidRPr="000D154E">
        <w:rPr>
          <w:rFonts w:ascii="Times New Roman" w:eastAsia="Times New Roman" w:hAnsi="Times New Roman" w:cs="Times New Roman"/>
          <w:sz w:val="24"/>
          <w:szCs w:val="24"/>
          <w:lang w:val="en-US"/>
        </w:rPr>
        <w:t xml:space="preserve"> </w:t>
      </w:r>
    </w:p>
    <w:p w14:paraId="6583BE7F"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Mukete, N., Li, Z., Mukete, B., &amp; </w:t>
      </w:r>
      <w:proofErr w:type="spellStart"/>
      <w:r w:rsidRPr="000D154E">
        <w:rPr>
          <w:rFonts w:ascii="Times New Roman" w:eastAsia="Times New Roman" w:hAnsi="Times New Roman" w:cs="Times New Roman"/>
          <w:sz w:val="24"/>
          <w:szCs w:val="24"/>
          <w:lang w:val="en-US"/>
        </w:rPr>
        <w:t>Bobyeg</w:t>
      </w:r>
      <w:proofErr w:type="spellEnd"/>
      <w:r w:rsidRPr="000D154E">
        <w:rPr>
          <w:rFonts w:ascii="Times New Roman" w:eastAsia="Times New Roman" w:hAnsi="Times New Roman" w:cs="Times New Roman"/>
          <w:sz w:val="24"/>
          <w:szCs w:val="24"/>
          <w:lang w:val="en-US"/>
        </w:rPr>
        <w:t xml:space="preserve">, P. (2018). Cocoa production in Cameroon: A socioeconomic and technical efficiency perspective. </w:t>
      </w:r>
      <w:r w:rsidRPr="000D154E">
        <w:rPr>
          <w:rFonts w:ascii="Times New Roman" w:eastAsia="Times New Roman" w:hAnsi="Times New Roman" w:cs="Times New Roman"/>
          <w:i/>
          <w:iCs/>
          <w:sz w:val="24"/>
          <w:szCs w:val="24"/>
          <w:lang w:val="en-US"/>
        </w:rPr>
        <w:t>International Journal of Agricultural Economics, 3</w:t>
      </w:r>
      <w:r w:rsidRPr="000D154E">
        <w:rPr>
          <w:rFonts w:ascii="Times New Roman" w:eastAsia="Times New Roman" w:hAnsi="Times New Roman" w:cs="Times New Roman"/>
          <w:sz w:val="24"/>
          <w:szCs w:val="24"/>
          <w:lang w:val="en-US"/>
        </w:rPr>
        <w:t xml:space="preserve">(1), 1–8. </w:t>
      </w:r>
      <w:hyperlink r:id="rId28" w:tgtFrame="_new" w:history="1">
        <w:r w:rsidRPr="000D154E">
          <w:rPr>
            <w:rFonts w:ascii="Times New Roman" w:eastAsia="Times New Roman" w:hAnsi="Times New Roman" w:cs="Times New Roman"/>
            <w:color w:val="0000FF"/>
            <w:sz w:val="24"/>
            <w:szCs w:val="24"/>
            <w:u w:val="single"/>
            <w:lang w:val="en-US"/>
          </w:rPr>
          <w:t>https://doi.org/10.11648/j.ijae.20180301.11</w:t>
        </w:r>
      </w:hyperlink>
      <w:r w:rsidRPr="000D154E">
        <w:rPr>
          <w:rFonts w:ascii="Times New Roman" w:eastAsia="Times New Roman" w:hAnsi="Times New Roman" w:cs="Times New Roman"/>
          <w:sz w:val="24"/>
          <w:szCs w:val="24"/>
          <w:lang w:val="en-US"/>
        </w:rPr>
        <w:t xml:space="preserve"> </w:t>
      </w:r>
    </w:p>
    <w:p w14:paraId="0A2FF910"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Ndi, F. A., &amp; </w:t>
      </w:r>
      <w:proofErr w:type="spellStart"/>
      <w:r w:rsidRPr="000D154E">
        <w:rPr>
          <w:rFonts w:ascii="Times New Roman" w:eastAsia="Times New Roman" w:hAnsi="Times New Roman" w:cs="Times New Roman"/>
          <w:sz w:val="24"/>
          <w:szCs w:val="24"/>
          <w:lang w:val="en-US"/>
        </w:rPr>
        <w:t>Batterbury</w:t>
      </w:r>
      <w:proofErr w:type="spellEnd"/>
      <w:r w:rsidRPr="000D154E">
        <w:rPr>
          <w:rFonts w:ascii="Times New Roman" w:eastAsia="Times New Roman" w:hAnsi="Times New Roman" w:cs="Times New Roman"/>
          <w:sz w:val="24"/>
          <w:szCs w:val="24"/>
          <w:lang w:val="en-US"/>
        </w:rPr>
        <w:t xml:space="preserve">, S. (2017). Land grabbing and the axis of political conflicts: Insights from Southwest Cameroon. </w:t>
      </w:r>
      <w:r w:rsidRPr="000D154E">
        <w:rPr>
          <w:rFonts w:ascii="Times New Roman" w:eastAsia="Times New Roman" w:hAnsi="Times New Roman" w:cs="Times New Roman"/>
          <w:i/>
          <w:iCs/>
          <w:sz w:val="24"/>
          <w:szCs w:val="24"/>
          <w:lang w:val="en-US"/>
        </w:rPr>
        <w:t>Africa Spectrum, 52</w:t>
      </w:r>
      <w:r w:rsidRPr="000D154E">
        <w:rPr>
          <w:rFonts w:ascii="Times New Roman" w:eastAsia="Times New Roman" w:hAnsi="Times New Roman" w:cs="Times New Roman"/>
          <w:sz w:val="24"/>
          <w:szCs w:val="24"/>
          <w:lang w:val="en-US"/>
        </w:rPr>
        <w:t xml:space="preserve">(1), 33–63. </w:t>
      </w:r>
      <w:hyperlink r:id="rId29" w:tgtFrame="_new" w:history="1">
        <w:r w:rsidRPr="000D154E">
          <w:rPr>
            <w:rFonts w:ascii="Times New Roman" w:eastAsia="Times New Roman" w:hAnsi="Times New Roman" w:cs="Times New Roman"/>
            <w:color w:val="0000FF"/>
            <w:sz w:val="24"/>
            <w:szCs w:val="24"/>
            <w:u w:val="single"/>
            <w:lang w:val="en-US"/>
          </w:rPr>
          <w:t>https://doi.org/10.1177/000203971705200102</w:t>
        </w:r>
      </w:hyperlink>
      <w:r w:rsidRPr="000D154E">
        <w:rPr>
          <w:rFonts w:ascii="Times New Roman" w:eastAsia="Times New Roman" w:hAnsi="Times New Roman" w:cs="Times New Roman"/>
          <w:sz w:val="24"/>
          <w:szCs w:val="24"/>
          <w:lang w:val="en-US"/>
        </w:rPr>
        <w:t xml:space="preserve"> </w:t>
      </w:r>
    </w:p>
    <w:p w14:paraId="6D729601"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w:t>
      </w:r>
      <w:proofErr w:type="spellStart"/>
      <w:r w:rsidRPr="000D154E">
        <w:rPr>
          <w:rFonts w:ascii="Times New Roman" w:eastAsia="Times New Roman" w:hAnsi="Times New Roman" w:cs="Times New Roman"/>
          <w:sz w:val="24"/>
          <w:szCs w:val="24"/>
          <w:lang w:val="en-US"/>
        </w:rPr>
        <w:t>Ngoucheme</w:t>
      </w:r>
      <w:proofErr w:type="spellEnd"/>
      <w:r w:rsidRPr="000D154E">
        <w:rPr>
          <w:rFonts w:ascii="Times New Roman" w:eastAsia="Times New Roman" w:hAnsi="Times New Roman" w:cs="Times New Roman"/>
          <w:sz w:val="24"/>
          <w:szCs w:val="24"/>
          <w:lang w:val="en-US"/>
        </w:rPr>
        <w:t xml:space="preserve">, R., Nembot Ndeffo, L., Kamdem, C. B., &amp; </w:t>
      </w:r>
      <w:proofErr w:type="spellStart"/>
      <w:r w:rsidRPr="000D154E">
        <w:rPr>
          <w:rFonts w:ascii="Times New Roman" w:eastAsia="Times New Roman" w:hAnsi="Times New Roman" w:cs="Times New Roman"/>
          <w:sz w:val="24"/>
          <w:szCs w:val="24"/>
          <w:lang w:val="en-US"/>
        </w:rPr>
        <w:t>Gbetkom</w:t>
      </w:r>
      <w:proofErr w:type="spellEnd"/>
      <w:r w:rsidRPr="000D154E">
        <w:rPr>
          <w:rFonts w:ascii="Times New Roman" w:eastAsia="Times New Roman" w:hAnsi="Times New Roman" w:cs="Times New Roman"/>
          <w:sz w:val="24"/>
          <w:szCs w:val="24"/>
          <w:lang w:val="en-US"/>
        </w:rPr>
        <w:t xml:space="preserve">, D. (2023). Economic performance of certified cocoa-based agroforestry systems in Cameroon. </w:t>
      </w:r>
      <w:r w:rsidRPr="000D154E">
        <w:rPr>
          <w:rFonts w:ascii="Times New Roman" w:eastAsia="Times New Roman" w:hAnsi="Times New Roman" w:cs="Times New Roman"/>
          <w:i/>
          <w:iCs/>
          <w:sz w:val="24"/>
          <w:szCs w:val="24"/>
          <w:lang w:val="en-US"/>
        </w:rPr>
        <w:t>Environment, Development and Sustainability, 25</w:t>
      </w:r>
      <w:r w:rsidRPr="000D154E">
        <w:rPr>
          <w:rFonts w:ascii="Times New Roman" w:eastAsia="Times New Roman" w:hAnsi="Times New Roman" w:cs="Times New Roman"/>
          <w:sz w:val="24"/>
          <w:szCs w:val="24"/>
          <w:lang w:val="en-US"/>
        </w:rPr>
        <w:t xml:space="preserve">, 3843–3865. </w:t>
      </w:r>
      <w:hyperlink r:id="rId30" w:tgtFrame="_new" w:history="1">
        <w:r w:rsidRPr="000D154E">
          <w:rPr>
            <w:rFonts w:ascii="Times New Roman" w:eastAsia="Times New Roman" w:hAnsi="Times New Roman" w:cs="Times New Roman"/>
            <w:color w:val="0000FF"/>
            <w:sz w:val="24"/>
            <w:szCs w:val="24"/>
            <w:u w:val="single"/>
            <w:lang w:val="en-US"/>
          </w:rPr>
          <w:t>https://doi.org/10.1007/s10668-022-02212-x</w:t>
        </w:r>
      </w:hyperlink>
      <w:r w:rsidRPr="000D154E">
        <w:rPr>
          <w:rFonts w:ascii="Times New Roman" w:eastAsia="Times New Roman" w:hAnsi="Times New Roman" w:cs="Times New Roman"/>
          <w:sz w:val="24"/>
          <w:szCs w:val="24"/>
          <w:lang w:val="en-US"/>
        </w:rPr>
        <w:t xml:space="preserve"> </w:t>
      </w:r>
    </w:p>
    <w:p w14:paraId="5FF1913C"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O’Brien, C., Leavens, L., Ndiaye, C., &amp; Traoré, D. (2022). Women’s empowerment, income, and nutrition in a food processing value chain development project in Touba, Senegal. </w:t>
      </w:r>
      <w:r w:rsidRPr="000D154E">
        <w:rPr>
          <w:rFonts w:ascii="Times New Roman" w:eastAsia="Times New Roman" w:hAnsi="Times New Roman" w:cs="Times New Roman"/>
          <w:i/>
          <w:iCs/>
          <w:sz w:val="24"/>
          <w:szCs w:val="24"/>
          <w:lang w:val="en-US"/>
        </w:rPr>
        <w:t>International Journal of Environmental Research and Public Health, 19</w:t>
      </w:r>
      <w:r w:rsidRPr="000D154E">
        <w:rPr>
          <w:rFonts w:ascii="Times New Roman" w:eastAsia="Times New Roman" w:hAnsi="Times New Roman" w:cs="Times New Roman"/>
          <w:sz w:val="24"/>
          <w:szCs w:val="24"/>
          <w:lang w:val="en-US"/>
        </w:rPr>
        <w:t xml:space="preserve">(15), Article 9526. </w:t>
      </w:r>
      <w:hyperlink r:id="rId31" w:tgtFrame="_new" w:history="1">
        <w:r w:rsidRPr="000D154E">
          <w:rPr>
            <w:rFonts w:ascii="Times New Roman" w:eastAsia="Times New Roman" w:hAnsi="Times New Roman" w:cs="Times New Roman"/>
            <w:color w:val="0000FF"/>
            <w:sz w:val="24"/>
            <w:szCs w:val="24"/>
            <w:u w:val="single"/>
            <w:lang w:val="en-US"/>
          </w:rPr>
          <w:t>https://doi.org/10.3390/ijerph19159526</w:t>
        </w:r>
      </w:hyperlink>
      <w:r w:rsidRPr="000D154E">
        <w:rPr>
          <w:rFonts w:ascii="Times New Roman" w:eastAsia="Times New Roman" w:hAnsi="Times New Roman" w:cs="Times New Roman"/>
          <w:sz w:val="24"/>
          <w:szCs w:val="24"/>
          <w:lang w:val="en-US"/>
        </w:rPr>
        <w:t xml:space="preserve"> </w:t>
      </w:r>
    </w:p>
    <w:p w14:paraId="515D81CA"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lastRenderedPageBreak/>
        <w:t></w:t>
      </w:r>
      <w:r w:rsidRPr="000D154E">
        <w:rPr>
          <w:rFonts w:ascii="Times New Roman" w:eastAsia="Times New Roman" w:hAnsi="Times New Roman" w:cs="Times New Roman"/>
          <w:sz w:val="24"/>
          <w:szCs w:val="24"/>
          <w:lang w:val="en-US"/>
        </w:rPr>
        <w:t xml:space="preserve">  </w:t>
      </w:r>
      <w:proofErr w:type="spellStart"/>
      <w:r w:rsidRPr="000D154E">
        <w:rPr>
          <w:rFonts w:ascii="Times New Roman" w:eastAsia="Times New Roman" w:hAnsi="Times New Roman" w:cs="Times New Roman"/>
          <w:sz w:val="24"/>
          <w:szCs w:val="24"/>
          <w:lang w:val="en-US"/>
        </w:rPr>
        <w:t>Onyeaka</w:t>
      </w:r>
      <w:proofErr w:type="spellEnd"/>
      <w:r w:rsidRPr="000D154E">
        <w:rPr>
          <w:rFonts w:ascii="Times New Roman" w:eastAsia="Times New Roman" w:hAnsi="Times New Roman" w:cs="Times New Roman"/>
          <w:sz w:val="24"/>
          <w:szCs w:val="24"/>
          <w:lang w:val="en-US"/>
        </w:rPr>
        <w:t xml:space="preserve">, H., </w:t>
      </w:r>
      <w:proofErr w:type="spellStart"/>
      <w:r w:rsidRPr="000D154E">
        <w:rPr>
          <w:rFonts w:ascii="Times New Roman" w:eastAsia="Times New Roman" w:hAnsi="Times New Roman" w:cs="Times New Roman"/>
          <w:sz w:val="24"/>
          <w:szCs w:val="24"/>
          <w:lang w:val="en-US"/>
        </w:rPr>
        <w:t>Tamasiga</w:t>
      </w:r>
      <w:proofErr w:type="spellEnd"/>
      <w:r w:rsidRPr="000D154E">
        <w:rPr>
          <w:rFonts w:ascii="Times New Roman" w:eastAsia="Times New Roman" w:hAnsi="Times New Roman" w:cs="Times New Roman"/>
          <w:sz w:val="24"/>
          <w:szCs w:val="24"/>
          <w:lang w:val="en-US"/>
        </w:rPr>
        <w:t xml:space="preserve">, P., </w:t>
      </w:r>
      <w:proofErr w:type="spellStart"/>
      <w:r w:rsidRPr="000D154E">
        <w:rPr>
          <w:rFonts w:ascii="Times New Roman" w:eastAsia="Times New Roman" w:hAnsi="Times New Roman" w:cs="Times New Roman"/>
          <w:sz w:val="24"/>
          <w:szCs w:val="24"/>
          <w:lang w:val="en-US"/>
        </w:rPr>
        <w:t>Nkoutchou</w:t>
      </w:r>
      <w:proofErr w:type="spellEnd"/>
      <w:r w:rsidRPr="000D154E">
        <w:rPr>
          <w:rFonts w:ascii="Times New Roman" w:eastAsia="Times New Roman" w:hAnsi="Times New Roman" w:cs="Times New Roman"/>
          <w:sz w:val="24"/>
          <w:szCs w:val="24"/>
          <w:lang w:val="en-US"/>
        </w:rPr>
        <w:t xml:space="preserve">, H., &amp; Guta, A. T. (2022). Food insecurity and outcomes during COVID-19 pandemic in sub-Saharan Africa (SSA). </w:t>
      </w:r>
      <w:r w:rsidRPr="000D154E">
        <w:rPr>
          <w:rFonts w:ascii="Times New Roman" w:eastAsia="Times New Roman" w:hAnsi="Times New Roman" w:cs="Times New Roman"/>
          <w:i/>
          <w:iCs/>
          <w:sz w:val="24"/>
          <w:szCs w:val="24"/>
          <w:lang w:val="en-US"/>
        </w:rPr>
        <w:t>Agriculture &amp; Food Security, 11</w:t>
      </w:r>
      <w:r w:rsidRPr="000D154E">
        <w:rPr>
          <w:rFonts w:ascii="Times New Roman" w:eastAsia="Times New Roman" w:hAnsi="Times New Roman" w:cs="Times New Roman"/>
          <w:sz w:val="24"/>
          <w:szCs w:val="24"/>
          <w:lang w:val="en-US"/>
        </w:rPr>
        <w:t xml:space="preserve">, Article 56. </w:t>
      </w:r>
      <w:hyperlink r:id="rId32" w:tgtFrame="_new" w:history="1">
        <w:r w:rsidRPr="000D154E">
          <w:rPr>
            <w:rFonts w:ascii="Times New Roman" w:eastAsia="Times New Roman" w:hAnsi="Times New Roman" w:cs="Times New Roman"/>
            <w:color w:val="0000FF"/>
            <w:sz w:val="24"/>
            <w:szCs w:val="24"/>
            <w:u w:val="single"/>
            <w:lang w:val="en-US"/>
          </w:rPr>
          <w:t>https://doi.org/10.1186/s40066-022-00394-1</w:t>
        </w:r>
      </w:hyperlink>
      <w:r w:rsidRPr="000D154E">
        <w:rPr>
          <w:rFonts w:ascii="Times New Roman" w:eastAsia="Times New Roman" w:hAnsi="Times New Roman" w:cs="Times New Roman"/>
          <w:sz w:val="24"/>
          <w:szCs w:val="24"/>
          <w:lang w:val="en-US"/>
        </w:rPr>
        <w:t xml:space="preserve"> </w:t>
      </w:r>
    </w:p>
    <w:p w14:paraId="0B48F7CE"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Ordway, E. M., Naylor, R. L., Nkongho, R. N., &amp; Lambin, E. F. (2019). Oil palm expansion and deforestation in Southwest Cameroon associated with proliferation of informal mills. </w:t>
      </w:r>
      <w:r w:rsidRPr="000D154E">
        <w:rPr>
          <w:rFonts w:ascii="Times New Roman" w:eastAsia="Times New Roman" w:hAnsi="Times New Roman" w:cs="Times New Roman"/>
          <w:i/>
          <w:iCs/>
          <w:sz w:val="24"/>
          <w:szCs w:val="24"/>
          <w:lang w:val="en-US"/>
        </w:rPr>
        <w:t>Nature Communications, 10</w:t>
      </w:r>
      <w:r w:rsidRPr="000D154E">
        <w:rPr>
          <w:rFonts w:ascii="Times New Roman" w:eastAsia="Times New Roman" w:hAnsi="Times New Roman" w:cs="Times New Roman"/>
          <w:sz w:val="24"/>
          <w:szCs w:val="24"/>
          <w:lang w:val="en-US"/>
        </w:rPr>
        <w:t xml:space="preserve">, Article 114. </w:t>
      </w:r>
      <w:hyperlink r:id="rId33" w:tgtFrame="_new" w:history="1">
        <w:r w:rsidRPr="000D154E">
          <w:rPr>
            <w:rFonts w:ascii="Times New Roman" w:eastAsia="Times New Roman" w:hAnsi="Times New Roman" w:cs="Times New Roman"/>
            <w:color w:val="0000FF"/>
            <w:sz w:val="24"/>
            <w:szCs w:val="24"/>
            <w:u w:val="single"/>
            <w:lang w:val="en-US"/>
          </w:rPr>
          <w:t>https://doi.org/10.1038/s41467-018-07915-2</w:t>
        </w:r>
      </w:hyperlink>
      <w:r w:rsidRPr="000D154E">
        <w:rPr>
          <w:rFonts w:ascii="Times New Roman" w:eastAsia="Times New Roman" w:hAnsi="Times New Roman" w:cs="Times New Roman"/>
          <w:sz w:val="24"/>
          <w:szCs w:val="24"/>
          <w:lang w:val="en-US"/>
        </w:rPr>
        <w:t xml:space="preserve"> </w:t>
      </w:r>
    </w:p>
    <w:p w14:paraId="09575003"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Quisumbing, A., Heckert, J., Faas, S., Ramani, G., Raghunathan, K., Malapit, H., &amp; The pro-WEAI for Market Inclusion Study Team. (2021). Women’s empowerment and gender equality in agricultural value chains: Evidence from four countries in Asia and Africa. </w:t>
      </w:r>
      <w:r w:rsidRPr="000D154E">
        <w:rPr>
          <w:rFonts w:ascii="Times New Roman" w:eastAsia="Times New Roman" w:hAnsi="Times New Roman" w:cs="Times New Roman"/>
          <w:i/>
          <w:iCs/>
          <w:sz w:val="24"/>
          <w:szCs w:val="24"/>
          <w:lang w:val="en-US"/>
        </w:rPr>
        <w:t>Food Security, 13</w:t>
      </w:r>
      <w:r w:rsidRPr="000D154E">
        <w:rPr>
          <w:rFonts w:ascii="Times New Roman" w:eastAsia="Times New Roman" w:hAnsi="Times New Roman" w:cs="Times New Roman"/>
          <w:sz w:val="24"/>
          <w:szCs w:val="24"/>
          <w:lang w:val="en-US"/>
        </w:rPr>
        <w:t xml:space="preserve">, 1101–1124. </w:t>
      </w:r>
      <w:hyperlink r:id="rId34" w:tgtFrame="_new" w:history="1">
        <w:r w:rsidRPr="000D154E">
          <w:rPr>
            <w:rFonts w:ascii="Times New Roman" w:eastAsia="Times New Roman" w:hAnsi="Times New Roman" w:cs="Times New Roman"/>
            <w:color w:val="0000FF"/>
            <w:sz w:val="24"/>
            <w:szCs w:val="24"/>
            <w:u w:val="single"/>
            <w:lang w:val="en-US"/>
          </w:rPr>
          <w:t>https://doi.org/10.1007/s12571-021-01193-5</w:t>
        </w:r>
      </w:hyperlink>
      <w:r w:rsidRPr="000D154E">
        <w:rPr>
          <w:rFonts w:ascii="Times New Roman" w:eastAsia="Times New Roman" w:hAnsi="Times New Roman" w:cs="Times New Roman"/>
          <w:sz w:val="24"/>
          <w:szCs w:val="24"/>
          <w:lang w:val="en-US"/>
        </w:rPr>
        <w:t xml:space="preserve"> </w:t>
      </w:r>
    </w:p>
    <w:p w14:paraId="75A54313"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Vogel, C., </w:t>
      </w:r>
      <w:proofErr w:type="spellStart"/>
      <w:r w:rsidRPr="000D154E">
        <w:rPr>
          <w:rFonts w:ascii="Times New Roman" w:eastAsia="Times New Roman" w:hAnsi="Times New Roman" w:cs="Times New Roman"/>
          <w:sz w:val="24"/>
          <w:szCs w:val="24"/>
          <w:lang w:val="en-US"/>
        </w:rPr>
        <w:t>Mathé</w:t>
      </w:r>
      <w:proofErr w:type="spellEnd"/>
      <w:r w:rsidRPr="000D154E">
        <w:rPr>
          <w:rFonts w:ascii="Times New Roman" w:eastAsia="Times New Roman" w:hAnsi="Times New Roman" w:cs="Times New Roman"/>
          <w:sz w:val="24"/>
          <w:szCs w:val="24"/>
          <w:lang w:val="en-US"/>
        </w:rPr>
        <w:t xml:space="preserve">, S., Geitzenauer, M., Ndah, H. T., Sieber, S., Bonatti, M., &amp; Lana, M. (2020). Stakeholders’ perceptions on sustainability transition pathways of the cocoa value chain towards improved livelihood of small-scale farming households in Cameroon. </w:t>
      </w:r>
      <w:r w:rsidRPr="000D154E">
        <w:rPr>
          <w:rFonts w:ascii="Times New Roman" w:eastAsia="Times New Roman" w:hAnsi="Times New Roman" w:cs="Times New Roman"/>
          <w:i/>
          <w:iCs/>
          <w:sz w:val="24"/>
          <w:szCs w:val="24"/>
          <w:lang w:val="en-US"/>
        </w:rPr>
        <w:t>International Journal of Agricultural Sustainability, 18</w:t>
      </w:r>
      <w:r w:rsidRPr="000D154E">
        <w:rPr>
          <w:rFonts w:ascii="Times New Roman" w:eastAsia="Times New Roman" w:hAnsi="Times New Roman" w:cs="Times New Roman"/>
          <w:sz w:val="24"/>
          <w:szCs w:val="24"/>
          <w:lang w:val="en-US"/>
        </w:rPr>
        <w:t xml:space="preserve">(1), 55–69. </w:t>
      </w:r>
      <w:hyperlink r:id="rId35" w:tgtFrame="_new" w:history="1">
        <w:r w:rsidRPr="000D154E">
          <w:rPr>
            <w:rFonts w:ascii="Times New Roman" w:eastAsia="Times New Roman" w:hAnsi="Times New Roman" w:cs="Times New Roman"/>
            <w:color w:val="0000FF"/>
            <w:sz w:val="24"/>
            <w:szCs w:val="24"/>
            <w:u w:val="single"/>
            <w:lang w:val="en-US"/>
          </w:rPr>
          <w:t>https://doi.org/10.1080/14735903.2019.1696156</w:t>
        </w:r>
      </w:hyperlink>
      <w:r w:rsidRPr="000D154E">
        <w:rPr>
          <w:rFonts w:ascii="Times New Roman" w:eastAsia="Times New Roman" w:hAnsi="Times New Roman" w:cs="Times New Roman"/>
          <w:sz w:val="24"/>
          <w:szCs w:val="24"/>
          <w:lang w:val="en-US"/>
        </w:rPr>
        <w:t xml:space="preserve"> </w:t>
      </w:r>
    </w:p>
    <w:p w14:paraId="600B34C0"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World Bank. (2008). </w:t>
      </w:r>
      <w:r w:rsidRPr="000D154E">
        <w:rPr>
          <w:rFonts w:ascii="Times New Roman" w:eastAsia="Times New Roman" w:hAnsi="Times New Roman" w:cs="Times New Roman"/>
          <w:i/>
          <w:iCs/>
          <w:sz w:val="24"/>
          <w:szCs w:val="24"/>
          <w:lang w:val="en-US"/>
        </w:rPr>
        <w:t>Cameroon: Agricultural value chain competitiveness study</w:t>
      </w:r>
      <w:r w:rsidRPr="000D154E">
        <w:rPr>
          <w:rFonts w:ascii="Times New Roman" w:eastAsia="Times New Roman" w:hAnsi="Times New Roman" w:cs="Times New Roman"/>
          <w:sz w:val="24"/>
          <w:szCs w:val="24"/>
          <w:lang w:val="en-US"/>
        </w:rPr>
        <w:t xml:space="preserve">. World Bank. </w:t>
      </w:r>
      <w:hyperlink r:id="rId36" w:tgtFrame="_new" w:history="1">
        <w:r w:rsidRPr="000D154E">
          <w:rPr>
            <w:rFonts w:ascii="Times New Roman" w:eastAsia="Times New Roman" w:hAnsi="Times New Roman" w:cs="Times New Roman"/>
            <w:color w:val="0000FF"/>
            <w:sz w:val="24"/>
            <w:szCs w:val="24"/>
            <w:u w:val="single"/>
            <w:lang w:val="en-US"/>
          </w:rPr>
          <w:t>https://openknowledge.worldbank.org/entities/publication/ae9b956d-49ee-50f2-a24a-cfe19f756844</w:t>
        </w:r>
      </w:hyperlink>
      <w:r w:rsidRPr="000D154E">
        <w:rPr>
          <w:rFonts w:ascii="Times New Roman" w:eastAsia="Times New Roman" w:hAnsi="Times New Roman" w:cs="Times New Roman"/>
          <w:sz w:val="24"/>
          <w:szCs w:val="24"/>
          <w:lang w:val="en-US"/>
        </w:rPr>
        <w:t xml:space="preserve"> </w:t>
      </w:r>
    </w:p>
    <w:p w14:paraId="28F3858A"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w:t>
      </w:r>
      <w:proofErr w:type="spellStart"/>
      <w:r w:rsidRPr="000D154E">
        <w:rPr>
          <w:rFonts w:ascii="Times New Roman" w:eastAsia="Times New Roman" w:hAnsi="Times New Roman" w:cs="Times New Roman"/>
          <w:sz w:val="24"/>
          <w:szCs w:val="24"/>
          <w:lang w:val="en-US"/>
        </w:rPr>
        <w:t>Wudil</w:t>
      </w:r>
      <w:proofErr w:type="spellEnd"/>
      <w:r w:rsidRPr="000D154E">
        <w:rPr>
          <w:rFonts w:ascii="Times New Roman" w:eastAsia="Times New Roman" w:hAnsi="Times New Roman" w:cs="Times New Roman"/>
          <w:sz w:val="24"/>
          <w:szCs w:val="24"/>
          <w:lang w:val="en-US"/>
        </w:rPr>
        <w:t xml:space="preserve">, A. H., Usman, M., Rosak-Szyrocka, J., Pilař, L., &amp; Boye, M. (2022). Reversing years for global food security: A review of the food security situation in sub-Saharan Africa (SSA). </w:t>
      </w:r>
      <w:r w:rsidRPr="000D154E">
        <w:rPr>
          <w:rFonts w:ascii="Times New Roman" w:eastAsia="Times New Roman" w:hAnsi="Times New Roman" w:cs="Times New Roman"/>
          <w:i/>
          <w:iCs/>
          <w:sz w:val="24"/>
          <w:szCs w:val="24"/>
          <w:lang w:val="en-US"/>
        </w:rPr>
        <w:t>International Journal of Environmental Research and Public Health, 19</w:t>
      </w:r>
      <w:r w:rsidRPr="000D154E">
        <w:rPr>
          <w:rFonts w:ascii="Times New Roman" w:eastAsia="Times New Roman" w:hAnsi="Times New Roman" w:cs="Times New Roman"/>
          <w:sz w:val="24"/>
          <w:szCs w:val="24"/>
          <w:lang w:val="en-US"/>
        </w:rPr>
        <w:t xml:space="preserve">(22), Article 14836. </w:t>
      </w:r>
      <w:hyperlink r:id="rId37" w:tgtFrame="_new" w:history="1">
        <w:r w:rsidRPr="000D154E">
          <w:rPr>
            <w:rFonts w:ascii="Times New Roman" w:eastAsia="Times New Roman" w:hAnsi="Times New Roman" w:cs="Times New Roman"/>
            <w:color w:val="0000FF"/>
            <w:sz w:val="24"/>
            <w:szCs w:val="24"/>
            <w:u w:val="single"/>
            <w:lang w:val="en-US"/>
          </w:rPr>
          <w:t>https://doi.org/10.3390/ijerph192214836</w:t>
        </w:r>
      </w:hyperlink>
      <w:r w:rsidRPr="000D154E">
        <w:rPr>
          <w:rFonts w:ascii="Times New Roman" w:eastAsia="Times New Roman" w:hAnsi="Times New Roman" w:cs="Times New Roman"/>
          <w:sz w:val="24"/>
          <w:szCs w:val="24"/>
          <w:lang w:val="en-US"/>
        </w:rPr>
        <w:t xml:space="preserve"> </w:t>
      </w:r>
    </w:p>
    <w:p w14:paraId="2156C62B"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Chimi, P. M., Mala, W. A., </w:t>
      </w:r>
      <w:proofErr w:type="spellStart"/>
      <w:r w:rsidRPr="000D154E">
        <w:rPr>
          <w:rFonts w:ascii="Times New Roman" w:eastAsia="Times New Roman" w:hAnsi="Times New Roman" w:cs="Times New Roman"/>
          <w:sz w:val="24"/>
          <w:szCs w:val="24"/>
          <w:lang w:val="en-US"/>
        </w:rPr>
        <w:t>Fobane</w:t>
      </w:r>
      <w:proofErr w:type="spellEnd"/>
      <w:r w:rsidRPr="000D154E">
        <w:rPr>
          <w:rFonts w:ascii="Times New Roman" w:eastAsia="Times New Roman" w:hAnsi="Times New Roman" w:cs="Times New Roman"/>
          <w:sz w:val="24"/>
          <w:szCs w:val="24"/>
          <w:lang w:val="en-US"/>
        </w:rPr>
        <w:t xml:space="preserve">, J. L., </w:t>
      </w:r>
      <w:proofErr w:type="spellStart"/>
      <w:r w:rsidRPr="000D154E">
        <w:rPr>
          <w:rFonts w:ascii="Times New Roman" w:eastAsia="Times New Roman" w:hAnsi="Times New Roman" w:cs="Times New Roman"/>
          <w:sz w:val="24"/>
          <w:szCs w:val="24"/>
          <w:lang w:val="en-US"/>
        </w:rPr>
        <w:t>Ngamsou</w:t>
      </w:r>
      <w:proofErr w:type="spellEnd"/>
      <w:r w:rsidRPr="000D154E">
        <w:rPr>
          <w:rFonts w:ascii="Times New Roman" w:eastAsia="Times New Roman" w:hAnsi="Times New Roman" w:cs="Times New Roman"/>
          <w:sz w:val="24"/>
          <w:szCs w:val="24"/>
          <w:lang w:val="en-US"/>
        </w:rPr>
        <w:t xml:space="preserve"> Abdel, K., </w:t>
      </w:r>
      <w:proofErr w:type="spellStart"/>
      <w:r w:rsidRPr="000D154E">
        <w:rPr>
          <w:rFonts w:ascii="Times New Roman" w:eastAsia="Times New Roman" w:hAnsi="Times New Roman" w:cs="Times New Roman"/>
          <w:sz w:val="24"/>
          <w:szCs w:val="24"/>
          <w:lang w:val="en-US"/>
        </w:rPr>
        <w:t>Nkoué</w:t>
      </w:r>
      <w:proofErr w:type="spellEnd"/>
      <w:r w:rsidRPr="000D154E">
        <w:rPr>
          <w:rFonts w:ascii="Times New Roman" w:eastAsia="Times New Roman" w:hAnsi="Times New Roman" w:cs="Times New Roman"/>
          <w:sz w:val="24"/>
          <w:szCs w:val="24"/>
          <w:lang w:val="en-US"/>
        </w:rPr>
        <w:t xml:space="preserve">, B. B., </w:t>
      </w:r>
      <w:proofErr w:type="spellStart"/>
      <w:r w:rsidRPr="000D154E">
        <w:rPr>
          <w:rFonts w:ascii="Times New Roman" w:eastAsia="Times New Roman" w:hAnsi="Times New Roman" w:cs="Times New Roman"/>
          <w:sz w:val="24"/>
          <w:szCs w:val="24"/>
          <w:lang w:val="en-US"/>
        </w:rPr>
        <w:t>Feunang</w:t>
      </w:r>
      <w:proofErr w:type="spellEnd"/>
      <w:r w:rsidRPr="000D154E">
        <w:rPr>
          <w:rFonts w:ascii="Times New Roman" w:eastAsia="Times New Roman" w:hAnsi="Times New Roman" w:cs="Times New Roman"/>
          <w:sz w:val="24"/>
          <w:szCs w:val="24"/>
          <w:lang w:val="en-US"/>
        </w:rPr>
        <w:t xml:space="preserve"> Nganmeni, L. F., </w:t>
      </w:r>
      <w:proofErr w:type="spellStart"/>
      <w:r w:rsidRPr="000D154E">
        <w:rPr>
          <w:rFonts w:ascii="Times New Roman" w:eastAsia="Times New Roman" w:hAnsi="Times New Roman" w:cs="Times New Roman"/>
          <w:sz w:val="24"/>
          <w:szCs w:val="24"/>
          <w:lang w:val="en-US"/>
        </w:rPr>
        <w:t>Nyonce</w:t>
      </w:r>
      <w:proofErr w:type="spellEnd"/>
      <w:r w:rsidRPr="000D154E">
        <w:rPr>
          <w:rFonts w:ascii="Times New Roman" w:eastAsia="Times New Roman" w:hAnsi="Times New Roman" w:cs="Times New Roman"/>
          <w:sz w:val="24"/>
          <w:szCs w:val="24"/>
          <w:lang w:val="en-US"/>
        </w:rPr>
        <w:t xml:space="preserve"> Pokam, E. Y., </w:t>
      </w:r>
      <w:proofErr w:type="spellStart"/>
      <w:r w:rsidRPr="000D154E">
        <w:rPr>
          <w:rFonts w:ascii="Times New Roman" w:eastAsia="Times New Roman" w:hAnsi="Times New Roman" w:cs="Times New Roman"/>
          <w:sz w:val="24"/>
          <w:szCs w:val="24"/>
          <w:lang w:val="en-US"/>
        </w:rPr>
        <w:t>Endalle</w:t>
      </w:r>
      <w:proofErr w:type="spellEnd"/>
      <w:r w:rsidRPr="000D154E">
        <w:rPr>
          <w:rFonts w:ascii="Times New Roman" w:eastAsia="Times New Roman" w:hAnsi="Times New Roman" w:cs="Times New Roman"/>
          <w:sz w:val="24"/>
          <w:szCs w:val="24"/>
          <w:lang w:val="en-US"/>
        </w:rPr>
        <w:t xml:space="preserve"> </w:t>
      </w:r>
      <w:proofErr w:type="spellStart"/>
      <w:r w:rsidRPr="000D154E">
        <w:rPr>
          <w:rFonts w:ascii="Times New Roman" w:eastAsia="Times New Roman" w:hAnsi="Times New Roman" w:cs="Times New Roman"/>
          <w:sz w:val="24"/>
          <w:szCs w:val="24"/>
          <w:lang w:val="en-US"/>
        </w:rPr>
        <w:t>Minfele</w:t>
      </w:r>
      <w:proofErr w:type="spellEnd"/>
      <w:r w:rsidRPr="000D154E">
        <w:rPr>
          <w:rFonts w:ascii="Times New Roman" w:eastAsia="Times New Roman" w:hAnsi="Times New Roman" w:cs="Times New Roman"/>
          <w:sz w:val="24"/>
          <w:szCs w:val="24"/>
          <w:lang w:val="en-US"/>
        </w:rPr>
        <w:t xml:space="preserve">, S. P., Matick, J. H., </w:t>
      </w:r>
      <w:proofErr w:type="spellStart"/>
      <w:r w:rsidRPr="000D154E">
        <w:rPr>
          <w:rFonts w:ascii="Times New Roman" w:eastAsia="Times New Roman" w:hAnsi="Times New Roman" w:cs="Times New Roman"/>
          <w:sz w:val="24"/>
          <w:szCs w:val="24"/>
          <w:lang w:val="en-US"/>
        </w:rPr>
        <w:t>Tchandjie</w:t>
      </w:r>
      <w:proofErr w:type="spellEnd"/>
      <w:r w:rsidRPr="000D154E">
        <w:rPr>
          <w:rFonts w:ascii="Times New Roman" w:eastAsia="Times New Roman" w:hAnsi="Times New Roman" w:cs="Times New Roman"/>
          <w:sz w:val="24"/>
          <w:szCs w:val="24"/>
          <w:lang w:val="en-US"/>
        </w:rPr>
        <w:t xml:space="preserve">, F. M., Manga </w:t>
      </w:r>
      <w:proofErr w:type="spellStart"/>
      <w:r w:rsidRPr="000D154E">
        <w:rPr>
          <w:rFonts w:ascii="Times New Roman" w:eastAsia="Times New Roman" w:hAnsi="Times New Roman" w:cs="Times New Roman"/>
          <w:sz w:val="24"/>
          <w:szCs w:val="24"/>
          <w:lang w:val="en-US"/>
        </w:rPr>
        <w:t>Essouma</w:t>
      </w:r>
      <w:proofErr w:type="spellEnd"/>
      <w:r w:rsidRPr="000D154E">
        <w:rPr>
          <w:rFonts w:ascii="Times New Roman" w:eastAsia="Times New Roman" w:hAnsi="Times New Roman" w:cs="Times New Roman"/>
          <w:sz w:val="24"/>
          <w:szCs w:val="24"/>
          <w:lang w:val="en-US"/>
        </w:rPr>
        <w:t xml:space="preserve">, F., &amp; Bell, J. M. (2024). Factors affecting decision-making to strengthen climate resilience of smallholder farms in the Centre region of Cameroon. </w:t>
      </w:r>
      <w:r w:rsidRPr="000D154E">
        <w:rPr>
          <w:rFonts w:ascii="Times New Roman" w:eastAsia="Times New Roman" w:hAnsi="Times New Roman" w:cs="Times New Roman"/>
          <w:i/>
          <w:iCs/>
          <w:sz w:val="24"/>
          <w:szCs w:val="24"/>
          <w:lang w:val="en-US"/>
        </w:rPr>
        <w:t>Climate Smart Agriculture, 1</w:t>
      </w:r>
      <w:r w:rsidRPr="000D154E">
        <w:rPr>
          <w:rFonts w:ascii="Times New Roman" w:eastAsia="Times New Roman" w:hAnsi="Times New Roman" w:cs="Times New Roman"/>
          <w:sz w:val="24"/>
          <w:szCs w:val="24"/>
          <w:lang w:val="en-US"/>
        </w:rPr>
        <w:t xml:space="preserve">(1), Article 100004. </w:t>
      </w:r>
      <w:hyperlink r:id="rId38" w:tgtFrame="_new" w:history="1">
        <w:r w:rsidRPr="000D154E">
          <w:rPr>
            <w:rFonts w:ascii="Times New Roman" w:eastAsia="Times New Roman" w:hAnsi="Times New Roman" w:cs="Times New Roman"/>
            <w:color w:val="0000FF"/>
            <w:sz w:val="24"/>
            <w:szCs w:val="24"/>
            <w:u w:val="single"/>
            <w:lang w:val="en-US"/>
          </w:rPr>
          <w:t>https://doi.org/10.1016/j.csag.2024.100004</w:t>
        </w:r>
      </w:hyperlink>
      <w:r w:rsidRPr="000D154E">
        <w:rPr>
          <w:rFonts w:ascii="Times New Roman" w:eastAsia="Times New Roman" w:hAnsi="Times New Roman" w:cs="Times New Roman"/>
          <w:sz w:val="24"/>
          <w:szCs w:val="24"/>
          <w:lang w:val="en-US"/>
        </w:rPr>
        <w:t xml:space="preserve"> </w:t>
      </w:r>
    </w:p>
    <w:p w14:paraId="18FD1A98"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Madsen, S., Bezner Kerr, R., Kamilia, K., Cevallos, M. F., Ayumi Bazille, C., </w:t>
      </w:r>
      <w:proofErr w:type="spellStart"/>
      <w:r w:rsidRPr="000D154E">
        <w:rPr>
          <w:rFonts w:ascii="Times New Roman" w:eastAsia="Times New Roman" w:hAnsi="Times New Roman" w:cs="Times New Roman"/>
          <w:sz w:val="24"/>
          <w:szCs w:val="24"/>
          <w:lang w:val="en-US"/>
        </w:rPr>
        <w:t>Paracchini</w:t>
      </w:r>
      <w:proofErr w:type="spellEnd"/>
      <w:r w:rsidRPr="000D154E">
        <w:rPr>
          <w:rFonts w:ascii="Times New Roman" w:eastAsia="Times New Roman" w:hAnsi="Times New Roman" w:cs="Times New Roman"/>
          <w:sz w:val="24"/>
          <w:szCs w:val="24"/>
          <w:lang w:val="en-US"/>
        </w:rPr>
        <w:t xml:space="preserve">, M. L., &amp; Wezel, A. (2025). Agroecology supports sustainable development in Africa: A review. </w:t>
      </w:r>
      <w:r w:rsidRPr="000D154E">
        <w:rPr>
          <w:rFonts w:ascii="Times New Roman" w:eastAsia="Times New Roman" w:hAnsi="Times New Roman" w:cs="Times New Roman"/>
          <w:i/>
          <w:iCs/>
          <w:sz w:val="24"/>
          <w:szCs w:val="24"/>
          <w:lang w:val="en-US"/>
        </w:rPr>
        <w:t>Agronomy for Sustainable Development, 45</w:t>
      </w:r>
      <w:r w:rsidRPr="000D154E">
        <w:rPr>
          <w:rFonts w:ascii="Times New Roman" w:eastAsia="Times New Roman" w:hAnsi="Times New Roman" w:cs="Times New Roman"/>
          <w:sz w:val="24"/>
          <w:szCs w:val="24"/>
          <w:lang w:val="en-US"/>
        </w:rPr>
        <w:t xml:space="preserve">, Article 34. </w:t>
      </w:r>
      <w:hyperlink r:id="rId39" w:tgtFrame="_new" w:history="1">
        <w:r w:rsidRPr="000D154E">
          <w:rPr>
            <w:rFonts w:ascii="Times New Roman" w:eastAsia="Times New Roman" w:hAnsi="Times New Roman" w:cs="Times New Roman"/>
            <w:color w:val="0000FF"/>
            <w:sz w:val="24"/>
            <w:szCs w:val="24"/>
            <w:u w:val="single"/>
            <w:lang w:val="en-US"/>
          </w:rPr>
          <w:t>https://doi.org/10.1007/s13593-024-00976-2</w:t>
        </w:r>
      </w:hyperlink>
      <w:r w:rsidRPr="000D154E">
        <w:rPr>
          <w:rFonts w:ascii="Times New Roman" w:eastAsia="Times New Roman" w:hAnsi="Times New Roman" w:cs="Times New Roman"/>
          <w:sz w:val="24"/>
          <w:szCs w:val="24"/>
          <w:lang w:val="en-US"/>
        </w:rPr>
        <w:t xml:space="preserve"> </w:t>
      </w:r>
    </w:p>
    <w:p w14:paraId="40F1EAD2" w14:textId="77777777" w:rsidR="000D154E" w:rsidRPr="000D154E" w:rsidRDefault="000D154E" w:rsidP="000D154E">
      <w:pPr>
        <w:spacing w:after="0" w:line="240" w:lineRule="auto"/>
        <w:rPr>
          <w:rFonts w:ascii="Times New Roman" w:eastAsia="Times New Roman" w:hAnsi="Times New Roman" w:cs="Times New Roman"/>
          <w:sz w:val="24"/>
          <w:szCs w:val="24"/>
          <w:lang w:val="en-US"/>
        </w:rPr>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w:t>
      </w:r>
      <w:proofErr w:type="spellStart"/>
      <w:r w:rsidRPr="000D154E">
        <w:rPr>
          <w:rFonts w:ascii="Times New Roman" w:eastAsia="Times New Roman" w:hAnsi="Times New Roman" w:cs="Times New Roman"/>
          <w:sz w:val="24"/>
          <w:szCs w:val="24"/>
          <w:lang w:val="en-US"/>
        </w:rPr>
        <w:t>Shilomboleni</w:t>
      </w:r>
      <w:proofErr w:type="spellEnd"/>
      <w:r w:rsidRPr="000D154E">
        <w:rPr>
          <w:rFonts w:ascii="Times New Roman" w:eastAsia="Times New Roman" w:hAnsi="Times New Roman" w:cs="Times New Roman"/>
          <w:sz w:val="24"/>
          <w:szCs w:val="24"/>
          <w:lang w:val="en-US"/>
        </w:rPr>
        <w:t xml:space="preserve">, H., Epstein, G., &amp; Mansingh, A. (2024). Building resilience in Africa’s smallholder farming systems: Contributions from agricultural development interventions—A scoping review. </w:t>
      </w:r>
      <w:r w:rsidRPr="000D154E">
        <w:rPr>
          <w:rFonts w:ascii="Times New Roman" w:eastAsia="Times New Roman" w:hAnsi="Times New Roman" w:cs="Times New Roman"/>
          <w:i/>
          <w:iCs/>
          <w:sz w:val="24"/>
          <w:szCs w:val="24"/>
          <w:lang w:val="en-US"/>
        </w:rPr>
        <w:t>Ecology and Society, 29</w:t>
      </w:r>
      <w:r w:rsidRPr="000D154E">
        <w:rPr>
          <w:rFonts w:ascii="Times New Roman" w:eastAsia="Times New Roman" w:hAnsi="Times New Roman" w:cs="Times New Roman"/>
          <w:sz w:val="24"/>
          <w:szCs w:val="24"/>
          <w:lang w:val="en-US"/>
        </w:rPr>
        <w:t xml:space="preserve">(3), Article 22. </w:t>
      </w:r>
      <w:hyperlink r:id="rId40" w:tgtFrame="_new" w:history="1">
        <w:r w:rsidRPr="000D154E">
          <w:rPr>
            <w:rFonts w:ascii="Times New Roman" w:eastAsia="Times New Roman" w:hAnsi="Times New Roman" w:cs="Times New Roman"/>
            <w:color w:val="0000FF"/>
            <w:sz w:val="24"/>
            <w:szCs w:val="24"/>
            <w:u w:val="single"/>
            <w:lang w:val="en-US"/>
          </w:rPr>
          <w:t>https://doi.org/10.5751/ES-15373-290322</w:t>
        </w:r>
      </w:hyperlink>
      <w:r w:rsidRPr="000D154E">
        <w:rPr>
          <w:rFonts w:ascii="Times New Roman" w:eastAsia="Times New Roman" w:hAnsi="Times New Roman" w:cs="Times New Roman"/>
          <w:sz w:val="24"/>
          <w:szCs w:val="24"/>
          <w:lang w:val="en-US"/>
        </w:rPr>
        <w:t xml:space="preserve"> </w:t>
      </w:r>
    </w:p>
    <w:p w14:paraId="5FFCBA65" w14:textId="1BCA5D92" w:rsidR="004841B3" w:rsidRPr="00921B5C" w:rsidRDefault="000D154E" w:rsidP="000D154E">
      <w:pPr>
        <w:jc w:val="both"/>
      </w:pPr>
      <w:r w:rsidRPr="000D154E">
        <w:rPr>
          <w:rFonts w:ascii="Times New Roman" w:eastAsia="Times New Roman" w:hAnsi="Symbol" w:cs="Times New Roman"/>
          <w:sz w:val="24"/>
          <w:szCs w:val="24"/>
          <w:lang w:val="en-US"/>
        </w:rPr>
        <w:t></w:t>
      </w:r>
      <w:r w:rsidRPr="000D154E">
        <w:rPr>
          <w:rFonts w:ascii="Times New Roman" w:eastAsia="Times New Roman" w:hAnsi="Times New Roman" w:cs="Times New Roman"/>
          <w:sz w:val="24"/>
          <w:szCs w:val="24"/>
          <w:lang w:val="en-US"/>
        </w:rPr>
        <w:t xml:space="preserve">  </w:t>
      </w:r>
      <w:proofErr w:type="spellStart"/>
      <w:r w:rsidRPr="000D154E">
        <w:rPr>
          <w:rFonts w:ascii="Times New Roman" w:eastAsia="Times New Roman" w:hAnsi="Times New Roman" w:cs="Times New Roman"/>
          <w:sz w:val="24"/>
          <w:szCs w:val="24"/>
          <w:lang w:val="en-US"/>
        </w:rPr>
        <w:t>Yeritsyan</w:t>
      </w:r>
      <w:proofErr w:type="spellEnd"/>
      <w:r w:rsidRPr="000D154E">
        <w:rPr>
          <w:rFonts w:ascii="Times New Roman" w:eastAsia="Times New Roman" w:hAnsi="Times New Roman" w:cs="Times New Roman"/>
          <w:sz w:val="24"/>
          <w:szCs w:val="24"/>
          <w:lang w:val="en-US"/>
        </w:rPr>
        <w:t xml:space="preserve">, A., Tabares, E., </w:t>
      </w:r>
      <w:proofErr w:type="spellStart"/>
      <w:r w:rsidRPr="000D154E">
        <w:rPr>
          <w:rFonts w:ascii="Times New Roman" w:eastAsia="Times New Roman" w:hAnsi="Times New Roman" w:cs="Times New Roman"/>
          <w:sz w:val="24"/>
          <w:szCs w:val="24"/>
          <w:lang w:val="en-US"/>
        </w:rPr>
        <w:t>Ishdorj</w:t>
      </w:r>
      <w:proofErr w:type="spellEnd"/>
      <w:r w:rsidRPr="000D154E">
        <w:rPr>
          <w:rFonts w:ascii="Times New Roman" w:eastAsia="Times New Roman" w:hAnsi="Times New Roman" w:cs="Times New Roman"/>
          <w:sz w:val="24"/>
          <w:szCs w:val="24"/>
          <w:lang w:val="en-US"/>
        </w:rPr>
        <w:t xml:space="preserve">, A., Mjelde, J., Mishra, V., Foster, M., &amp; Norton, R. (2024). Policies enhancing agricultural value chains in developing countries: An evidence gap map. </w:t>
      </w:r>
      <w:r w:rsidRPr="000D154E">
        <w:rPr>
          <w:rFonts w:ascii="Times New Roman" w:eastAsia="Times New Roman" w:hAnsi="Times New Roman" w:cs="Times New Roman"/>
          <w:i/>
          <w:iCs/>
          <w:sz w:val="24"/>
          <w:szCs w:val="24"/>
          <w:lang w:val="en-US"/>
        </w:rPr>
        <w:t>Journal of Agriculture and Food Research, 18</w:t>
      </w:r>
      <w:r w:rsidRPr="000D154E">
        <w:rPr>
          <w:rFonts w:ascii="Times New Roman" w:eastAsia="Times New Roman" w:hAnsi="Times New Roman" w:cs="Times New Roman"/>
          <w:sz w:val="24"/>
          <w:szCs w:val="24"/>
          <w:lang w:val="en-US"/>
        </w:rPr>
        <w:t xml:space="preserve">, Article 101418. </w:t>
      </w:r>
      <w:hyperlink r:id="rId41" w:tgtFrame="_new" w:history="1">
        <w:r w:rsidRPr="000D154E">
          <w:rPr>
            <w:rFonts w:ascii="Times New Roman" w:eastAsia="Times New Roman" w:hAnsi="Times New Roman" w:cs="Times New Roman"/>
            <w:color w:val="0000FF"/>
            <w:sz w:val="24"/>
            <w:szCs w:val="24"/>
            <w:u w:val="single"/>
            <w:lang w:val="en-US"/>
          </w:rPr>
          <w:t>https://doi.org/10.1016/j.jafr.2024.101418</w:t>
        </w:r>
      </w:hyperlink>
    </w:p>
    <w:sectPr w:rsidR="004841B3" w:rsidRPr="00921B5C" w:rsidSect="004841B3">
      <w:headerReference w:type="even" r:id="rId42"/>
      <w:headerReference w:type="default" r:id="rId43"/>
      <w:footerReference w:type="even" r:id="rId44"/>
      <w:footerReference w:type="default" r:id="rId45"/>
      <w:headerReference w:type="first" r:id="rId46"/>
      <w:footerReference w:type="firs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3E85F" w14:textId="77777777" w:rsidR="00CB2F6B" w:rsidRDefault="00CB2F6B" w:rsidP="00486728">
      <w:pPr>
        <w:spacing w:after="0" w:line="240" w:lineRule="auto"/>
      </w:pPr>
      <w:r>
        <w:separator/>
      </w:r>
    </w:p>
  </w:endnote>
  <w:endnote w:type="continuationSeparator" w:id="0">
    <w:p w14:paraId="50DCDE1F" w14:textId="77777777" w:rsidR="00CB2F6B" w:rsidRDefault="00CB2F6B" w:rsidP="00486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CEA4" w14:textId="77777777" w:rsidR="00486728" w:rsidRDefault="004867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6D32B" w14:textId="77777777" w:rsidR="00486728" w:rsidRDefault="004867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5FF77" w14:textId="77777777" w:rsidR="00486728" w:rsidRDefault="00486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4A608" w14:textId="77777777" w:rsidR="00CB2F6B" w:rsidRDefault="00CB2F6B" w:rsidP="00486728">
      <w:pPr>
        <w:spacing w:after="0" w:line="240" w:lineRule="auto"/>
      </w:pPr>
      <w:r>
        <w:separator/>
      </w:r>
    </w:p>
  </w:footnote>
  <w:footnote w:type="continuationSeparator" w:id="0">
    <w:p w14:paraId="0E2B050F" w14:textId="77777777" w:rsidR="00CB2F6B" w:rsidRDefault="00CB2F6B" w:rsidP="004867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83446" w14:textId="77777777" w:rsidR="00486728" w:rsidRDefault="00000000">
    <w:pPr>
      <w:pStyle w:val="Header"/>
    </w:pPr>
    <w:r>
      <w:rPr>
        <w:noProof/>
      </w:rPr>
      <w:pict w14:anchorId="2F6B8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94317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5C025" w14:textId="77777777" w:rsidR="00486728" w:rsidRDefault="00000000">
    <w:pPr>
      <w:pStyle w:val="Header"/>
    </w:pPr>
    <w:r>
      <w:rPr>
        <w:noProof/>
      </w:rPr>
      <w:pict w14:anchorId="5142C4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94317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AFF8" w14:textId="77777777" w:rsidR="00486728" w:rsidRDefault="00000000">
    <w:pPr>
      <w:pStyle w:val="Header"/>
    </w:pPr>
    <w:r>
      <w:rPr>
        <w:noProof/>
      </w:rPr>
      <w:pict w14:anchorId="7999C7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94317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F103E5"/>
    <w:multiLevelType w:val="hybridMultilevel"/>
    <w:tmpl w:val="4B986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1086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cwNLWwMDCzNDaxNDdX0lEKTi0uzszPAykwrAUAmRLKmiwAAAA="/>
  </w:docVars>
  <w:rsids>
    <w:rsidRoot w:val="00A74BD4"/>
    <w:rsid w:val="000D154E"/>
    <w:rsid w:val="001F10F2"/>
    <w:rsid w:val="00283EC5"/>
    <w:rsid w:val="003400D1"/>
    <w:rsid w:val="00345F3B"/>
    <w:rsid w:val="003611C2"/>
    <w:rsid w:val="00436ABF"/>
    <w:rsid w:val="004754AC"/>
    <w:rsid w:val="004841B3"/>
    <w:rsid w:val="00486728"/>
    <w:rsid w:val="006C6AFA"/>
    <w:rsid w:val="006D6C6C"/>
    <w:rsid w:val="00811E07"/>
    <w:rsid w:val="00824882"/>
    <w:rsid w:val="008560AC"/>
    <w:rsid w:val="0087023E"/>
    <w:rsid w:val="00907D34"/>
    <w:rsid w:val="00921B5C"/>
    <w:rsid w:val="00947E76"/>
    <w:rsid w:val="00985C38"/>
    <w:rsid w:val="009A76AC"/>
    <w:rsid w:val="00A358EA"/>
    <w:rsid w:val="00A74BD4"/>
    <w:rsid w:val="00AB5592"/>
    <w:rsid w:val="00AF6A51"/>
    <w:rsid w:val="00B41906"/>
    <w:rsid w:val="00C438FC"/>
    <w:rsid w:val="00CB2F6B"/>
    <w:rsid w:val="00CB5C4F"/>
    <w:rsid w:val="00DF0D1B"/>
    <w:rsid w:val="00E379A5"/>
    <w:rsid w:val="00ED29E6"/>
    <w:rsid w:val="00EE6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F5EB0"/>
  <w15:docId w15:val="{B85EA89A-3984-46AC-BA21-0889BCF9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BD4"/>
  </w:style>
  <w:style w:type="paragraph" w:styleId="Heading2">
    <w:name w:val="heading 2"/>
    <w:basedOn w:val="Normal"/>
    <w:link w:val="Heading2Char"/>
    <w:uiPriority w:val="9"/>
    <w:qFormat/>
    <w:rsid w:val="004754A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754A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754A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ediumShading1-Accent11">
    <w:name w:val="Medium Shading 1 - Accent 1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4754A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754AC"/>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754AC"/>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4754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754AC"/>
    <w:rPr>
      <w:b/>
      <w:bCs/>
    </w:rPr>
  </w:style>
  <w:style w:type="character" w:styleId="Emphasis">
    <w:name w:val="Emphasis"/>
    <w:basedOn w:val="DefaultParagraphFont"/>
    <w:uiPriority w:val="20"/>
    <w:qFormat/>
    <w:rsid w:val="004754AC"/>
    <w:rPr>
      <w:i/>
      <w:iCs/>
    </w:rPr>
  </w:style>
  <w:style w:type="character" w:styleId="Hyperlink">
    <w:name w:val="Hyperlink"/>
    <w:basedOn w:val="DefaultParagraphFont"/>
    <w:uiPriority w:val="99"/>
    <w:semiHidden/>
    <w:unhideWhenUsed/>
    <w:rsid w:val="004754AC"/>
    <w:rPr>
      <w:color w:val="0000FF"/>
      <w:u w:val="single"/>
    </w:rPr>
  </w:style>
  <w:style w:type="paragraph" w:styleId="NormalWeb">
    <w:name w:val="Normal (Web)"/>
    <w:basedOn w:val="Normal"/>
    <w:uiPriority w:val="99"/>
    <w:semiHidden/>
    <w:unhideWhenUsed/>
    <w:rsid w:val="004754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q2pgselectionanchorcontainer">
    <w:name w:val="pdq2pg_selectionanchorcontainer"/>
    <w:basedOn w:val="Normal"/>
    <w:uiPriority w:val="99"/>
    <w:semiHidden/>
    <w:rsid w:val="004754A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436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7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728"/>
  </w:style>
  <w:style w:type="paragraph" w:styleId="Footer">
    <w:name w:val="footer"/>
    <w:basedOn w:val="Normal"/>
    <w:link w:val="FooterChar"/>
    <w:uiPriority w:val="99"/>
    <w:unhideWhenUsed/>
    <w:rsid w:val="004867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728"/>
  </w:style>
  <w:style w:type="paragraph" w:styleId="ListParagraph">
    <w:name w:val="List Paragraph"/>
    <w:basedOn w:val="Normal"/>
    <w:uiPriority w:val="34"/>
    <w:qFormat/>
    <w:rsid w:val="00EE6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26806">
      <w:bodyDiv w:val="1"/>
      <w:marLeft w:val="0"/>
      <w:marRight w:val="0"/>
      <w:marTop w:val="0"/>
      <w:marBottom w:val="0"/>
      <w:divBdr>
        <w:top w:val="none" w:sz="0" w:space="0" w:color="auto"/>
        <w:left w:val="none" w:sz="0" w:space="0" w:color="auto"/>
        <w:bottom w:val="none" w:sz="0" w:space="0" w:color="auto"/>
        <w:right w:val="none" w:sz="0" w:space="0" w:color="auto"/>
      </w:divBdr>
      <w:divsChild>
        <w:div w:id="460076115">
          <w:marLeft w:val="0"/>
          <w:marRight w:val="0"/>
          <w:marTop w:val="0"/>
          <w:marBottom w:val="0"/>
          <w:divBdr>
            <w:top w:val="none" w:sz="0" w:space="0" w:color="auto"/>
            <w:left w:val="none" w:sz="0" w:space="0" w:color="auto"/>
            <w:bottom w:val="none" w:sz="0" w:space="0" w:color="auto"/>
            <w:right w:val="none" w:sz="0" w:space="0" w:color="auto"/>
          </w:divBdr>
        </w:div>
        <w:div w:id="1887066620">
          <w:marLeft w:val="0"/>
          <w:marRight w:val="0"/>
          <w:marTop w:val="0"/>
          <w:marBottom w:val="0"/>
          <w:divBdr>
            <w:top w:val="none" w:sz="0" w:space="0" w:color="auto"/>
            <w:left w:val="none" w:sz="0" w:space="0" w:color="auto"/>
            <w:bottom w:val="none" w:sz="0" w:space="0" w:color="auto"/>
            <w:right w:val="none" w:sz="0" w:space="0" w:color="auto"/>
          </w:divBdr>
        </w:div>
        <w:div w:id="1194733332">
          <w:marLeft w:val="0"/>
          <w:marRight w:val="0"/>
          <w:marTop w:val="0"/>
          <w:marBottom w:val="0"/>
          <w:divBdr>
            <w:top w:val="none" w:sz="0" w:space="0" w:color="auto"/>
            <w:left w:val="none" w:sz="0" w:space="0" w:color="auto"/>
            <w:bottom w:val="none" w:sz="0" w:space="0" w:color="auto"/>
            <w:right w:val="none" w:sz="0" w:space="0" w:color="auto"/>
          </w:divBdr>
        </w:div>
        <w:div w:id="546189456">
          <w:marLeft w:val="0"/>
          <w:marRight w:val="0"/>
          <w:marTop w:val="0"/>
          <w:marBottom w:val="0"/>
          <w:divBdr>
            <w:top w:val="none" w:sz="0" w:space="0" w:color="auto"/>
            <w:left w:val="none" w:sz="0" w:space="0" w:color="auto"/>
            <w:bottom w:val="none" w:sz="0" w:space="0" w:color="auto"/>
            <w:right w:val="none" w:sz="0" w:space="0" w:color="auto"/>
          </w:divBdr>
        </w:div>
        <w:div w:id="283775871">
          <w:marLeft w:val="0"/>
          <w:marRight w:val="0"/>
          <w:marTop w:val="0"/>
          <w:marBottom w:val="0"/>
          <w:divBdr>
            <w:top w:val="none" w:sz="0" w:space="0" w:color="auto"/>
            <w:left w:val="none" w:sz="0" w:space="0" w:color="auto"/>
            <w:bottom w:val="none" w:sz="0" w:space="0" w:color="auto"/>
            <w:right w:val="none" w:sz="0" w:space="0" w:color="auto"/>
          </w:divBdr>
        </w:div>
      </w:divsChild>
    </w:div>
    <w:div w:id="1086422678">
      <w:bodyDiv w:val="1"/>
      <w:marLeft w:val="0"/>
      <w:marRight w:val="0"/>
      <w:marTop w:val="0"/>
      <w:marBottom w:val="0"/>
      <w:divBdr>
        <w:top w:val="none" w:sz="0" w:space="0" w:color="auto"/>
        <w:left w:val="none" w:sz="0" w:space="0" w:color="auto"/>
        <w:bottom w:val="none" w:sz="0" w:space="0" w:color="auto"/>
        <w:right w:val="none" w:sz="0" w:space="0" w:color="auto"/>
      </w:divBdr>
    </w:div>
    <w:div w:id="1279723905">
      <w:bodyDiv w:val="1"/>
      <w:marLeft w:val="0"/>
      <w:marRight w:val="0"/>
      <w:marTop w:val="0"/>
      <w:marBottom w:val="0"/>
      <w:divBdr>
        <w:top w:val="none" w:sz="0" w:space="0" w:color="auto"/>
        <w:left w:val="none" w:sz="0" w:space="0" w:color="auto"/>
        <w:bottom w:val="none" w:sz="0" w:space="0" w:color="auto"/>
        <w:right w:val="none" w:sz="0" w:space="0" w:color="auto"/>
      </w:divBdr>
      <w:divsChild>
        <w:div w:id="1667396344">
          <w:marLeft w:val="0"/>
          <w:marRight w:val="0"/>
          <w:marTop w:val="0"/>
          <w:marBottom w:val="0"/>
          <w:divBdr>
            <w:top w:val="none" w:sz="0" w:space="0" w:color="auto"/>
            <w:left w:val="none" w:sz="0" w:space="0" w:color="auto"/>
            <w:bottom w:val="none" w:sz="0" w:space="0" w:color="auto"/>
            <w:right w:val="none" w:sz="0" w:space="0" w:color="auto"/>
          </w:divBdr>
        </w:div>
        <w:div w:id="1129475157">
          <w:marLeft w:val="0"/>
          <w:marRight w:val="0"/>
          <w:marTop w:val="0"/>
          <w:marBottom w:val="0"/>
          <w:divBdr>
            <w:top w:val="none" w:sz="0" w:space="0" w:color="auto"/>
            <w:left w:val="none" w:sz="0" w:space="0" w:color="auto"/>
            <w:bottom w:val="none" w:sz="0" w:space="0" w:color="auto"/>
            <w:right w:val="none" w:sz="0" w:space="0" w:color="auto"/>
          </w:divBdr>
        </w:div>
        <w:div w:id="682055367">
          <w:marLeft w:val="0"/>
          <w:marRight w:val="0"/>
          <w:marTop w:val="0"/>
          <w:marBottom w:val="0"/>
          <w:divBdr>
            <w:top w:val="none" w:sz="0" w:space="0" w:color="auto"/>
            <w:left w:val="none" w:sz="0" w:space="0" w:color="auto"/>
            <w:bottom w:val="none" w:sz="0" w:space="0" w:color="auto"/>
            <w:right w:val="none" w:sz="0" w:space="0" w:color="auto"/>
          </w:divBdr>
        </w:div>
        <w:div w:id="602347992">
          <w:marLeft w:val="0"/>
          <w:marRight w:val="0"/>
          <w:marTop w:val="0"/>
          <w:marBottom w:val="0"/>
          <w:divBdr>
            <w:top w:val="none" w:sz="0" w:space="0" w:color="auto"/>
            <w:left w:val="none" w:sz="0" w:space="0" w:color="auto"/>
            <w:bottom w:val="none" w:sz="0" w:space="0" w:color="auto"/>
            <w:right w:val="none" w:sz="0" w:space="0" w:color="auto"/>
          </w:divBdr>
        </w:div>
        <w:div w:id="163129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heliyon.2022.e09570" TargetMode="External"/><Relationship Id="rId18" Type="http://schemas.openxmlformats.org/officeDocument/2006/relationships/hyperlink" Target="https://doi.org/10.1080/23311932.2023.2280365" TargetMode="External"/><Relationship Id="rId26" Type="http://schemas.openxmlformats.org/officeDocument/2006/relationships/hyperlink" Target="https://doi.org/10.1093/wber/lhx029" TargetMode="External"/><Relationship Id="rId39" Type="http://schemas.openxmlformats.org/officeDocument/2006/relationships/hyperlink" Target="https://doi.org/10.1007/s13593-024-00976-2" TargetMode="External"/><Relationship Id="rId21" Type="http://schemas.openxmlformats.org/officeDocument/2006/relationships/hyperlink" Target="https://doi.org/10.1016/j.forpol.2025.103533" TargetMode="External"/><Relationship Id="rId34" Type="http://schemas.openxmlformats.org/officeDocument/2006/relationships/hyperlink" Target="https://doi.org/10.1007/s12571-021-01193-5"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hyperlink" Target="https://www.afdb.org/en/news-and-events/press-releases/cameroon-african-development-bank-and-government-support-financing-agreement-develop-agricultural-value-chains-54814" TargetMode="External"/><Relationship Id="rId2" Type="http://schemas.openxmlformats.org/officeDocument/2006/relationships/styles" Target="styles.xml"/><Relationship Id="rId16" Type="http://schemas.openxmlformats.org/officeDocument/2006/relationships/hyperlink" Target="https://doi.org/10.1371/journal.pone.0294716" TargetMode="External"/><Relationship Id="rId29" Type="http://schemas.openxmlformats.org/officeDocument/2006/relationships/hyperlink" Target="https://doi.org/10.1177/000203971705200102" TargetMode="External"/><Relationship Id="rId11" Type="http://schemas.openxmlformats.org/officeDocument/2006/relationships/hyperlink" Target="https://doi.org/10.1002/fes3.70042" TargetMode="External"/><Relationship Id="rId24" Type="http://schemas.openxmlformats.org/officeDocument/2006/relationships/hyperlink" Target="https://doi.org/10.3389/fsufs.2024.1353565" TargetMode="External"/><Relationship Id="rId32" Type="http://schemas.openxmlformats.org/officeDocument/2006/relationships/hyperlink" Target="https://doi.org/10.1186/s40066-022-00394-1" TargetMode="External"/><Relationship Id="rId37" Type="http://schemas.openxmlformats.org/officeDocument/2006/relationships/hyperlink" Target="https://doi.org/10.3390/ijerph192214836" TargetMode="External"/><Relationship Id="rId40" Type="http://schemas.openxmlformats.org/officeDocument/2006/relationships/hyperlink" Target="https://doi.org/10.5751/ES-15373-290322"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1371/journal.pone.0296418" TargetMode="External"/><Relationship Id="rId23" Type="http://schemas.openxmlformats.org/officeDocument/2006/relationships/hyperlink" Target="https://doi.org/10.1080/713600071" TargetMode="External"/><Relationship Id="rId28" Type="http://schemas.openxmlformats.org/officeDocument/2006/relationships/hyperlink" Target="https://doi.org/10.11648/j.ijae.20180301.11" TargetMode="External"/><Relationship Id="rId36" Type="http://schemas.openxmlformats.org/officeDocument/2006/relationships/hyperlink" Target="https://openknowledge.worldbank.org/entities/publication/ae9b956d-49ee-50f2-a24a-cfe19f756844?utm_source=chatgpt.com" TargetMode="External"/><Relationship Id="rId49" Type="http://schemas.openxmlformats.org/officeDocument/2006/relationships/theme" Target="theme/theme1.xml"/><Relationship Id="rId10" Type="http://schemas.openxmlformats.org/officeDocument/2006/relationships/hyperlink" Target="https://doi.org/10.3389/fsufs.2025.1606323" TargetMode="External"/><Relationship Id="rId19" Type="http://schemas.openxmlformats.org/officeDocument/2006/relationships/hyperlink" Target="https://doi.org/10.1111/j.1471-1842.2009.00848.x" TargetMode="External"/><Relationship Id="rId31" Type="http://schemas.openxmlformats.org/officeDocument/2006/relationships/hyperlink" Target="https://doi.org/10.3390/ijerph19159526"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007/s10457-019-00435-y" TargetMode="External"/><Relationship Id="rId14" Type="http://schemas.openxmlformats.org/officeDocument/2006/relationships/hyperlink" Target="https://doi.org/10.1038/s41598-022-17991-6" TargetMode="External"/><Relationship Id="rId22" Type="http://schemas.openxmlformats.org/officeDocument/2006/relationships/hyperlink" Target="https://doi.org/10.1016/j.landusepol.2021.105524" TargetMode="External"/><Relationship Id="rId27" Type="http://schemas.openxmlformats.org/officeDocument/2006/relationships/hyperlink" Target="https://doi.org/10.1111/1477-8947.12344" TargetMode="External"/><Relationship Id="rId30" Type="http://schemas.openxmlformats.org/officeDocument/2006/relationships/hyperlink" Target="https://doi.org/10.1007/s10668-022-02212-x" TargetMode="External"/><Relationship Id="rId35" Type="http://schemas.openxmlformats.org/officeDocument/2006/relationships/hyperlink" Target="https://doi.org/10.1080/14735903.2019.1696156"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https://doi.org/10.1007/s40003-020-00477-0" TargetMode="External"/><Relationship Id="rId3" Type="http://schemas.openxmlformats.org/officeDocument/2006/relationships/settings" Target="settings.xml"/><Relationship Id="rId12" Type="http://schemas.openxmlformats.org/officeDocument/2006/relationships/hyperlink" Target="https://doi.org/10.1016/0305-750X(96)00016-2" TargetMode="External"/><Relationship Id="rId17" Type="http://schemas.openxmlformats.org/officeDocument/2006/relationships/hyperlink" Target="https://doi.org/10.1080/09692290500049805" TargetMode="External"/><Relationship Id="rId25" Type="http://schemas.openxmlformats.org/officeDocument/2006/relationships/hyperlink" Target="https://doi.org/10.3390/su13031523" TargetMode="External"/><Relationship Id="rId33" Type="http://schemas.openxmlformats.org/officeDocument/2006/relationships/hyperlink" Target="https://doi.org/10.1038/s41467-018-07915-2" TargetMode="External"/><Relationship Id="rId38" Type="http://schemas.openxmlformats.org/officeDocument/2006/relationships/hyperlink" Target="https://doi.org/10.1016/j.csag.2024.100004" TargetMode="External"/><Relationship Id="rId46" Type="http://schemas.openxmlformats.org/officeDocument/2006/relationships/header" Target="header3.xml"/><Relationship Id="rId20" Type="http://schemas.openxmlformats.org/officeDocument/2006/relationships/hyperlink" Target="https://doi.org/10.1080/0034340022000022198" TargetMode="External"/><Relationship Id="rId41" Type="http://schemas.openxmlformats.org/officeDocument/2006/relationships/hyperlink" Target="https://doi.org/10.1016/j.jafr.2024.101418"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20</Pages>
  <Words>10724</Words>
  <Characters>61127</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Managing Editor</dc:creator>
  <cp:lastModifiedBy>SDI 1087</cp:lastModifiedBy>
  <cp:revision>15</cp:revision>
  <dcterms:created xsi:type="dcterms:W3CDTF">2026-07-02T16:22:00Z</dcterms:created>
  <dcterms:modified xsi:type="dcterms:W3CDTF">2026-07-08T10:47:00Z</dcterms:modified>
</cp:coreProperties>
</file>