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36702" w14:textId="77777777" w:rsidR="00AC3D86" w:rsidRPr="001302AD" w:rsidRDefault="00AC3D86" w:rsidP="00775E77">
      <w:pPr>
        <w:spacing w:line="360" w:lineRule="auto"/>
        <w:jc w:val="right"/>
        <w:rPr>
          <w:rFonts w:ascii="Times New Roman" w:eastAsia="Calibri" w:hAnsi="Times New Roman" w:cs="Times New Roman"/>
          <w:b/>
          <w:sz w:val="36"/>
          <w:szCs w:val="36"/>
        </w:rPr>
      </w:pPr>
      <w:bookmarkStart w:id="0" w:name="_Hlk140229440"/>
    </w:p>
    <w:p w14:paraId="77F3D84B" w14:textId="77777777" w:rsidR="00D546C3" w:rsidRPr="00D546C3" w:rsidRDefault="00D546C3" w:rsidP="00D546C3">
      <w:pPr>
        <w:spacing w:line="360" w:lineRule="auto"/>
        <w:jc w:val="right"/>
        <w:rPr>
          <w:rFonts w:ascii="Times New Roman" w:eastAsia="Calibri" w:hAnsi="Times New Roman" w:cs="Times New Roman"/>
          <w:b/>
          <w:bCs/>
          <w:i/>
          <w:iCs/>
          <w:sz w:val="36"/>
          <w:szCs w:val="36"/>
          <w:u w:val="single"/>
        </w:rPr>
      </w:pPr>
      <w:r w:rsidRPr="00D546C3">
        <w:rPr>
          <w:rFonts w:ascii="Times New Roman" w:eastAsia="Calibri" w:hAnsi="Times New Roman" w:cs="Times New Roman"/>
          <w:b/>
          <w:bCs/>
          <w:i/>
          <w:iCs/>
          <w:sz w:val="36"/>
          <w:szCs w:val="36"/>
          <w:u w:val="single"/>
        </w:rPr>
        <w:t>Original Research Article</w:t>
      </w:r>
    </w:p>
    <w:p w14:paraId="46F3B6E1" w14:textId="77777777" w:rsidR="00436887" w:rsidRPr="001302AD" w:rsidRDefault="00436887" w:rsidP="00775E77">
      <w:pPr>
        <w:spacing w:line="360" w:lineRule="auto"/>
        <w:jc w:val="right"/>
        <w:rPr>
          <w:rFonts w:ascii="Times New Roman" w:eastAsia="Times New Roman" w:hAnsi="Times New Roman" w:cs="Times New Roman"/>
          <w:b/>
          <w:bCs/>
          <w:color w:val="000000" w:themeColor="text1"/>
          <w:sz w:val="36"/>
          <w:szCs w:val="36"/>
        </w:rPr>
      </w:pPr>
      <w:r w:rsidRPr="001302AD">
        <w:rPr>
          <w:rFonts w:ascii="Times New Roman" w:eastAsia="Calibri" w:hAnsi="Times New Roman" w:cs="Times New Roman"/>
          <w:b/>
          <w:sz w:val="36"/>
          <w:szCs w:val="36"/>
        </w:rPr>
        <w:t xml:space="preserve">Effect of Organic Mulching on </w:t>
      </w:r>
      <w:proofErr w:type="gramStart"/>
      <w:r w:rsidRPr="001302AD">
        <w:rPr>
          <w:rFonts w:ascii="Times New Roman" w:eastAsia="Calibri" w:hAnsi="Times New Roman" w:cs="Times New Roman"/>
          <w:b/>
          <w:sz w:val="36"/>
          <w:szCs w:val="36"/>
        </w:rPr>
        <w:t>In</w:t>
      </w:r>
      <w:proofErr w:type="gramEnd"/>
      <w:r w:rsidRPr="001302AD">
        <w:rPr>
          <w:rFonts w:ascii="Times New Roman" w:eastAsia="Calibri" w:hAnsi="Times New Roman" w:cs="Times New Roman"/>
          <w:b/>
          <w:sz w:val="36"/>
          <w:szCs w:val="36"/>
        </w:rPr>
        <w:t xml:space="preserve"> situ Soil Moisture Conservation, Yield, and Yield Attributes of Soybean</w:t>
      </w:r>
      <w:r w:rsidRPr="001302AD">
        <w:rPr>
          <w:rFonts w:ascii="Times New Roman" w:eastAsia="Times New Roman" w:hAnsi="Times New Roman" w:cs="Times New Roman"/>
          <w:b/>
          <w:bCs/>
          <w:i/>
          <w:color w:val="000000" w:themeColor="text1"/>
          <w:sz w:val="36"/>
          <w:szCs w:val="36"/>
        </w:rPr>
        <w:t xml:space="preserve"> (Glycine max</w:t>
      </w:r>
      <w:r w:rsidRPr="001302AD">
        <w:rPr>
          <w:rFonts w:ascii="Times New Roman" w:eastAsia="Times New Roman" w:hAnsi="Times New Roman" w:cs="Times New Roman"/>
          <w:b/>
          <w:bCs/>
          <w:color w:val="000000" w:themeColor="text1"/>
          <w:sz w:val="36"/>
          <w:szCs w:val="36"/>
        </w:rPr>
        <w:t xml:space="preserve"> (L). Merrill)) in the Semi-arid Ar</w:t>
      </w:r>
      <w:r w:rsidR="00775E77" w:rsidRPr="001302AD">
        <w:rPr>
          <w:rFonts w:ascii="Times New Roman" w:eastAsia="Times New Roman" w:hAnsi="Times New Roman" w:cs="Times New Roman"/>
          <w:b/>
          <w:bCs/>
          <w:color w:val="000000" w:themeColor="text1"/>
          <w:sz w:val="36"/>
          <w:szCs w:val="36"/>
        </w:rPr>
        <w:t>eas of Western Tigray, Ethiopia</w:t>
      </w:r>
    </w:p>
    <w:bookmarkEnd w:id="0"/>
    <w:p w14:paraId="0EBBB906" w14:textId="77777777" w:rsidR="00775E77" w:rsidRPr="001302AD" w:rsidRDefault="00775E77" w:rsidP="00775E77">
      <w:pPr>
        <w:spacing w:line="240" w:lineRule="auto"/>
        <w:jc w:val="right"/>
        <w:rPr>
          <w:rFonts w:ascii="Times New Roman" w:eastAsia="Calibri" w:hAnsi="Times New Roman" w:cs="Times New Roman"/>
          <w:b/>
          <w:sz w:val="24"/>
          <w:szCs w:val="24"/>
        </w:rPr>
      </w:pPr>
    </w:p>
    <w:p w14:paraId="3598B427" w14:textId="77777777" w:rsidR="00436887" w:rsidRPr="001302AD" w:rsidRDefault="001302AD" w:rsidP="00BC62AF">
      <w:pPr>
        <w:spacing w:line="360" w:lineRule="auto"/>
        <w:rPr>
          <w:rFonts w:ascii="Times New Roman" w:eastAsia="Calibri" w:hAnsi="Times New Roman" w:cs="Times New Roman"/>
          <w:b/>
        </w:rPr>
      </w:pPr>
      <w:r w:rsidRPr="001302AD">
        <w:rPr>
          <w:rFonts w:ascii="Times New Roman" w:eastAsia="Calibri" w:hAnsi="Times New Roman" w:cs="Times New Roman"/>
          <w:b/>
        </w:rPr>
        <w:t>Abstract</w:t>
      </w:r>
    </w:p>
    <w:p w14:paraId="3E4404B3" w14:textId="5DA4B47D" w:rsidR="00436887" w:rsidRPr="001A7183" w:rsidRDefault="00642641" w:rsidP="00AC3D86">
      <w:pPr>
        <w:spacing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S</w:t>
      </w:r>
      <w:r w:rsidRPr="00642641">
        <w:rPr>
          <w:rFonts w:ascii="Times New Roman" w:eastAsia="Calibri" w:hAnsi="Times New Roman" w:cs="Times New Roman"/>
          <w:sz w:val="20"/>
          <w:szCs w:val="20"/>
        </w:rPr>
        <w:t xml:space="preserve">oybean (Glycine max L. </w:t>
      </w:r>
      <w:proofErr w:type="spellStart"/>
      <w:r w:rsidRPr="00642641">
        <w:rPr>
          <w:rFonts w:ascii="Times New Roman" w:eastAsia="Calibri" w:hAnsi="Times New Roman" w:cs="Times New Roman"/>
          <w:sz w:val="20"/>
          <w:szCs w:val="20"/>
        </w:rPr>
        <w:t>Merr</w:t>
      </w:r>
      <w:proofErr w:type="spellEnd"/>
      <w:r w:rsidRPr="00642641">
        <w:rPr>
          <w:rFonts w:ascii="Times New Roman" w:eastAsia="Calibri" w:hAnsi="Times New Roman" w:cs="Times New Roman"/>
          <w:sz w:val="20"/>
          <w:szCs w:val="20"/>
        </w:rPr>
        <w:t>.) is widely cultivated in tropical, subtropical, warm temperate and semi-arid regions. However, its productivity remains low due to various biotic and abiotic constraints</w:t>
      </w:r>
      <w:r>
        <w:rPr>
          <w:rFonts w:ascii="Times New Roman" w:eastAsia="Calibri" w:hAnsi="Times New Roman" w:cs="Times New Roman"/>
          <w:sz w:val="20"/>
          <w:szCs w:val="20"/>
        </w:rPr>
        <w:t>.</w:t>
      </w:r>
      <w:r w:rsidRPr="001302AD">
        <w:rPr>
          <w:rFonts w:ascii="Times New Roman" w:eastAsia="Calibri" w:hAnsi="Times New Roman" w:cs="Times New Roman"/>
          <w:sz w:val="20"/>
          <w:szCs w:val="20"/>
        </w:rPr>
        <w:t xml:space="preserve"> Soil</w:t>
      </w:r>
      <w:r w:rsidR="00436887" w:rsidRPr="001302AD">
        <w:rPr>
          <w:rFonts w:ascii="Times New Roman" w:eastAsia="Calibri" w:hAnsi="Times New Roman" w:cs="Times New Roman"/>
          <w:sz w:val="20"/>
          <w:szCs w:val="20"/>
        </w:rPr>
        <w:t xml:space="preserve"> moisture stress is the major abiotic constraint that causes extensive losses in soybean production. Thus, this study aimed to investigate the effect of organic mulching on soybean productivity and in situ soil moisture conservation.</w:t>
      </w:r>
      <w:r w:rsidR="00436887" w:rsidRPr="001302AD">
        <w:rPr>
          <w:rFonts w:ascii="Times New Roman" w:eastAsia="Calibri" w:hAnsi="Times New Roman" w:cs="Times New Roman"/>
          <w:color w:val="FF0000"/>
          <w:sz w:val="20"/>
          <w:szCs w:val="20"/>
        </w:rPr>
        <w:t xml:space="preserve"> </w:t>
      </w:r>
      <w:r w:rsidR="00436887" w:rsidRPr="001302AD">
        <w:rPr>
          <w:rFonts w:ascii="Times New Roman" w:eastAsia="Calibri" w:hAnsi="Times New Roman" w:cs="Times New Roman"/>
          <w:color w:val="000000" w:themeColor="text1"/>
          <w:sz w:val="20"/>
          <w:szCs w:val="20"/>
        </w:rPr>
        <w:t>The study was conducted at Humera Agricult</w:t>
      </w:r>
      <w:r w:rsidR="007A0FA4" w:rsidRPr="001302AD">
        <w:rPr>
          <w:rFonts w:ascii="Times New Roman" w:eastAsia="Calibri" w:hAnsi="Times New Roman" w:cs="Times New Roman"/>
          <w:color w:val="000000" w:themeColor="text1"/>
          <w:sz w:val="20"/>
          <w:szCs w:val="20"/>
        </w:rPr>
        <w:t>ural Research Center during 2020</w:t>
      </w:r>
      <w:r w:rsidR="00436887" w:rsidRPr="001302AD">
        <w:rPr>
          <w:rFonts w:ascii="Times New Roman" w:eastAsia="Calibri" w:hAnsi="Times New Roman" w:cs="Times New Roman"/>
          <w:color w:val="000000" w:themeColor="text1"/>
          <w:sz w:val="20"/>
          <w:szCs w:val="20"/>
        </w:rPr>
        <w:t xml:space="preserve"> main copping season under rainfed condition using</w:t>
      </w:r>
      <w:r w:rsidR="00436887" w:rsidRPr="001302AD">
        <w:rPr>
          <w:rFonts w:ascii="Times New Roman" w:eastAsia="Calibri" w:hAnsi="Times New Roman" w:cs="Times New Roman"/>
          <w:sz w:val="20"/>
          <w:szCs w:val="20"/>
        </w:rPr>
        <w:t xml:space="preserve"> randomized complete block design (RCBD) with three replications. Five rates of mulching (no mulch, 5 t ha</w:t>
      </w:r>
      <w:r w:rsidR="00436887" w:rsidRPr="001302AD">
        <w:rPr>
          <w:rFonts w:ascii="Times New Roman" w:eastAsia="Calibri" w:hAnsi="Times New Roman" w:cs="Times New Roman"/>
          <w:sz w:val="20"/>
          <w:szCs w:val="20"/>
          <w:vertAlign w:val="superscript"/>
        </w:rPr>
        <w:t>-1</w:t>
      </w:r>
      <w:r w:rsidR="00436887" w:rsidRPr="001302AD">
        <w:rPr>
          <w:rFonts w:ascii="Times New Roman" w:eastAsia="Calibri" w:hAnsi="Times New Roman" w:cs="Times New Roman"/>
          <w:sz w:val="20"/>
          <w:szCs w:val="20"/>
        </w:rPr>
        <w:t>, 10 t ha</w:t>
      </w:r>
      <w:r w:rsidR="00436887" w:rsidRPr="001302AD">
        <w:rPr>
          <w:rFonts w:ascii="Times New Roman" w:eastAsia="Calibri" w:hAnsi="Times New Roman" w:cs="Times New Roman"/>
          <w:sz w:val="20"/>
          <w:szCs w:val="20"/>
          <w:vertAlign w:val="superscript"/>
        </w:rPr>
        <w:t>-1</w:t>
      </w:r>
      <w:r w:rsidR="00436887" w:rsidRPr="001302AD">
        <w:rPr>
          <w:rFonts w:ascii="Times New Roman" w:eastAsia="Calibri" w:hAnsi="Times New Roman" w:cs="Times New Roman"/>
          <w:sz w:val="20"/>
          <w:szCs w:val="20"/>
        </w:rPr>
        <w:t>, 15 t ha</w:t>
      </w:r>
      <w:r w:rsidR="00436887" w:rsidRPr="001302AD">
        <w:rPr>
          <w:rFonts w:ascii="Times New Roman" w:eastAsia="Calibri" w:hAnsi="Times New Roman" w:cs="Times New Roman"/>
          <w:sz w:val="20"/>
          <w:szCs w:val="20"/>
          <w:vertAlign w:val="superscript"/>
        </w:rPr>
        <w:t>-1</w:t>
      </w:r>
      <w:r w:rsidR="00436887" w:rsidRPr="001302AD">
        <w:rPr>
          <w:rFonts w:ascii="Times New Roman" w:eastAsia="Calibri" w:hAnsi="Times New Roman" w:cs="Times New Roman"/>
          <w:sz w:val="20"/>
          <w:szCs w:val="20"/>
        </w:rPr>
        <w:t xml:space="preserve"> and 20 t ha</w:t>
      </w:r>
      <w:r w:rsidR="00436887" w:rsidRPr="001302AD">
        <w:rPr>
          <w:rFonts w:ascii="Times New Roman" w:eastAsia="Calibri" w:hAnsi="Times New Roman" w:cs="Times New Roman"/>
          <w:sz w:val="20"/>
          <w:szCs w:val="20"/>
          <w:vertAlign w:val="superscript"/>
        </w:rPr>
        <w:t>-1</w:t>
      </w:r>
      <w:r w:rsidR="00436887" w:rsidRPr="001302AD">
        <w:rPr>
          <w:rFonts w:ascii="Times New Roman" w:eastAsia="Calibri" w:hAnsi="Times New Roman" w:cs="Times New Roman"/>
          <w:sz w:val="20"/>
          <w:szCs w:val="20"/>
        </w:rPr>
        <w:t>) were considered as treatments, and Hawassa-95 soybean variety was used in the study.</w:t>
      </w:r>
      <w:r w:rsidR="00436887" w:rsidRPr="001302AD">
        <w:rPr>
          <w:rFonts w:ascii="Times New Roman" w:eastAsia="Calibri" w:hAnsi="Times New Roman" w:cs="Times New Roman"/>
          <w:color w:val="000000"/>
          <w:sz w:val="20"/>
          <w:szCs w:val="20"/>
        </w:rPr>
        <w:t xml:space="preserve"> The results revealed that the highest soil moisture was conserved at 20</w:t>
      </w:r>
      <w:r w:rsidR="00436887" w:rsidRPr="001302AD">
        <w:rPr>
          <w:rFonts w:ascii="Times New Roman" w:eastAsia="Calibri" w:hAnsi="Times New Roman" w:cs="Times New Roman"/>
          <w:sz w:val="20"/>
          <w:szCs w:val="20"/>
        </w:rPr>
        <w:t xml:space="preserve"> t ha</w:t>
      </w:r>
      <w:r w:rsidR="00436887" w:rsidRPr="001302AD">
        <w:rPr>
          <w:rFonts w:ascii="Times New Roman" w:eastAsia="Calibri" w:hAnsi="Times New Roman" w:cs="Times New Roman"/>
          <w:sz w:val="20"/>
          <w:szCs w:val="20"/>
          <w:vertAlign w:val="superscript"/>
        </w:rPr>
        <w:t>-1</w:t>
      </w:r>
      <w:r w:rsidR="00436887" w:rsidRPr="001302AD">
        <w:rPr>
          <w:rFonts w:ascii="Times New Roman" w:eastAsia="Calibri" w:hAnsi="Times New Roman" w:cs="Times New Roman"/>
          <w:sz w:val="20"/>
          <w:szCs w:val="20"/>
        </w:rPr>
        <w:t xml:space="preserve"> </w:t>
      </w:r>
      <w:r w:rsidR="00436887" w:rsidRPr="001302AD">
        <w:rPr>
          <w:rFonts w:ascii="Times New Roman" w:eastAsia="Calibri" w:hAnsi="Times New Roman" w:cs="Times New Roman"/>
          <w:color w:val="000000"/>
          <w:sz w:val="20"/>
          <w:szCs w:val="20"/>
        </w:rPr>
        <w:t>mulch at all soil depths (0-0.2 m, 0.2.-0.4 m and 0.4-0.6 m) during 15-90 days after sowing. Likewise, the highest hundred seed weight (11.69 g), grain yield (1611 kg</w:t>
      </w:r>
      <w:r w:rsidR="00436887" w:rsidRPr="001302AD">
        <w:rPr>
          <w:rFonts w:ascii="Times New Roman" w:eastAsia="Calibri" w:hAnsi="Times New Roman" w:cs="Times New Roman"/>
          <w:sz w:val="20"/>
          <w:szCs w:val="20"/>
        </w:rPr>
        <w:t xml:space="preserve"> ha</w:t>
      </w:r>
      <w:r w:rsidR="00436887" w:rsidRPr="001302AD">
        <w:rPr>
          <w:rFonts w:ascii="Times New Roman" w:eastAsia="Calibri" w:hAnsi="Times New Roman" w:cs="Times New Roman"/>
          <w:sz w:val="20"/>
          <w:szCs w:val="20"/>
          <w:vertAlign w:val="superscript"/>
        </w:rPr>
        <w:t>-1</w:t>
      </w:r>
      <w:r w:rsidR="00436887" w:rsidRPr="001302AD">
        <w:rPr>
          <w:rFonts w:ascii="Times New Roman" w:eastAsia="Calibri" w:hAnsi="Times New Roman" w:cs="Times New Roman"/>
          <w:color w:val="000000"/>
          <w:sz w:val="20"/>
          <w:szCs w:val="20"/>
        </w:rPr>
        <w:t>), and harvest index (38.48%) were recorded under the 15 t ha</w:t>
      </w:r>
      <w:r w:rsidR="00436887" w:rsidRPr="001302AD">
        <w:rPr>
          <w:rFonts w:ascii="Times New Roman" w:eastAsia="Calibri" w:hAnsi="Times New Roman" w:cs="Times New Roman"/>
          <w:color w:val="000000"/>
          <w:sz w:val="20"/>
          <w:szCs w:val="20"/>
          <w:vertAlign w:val="superscript"/>
        </w:rPr>
        <w:t>-1</w:t>
      </w:r>
      <w:r w:rsidR="00436887" w:rsidRPr="001302AD">
        <w:rPr>
          <w:rFonts w:ascii="Times New Roman" w:eastAsia="Calibri" w:hAnsi="Times New Roman" w:cs="Times New Roman"/>
          <w:color w:val="000000"/>
          <w:sz w:val="20"/>
          <w:szCs w:val="20"/>
        </w:rPr>
        <w:t xml:space="preserve"> mulch treatment. Although 15</w:t>
      </w:r>
      <w:r w:rsidR="00436887" w:rsidRPr="001302AD">
        <w:rPr>
          <w:rFonts w:ascii="Times New Roman" w:eastAsia="Calibri" w:hAnsi="Times New Roman" w:cs="Times New Roman"/>
          <w:sz w:val="20"/>
          <w:szCs w:val="20"/>
        </w:rPr>
        <w:t xml:space="preserve"> t ha</w:t>
      </w:r>
      <w:r w:rsidR="00436887" w:rsidRPr="001302AD">
        <w:rPr>
          <w:rFonts w:ascii="Times New Roman" w:eastAsia="Calibri" w:hAnsi="Times New Roman" w:cs="Times New Roman"/>
          <w:sz w:val="20"/>
          <w:szCs w:val="20"/>
          <w:vertAlign w:val="superscript"/>
        </w:rPr>
        <w:t>-1</w:t>
      </w:r>
      <w:r w:rsidR="00436887" w:rsidRPr="001302AD">
        <w:rPr>
          <w:rFonts w:ascii="Times New Roman" w:eastAsia="Calibri" w:hAnsi="Times New Roman" w:cs="Times New Roman"/>
          <w:color w:val="000000"/>
          <w:sz w:val="20"/>
          <w:szCs w:val="20"/>
        </w:rPr>
        <w:t xml:space="preserve"> mulch cover had positive effects on soil moisture conservation and soybean production, the economic analysis showed that only </w:t>
      </w:r>
      <w:r w:rsidR="00436887" w:rsidRPr="001302AD">
        <w:rPr>
          <w:rFonts w:ascii="Times New Roman" w:eastAsia="Calibri" w:hAnsi="Times New Roman" w:cs="Times New Roman"/>
          <w:color w:val="000000" w:themeColor="text1"/>
          <w:sz w:val="20"/>
          <w:szCs w:val="20"/>
        </w:rPr>
        <w:t>10</w:t>
      </w:r>
      <w:r w:rsidR="00436887" w:rsidRPr="001302AD">
        <w:rPr>
          <w:rFonts w:ascii="Times New Roman" w:eastAsia="Calibri" w:hAnsi="Times New Roman" w:cs="Times New Roman"/>
          <w:sz w:val="20"/>
          <w:szCs w:val="20"/>
        </w:rPr>
        <w:t xml:space="preserve"> t ha</w:t>
      </w:r>
      <w:r w:rsidR="00436887" w:rsidRPr="001302AD">
        <w:rPr>
          <w:rFonts w:ascii="Times New Roman" w:eastAsia="Calibri" w:hAnsi="Times New Roman" w:cs="Times New Roman"/>
          <w:sz w:val="20"/>
          <w:szCs w:val="20"/>
          <w:vertAlign w:val="superscript"/>
        </w:rPr>
        <w:t xml:space="preserve">-1 </w:t>
      </w:r>
      <w:r w:rsidR="00436887" w:rsidRPr="001302AD">
        <w:rPr>
          <w:rFonts w:ascii="Times New Roman" w:eastAsia="Calibri" w:hAnsi="Times New Roman" w:cs="Times New Roman"/>
          <w:color w:val="000000" w:themeColor="text1"/>
          <w:sz w:val="20"/>
          <w:szCs w:val="20"/>
        </w:rPr>
        <w:t xml:space="preserve">was the most profitable treatment, offering an MRR of 706%. Therefore, farmers are recommended to apply 10 </w:t>
      </w:r>
      <w:r w:rsidR="00436887" w:rsidRPr="001302AD">
        <w:rPr>
          <w:rFonts w:ascii="Times New Roman" w:eastAsia="Calibri" w:hAnsi="Times New Roman" w:cs="Times New Roman"/>
          <w:sz w:val="20"/>
          <w:szCs w:val="20"/>
        </w:rPr>
        <w:t>t ha</w:t>
      </w:r>
      <w:r w:rsidR="00436887" w:rsidRPr="001302AD">
        <w:rPr>
          <w:rFonts w:ascii="Times New Roman" w:eastAsia="Calibri" w:hAnsi="Times New Roman" w:cs="Times New Roman"/>
          <w:sz w:val="20"/>
          <w:szCs w:val="20"/>
          <w:vertAlign w:val="superscript"/>
        </w:rPr>
        <w:t>-1</w:t>
      </w:r>
      <w:r w:rsidR="00436887" w:rsidRPr="001302AD">
        <w:rPr>
          <w:rFonts w:ascii="Times New Roman" w:eastAsia="Calibri" w:hAnsi="Times New Roman" w:cs="Times New Roman"/>
          <w:color w:val="000000" w:themeColor="text1"/>
          <w:sz w:val="20"/>
          <w:szCs w:val="20"/>
        </w:rPr>
        <w:t xml:space="preserve"> mulch to improve their production and profitability of soybean.</w:t>
      </w:r>
    </w:p>
    <w:p w14:paraId="52751A46" w14:textId="77777777" w:rsidR="00436887" w:rsidRPr="001302AD" w:rsidRDefault="00436887" w:rsidP="00436887">
      <w:pPr>
        <w:spacing w:after="0" w:line="360" w:lineRule="auto"/>
        <w:rPr>
          <w:rFonts w:ascii="Times New Roman" w:eastAsia="Calibri" w:hAnsi="Times New Roman" w:cs="Times New Roman"/>
          <w:b/>
          <w:i/>
          <w:sz w:val="20"/>
          <w:szCs w:val="20"/>
        </w:rPr>
        <w:sectPr w:rsidR="00436887" w:rsidRPr="001302AD">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440" w:header="720" w:footer="720" w:gutter="0"/>
          <w:pgNumType w:fmt="lowerRoman"/>
          <w:cols w:space="720"/>
        </w:sectPr>
      </w:pPr>
      <w:r w:rsidRPr="001302AD">
        <w:rPr>
          <w:rFonts w:ascii="Times New Roman" w:eastAsia="Calibri" w:hAnsi="Times New Roman" w:cs="Times New Roman"/>
          <w:i/>
          <w:sz w:val="20"/>
          <w:szCs w:val="20"/>
        </w:rPr>
        <w:t xml:space="preserve">Key words: </w:t>
      </w:r>
      <w:r w:rsidRPr="001302AD">
        <w:rPr>
          <w:rFonts w:ascii="Times New Roman" w:eastAsia="Calibri" w:hAnsi="Times New Roman" w:cs="Times New Roman"/>
          <w:i/>
          <w:color w:val="000000" w:themeColor="text1"/>
          <w:sz w:val="20"/>
          <w:szCs w:val="20"/>
        </w:rPr>
        <w:t xml:space="preserve">Organic mulch, Soil moisture conservation, Soybean, Yield </w:t>
      </w:r>
    </w:p>
    <w:p w14:paraId="717DC1B3" w14:textId="77777777" w:rsidR="00436887" w:rsidRPr="001302AD" w:rsidRDefault="001302AD" w:rsidP="00436887">
      <w:pPr>
        <w:spacing w:after="0" w:line="360" w:lineRule="auto"/>
        <w:jc w:val="both"/>
        <w:rPr>
          <w:rFonts w:ascii="Times New Roman" w:eastAsia="Times New Roman" w:hAnsi="Times New Roman" w:cs="Times New Roman"/>
          <w:b/>
          <w:bCs/>
          <w:color w:val="000000" w:themeColor="text1"/>
        </w:rPr>
      </w:pPr>
      <w:r w:rsidRPr="001302AD">
        <w:rPr>
          <w:rFonts w:ascii="Times New Roman" w:eastAsia="Times New Roman" w:hAnsi="Times New Roman" w:cs="Times New Roman"/>
          <w:b/>
          <w:bCs/>
          <w:color w:val="000000" w:themeColor="text1"/>
        </w:rPr>
        <w:lastRenderedPageBreak/>
        <w:t>1. Introduction</w:t>
      </w:r>
    </w:p>
    <w:p w14:paraId="007CDACE" w14:textId="245A5417" w:rsidR="00436887" w:rsidRPr="00182961" w:rsidRDefault="00436887" w:rsidP="00BC0A37">
      <w:pPr>
        <w:spacing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sz w:val="20"/>
          <w:szCs w:val="20"/>
        </w:rPr>
        <w:t>Soybean (</w:t>
      </w:r>
      <w:r w:rsidRPr="001302AD">
        <w:rPr>
          <w:rFonts w:ascii="Times New Roman" w:eastAsia="Calibri" w:hAnsi="Times New Roman" w:cs="Times New Roman"/>
          <w:i/>
          <w:iCs/>
          <w:sz w:val="20"/>
          <w:szCs w:val="20"/>
        </w:rPr>
        <w:t>Glycine max</w:t>
      </w:r>
      <w:r w:rsidRPr="001302AD">
        <w:rPr>
          <w:rFonts w:ascii="Times New Roman" w:eastAsia="Calibri" w:hAnsi="Times New Roman" w:cs="Times New Roman"/>
          <w:sz w:val="20"/>
          <w:szCs w:val="20"/>
        </w:rPr>
        <w:t xml:space="preserve"> (L.) Merrill) is an important global legume crop that belongs to the large botanical family Leguminosae in the subfamily Papilionideae. It is cultivated worldwide primarily for its protein and oil content, which are highly suitable for human consumption, and from which meals are obtained for animal feed (Mishra et al., 2024). It is also important for producing industrial products, such as soy inks, non-toxic adhesives, candles, and paints, among many other applications in sustainable manufacturing systems (Johnson et al., 2015). Soybeans have a high protein content (approximately 40%) and high oil content (approximately 20%), which, together with numerous beneficial nutrients and bioactive factors, make soybeans the crop of choice for improving the diets of millions of people in developing countries (Singh et al., 2016). </w:t>
      </w:r>
      <w:r w:rsidRPr="001302AD">
        <w:rPr>
          <w:rFonts w:ascii="Times New Roman" w:eastAsia="TimesNewRoman" w:hAnsi="Times New Roman" w:cs="Times New Roman"/>
          <w:sz w:val="20"/>
          <w:szCs w:val="20"/>
        </w:rPr>
        <w:t>Its attributes of being a rich and cheap source of protein have earned the crop the appellation of a “miracle bean” or a “golden bean” (</w:t>
      </w:r>
      <w:r w:rsidRPr="001302AD">
        <w:rPr>
          <w:rFonts w:ascii="Times New Roman" w:eastAsia="Calibri" w:hAnsi="Times New Roman" w:cs="Times New Roman"/>
          <w:sz w:val="20"/>
          <w:szCs w:val="20"/>
        </w:rPr>
        <w:t>Kumari et al., 2022</w:t>
      </w:r>
      <w:r w:rsidRPr="001302AD">
        <w:rPr>
          <w:rFonts w:ascii="Times New Roman" w:eastAsia="TimesNewRoman" w:hAnsi="Times New Roman" w:cs="Times New Roman"/>
          <w:sz w:val="20"/>
          <w:szCs w:val="20"/>
        </w:rPr>
        <w:t>).</w:t>
      </w:r>
      <w:r w:rsidRPr="001302AD">
        <w:rPr>
          <w:rFonts w:ascii="Times New Roman" w:eastAsia="TimesNewRoman" w:hAnsi="Times New Roman" w:cs="Times New Roman"/>
          <w:color w:val="000000"/>
          <w:sz w:val="20"/>
          <w:szCs w:val="20"/>
        </w:rPr>
        <w:t xml:space="preserve"> </w:t>
      </w:r>
      <w:r w:rsidRPr="001302AD">
        <w:rPr>
          <w:rFonts w:ascii="Times New Roman" w:eastAsia="TimesNewRoman" w:hAnsi="Times New Roman" w:cs="Times New Roman"/>
          <w:sz w:val="20"/>
          <w:szCs w:val="20"/>
        </w:rPr>
        <w:t xml:space="preserve"> </w:t>
      </w:r>
      <w:r w:rsidRPr="001302AD">
        <w:rPr>
          <w:rFonts w:ascii="Times New Roman" w:eastAsia="Calibri" w:hAnsi="Times New Roman" w:cs="Times New Roman"/>
          <w:color w:val="000000"/>
          <w:sz w:val="20"/>
          <w:szCs w:val="20"/>
        </w:rPr>
        <w:t>In addition to better nutritional status, the crop has great significance in improving the status of soil nutrients and farming systems when grown solely and in combination with cereal crops.</w:t>
      </w:r>
      <w:r w:rsidR="007F3469">
        <w:t xml:space="preserve"> </w:t>
      </w:r>
      <w:r w:rsidR="007F3469" w:rsidRPr="007F3469">
        <w:rPr>
          <w:rFonts w:ascii="Times New Roman" w:hAnsi="Times New Roman" w:cs="Times New Roman"/>
        </w:rPr>
        <w:t>Soybean</w:t>
      </w:r>
      <w:r w:rsidR="007F3469" w:rsidRPr="007F3469">
        <w:rPr>
          <w:rFonts w:ascii="Times New Roman" w:eastAsia="Calibri" w:hAnsi="Times New Roman" w:cs="Times New Roman"/>
          <w:color w:val="000000"/>
          <w:sz w:val="20"/>
          <w:szCs w:val="20"/>
        </w:rPr>
        <w:t xml:space="preserve"> contributes substantially to soil nutrient improvement through biological nitrogen fixation, nutrient recycling, and enhancement of soil biological properties. In symbiosis with nitrogen-fixing rhizobia, soybean converts atmospheric nitrogen into plant-available forms, thereby increasing soil nitrogen availability and reducing reliance on inorganic nitrogen fertilizers. </w:t>
      </w:r>
      <w:r w:rsidR="00182961">
        <w:rPr>
          <w:rFonts w:ascii="Times New Roman" w:eastAsia="Calibri" w:hAnsi="Times New Roman" w:cs="Times New Roman"/>
          <w:color w:val="000000"/>
          <w:sz w:val="20"/>
          <w:szCs w:val="20"/>
        </w:rPr>
        <w:t xml:space="preserve">After </w:t>
      </w:r>
      <w:r w:rsidR="00182961" w:rsidRPr="007F3469">
        <w:rPr>
          <w:rFonts w:ascii="Times New Roman" w:eastAsia="Calibri" w:hAnsi="Times New Roman" w:cs="Times New Roman"/>
          <w:color w:val="000000"/>
          <w:sz w:val="20"/>
          <w:szCs w:val="20"/>
        </w:rPr>
        <w:t>harvest</w:t>
      </w:r>
      <w:r w:rsidR="007F3469" w:rsidRPr="007F3469">
        <w:rPr>
          <w:rFonts w:ascii="Times New Roman" w:eastAsia="Calibri" w:hAnsi="Times New Roman" w:cs="Times New Roman"/>
          <w:color w:val="000000"/>
          <w:sz w:val="20"/>
          <w:szCs w:val="20"/>
        </w:rPr>
        <w:t xml:space="preserve">, the decomposition of soybean roots, nodules, and crop residues returns considerable amounts of nutrients and organic matter to the soil, improving nutrient cycling, microbial activity, and soil fertility. Moreover, soybean-based cropping systems often generate positive residual effects on subsequent crops by enhancing soil nitrogen status and nutrient-use efficiency, making soybean an important component of sustainable agricultural production </w:t>
      </w:r>
      <w:r w:rsidR="00182961" w:rsidRPr="007F3469">
        <w:rPr>
          <w:rFonts w:ascii="Times New Roman" w:eastAsia="Calibri" w:hAnsi="Times New Roman" w:cs="Times New Roman"/>
          <w:color w:val="000000"/>
          <w:sz w:val="20"/>
          <w:szCs w:val="20"/>
        </w:rPr>
        <w:t>systems</w:t>
      </w:r>
      <w:r w:rsidR="00182961" w:rsidRPr="001302AD">
        <w:rPr>
          <w:rFonts w:ascii="Times New Roman" w:eastAsia="Calibri" w:hAnsi="Times New Roman" w:cs="Times New Roman"/>
          <w:color w:val="000000"/>
          <w:sz w:val="20"/>
          <w:szCs w:val="20"/>
        </w:rPr>
        <w:t xml:space="preserve"> (</w:t>
      </w:r>
      <w:r w:rsidR="00182961" w:rsidRPr="001302AD">
        <w:rPr>
          <w:rFonts w:ascii="Times New Roman" w:eastAsia="Calibri" w:hAnsi="Times New Roman" w:cs="Times New Roman"/>
          <w:sz w:val="20"/>
          <w:szCs w:val="20"/>
        </w:rPr>
        <w:t>Yang et al., 2024</w:t>
      </w:r>
      <w:r w:rsidR="00182961" w:rsidRPr="001302AD">
        <w:rPr>
          <w:rFonts w:ascii="Times New Roman" w:eastAsia="Calibri" w:hAnsi="Times New Roman" w:cs="Times New Roman"/>
          <w:color w:val="000000"/>
          <w:sz w:val="20"/>
          <w:szCs w:val="20"/>
        </w:rPr>
        <w:t>)</w:t>
      </w:r>
      <w:r w:rsidR="00182961">
        <w:rPr>
          <w:rFonts w:ascii="Times New Roman" w:eastAsia="Calibri" w:hAnsi="Times New Roman" w:cs="Times New Roman"/>
          <w:color w:val="000000"/>
          <w:sz w:val="20"/>
          <w:szCs w:val="20"/>
        </w:rPr>
        <w:t>.</w:t>
      </w:r>
    </w:p>
    <w:p w14:paraId="50E2BE2B" w14:textId="77777777" w:rsidR="009A1440" w:rsidRPr="001302AD" w:rsidRDefault="00436887" w:rsidP="00BC0A37">
      <w:pPr>
        <w:spacing w:line="240" w:lineRule="auto"/>
        <w:jc w:val="both"/>
        <w:rPr>
          <w:rFonts w:ascii="Times New Roman" w:eastAsia="Times New Roman" w:hAnsi="Times New Roman" w:cs="Times New Roman"/>
          <w:color w:val="0D0D0D" w:themeColor="text1" w:themeTint="F2"/>
          <w:sz w:val="20"/>
          <w:szCs w:val="20"/>
        </w:rPr>
      </w:pPr>
      <w:r w:rsidRPr="001302AD">
        <w:rPr>
          <w:rFonts w:ascii="Times New Roman" w:eastAsia="Calibri" w:hAnsi="Times New Roman" w:cs="Times New Roman"/>
          <w:sz w:val="20"/>
          <w:szCs w:val="20"/>
        </w:rPr>
        <w:t>Globally, soybean is produced on approximately 6% of the world’s arable land, representing an estimated total area of more than 117.7 million hectare, with an annual production of 308.4 million tons (FAOSTAT, 2018).</w:t>
      </w:r>
      <w:r w:rsidRPr="001302AD">
        <w:rPr>
          <w:rFonts w:ascii="Times New Roman" w:eastAsia="Times New Roman" w:hAnsi="Times New Roman" w:cs="Times New Roman"/>
          <w:color w:val="0D0D0D" w:themeColor="text1" w:themeTint="F2"/>
          <w:sz w:val="20"/>
          <w:szCs w:val="20"/>
        </w:rPr>
        <w:t xml:space="preserve"> </w:t>
      </w:r>
      <w:r w:rsidRPr="001302AD">
        <w:rPr>
          <w:rFonts w:ascii="Times New Roman" w:eastAsia="Calibri" w:hAnsi="Times New Roman" w:cs="Times New Roman"/>
          <w:bCs/>
          <w:sz w:val="20"/>
          <w:szCs w:val="20"/>
        </w:rPr>
        <w:t>In Ethiopia, soybean is among the most important lowland pulses grown across various agro</w:t>
      </w:r>
      <w:r w:rsidRPr="001302AD">
        <w:rPr>
          <w:rFonts w:ascii="Times New Roman" w:eastAsia="Calibri" w:hAnsi="Times New Roman" w:cs="Times New Roman"/>
          <w:bCs/>
          <w:sz w:val="20"/>
          <w:szCs w:val="20"/>
        </w:rPr>
        <w:noBreakHyphen/>
        <w:t>ecological zones because of its high nutritional value for human consumption and its use as animal feed. Although area coverage, production, and productivity have increased in recent years, the national average yield of soybean remains relatively low compared to the potential and global averages (CSA, 2020).</w:t>
      </w:r>
      <w:r w:rsidRPr="001302AD">
        <w:rPr>
          <w:rFonts w:ascii="Times New Roman" w:eastAsia="Calibri" w:hAnsi="Times New Roman" w:cs="Times New Roman"/>
          <w:sz w:val="20"/>
          <w:szCs w:val="20"/>
        </w:rPr>
        <w:t xml:space="preserve">The low national yield could be attributed to the combination of several production constraints, among which </w:t>
      </w:r>
      <w:r w:rsidRPr="001302AD">
        <w:rPr>
          <w:rFonts w:ascii="Times New Roman" w:eastAsia="Times New Roman" w:hAnsi="Times New Roman" w:cs="Times New Roman"/>
          <w:color w:val="0D0D0D" w:themeColor="text1" w:themeTint="F2"/>
          <w:sz w:val="20"/>
          <w:szCs w:val="20"/>
        </w:rPr>
        <w:t>soil moisture stress, especially in arid and semi-arid areas, plays an important role in limiting the growth, productivity, and quality of soybean (</w:t>
      </w:r>
      <w:proofErr w:type="spellStart"/>
      <w:r w:rsidRPr="001302AD">
        <w:rPr>
          <w:rFonts w:ascii="Times New Roman" w:eastAsia="Times New Roman" w:hAnsi="Times New Roman" w:cs="Times New Roman"/>
          <w:color w:val="0D0D0D" w:themeColor="text1" w:themeTint="F2"/>
          <w:sz w:val="20"/>
          <w:szCs w:val="20"/>
        </w:rPr>
        <w:t>Jumrani</w:t>
      </w:r>
      <w:proofErr w:type="spellEnd"/>
      <w:r w:rsidRPr="001302AD">
        <w:rPr>
          <w:rFonts w:ascii="Times New Roman" w:eastAsia="Times New Roman" w:hAnsi="Times New Roman" w:cs="Times New Roman"/>
          <w:color w:val="0D0D0D" w:themeColor="text1" w:themeTint="F2"/>
          <w:sz w:val="20"/>
          <w:szCs w:val="20"/>
        </w:rPr>
        <w:t xml:space="preserve"> and Bhatia, 2018). </w:t>
      </w:r>
    </w:p>
    <w:p w14:paraId="25A64D58" w14:textId="36EC20EE" w:rsidR="00436887" w:rsidRPr="001302AD" w:rsidRDefault="00436887" w:rsidP="00BC0A37">
      <w:pPr>
        <w:spacing w:line="240" w:lineRule="auto"/>
        <w:jc w:val="both"/>
        <w:rPr>
          <w:rFonts w:ascii="Times New Roman" w:eastAsia="Times New Roman" w:hAnsi="Times New Roman" w:cs="Times New Roman"/>
          <w:b/>
          <w:bCs/>
          <w:color w:val="000000" w:themeColor="text1"/>
          <w:sz w:val="20"/>
          <w:szCs w:val="20"/>
        </w:rPr>
      </w:pPr>
      <w:r w:rsidRPr="001302AD">
        <w:rPr>
          <w:rFonts w:ascii="Times New Roman" w:eastAsia="Calibri" w:hAnsi="Times New Roman" w:cs="Times New Roman"/>
          <w:sz w:val="20"/>
          <w:szCs w:val="20"/>
        </w:rPr>
        <w:t xml:space="preserve">Soil moisture is critical for optimum soybean growth during the very early vegetative stage and from flowering through the seed-filling period. Water deficits at these stages reduce node and branch development early and accelerate leaf senescence and shorten seed filling later, significantly reducing yield (Aziez and </w:t>
      </w:r>
      <w:proofErr w:type="spellStart"/>
      <w:r w:rsidRPr="001302AD">
        <w:rPr>
          <w:rFonts w:ascii="Times New Roman" w:eastAsia="Calibri" w:hAnsi="Times New Roman" w:cs="Times New Roman"/>
          <w:sz w:val="20"/>
          <w:szCs w:val="20"/>
        </w:rPr>
        <w:t>Prasetyo</w:t>
      </w:r>
      <w:proofErr w:type="spellEnd"/>
      <w:r w:rsidRPr="001302AD">
        <w:rPr>
          <w:rFonts w:ascii="Times New Roman" w:eastAsia="Calibri" w:hAnsi="Times New Roman" w:cs="Times New Roman"/>
          <w:sz w:val="20"/>
          <w:szCs w:val="20"/>
        </w:rPr>
        <w:t>, 2022)</w:t>
      </w:r>
      <w:r w:rsidRPr="001302AD">
        <w:rPr>
          <w:rFonts w:ascii="Times New Roman" w:eastAsia="Times New Roman" w:hAnsi="Times New Roman" w:cs="Times New Roman"/>
          <w:sz w:val="20"/>
          <w:szCs w:val="20"/>
        </w:rPr>
        <w:t>.</w:t>
      </w:r>
      <w:r w:rsidRPr="001302AD">
        <w:rPr>
          <w:rFonts w:ascii="Times New Roman" w:eastAsia="Times New Roman" w:hAnsi="Times New Roman" w:cs="Times New Roman"/>
          <w:color w:val="FF0000"/>
          <w:sz w:val="20"/>
          <w:szCs w:val="20"/>
        </w:rPr>
        <w:t xml:space="preserve"> </w:t>
      </w:r>
      <w:r w:rsidRPr="001302AD">
        <w:rPr>
          <w:rFonts w:ascii="Times New Roman" w:eastAsia="Times New Roman" w:hAnsi="Times New Roman" w:cs="Times New Roman"/>
          <w:color w:val="0D0D0D" w:themeColor="text1" w:themeTint="F2"/>
          <w:sz w:val="20"/>
          <w:szCs w:val="20"/>
        </w:rPr>
        <w:t>However, soil moisture stress can be prevented through the application of on-farm soil moisture conservation practices, such as the application of organic mulch. This practice improves the soil moisture content in the root zone of the crop by increasing infiltration and reducing evaporation and runoff.</w:t>
      </w:r>
      <w:r w:rsidRPr="001302AD">
        <w:rPr>
          <w:rFonts w:ascii="Times New Roman" w:eastAsia="Calibri" w:hAnsi="Times New Roman" w:cs="Times New Roman"/>
          <w:color w:val="000000"/>
          <w:sz w:val="20"/>
          <w:szCs w:val="20"/>
        </w:rPr>
        <w:t xml:space="preserve"> </w:t>
      </w:r>
      <w:r w:rsidRPr="001302AD">
        <w:rPr>
          <w:rFonts w:ascii="Times New Roman" w:eastAsia="Calibri" w:hAnsi="Times New Roman" w:cs="Times New Roman"/>
          <w:sz w:val="20"/>
          <w:szCs w:val="20"/>
        </w:rPr>
        <w:t>Mulch is any material placed on the soil surface to conserve moisture, lower soil temperatures around plant roots, prevent erosion, and reduce weed growth (El-</w:t>
      </w:r>
      <w:proofErr w:type="spellStart"/>
      <w:r w:rsidRPr="001302AD">
        <w:rPr>
          <w:rFonts w:ascii="Times New Roman" w:eastAsia="Calibri" w:hAnsi="Times New Roman" w:cs="Times New Roman"/>
          <w:sz w:val="20"/>
          <w:szCs w:val="20"/>
        </w:rPr>
        <w:t>Beltagi</w:t>
      </w:r>
      <w:proofErr w:type="spellEnd"/>
      <w:r w:rsidRPr="001302AD">
        <w:rPr>
          <w:rFonts w:ascii="Times New Roman" w:eastAsia="Calibri" w:hAnsi="Times New Roman" w:cs="Times New Roman"/>
          <w:sz w:val="20"/>
          <w:szCs w:val="20"/>
        </w:rPr>
        <w:t xml:space="preserve"> et al., 2022).</w:t>
      </w:r>
      <w:r w:rsidRPr="001302AD">
        <w:rPr>
          <w:rFonts w:ascii="Times New Roman" w:eastAsia="Calibri" w:hAnsi="Times New Roman" w:cs="Times New Roman"/>
          <w:color w:val="000000"/>
          <w:sz w:val="20"/>
          <w:szCs w:val="20"/>
        </w:rPr>
        <w:t xml:space="preserve"> </w:t>
      </w:r>
      <w:r w:rsidR="00F613A8" w:rsidRPr="00F613A8">
        <w:rPr>
          <w:rFonts w:ascii="Times New Roman" w:eastAsia="Calibri" w:hAnsi="Times New Roman" w:cs="Times New Roman"/>
          <w:color w:val="000000"/>
          <w:sz w:val="20"/>
          <w:szCs w:val="20"/>
        </w:rPr>
        <w:t>Experience has shown that mulching is an efficient agronomic practice that can be used to enhance the quality of soil and boost the production of crops especially in water stressed environments. It can significantly improve the physical, chemical and biological properties of soil due to increased organic matter content, enhanced soil structure, and enhanced microbial activity. These modifications facilitate the growth of roots and enhance the availability and uptake of nutrients, hence, leads to enhanced growth and productivity of plants (Hailu and Bogale, 2024).</w:t>
      </w:r>
      <w:r w:rsidRPr="001302AD">
        <w:rPr>
          <w:rFonts w:ascii="Times New Roman" w:eastAsia="Calibri" w:hAnsi="Times New Roman" w:cs="Times New Roman"/>
          <w:color w:val="000000"/>
          <w:sz w:val="20"/>
          <w:szCs w:val="20"/>
        </w:rPr>
        <w:t>Therefore, this study aimed to investigate the effects of organic mulching on soil moisture conservation, yield, and yield components of soybean.</w:t>
      </w:r>
    </w:p>
    <w:p w14:paraId="77F1E01D" w14:textId="77777777" w:rsidR="00436887" w:rsidRPr="001302AD" w:rsidRDefault="001302AD" w:rsidP="00436887">
      <w:pPr>
        <w:autoSpaceDE w:val="0"/>
        <w:autoSpaceDN w:val="0"/>
        <w:adjustRightInd w:val="0"/>
        <w:spacing w:before="240" w:after="0" w:line="360" w:lineRule="auto"/>
        <w:jc w:val="both"/>
        <w:rPr>
          <w:rFonts w:ascii="Times New Roman" w:eastAsia="Times New Roman" w:hAnsi="Times New Roman" w:cs="Times New Roman"/>
          <w:b/>
          <w:color w:val="0D0D0D" w:themeColor="text1" w:themeTint="F2"/>
        </w:rPr>
      </w:pPr>
      <w:r>
        <w:rPr>
          <w:rFonts w:ascii="Times New Roman" w:hAnsi="Times New Roman" w:cs="Times New Roman"/>
          <w:b/>
          <w:color w:val="000000"/>
        </w:rPr>
        <w:t>2. Materials and M</w:t>
      </w:r>
      <w:r w:rsidRPr="001302AD">
        <w:rPr>
          <w:rFonts w:ascii="Times New Roman" w:hAnsi="Times New Roman" w:cs="Times New Roman"/>
          <w:b/>
          <w:color w:val="000000"/>
        </w:rPr>
        <w:t xml:space="preserve">ethods </w:t>
      </w:r>
    </w:p>
    <w:p w14:paraId="152FACC0" w14:textId="77777777" w:rsidR="00436887" w:rsidRPr="001302AD" w:rsidRDefault="00436887" w:rsidP="00436887">
      <w:pPr>
        <w:autoSpaceDE w:val="0"/>
        <w:autoSpaceDN w:val="0"/>
        <w:adjustRightInd w:val="0"/>
        <w:spacing w:after="0" w:line="360" w:lineRule="auto"/>
        <w:jc w:val="both"/>
        <w:rPr>
          <w:rFonts w:ascii="Times New Roman" w:hAnsi="Times New Roman" w:cs="Times New Roman"/>
          <w:b/>
          <w:color w:val="000000" w:themeColor="text1"/>
        </w:rPr>
      </w:pPr>
      <w:r w:rsidRPr="001302AD">
        <w:rPr>
          <w:rFonts w:ascii="Times New Roman" w:hAnsi="Times New Roman" w:cs="Times New Roman"/>
          <w:b/>
          <w:color w:val="000000" w:themeColor="text1"/>
        </w:rPr>
        <w:t xml:space="preserve">2.1. Study area and climate </w:t>
      </w:r>
    </w:p>
    <w:p w14:paraId="61031119" w14:textId="094BEE27" w:rsidR="00436887" w:rsidRPr="001302AD" w:rsidRDefault="00436887" w:rsidP="0063054E">
      <w:pPr>
        <w:autoSpaceDE w:val="0"/>
        <w:autoSpaceDN w:val="0"/>
        <w:adjustRightInd w:val="0"/>
        <w:spacing w:line="240" w:lineRule="auto"/>
        <w:jc w:val="both"/>
        <w:rPr>
          <w:rFonts w:ascii="Times New Roman" w:eastAsia="Calibri" w:hAnsi="Times New Roman" w:cs="Times New Roman"/>
          <w:b/>
          <w:color w:val="000000" w:themeColor="text1"/>
          <w:sz w:val="20"/>
          <w:szCs w:val="20"/>
        </w:rPr>
      </w:pPr>
      <w:r w:rsidRPr="001302AD">
        <w:rPr>
          <w:rFonts w:ascii="Times New Roman" w:eastAsia="Calibri" w:hAnsi="Times New Roman" w:cs="Times New Roman"/>
          <w:color w:val="000000"/>
          <w:sz w:val="20"/>
          <w:szCs w:val="20"/>
        </w:rPr>
        <w:t>A field experiment was conducted at the Humera Agricultural Research Center (</w:t>
      </w:r>
      <w:proofErr w:type="spellStart"/>
      <w:r w:rsidRPr="001302AD">
        <w:rPr>
          <w:rFonts w:ascii="Times New Roman" w:eastAsia="Calibri" w:hAnsi="Times New Roman" w:cs="Times New Roman"/>
          <w:color w:val="000000"/>
          <w:sz w:val="20"/>
          <w:szCs w:val="20"/>
        </w:rPr>
        <w:t>HuARC</w:t>
      </w:r>
      <w:proofErr w:type="spellEnd"/>
      <w:r w:rsidRPr="001302AD">
        <w:rPr>
          <w:rFonts w:ascii="Times New Roman" w:eastAsia="Calibri" w:hAnsi="Times New Roman" w:cs="Times New Roman"/>
          <w:color w:val="000000"/>
          <w:sz w:val="20"/>
          <w:szCs w:val="20"/>
        </w:rPr>
        <w:t>), Western Zone of Tigray</w:t>
      </w:r>
      <w:r w:rsidR="007A0FA4" w:rsidRPr="001302AD">
        <w:rPr>
          <w:rFonts w:ascii="Times New Roman" w:eastAsia="Calibri" w:hAnsi="Times New Roman" w:cs="Times New Roman"/>
          <w:color w:val="000000"/>
          <w:sz w:val="20"/>
          <w:szCs w:val="20"/>
        </w:rPr>
        <w:t>, Ethiopia, during the 2020</w:t>
      </w:r>
      <w:r w:rsidRPr="001302AD">
        <w:rPr>
          <w:rFonts w:ascii="Times New Roman" w:eastAsia="Calibri" w:hAnsi="Times New Roman" w:cs="Times New Roman"/>
          <w:color w:val="000000"/>
          <w:sz w:val="20"/>
          <w:szCs w:val="20"/>
        </w:rPr>
        <w:t xml:space="preserve"> main cropping season. The experimental site was located at latitude of 14°27´N and a longitude of 36°61´E, with an elevation of 585 meter above sea level. The agro-ecology of the area is hot to warm semi-arid lowland plains. It is characterized by hot temperatures, erratic rainfall, and vast areas of plain lowlands suitable for large-scale and subsistence agriculture, including crops and livestock production. The rainy season is monomodal and concentrated from July to September, with a total a</w:t>
      </w:r>
      <w:r w:rsidR="008E1578">
        <w:rPr>
          <w:rFonts w:ascii="Times New Roman" w:eastAsia="Calibri" w:hAnsi="Times New Roman" w:cs="Times New Roman"/>
          <w:color w:val="000000"/>
          <w:sz w:val="20"/>
          <w:szCs w:val="20"/>
        </w:rPr>
        <w:t>nnual rainfall of 552 mm in 2020</w:t>
      </w:r>
      <w:r w:rsidRPr="001302AD">
        <w:rPr>
          <w:rFonts w:ascii="Times New Roman" w:eastAsia="Calibri" w:hAnsi="Times New Roman" w:cs="Times New Roman"/>
          <w:color w:val="000000"/>
          <w:sz w:val="20"/>
          <w:szCs w:val="20"/>
        </w:rPr>
        <w:t xml:space="preserve">. The annual maximum temperature ranges from 42 °C in April to 33 °C in August, while the minimum temperature varies from </w:t>
      </w:r>
      <w:r w:rsidRPr="001302AD">
        <w:rPr>
          <w:rFonts w:ascii="Times New Roman" w:eastAsia="Calibri" w:hAnsi="Times New Roman" w:cs="Times New Roman"/>
          <w:color w:val="000000"/>
          <w:sz w:val="20"/>
          <w:szCs w:val="20"/>
        </w:rPr>
        <w:lastRenderedPageBreak/>
        <w:t>22.2 °C in May to 17.5 °C in July.</w:t>
      </w:r>
      <w:r w:rsidRPr="001302AD">
        <w:rPr>
          <w:rFonts w:ascii="Times New Roman" w:eastAsia="Calibri" w:hAnsi="Times New Roman" w:cs="Times New Roman"/>
          <w:sz w:val="20"/>
          <w:szCs w:val="20"/>
        </w:rPr>
        <w:t xml:space="preserve"> The soil type of the study area is classified as chromic </w:t>
      </w:r>
      <w:proofErr w:type="spellStart"/>
      <w:r w:rsidRPr="001302AD">
        <w:rPr>
          <w:rFonts w:ascii="Times New Roman" w:eastAsia="Calibri" w:hAnsi="Times New Roman" w:cs="Times New Roman"/>
          <w:sz w:val="20"/>
          <w:szCs w:val="20"/>
        </w:rPr>
        <w:t>vertisol</w:t>
      </w:r>
      <w:proofErr w:type="spellEnd"/>
      <w:r w:rsidRPr="001302AD">
        <w:rPr>
          <w:rFonts w:ascii="Times New Roman" w:eastAsia="Calibri" w:hAnsi="Times New Roman" w:cs="Times New Roman"/>
          <w:sz w:val="20"/>
          <w:szCs w:val="20"/>
        </w:rPr>
        <w:t>, which is black in color with a pH</w:t>
      </w:r>
      <w:bookmarkStart w:id="1" w:name="_Toc11262195"/>
      <w:r w:rsidRPr="001302AD">
        <w:rPr>
          <w:rFonts w:ascii="Times New Roman" w:eastAsia="Calibri" w:hAnsi="Times New Roman" w:cs="Times New Roman"/>
          <w:sz w:val="20"/>
          <w:szCs w:val="20"/>
        </w:rPr>
        <w:t xml:space="preserve"> of 8.5 </w:t>
      </w:r>
      <w:r w:rsidRPr="001302AD">
        <w:rPr>
          <w:rFonts w:ascii="Times New Roman" w:eastAsia="Calibri" w:hAnsi="Times New Roman" w:cs="Times New Roman"/>
          <w:color w:val="000000"/>
          <w:sz w:val="20"/>
          <w:szCs w:val="20"/>
        </w:rPr>
        <w:t>(Abrha, 2018)</w:t>
      </w:r>
      <w:r w:rsidRPr="001302AD">
        <w:rPr>
          <w:rFonts w:ascii="Times New Roman" w:eastAsia="Calibri" w:hAnsi="Times New Roman" w:cs="Times New Roman"/>
          <w:sz w:val="20"/>
          <w:szCs w:val="20"/>
        </w:rPr>
        <w:t>.</w:t>
      </w:r>
    </w:p>
    <w:p w14:paraId="4DB3D3A2" w14:textId="77777777" w:rsidR="00436887" w:rsidRPr="001302AD" w:rsidRDefault="00436887" w:rsidP="00436887">
      <w:pPr>
        <w:autoSpaceDE w:val="0"/>
        <w:autoSpaceDN w:val="0"/>
        <w:adjustRightInd w:val="0"/>
        <w:spacing w:line="360" w:lineRule="auto"/>
        <w:jc w:val="center"/>
        <w:rPr>
          <w:rFonts w:ascii="Times New Roman" w:eastAsia="Calibri" w:hAnsi="Times New Roman" w:cs="Times New Roman"/>
          <w:sz w:val="24"/>
          <w:szCs w:val="24"/>
        </w:rPr>
      </w:pPr>
      <w:r w:rsidRPr="001302AD">
        <w:rPr>
          <w:rFonts w:ascii="Times New Roman" w:eastAsia="Calibri" w:hAnsi="Times New Roman" w:cs="Times New Roman"/>
          <w:noProof/>
        </w:rPr>
        <mc:AlternateContent>
          <mc:Choice Requires="wps">
            <w:drawing>
              <wp:anchor distT="0" distB="0" distL="114300" distR="114300" simplePos="0" relativeHeight="251660288" behindDoc="0" locked="0" layoutInCell="1" allowOverlap="1" wp14:anchorId="73C09052" wp14:editId="3D6D80AB">
                <wp:simplePos x="0" y="0"/>
                <wp:positionH relativeFrom="column">
                  <wp:posOffset>300355</wp:posOffset>
                </wp:positionH>
                <wp:positionV relativeFrom="paragraph">
                  <wp:posOffset>749935</wp:posOffset>
                </wp:positionV>
                <wp:extent cx="17145" cy="1024255"/>
                <wp:effectExtent l="57150" t="38100" r="59055" b="23495"/>
                <wp:wrapNone/>
                <wp:docPr id="7" name="Straight Arrow Connector 7"/>
                <wp:cNvGraphicFramePr/>
                <a:graphic xmlns:a="http://schemas.openxmlformats.org/drawingml/2006/main">
                  <a:graphicData uri="http://schemas.microsoft.com/office/word/2010/wordprocessingShape">
                    <wps:wsp>
                      <wps:cNvCnPr/>
                      <wps:spPr>
                        <a:xfrm flipV="1">
                          <a:off x="0" y="0"/>
                          <a:ext cx="16510" cy="102425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034A0FE2" id="_x0000_t32" coordsize="21600,21600" o:spt="32" o:oned="t" path="m,l21600,21600e" filled="f">
                <v:path arrowok="t" fillok="f" o:connecttype="none"/>
                <o:lock v:ext="edit" shapetype="t"/>
              </v:shapetype>
              <v:shape id="Straight Arrow Connector 7" o:spid="_x0000_s1026" type="#_x0000_t32" style="position:absolute;margin-left:23.65pt;margin-top:59.05pt;width:1.35pt;height:80.6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" strokecolor="#4a7ebb">
                <v:stroke endarrow="block"/>
              </v:shape>
            </w:pict>
          </mc:Fallback>
        </mc:AlternateContent>
      </w:r>
      <w:r w:rsidRPr="001302AD">
        <w:rPr>
          <w:rFonts w:ascii="Times New Roman" w:eastAsia="Calibri" w:hAnsi="Times New Roman" w:cs="Times New Roman"/>
          <w:noProof/>
        </w:rPr>
        <mc:AlternateContent>
          <mc:Choice Requires="wps">
            <w:drawing>
              <wp:anchor distT="0" distB="0" distL="114300" distR="114300" simplePos="0" relativeHeight="251659264" behindDoc="0" locked="0" layoutInCell="1" allowOverlap="1" wp14:anchorId="2CEDE2BC" wp14:editId="3D200C21">
                <wp:simplePos x="0" y="0"/>
                <wp:positionH relativeFrom="column">
                  <wp:posOffset>525145</wp:posOffset>
                </wp:positionH>
                <wp:positionV relativeFrom="paragraph">
                  <wp:posOffset>770890</wp:posOffset>
                </wp:positionV>
                <wp:extent cx="4445" cy="1024255"/>
                <wp:effectExtent l="76200" t="0" r="71755" b="61595"/>
                <wp:wrapNone/>
                <wp:docPr id="6" name="Straight Arrow Connector 6"/>
                <wp:cNvGraphicFramePr/>
                <a:graphic xmlns:a="http://schemas.openxmlformats.org/drawingml/2006/main">
                  <a:graphicData uri="http://schemas.microsoft.com/office/word/2010/wordprocessingShape">
                    <wps:wsp>
                      <wps:cNvCnPr/>
                      <wps:spPr>
                        <a:xfrm>
                          <a:off x="0" y="0"/>
                          <a:ext cx="3810" cy="102425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A3F96CB" id="Straight Arrow Connector 6" o:spid="_x0000_s1026" type="#_x0000_t32" style="position:absolute;margin-left:41.35pt;margin-top:60.7pt;width:.35pt;height:8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" strokecolor="#4a7ebb">
                <v:stroke endarrow="block"/>
              </v:shape>
            </w:pict>
          </mc:Fallback>
        </mc:AlternateContent>
      </w:r>
      <w:r w:rsidRPr="001302AD">
        <w:rPr>
          <w:rFonts w:ascii="Times New Roman" w:eastAsia="Calibri" w:hAnsi="Times New Roman" w:cs="Times New Roman"/>
          <w:noProof/>
          <w:sz w:val="24"/>
          <w:szCs w:val="24"/>
        </w:rPr>
        <w:drawing>
          <wp:inline distT="0" distB="0" distL="0" distR="0" wp14:anchorId="117E32EB" wp14:editId="31742E8C">
            <wp:extent cx="4619625" cy="2981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9625" cy="2981325"/>
                    </a:xfrm>
                    <a:prstGeom prst="rect">
                      <a:avLst/>
                    </a:prstGeom>
                    <a:noFill/>
                    <a:ln>
                      <a:noFill/>
                    </a:ln>
                  </pic:spPr>
                </pic:pic>
              </a:graphicData>
            </a:graphic>
          </wp:inline>
        </w:drawing>
      </w:r>
    </w:p>
    <w:p w14:paraId="06CAC8BE" w14:textId="77777777" w:rsidR="00436887" w:rsidRPr="001302AD" w:rsidRDefault="00436887" w:rsidP="00436887">
      <w:pPr>
        <w:autoSpaceDE w:val="0"/>
        <w:autoSpaceDN w:val="0"/>
        <w:adjustRightInd w:val="0"/>
        <w:spacing w:line="360" w:lineRule="auto"/>
        <w:jc w:val="both"/>
        <w:rPr>
          <w:rFonts w:ascii="Times New Roman" w:eastAsia="Calibri" w:hAnsi="Times New Roman" w:cs="Times New Roman"/>
          <w:b/>
          <w:sz w:val="20"/>
          <w:szCs w:val="20"/>
        </w:rPr>
      </w:pPr>
      <w:r w:rsidRPr="001302AD">
        <w:rPr>
          <w:rFonts w:ascii="Times New Roman" w:eastAsia="Calibri" w:hAnsi="Times New Roman" w:cs="Times New Roman"/>
          <w:b/>
          <w:sz w:val="20"/>
          <w:szCs w:val="20"/>
        </w:rPr>
        <w:t>Figure 1. Map of the study area; (1) Ethiopia, (2) Tigray and the study area</w:t>
      </w:r>
    </w:p>
    <w:p w14:paraId="2C83E12A" w14:textId="77777777" w:rsidR="00436887" w:rsidRPr="001302AD" w:rsidRDefault="00436887" w:rsidP="00436887">
      <w:pPr>
        <w:autoSpaceDE w:val="0"/>
        <w:autoSpaceDN w:val="0"/>
        <w:adjustRightInd w:val="0"/>
        <w:spacing w:before="240" w:line="360" w:lineRule="auto"/>
        <w:jc w:val="both"/>
        <w:rPr>
          <w:rFonts w:ascii="Times New Roman" w:eastAsia="Calibri" w:hAnsi="Times New Roman" w:cs="Times New Roman"/>
          <w:sz w:val="24"/>
          <w:szCs w:val="24"/>
        </w:rPr>
      </w:pPr>
      <w:r w:rsidRPr="001302AD">
        <w:rPr>
          <w:rFonts w:ascii="Times New Roman" w:eastAsia="Calibri" w:hAnsi="Times New Roman" w:cs="Times New Roman"/>
          <w:noProof/>
          <w:sz w:val="20"/>
          <w:szCs w:val="20"/>
        </w:rPr>
        <w:drawing>
          <wp:inline distT="0" distB="0" distL="0" distR="0" wp14:anchorId="512A8E25" wp14:editId="689C00BF">
            <wp:extent cx="5934075" cy="3086100"/>
            <wp:effectExtent l="0" t="0" r="9525"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Start w:id="2" w:name="_Toc8701911"/>
    </w:p>
    <w:p w14:paraId="5A61CE51" w14:textId="77777777" w:rsidR="00436887" w:rsidRPr="001302AD" w:rsidRDefault="00436887" w:rsidP="00436887">
      <w:pPr>
        <w:autoSpaceDE w:val="0"/>
        <w:autoSpaceDN w:val="0"/>
        <w:adjustRightInd w:val="0"/>
        <w:spacing w:before="240" w:line="360" w:lineRule="auto"/>
        <w:jc w:val="both"/>
        <w:rPr>
          <w:rFonts w:ascii="Times New Roman" w:eastAsia="Calibri" w:hAnsi="Times New Roman" w:cs="Times New Roman"/>
          <w:sz w:val="24"/>
          <w:szCs w:val="24"/>
        </w:rPr>
      </w:pPr>
      <w:r w:rsidRPr="001302AD">
        <w:rPr>
          <w:rFonts w:ascii="Times New Roman" w:eastAsia="Calibri" w:hAnsi="Times New Roman" w:cs="Times New Roman"/>
          <w:b/>
          <w:sz w:val="20"/>
          <w:szCs w:val="20"/>
        </w:rPr>
        <w:t xml:space="preserve">Figure 2. </w:t>
      </w:r>
      <w:r w:rsidRPr="001302AD">
        <w:rPr>
          <w:rFonts w:ascii="Times New Roman" w:eastAsia="Times New Roman" w:hAnsi="Times New Roman" w:cs="Times New Roman"/>
          <w:b/>
          <w:sz w:val="20"/>
          <w:szCs w:val="20"/>
        </w:rPr>
        <w:t>Average rainfall, maximum, and minimum temperatures of long-term data of the study area</w:t>
      </w:r>
      <w:r w:rsidRPr="001302AD">
        <w:rPr>
          <w:rFonts w:ascii="Times New Roman" w:eastAsia="Times New Roman" w:hAnsi="Times New Roman" w:cs="Times New Roman"/>
          <w:sz w:val="24"/>
          <w:szCs w:val="24"/>
        </w:rPr>
        <w:t>.</w:t>
      </w:r>
      <w:bookmarkEnd w:id="2"/>
    </w:p>
    <w:p w14:paraId="7534CCE5" w14:textId="77777777" w:rsidR="0063054E" w:rsidRPr="001302AD" w:rsidRDefault="0063054E" w:rsidP="00436887">
      <w:pPr>
        <w:autoSpaceDE w:val="0"/>
        <w:autoSpaceDN w:val="0"/>
        <w:adjustRightInd w:val="0"/>
        <w:spacing w:before="240" w:after="0" w:line="360" w:lineRule="auto"/>
        <w:jc w:val="both"/>
        <w:rPr>
          <w:rFonts w:ascii="Times New Roman" w:eastAsia="Calibri" w:hAnsi="Times New Roman" w:cs="Times New Roman"/>
          <w:b/>
        </w:rPr>
      </w:pPr>
    </w:p>
    <w:p w14:paraId="05A5545F" w14:textId="77777777" w:rsidR="0063054E" w:rsidRPr="001302AD" w:rsidRDefault="0063054E" w:rsidP="00436887">
      <w:pPr>
        <w:autoSpaceDE w:val="0"/>
        <w:autoSpaceDN w:val="0"/>
        <w:adjustRightInd w:val="0"/>
        <w:spacing w:before="240" w:after="0" w:line="360" w:lineRule="auto"/>
        <w:jc w:val="both"/>
        <w:rPr>
          <w:rFonts w:ascii="Times New Roman" w:eastAsia="Calibri" w:hAnsi="Times New Roman" w:cs="Times New Roman"/>
          <w:b/>
        </w:rPr>
      </w:pPr>
    </w:p>
    <w:p w14:paraId="32A278A2" w14:textId="77777777" w:rsidR="00436887" w:rsidRPr="001302AD" w:rsidRDefault="00436887" w:rsidP="00436887">
      <w:pPr>
        <w:autoSpaceDE w:val="0"/>
        <w:autoSpaceDN w:val="0"/>
        <w:adjustRightInd w:val="0"/>
        <w:spacing w:before="240" w:after="0" w:line="360" w:lineRule="auto"/>
        <w:jc w:val="both"/>
        <w:rPr>
          <w:rFonts w:ascii="Times New Roman" w:eastAsia="Calibri" w:hAnsi="Times New Roman" w:cs="Times New Roman"/>
          <w:b/>
        </w:rPr>
      </w:pPr>
      <w:r w:rsidRPr="001302AD">
        <w:rPr>
          <w:rFonts w:ascii="Times New Roman" w:eastAsia="Calibri" w:hAnsi="Times New Roman" w:cs="Times New Roman"/>
          <w:b/>
        </w:rPr>
        <w:t>2.2. Experimental Design and Treatments</w:t>
      </w:r>
      <w:bookmarkEnd w:id="1"/>
    </w:p>
    <w:p w14:paraId="1DFABA91" w14:textId="77777777" w:rsidR="00436887" w:rsidRPr="001302AD" w:rsidRDefault="00436887" w:rsidP="0099388A">
      <w:pPr>
        <w:autoSpaceDE w:val="0"/>
        <w:autoSpaceDN w:val="0"/>
        <w:adjustRightInd w:val="0"/>
        <w:spacing w:line="240" w:lineRule="auto"/>
        <w:jc w:val="both"/>
        <w:rPr>
          <w:rFonts w:ascii="Times New Roman" w:eastAsia="Calibri" w:hAnsi="Times New Roman" w:cs="Times New Roman"/>
          <w:b/>
          <w:sz w:val="20"/>
          <w:szCs w:val="20"/>
        </w:rPr>
      </w:pPr>
      <w:r w:rsidRPr="001302AD">
        <w:rPr>
          <w:rFonts w:ascii="Times New Roman" w:eastAsia="Times New Roman" w:hAnsi="Times New Roman" w:cs="Times New Roman"/>
          <w:color w:val="0D0D0D" w:themeColor="text1" w:themeTint="F2"/>
          <w:sz w:val="20"/>
          <w:szCs w:val="20"/>
        </w:rPr>
        <w:t xml:space="preserve">The experiment was laid out as a randomized complete block design (RCBD) and replicated three times. The treatments consisted of five levels of mulching rate (bare soil or no mulch as control, 5 </w:t>
      </w:r>
      <w:r w:rsidRPr="001302AD">
        <w:rPr>
          <w:rFonts w:ascii="Times New Roman" w:eastAsia="Calibri" w:hAnsi="Times New Roman" w:cs="Times New Roman"/>
          <w:sz w:val="20"/>
          <w:szCs w:val="20"/>
        </w:rPr>
        <w:t>t ha</w:t>
      </w:r>
      <w:r w:rsidRPr="001302AD">
        <w:rPr>
          <w:rFonts w:ascii="Times New Roman" w:eastAsia="Calibri" w:hAnsi="Times New Roman" w:cs="Times New Roman"/>
          <w:sz w:val="20"/>
          <w:szCs w:val="20"/>
          <w:vertAlign w:val="superscript"/>
        </w:rPr>
        <w:t>-1</w:t>
      </w:r>
      <w:r w:rsidRPr="001302AD">
        <w:rPr>
          <w:rFonts w:ascii="Times New Roman" w:eastAsia="Times New Roman" w:hAnsi="Times New Roman" w:cs="Times New Roman"/>
          <w:color w:val="0D0D0D" w:themeColor="text1" w:themeTint="F2"/>
          <w:sz w:val="20"/>
          <w:szCs w:val="20"/>
        </w:rPr>
        <w:t xml:space="preserve">, 10 </w:t>
      </w:r>
      <w:r w:rsidRPr="001302AD">
        <w:rPr>
          <w:rFonts w:ascii="Times New Roman" w:eastAsia="Calibri" w:hAnsi="Times New Roman" w:cs="Times New Roman"/>
          <w:sz w:val="20"/>
          <w:szCs w:val="20"/>
        </w:rPr>
        <w:t>t ha</w:t>
      </w:r>
      <w:r w:rsidRPr="001302AD">
        <w:rPr>
          <w:rFonts w:ascii="Times New Roman" w:eastAsia="Calibri" w:hAnsi="Times New Roman" w:cs="Times New Roman"/>
          <w:sz w:val="20"/>
          <w:szCs w:val="20"/>
          <w:vertAlign w:val="superscript"/>
        </w:rPr>
        <w:t>-1</w:t>
      </w:r>
      <w:r w:rsidRPr="001302AD">
        <w:rPr>
          <w:rFonts w:ascii="Times New Roman" w:eastAsia="Times New Roman" w:hAnsi="Times New Roman" w:cs="Times New Roman"/>
          <w:color w:val="0D0D0D" w:themeColor="text1" w:themeTint="F2"/>
          <w:sz w:val="20"/>
          <w:szCs w:val="20"/>
        </w:rPr>
        <w:t xml:space="preserve">, 15 </w:t>
      </w:r>
      <w:r w:rsidRPr="001302AD">
        <w:rPr>
          <w:rFonts w:ascii="Times New Roman" w:eastAsia="Calibri" w:hAnsi="Times New Roman" w:cs="Times New Roman"/>
          <w:sz w:val="20"/>
          <w:szCs w:val="20"/>
        </w:rPr>
        <w:t>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w:t>
      </w:r>
      <w:r w:rsidRPr="001302AD">
        <w:rPr>
          <w:rFonts w:ascii="Times New Roman" w:eastAsia="Times New Roman" w:hAnsi="Times New Roman" w:cs="Times New Roman"/>
          <w:color w:val="0D0D0D" w:themeColor="text1" w:themeTint="F2"/>
          <w:sz w:val="20"/>
          <w:szCs w:val="20"/>
        </w:rPr>
        <w:t>and 20</w:t>
      </w:r>
      <w:r w:rsidRPr="001302AD">
        <w:rPr>
          <w:rFonts w:ascii="Times New Roman" w:eastAsia="Calibri" w:hAnsi="Times New Roman" w:cs="Times New Roman"/>
          <w:sz w:val="20"/>
          <w:szCs w:val="20"/>
        </w:rPr>
        <w:t xml:space="preserve"> t ha</w:t>
      </w:r>
      <w:r w:rsidRPr="001302AD">
        <w:rPr>
          <w:rFonts w:ascii="Times New Roman" w:eastAsia="Calibri" w:hAnsi="Times New Roman" w:cs="Times New Roman"/>
          <w:sz w:val="20"/>
          <w:szCs w:val="20"/>
          <w:vertAlign w:val="superscript"/>
        </w:rPr>
        <w:t>-1</w:t>
      </w:r>
      <w:r w:rsidRPr="001302AD">
        <w:rPr>
          <w:rFonts w:ascii="Times New Roman" w:eastAsia="Times New Roman" w:hAnsi="Times New Roman" w:cs="Times New Roman"/>
          <w:color w:val="0D0D0D" w:themeColor="text1" w:themeTint="F2"/>
          <w:sz w:val="20"/>
          <w:szCs w:val="20"/>
        </w:rPr>
        <w:t>). The</w:t>
      </w:r>
      <w:r w:rsidRPr="001302AD">
        <w:rPr>
          <w:rFonts w:ascii="Times New Roman" w:eastAsia="Calibri" w:hAnsi="Times New Roman" w:cs="Times New Roman"/>
          <w:sz w:val="20"/>
          <w:szCs w:val="20"/>
        </w:rPr>
        <w:t xml:space="preserve"> treatments were randomly assigned to each plot. Each plot measured 4 × 3 m (12 m</w:t>
      </w:r>
      <w:r w:rsidRPr="001302AD">
        <w:rPr>
          <w:rFonts w:ascii="Times New Roman" w:eastAsia="Calibri" w:hAnsi="Times New Roman" w:cs="Times New Roman"/>
          <w:sz w:val="20"/>
          <w:szCs w:val="20"/>
          <w:vertAlign w:val="superscript"/>
        </w:rPr>
        <w:t>2</w:t>
      </w:r>
      <w:r w:rsidRPr="001302AD">
        <w:rPr>
          <w:rFonts w:ascii="Times New Roman" w:eastAsia="Calibri" w:hAnsi="Times New Roman" w:cs="Times New Roman"/>
          <w:sz w:val="20"/>
          <w:szCs w:val="20"/>
        </w:rPr>
        <w:t>) and was separated by a 1 m buffer. The net plot size was 7.2 m</w:t>
      </w:r>
      <w:r w:rsidRPr="001302AD">
        <w:rPr>
          <w:rFonts w:ascii="Times New Roman" w:eastAsia="Calibri" w:hAnsi="Times New Roman" w:cs="Times New Roman"/>
          <w:sz w:val="20"/>
          <w:szCs w:val="20"/>
          <w:vertAlign w:val="superscript"/>
        </w:rPr>
        <w:t>2</w:t>
      </w:r>
      <w:r w:rsidRPr="001302AD">
        <w:rPr>
          <w:rFonts w:ascii="Times New Roman" w:eastAsia="Calibri" w:hAnsi="Times New Roman" w:cs="Times New Roman"/>
          <w:sz w:val="20"/>
          <w:szCs w:val="20"/>
        </w:rPr>
        <w:t>. The distance between the blocks was 1.5 m.</w:t>
      </w:r>
    </w:p>
    <w:p w14:paraId="36D40CBE" w14:textId="77777777" w:rsidR="00436887" w:rsidRPr="001302AD" w:rsidRDefault="00436887" w:rsidP="00436887">
      <w:pPr>
        <w:autoSpaceDE w:val="0"/>
        <w:autoSpaceDN w:val="0"/>
        <w:adjustRightInd w:val="0"/>
        <w:spacing w:after="0" w:line="360" w:lineRule="auto"/>
        <w:jc w:val="both"/>
        <w:rPr>
          <w:rFonts w:ascii="Times New Roman" w:eastAsia="Calibri" w:hAnsi="Times New Roman" w:cs="Times New Roman"/>
          <w:b/>
          <w:sz w:val="20"/>
          <w:szCs w:val="20"/>
        </w:rPr>
      </w:pPr>
      <w:r w:rsidRPr="001302AD">
        <w:rPr>
          <w:rFonts w:ascii="Times New Roman" w:eastAsia="Calibri" w:hAnsi="Times New Roman" w:cs="Times New Roman"/>
          <w:b/>
          <w:sz w:val="20"/>
          <w:szCs w:val="20"/>
        </w:rPr>
        <w:t>2.3. Experimental procedure and crop management</w:t>
      </w:r>
    </w:p>
    <w:p w14:paraId="7FF9941C" w14:textId="77777777" w:rsidR="00436887" w:rsidRPr="001302AD" w:rsidRDefault="00436887" w:rsidP="0099388A">
      <w:pPr>
        <w:spacing w:line="240" w:lineRule="auto"/>
        <w:jc w:val="both"/>
        <w:rPr>
          <w:rFonts w:ascii="Times New Roman" w:eastAsia="Calibri" w:hAnsi="Times New Roman" w:cs="Times New Roman"/>
          <w:i/>
          <w:sz w:val="24"/>
          <w:szCs w:val="24"/>
        </w:rPr>
      </w:pPr>
      <w:r w:rsidRPr="001302AD">
        <w:rPr>
          <w:rFonts w:ascii="Times New Roman" w:eastAsia="Calibri" w:hAnsi="Times New Roman" w:cs="Times New Roman"/>
          <w:sz w:val="20"/>
          <w:szCs w:val="20"/>
        </w:rPr>
        <w:t>The experimental site was cleared and plowed to a depth of approximately 25-30 cm using a tractor, and the plots were leveled manually.</w:t>
      </w:r>
      <w:r w:rsidRPr="001302AD">
        <w:rPr>
          <w:rFonts w:ascii="Times New Roman" w:eastAsia="Calibri" w:hAnsi="Times New Roman" w:cs="Times New Roman"/>
          <w:color w:val="000000" w:themeColor="text1"/>
          <w:sz w:val="20"/>
          <w:szCs w:val="20"/>
        </w:rPr>
        <w:t xml:space="preserve">  Hawassa-95 soybean variety was used as the planting material, and this</w:t>
      </w:r>
      <w:r w:rsidRPr="001302AD">
        <w:rPr>
          <w:rFonts w:ascii="Times New Roman" w:eastAsia="Calibri" w:hAnsi="Times New Roman" w:cs="Times New Roman"/>
          <w:sz w:val="20"/>
          <w:szCs w:val="20"/>
        </w:rPr>
        <w:t xml:space="preserve"> variety was chosen for the study because it is a high-yielding, well-adapted, and widely grown by smallholder farmers in the study area.</w:t>
      </w:r>
      <w:r w:rsidRPr="001302AD">
        <w:rPr>
          <w:rFonts w:ascii="Times New Roman" w:eastAsia="Calibri" w:hAnsi="Times New Roman" w:cs="Times New Roman"/>
          <w:color w:val="000000" w:themeColor="text1"/>
          <w:sz w:val="20"/>
          <w:szCs w:val="20"/>
        </w:rPr>
        <w:t xml:space="preserve"> The seeds were sown at a rate of 80 kg </w:t>
      </w:r>
      <w:r w:rsidRPr="001302AD">
        <w:rPr>
          <w:rFonts w:ascii="Times New Roman" w:eastAsia="Calibri" w:hAnsi="Times New Roman" w:cs="Times New Roman"/>
          <w:sz w:val="20"/>
          <w:szCs w:val="20"/>
        </w:rPr>
        <w:t>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color w:val="000000" w:themeColor="text1"/>
          <w:sz w:val="20"/>
          <w:szCs w:val="20"/>
        </w:rPr>
        <w:t xml:space="preserve"> by placing two seeds per hill and thinning to one plant as per the recommendation for the variety.</w:t>
      </w:r>
      <w:r w:rsidRPr="001302AD">
        <w:rPr>
          <w:rFonts w:ascii="Times New Roman" w:eastAsia="Calibri" w:hAnsi="Times New Roman" w:cs="Times New Roman"/>
          <w:sz w:val="20"/>
          <w:szCs w:val="20"/>
        </w:rPr>
        <w:t xml:space="preserve"> Soybean seeds were planted at a depth of 5 cm in the soil, with a spacing of 60 cm between rows and 5 cm between plants. Five rows spaced 60 cm apart were used in each plot, with a row length of 4 m. Of these, the three middle rows were harvestable rows, while the two outer rows were considered borders and were not used for data collection to avoid edge effects. Mulching was applied 10 days after sowing to each plot according to the specified rate. </w:t>
      </w:r>
      <w:r w:rsidRPr="001302AD">
        <w:rPr>
          <w:rFonts w:ascii="Times New Roman" w:eastAsia="Calibri" w:hAnsi="Times New Roman" w:cs="Times New Roman"/>
          <w:color w:val="000000" w:themeColor="text1"/>
          <w:sz w:val="20"/>
          <w:szCs w:val="20"/>
        </w:rPr>
        <w:t xml:space="preserve">All agronomic management practices, such as fertilizer application, weeding, hoeing, and pesticide application, were uniformly applied to all treatments. </w:t>
      </w:r>
      <w:proofErr w:type="spellStart"/>
      <w:r w:rsidRPr="001302AD">
        <w:rPr>
          <w:rFonts w:ascii="Times New Roman" w:eastAsia="Calibri" w:hAnsi="Times New Roman" w:cs="Times New Roman"/>
          <w:color w:val="000000" w:themeColor="text1"/>
          <w:sz w:val="20"/>
          <w:szCs w:val="20"/>
        </w:rPr>
        <w:t>Diaznone</w:t>
      </w:r>
      <w:proofErr w:type="spellEnd"/>
      <w:r w:rsidRPr="001302AD">
        <w:rPr>
          <w:rFonts w:ascii="Times New Roman" w:eastAsia="Calibri" w:hAnsi="Times New Roman" w:cs="Times New Roman"/>
          <w:color w:val="000000" w:themeColor="text1"/>
          <w:sz w:val="20"/>
          <w:szCs w:val="20"/>
        </w:rPr>
        <w:t xml:space="preserve"> 60% EC was used as a pesticide to control insect pests.</w:t>
      </w:r>
      <w:r w:rsidRPr="001302AD">
        <w:rPr>
          <w:rFonts w:ascii="Times New Roman" w:eastAsia="Calibri" w:hAnsi="Times New Roman" w:cs="Times New Roman"/>
          <w:sz w:val="20"/>
          <w:szCs w:val="20"/>
        </w:rPr>
        <w:t xml:space="preserve"> NPS</w:t>
      </w:r>
      <w:r w:rsidRPr="001302AD">
        <w:rPr>
          <w:rFonts w:ascii="Times New Roman" w:eastAsia="Times New Roman" w:hAnsi="Times New Roman" w:cs="Times New Roman"/>
          <w:sz w:val="20"/>
          <w:szCs w:val="20"/>
        </w:rPr>
        <w:t xml:space="preserve"> (19N-38P2O5-7S)</w:t>
      </w:r>
      <w:r w:rsidRPr="001302AD">
        <w:rPr>
          <w:rFonts w:ascii="Times New Roman" w:eastAsia="Calibri" w:hAnsi="Times New Roman" w:cs="Times New Roman"/>
          <w:sz w:val="20"/>
          <w:szCs w:val="20"/>
        </w:rPr>
        <w:t xml:space="preserve"> was used as a source of mineral nutrients at full dose (100 kg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at the time of planting</w:t>
      </w:r>
      <w:r w:rsidRPr="001302AD">
        <w:rPr>
          <w:rFonts w:ascii="Times New Roman" w:eastAsia="Calibri" w:hAnsi="Times New Roman" w:cs="Times New Roman"/>
          <w:sz w:val="24"/>
          <w:szCs w:val="24"/>
        </w:rPr>
        <w:t xml:space="preserve">. </w:t>
      </w:r>
      <w:bookmarkStart w:id="3" w:name="_Toc11262197"/>
    </w:p>
    <w:p w14:paraId="24B3F421" w14:textId="77777777" w:rsidR="00436887" w:rsidRPr="001302AD" w:rsidRDefault="00436887" w:rsidP="00436887">
      <w:pPr>
        <w:spacing w:after="0" w:line="360" w:lineRule="auto"/>
        <w:jc w:val="both"/>
        <w:rPr>
          <w:rFonts w:ascii="Times New Roman" w:eastAsia="Calibri" w:hAnsi="Times New Roman" w:cs="Times New Roman"/>
        </w:rPr>
      </w:pPr>
      <w:r w:rsidRPr="001302AD">
        <w:rPr>
          <w:rFonts w:ascii="Times New Roman" w:eastAsia="Times New Roman" w:hAnsi="Times New Roman" w:cs="Times New Roman"/>
          <w:b/>
          <w:bCs/>
        </w:rPr>
        <w:t>2.4. Soil Sampling and analysis</w:t>
      </w:r>
      <w:bookmarkEnd w:id="3"/>
    </w:p>
    <w:p w14:paraId="26A95681" w14:textId="77777777" w:rsidR="00436887" w:rsidRPr="001302AD" w:rsidRDefault="00436887" w:rsidP="0099388A">
      <w:pPr>
        <w:spacing w:line="240" w:lineRule="auto"/>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Soil samples were collected randomly in a diagonal pattern from 0-30 cm soil depth before planting and analyzed at the soil laboratory for chemical and physical soil properties. Uniform slices and volumes of soil were obtained in each sub-sample by the vertical insertion of an auger. The samples were air-dried, ground using a pestle and mortar, and passed through a 2 mm sieve. The collected soil samples were composited into one sample, and working samples were obtained from the composited sample and analyzed for texture, soil pH, organic carbon, total N, available phosphorus, cation exchange capacity(CEC), and electrical conductivity(</w:t>
      </w:r>
      <w:proofErr w:type="spellStart"/>
      <w:r w:rsidRPr="001302AD">
        <w:rPr>
          <w:rFonts w:ascii="Times New Roman" w:eastAsia="Calibri" w:hAnsi="Times New Roman" w:cs="Times New Roman"/>
          <w:sz w:val="20"/>
          <w:szCs w:val="20"/>
        </w:rPr>
        <w:t>Ec</w:t>
      </w:r>
      <w:proofErr w:type="spellEnd"/>
      <w:r w:rsidRPr="001302AD">
        <w:rPr>
          <w:rFonts w:ascii="Times New Roman" w:eastAsia="Calibri" w:hAnsi="Times New Roman" w:cs="Times New Roman"/>
          <w:sz w:val="20"/>
          <w:szCs w:val="20"/>
        </w:rPr>
        <w:t>) using standard laboratory procedures.</w:t>
      </w:r>
    </w:p>
    <w:p w14:paraId="49685566" w14:textId="77777777" w:rsidR="00436887" w:rsidRPr="001302AD" w:rsidRDefault="00436887" w:rsidP="0099388A">
      <w:pPr>
        <w:spacing w:line="240" w:lineRule="auto"/>
        <w:jc w:val="both"/>
        <w:rPr>
          <w:rFonts w:ascii="Times New Roman" w:eastAsia="Calibri" w:hAnsi="Times New Roman" w:cs="Times New Roman"/>
        </w:rPr>
      </w:pPr>
      <w:r w:rsidRPr="001302AD">
        <w:rPr>
          <w:rFonts w:ascii="Times New Roman" w:eastAsia="Calibri" w:hAnsi="Times New Roman" w:cs="Times New Roman"/>
          <w:b/>
        </w:rPr>
        <w:t>2.5. Soil moisture</w:t>
      </w:r>
      <w:bookmarkStart w:id="4" w:name="_Toc376313969"/>
      <w:bookmarkStart w:id="5" w:name="_Toc242203192"/>
      <w:bookmarkStart w:id="6" w:name="_Toc376329936"/>
      <w:r w:rsidRPr="001302AD">
        <w:rPr>
          <w:rFonts w:ascii="Times New Roman" w:eastAsia="Calibri" w:hAnsi="Times New Roman" w:cs="Times New Roman"/>
          <w:b/>
        </w:rPr>
        <w:t xml:space="preserve"> determination</w:t>
      </w:r>
    </w:p>
    <w:p w14:paraId="42A10F48" w14:textId="77777777" w:rsidR="00436887" w:rsidRPr="001302AD" w:rsidRDefault="00436887" w:rsidP="0099388A">
      <w:pPr>
        <w:spacing w:after="0" w:line="240" w:lineRule="auto"/>
        <w:jc w:val="both"/>
        <w:rPr>
          <w:rFonts w:ascii="Times New Roman" w:eastAsia="Calibri" w:hAnsi="Times New Roman" w:cs="Times New Roman"/>
          <w:sz w:val="20"/>
          <w:szCs w:val="20"/>
        </w:rPr>
      </w:pPr>
      <w:r w:rsidRPr="001302AD">
        <w:rPr>
          <w:rFonts w:ascii="Times New Roman" w:eastAsia="Calibri" w:hAnsi="Times New Roman" w:cs="Times New Roman"/>
          <w:color w:val="000000" w:themeColor="text1"/>
          <w:sz w:val="20"/>
          <w:szCs w:val="20"/>
        </w:rPr>
        <w:t xml:space="preserve">Soil moisture was measured in fifteen days interval from ten days after sowing to physiological maturity. Soil was sampled using an </w:t>
      </w:r>
      <w:r w:rsidRPr="001302AD">
        <w:rPr>
          <w:rFonts w:ascii="Times New Roman" w:eastAsia="Calibri" w:hAnsi="Times New Roman" w:cs="Times New Roman"/>
          <w:sz w:val="20"/>
          <w:szCs w:val="20"/>
        </w:rPr>
        <w:t xml:space="preserve">auger </w:t>
      </w:r>
      <w:r w:rsidRPr="001302AD">
        <w:rPr>
          <w:rFonts w:ascii="Times New Roman" w:eastAsia="Calibri" w:hAnsi="Times New Roman" w:cs="Times New Roman"/>
          <w:color w:val="000000" w:themeColor="text1"/>
          <w:sz w:val="20"/>
          <w:szCs w:val="20"/>
        </w:rPr>
        <w:t xml:space="preserve">from depths of 0-20, 20-40 and 40-60 cm from the central rows of each plot in the experimental field. The sampled soil was weighed and </w:t>
      </w:r>
      <w:r w:rsidRPr="001302AD">
        <w:rPr>
          <w:rFonts w:ascii="Times New Roman" w:eastAsia="Calibri" w:hAnsi="Times New Roman" w:cs="Times New Roman"/>
          <w:color w:val="0D0D0D" w:themeColor="text1" w:themeTint="F2"/>
          <w:sz w:val="20"/>
          <w:szCs w:val="20"/>
        </w:rPr>
        <w:t>dried in an oven for 24 h at 105 °C</w:t>
      </w:r>
      <w:r w:rsidRPr="001302AD">
        <w:rPr>
          <w:rFonts w:ascii="Times New Roman" w:eastAsia="Calibri" w:hAnsi="Times New Roman" w:cs="Times New Roman"/>
          <w:color w:val="000000" w:themeColor="text1"/>
          <w:sz w:val="20"/>
          <w:szCs w:val="20"/>
        </w:rPr>
        <w:t xml:space="preserve">. The difference between the fresh weight and oven-dried weight was recorded, and the soil moisture content was determined using the gravimetric method with the following formula: </w:t>
      </w:r>
      <w:bookmarkEnd w:id="4"/>
      <w:bookmarkEnd w:id="5"/>
      <w:bookmarkEnd w:id="6"/>
    </w:p>
    <w:p w14:paraId="37D42635" w14:textId="77777777" w:rsidR="00436887" w:rsidRPr="001302AD" w:rsidRDefault="00436887" w:rsidP="0099388A">
      <w:pPr>
        <w:spacing w:line="240" w:lineRule="auto"/>
        <w:jc w:val="both"/>
        <w:rPr>
          <w:rFonts w:ascii="Times New Roman" w:eastAsia="Calibri" w:hAnsi="Times New Roman" w:cs="Times New Roman"/>
          <w:color w:val="000000" w:themeColor="text1"/>
          <w:sz w:val="20"/>
          <w:szCs w:val="20"/>
        </w:rPr>
      </w:pPr>
      <w:bookmarkStart w:id="7" w:name="_Toc376354558"/>
      <w:bookmarkStart w:id="8" w:name="_Toc376331321"/>
      <w:bookmarkStart w:id="9" w:name="_Toc376359703"/>
      <w:bookmarkStart w:id="10" w:name="_Toc376342706"/>
      <w:r w:rsidRPr="001302AD">
        <w:rPr>
          <w:rFonts w:ascii="Times New Roman" w:eastAsia="Calibri" w:hAnsi="Times New Roman" w:cs="Times New Roman"/>
          <w:color w:val="000000" w:themeColor="text1"/>
          <w:sz w:val="20"/>
          <w:szCs w:val="20"/>
        </w:rPr>
        <w:t xml:space="preserve">SMC (%) = </w:t>
      </w:r>
      <m:oMath>
        <m:f>
          <m:fPr>
            <m:ctrlPr>
              <w:rPr>
                <w:rFonts w:ascii="Cambria Math" w:eastAsia="Calibri" w:hAnsi="Cambria Math" w:cs="Times New Roman"/>
                <w:color w:val="000000" w:themeColor="text1"/>
                <w:sz w:val="20"/>
                <w:szCs w:val="20"/>
              </w:rPr>
            </m:ctrlPr>
          </m:fPr>
          <m:num>
            <m:r>
              <m:rPr>
                <m:sty m:val="p"/>
              </m:rPr>
              <w:rPr>
                <w:rFonts w:ascii="Cambria Math" w:eastAsia="Calibri" w:hAnsi="Cambria Math" w:cs="Times New Roman"/>
                <w:color w:val="000000" w:themeColor="text1"/>
                <w:sz w:val="20"/>
                <w:szCs w:val="20"/>
              </w:rPr>
              <m:t>FW-DW</m:t>
            </m:r>
          </m:num>
          <m:den>
            <m:r>
              <m:rPr>
                <m:sty m:val="p"/>
              </m:rPr>
              <w:rPr>
                <w:rFonts w:ascii="Cambria Math" w:eastAsia="Calibri" w:hAnsi="Cambria Math" w:cs="Times New Roman"/>
                <w:color w:val="000000" w:themeColor="text1"/>
                <w:sz w:val="20"/>
                <w:szCs w:val="20"/>
              </w:rPr>
              <m:t>DW</m:t>
            </m:r>
          </m:den>
        </m:f>
      </m:oMath>
      <w:r w:rsidRPr="001302AD">
        <w:rPr>
          <w:rFonts w:ascii="Times New Roman" w:eastAsia="Calibri" w:hAnsi="Times New Roman" w:cs="Times New Roman"/>
          <w:color w:val="000000" w:themeColor="text1"/>
          <w:sz w:val="20"/>
          <w:szCs w:val="20"/>
        </w:rPr>
        <w:t>×1</w:t>
      </w:r>
      <w:bookmarkEnd w:id="7"/>
      <w:bookmarkEnd w:id="8"/>
      <w:bookmarkEnd w:id="9"/>
      <w:bookmarkEnd w:id="10"/>
      <w:r w:rsidRPr="001302AD">
        <w:rPr>
          <w:rFonts w:ascii="Times New Roman" w:eastAsia="Calibri" w:hAnsi="Times New Roman" w:cs="Times New Roman"/>
          <w:color w:val="000000" w:themeColor="text1"/>
          <w:sz w:val="20"/>
          <w:szCs w:val="20"/>
        </w:rPr>
        <w:t>00</w:t>
      </w:r>
    </w:p>
    <w:p w14:paraId="60CA8C0E" w14:textId="77777777" w:rsidR="00436887" w:rsidRPr="001302AD" w:rsidRDefault="00436887" w:rsidP="0099388A">
      <w:pPr>
        <w:spacing w:line="240" w:lineRule="auto"/>
        <w:jc w:val="both"/>
        <w:rPr>
          <w:rFonts w:ascii="Times New Roman" w:eastAsia="Calibri" w:hAnsi="Times New Roman" w:cs="Times New Roman"/>
          <w:color w:val="000000" w:themeColor="text1"/>
          <w:sz w:val="20"/>
          <w:szCs w:val="20"/>
        </w:rPr>
      </w:pPr>
      <w:r w:rsidRPr="001302AD">
        <w:rPr>
          <w:rFonts w:ascii="Times New Roman" w:eastAsia="Calibri" w:hAnsi="Times New Roman" w:cs="Times New Roman"/>
          <w:color w:val="000000" w:themeColor="text1"/>
          <w:sz w:val="20"/>
          <w:szCs w:val="20"/>
        </w:rPr>
        <w:t>Where SMC is the soil moisture content, FW is the fresh weight of the soil (g), and D is the oven-dried weight of the soil.</w:t>
      </w:r>
    </w:p>
    <w:p w14:paraId="556BD5E4" w14:textId="77777777" w:rsidR="00436887" w:rsidRPr="001302AD" w:rsidRDefault="00436887" w:rsidP="0099388A">
      <w:pPr>
        <w:spacing w:line="240" w:lineRule="auto"/>
        <w:jc w:val="both"/>
        <w:rPr>
          <w:rFonts w:ascii="Times New Roman" w:eastAsia="Calibri" w:hAnsi="Times New Roman" w:cs="Times New Roman"/>
          <w:color w:val="000000" w:themeColor="text1"/>
        </w:rPr>
      </w:pPr>
      <w:r w:rsidRPr="001302AD">
        <w:rPr>
          <w:rFonts w:ascii="Times New Roman" w:eastAsia="Calibri" w:hAnsi="Times New Roman" w:cs="Times New Roman"/>
          <w:b/>
          <w:color w:val="000000" w:themeColor="text1"/>
        </w:rPr>
        <w:t>2.6. Crop data collection and measurements</w:t>
      </w:r>
    </w:p>
    <w:p w14:paraId="24F97FBF" w14:textId="77777777" w:rsidR="00436887" w:rsidRPr="001302AD" w:rsidRDefault="00436887" w:rsidP="0099388A">
      <w:pPr>
        <w:spacing w:after="0" w:line="240" w:lineRule="auto"/>
        <w:jc w:val="both"/>
        <w:rPr>
          <w:rFonts w:ascii="Times New Roman" w:eastAsia="Calibri" w:hAnsi="Times New Roman" w:cs="Times New Roman"/>
          <w:b/>
          <w:bCs/>
          <w:sz w:val="20"/>
          <w:szCs w:val="20"/>
        </w:rPr>
      </w:pPr>
      <w:r w:rsidRPr="001302AD">
        <w:rPr>
          <w:rFonts w:ascii="Times New Roman" w:eastAsia="Calibri" w:hAnsi="Times New Roman" w:cs="Times New Roman"/>
          <w:sz w:val="20"/>
          <w:szCs w:val="20"/>
        </w:rPr>
        <w:t>Data on different crop growth and yield components and soil moisture were recorded on a sample-plant and plot basis. All agronomic data, such as days to 50% flowering, days to 90% maturity, plant height, number of primary branches per plant, number of pods per plant, number of seeds per plant, hundred seed weight, grain yield, and harvest index, were recorded.</w:t>
      </w:r>
      <w:r w:rsidRPr="001302AD">
        <w:rPr>
          <w:rFonts w:ascii="Times New Roman" w:eastAsia="Calibri" w:hAnsi="Times New Roman" w:cs="Times New Roman"/>
          <w:b/>
          <w:bCs/>
          <w:sz w:val="20"/>
          <w:szCs w:val="20"/>
        </w:rPr>
        <w:t xml:space="preserve"> </w:t>
      </w:r>
    </w:p>
    <w:p w14:paraId="12A675CA" w14:textId="77777777" w:rsidR="00436887" w:rsidRPr="001302AD" w:rsidRDefault="00436887" w:rsidP="00FB03FC">
      <w:pPr>
        <w:spacing w:before="240" w:line="240" w:lineRule="auto"/>
        <w:jc w:val="both"/>
        <w:rPr>
          <w:rFonts w:ascii="Times New Roman" w:eastAsia="Calibri" w:hAnsi="Times New Roman" w:cs="Times New Roman"/>
          <w:sz w:val="20"/>
          <w:szCs w:val="20"/>
        </w:rPr>
      </w:pPr>
      <w:r w:rsidRPr="001302AD">
        <w:rPr>
          <w:rFonts w:ascii="Times New Roman" w:eastAsia="Calibri" w:hAnsi="Times New Roman" w:cs="Times New Roman"/>
          <w:b/>
          <w:bCs/>
          <w:sz w:val="20"/>
          <w:szCs w:val="20"/>
        </w:rPr>
        <w:t>2.7. Statistical Analysis</w:t>
      </w:r>
    </w:p>
    <w:p w14:paraId="17019117" w14:textId="77777777" w:rsidR="00436887" w:rsidRPr="001302AD" w:rsidRDefault="00436887" w:rsidP="0099388A">
      <w:pPr>
        <w:spacing w:after="0" w:line="240" w:lineRule="auto"/>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lastRenderedPageBreak/>
        <w:t>All measured data were subjected to analysis of variance (ANOVA) and analyzed using GenStat15th edition statistical software programs. Statistically significant differences between and among treatment means were assessed using the least significant difference (LSD) at the 5% level of significance (Gomez and Gomez, 1984).</w:t>
      </w:r>
      <w:bookmarkStart w:id="11" w:name="_Toc11262204"/>
    </w:p>
    <w:p w14:paraId="3227D681" w14:textId="77777777" w:rsidR="00436887" w:rsidRPr="001302AD" w:rsidRDefault="00436887" w:rsidP="00FB03FC">
      <w:pPr>
        <w:spacing w:before="240" w:line="240" w:lineRule="auto"/>
        <w:jc w:val="both"/>
        <w:rPr>
          <w:rFonts w:ascii="Times New Roman" w:eastAsia="Calibri" w:hAnsi="Times New Roman" w:cs="Times New Roman"/>
          <w:b/>
          <w:sz w:val="20"/>
          <w:szCs w:val="20"/>
        </w:rPr>
      </w:pPr>
      <w:r w:rsidRPr="001302AD">
        <w:rPr>
          <w:rFonts w:ascii="Times New Roman" w:eastAsia="Calibri" w:hAnsi="Times New Roman" w:cs="Times New Roman"/>
          <w:b/>
          <w:sz w:val="20"/>
          <w:szCs w:val="20"/>
        </w:rPr>
        <w:t>2.8. Economic Analysis</w:t>
      </w:r>
      <w:bookmarkEnd w:id="11"/>
    </w:p>
    <w:p w14:paraId="3D5CE0B7" w14:textId="77777777" w:rsidR="00436887" w:rsidRPr="001302AD" w:rsidRDefault="00436887" w:rsidP="0099388A">
      <w:pPr>
        <w:autoSpaceDE w:val="0"/>
        <w:autoSpaceDN w:val="0"/>
        <w:adjustRightInd w:val="0"/>
        <w:spacing w:line="240" w:lineRule="auto"/>
        <w:jc w:val="both"/>
        <w:rPr>
          <w:rFonts w:ascii="Times New Roman" w:eastAsia="Calibri" w:hAnsi="Times New Roman" w:cs="Times New Roman"/>
          <w:b/>
          <w:sz w:val="20"/>
          <w:szCs w:val="20"/>
        </w:rPr>
      </w:pPr>
      <w:r w:rsidRPr="001302AD">
        <w:rPr>
          <w:rFonts w:ascii="Times New Roman" w:eastAsia="Calibri" w:hAnsi="Times New Roman" w:cs="Times New Roman"/>
          <w:sz w:val="20"/>
          <w:szCs w:val="20"/>
        </w:rPr>
        <w:t>Partial budget analysis, as described by CIMMYT (1988) was applied to the yield results to assess the costs and benefits associated with different mulching treatments.</w:t>
      </w:r>
      <w:r w:rsidRPr="001302AD">
        <w:rPr>
          <w:rFonts w:ascii="Times New Roman" w:eastAsia="Calibri" w:hAnsi="Times New Roman" w:cs="Times New Roman"/>
          <w:color w:val="000000" w:themeColor="text1"/>
          <w:sz w:val="20"/>
          <w:szCs w:val="20"/>
        </w:rPr>
        <w:t xml:space="preserve"> All costs and benefits were calculated on hectare basis in Ethiopia Birr. </w:t>
      </w:r>
      <w:r w:rsidRPr="001302AD">
        <w:rPr>
          <w:rFonts w:ascii="Times New Roman" w:eastAsia="Calibri" w:hAnsi="Times New Roman" w:cs="Times New Roman"/>
          <w:sz w:val="20"/>
          <w:szCs w:val="20"/>
        </w:rPr>
        <w:t>The concepts used in economic analysis were the adjusted mean grain yield of each treatment, the gross field benefit (the product of field price kg</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and the mean adjusted yield for each treatment), and the total variable input costs included in the total cost (costs of weeding and cost of mulches and their application). </w:t>
      </w:r>
      <w:r w:rsidRPr="001302AD">
        <w:rPr>
          <w:rFonts w:ascii="Times New Roman" w:eastAsia="Calibri" w:hAnsi="Times New Roman" w:cs="Times New Roman"/>
          <w:color w:val="000000" w:themeColor="text1"/>
          <w:sz w:val="20"/>
          <w:szCs w:val="20"/>
        </w:rPr>
        <w:t>Grain yield was adjusted down by 10% to minimize the effect of researcher-managed small plots compared to the farmer-managed plots</w:t>
      </w:r>
      <w:r w:rsidRPr="001302AD">
        <w:rPr>
          <w:rFonts w:ascii="Times New Roman" w:eastAsia="Calibri" w:hAnsi="Times New Roman" w:cs="Times New Roman"/>
          <w:sz w:val="20"/>
          <w:szCs w:val="20"/>
        </w:rPr>
        <w:t>. The net benefit based on the total variable input cost was calculated as the difference between the gross field benefit and the total variable input cost.</w:t>
      </w:r>
    </w:p>
    <w:p w14:paraId="2F259BC2" w14:textId="77777777" w:rsidR="00714DFC" w:rsidRPr="001302AD" w:rsidRDefault="00436887" w:rsidP="00FB03FC">
      <w:pPr>
        <w:autoSpaceDE w:val="0"/>
        <w:autoSpaceDN w:val="0"/>
        <w:adjustRightInd w:val="0"/>
        <w:spacing w:after="160" w:line="240" w:lineRule="auto"/>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Dominance analysis was applied to screen treatments with higher total variable costs while having lower net benefits; hence, dominated treatments were not considered in the marginal analysis. The minimum acceptable rate of return was taken as 100%, and treatments with a lower minimum rate of return were also removed from further ana</w:t>
      </w:r>
      <w:r w:rsidR="00FB03FC" w:rsidRPr="001302AD">
        <w:rPr>
          <w:rFonts w:ascii="Times New Roman" w:eastAsia="Calibri" w:hAnsi="Times New Roman" w:cs="Times New Roman"/>
          <w:sz w:val="20"/>
          <w:szCs w:val="20"/>
        </w:rPr>
        <w:t>lysis</w:t>
      </w:r>
    </w:p>
    <w:p w14:paraId="50D51BB2" w14:textId="77777777" w:rsidR="00436887" w:rsidRPr="001302AD" w:rsidRDefault="00FB03FC" w:rsidP="001302AD">
      <w:pPr>
        <w:autoSpaceDE w:val="0"/>
        <w:autoSpaceDN w:val="0"/>
        <w:adjustRightInd w:val="0"/>
        <w:spacing w:after="0" w:line="240" w:lineRule="auto"/>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w:t>
      </w:r>
    </w:p>
    <w:p w14:paraId="1A945AAD" w14:textId="77777777" w:rsidR="00436887" w:rsidRPr="001302AD" w:rsidRDefault="00436887" w:rsidP="00714DFC">
      <w:pPr>
        <w:spacing w:line="360" w:lineRule="auto"/>
        <w:jc w:val="both"/>
        <w:rPr>
          <w:rFonts w:ascii="Times New Roman" w:eastAsia="Calibri" w:hAnsi="Times New Roman" w:cs="Times New Roman"/>
          <w:b/>
        </w:rPr>
      </w:pPr>
      <w:r w:rsidRPr="001302AD">
        <w:rPr>
          <w:rFonts w:ascii="Times New Roman" w:eastAsia="Calibri" w:hAnsi="Times New Roman" w:cs="Times New Roman"/>
          <w:b/>
        </w:rPr>
        <w:t xml:space="preserve">3. </w:t>
      </w:r>
      <w:r w:rsidR="001302AD">
        <w:rPr>
          <w:rFonts w:ascii="Times New Roman" w:eastAsia="Calibri" w:hAnsi="Times New Roman" w:cs="Times New Roman"/>
          <w:b/>
        </w:rPr>
        <w:t>Result and D</w:t>
      </w:r>
      <w:r w:rsidR="001302AD" w:rsidRPr="001302AD">
        <w:rPr>
          <w:rFonts w:ascii="Times New Roman" w:eastAsia="Calibri" w:hAnsi="Times New Roman" w:cs="Times New Roman"/>
          <w:b/>
        </w:rPr>
        <w:t>iscussion</w:t>
      </w:r>
      <w:bookmarkStart w:id="12" w:name="_Toc11262206"/>
    </w:p>
    <w:p w14:paraId="48675E9D" w14:textId="77777777" w:rsidR="00436887" w:rsidRPr="001302AD" w:rsidRDefault="00436887" w:rsidP="00436887">
      <w:pPr>
        <w:spacing w:after="0" w:line="360" w:lineRule="auto"/>
        <w:jc w:val="both"/>
        <w:rPr>
          <w:rFonts w:ascii="Times New Roman" w:eastAsia="Calibri" w:hAnsi="Times New Roman" w:cs="Times New Roman"/>
          <w:b/>
        </w:rPr>
      </w:pPr>
      <w:r w:rsidRPr="001302AD">
        <w:rPr>
          <w:rFonts w:ascii="Times New Roman" w:eastAsia="Calibri" w:hAnsi="Times New Roman" w:cs="Times New Roman"/>
          <w:b/>
          <w:bCs/>
          <w:color w:val="000000"/>
        </w:rPr>
        <w:t>3.1. Soil properties of the experimental site</w:t>
      </w:r>
      <w:bookmarkStart w:id="13" w:name="_Toc11262584"/>
      <w:bookmarkEnd w:id="12"/>
    </w:p>
    <w:p w14:paraId="40A5769D" w14:textId="77777777" w:rsidR="00436887" w:rsidRPr="001302AD" w:rsidRDefault="00436887" w:rsidP="00FB03FC">
      <w:pPr>
        <w:spacing w:line="240" w:lineRule="auto"/>
        <w:jc w:val="both"/>
        <w:rPr>
          <w:rFonts w:ascii="Times New Roman" w:eastAsia="Calibri" w:hAnsi="Times New Roman" w:cs="Times New Roman"/>
          <w:b/>
          <w:bCs/>
          <w:color w:val="000000"/>
          <w:sz w:val="20"/>
          <w:szCs w:val="20"/>
        </w:rPr>
      </w:pPr>
      <w:r w:rsidRPr="001302AD">
        <w:rPr>
          <w:rFonts w:ascii="Times New Roman" w:eastAsia="Calibri" w:hAnsi="Times New Roman" w:cs="Times New Roman"/>
          <w:color w:val="000000"/>
          <w:sz w:val="20"/>
          <w:szCs w:val="20"/>
        </w:rPr>
        <w:t>Laboratory analysis of soil samples taken before planting was performed to determine the major soil physical and chemical properties. The results of the analysis are summarized below.</w:t>
      </w:r>
    </w:p>
    <w:p w14:paraId="26C44D1D" w14:textId="77777777" w:rsidR="00436887" w:rsidRPr="001302AD" w:rsidRDefault="00436887" w:rsidP="00FB03FC">
      <w:pPr>
        <w:spacing w:line="240" w:lineRule="auto"/>
        <w:jc w:val="both"/>
        <w:rPr>
          <w:rFonts w:ascii="Times New Roman" w:eastAsia="Calibri" w:hAnsi="Times New Roman" w:cs="Times New Roman"/>
          <w:b/>
          <w:bCs/>
          <w:sz w:val="20"/>
          <w:szCs w:val="20"/>
        </w:rPr>
      </w:pPr>
      <w:r w:rsidRPr="001302AD">
        <w:rPr>
          <w:rFonts w:ascii="Times New Roman" w:eastAsia="Calibri" w:hAnsi="Times New Roman" w:cs="Times New Roman"/>
          <w:b/>
          <w:bCs/>
          <w:sz w:val="20"/>
          <w:szCs w:val="20"/>
        </w:rPr>
        <w:t>Table 1. Major physical and chemical characteristics of the top soil (0 to 30 cm) during the cropping season</w:t>
      </w:r>
      <w:bookmarkEnd w:id="13"/>
      <w:r w:rsidRPr="001302AD">
        <w:rPr>
          <w:rFonts w:ascii="Times New Roman" w:eastAsia="Calibri" w:hAnsi="Times New Roman" w:cs="Times New Roman"/>
          <w:b/>
          <w:bCs/>
          <w:sz w:val="20"/>
          <w:szCs w:val="20"/>
        </w:rPr>
        <w:t>.</w:t>
      </w:r>
    </w:p>
    <w:tbl>
      <w:tblPr>
        <w:tblStyle w:val="TableGrid"/>
        <w:tblW w:w="9473" w:type="dxa"/>
        <w:tblInd w:w="-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3120"/>
        <w:gridCol w:w="860"/>
        <w:gridCol w:w="1390"/>
        <w:gridCol w:w="3533"/>
      </w:tblGrid>
      <w:tr w:rsidR="00436887" w:rsidRPr="001302AD" w14:paraId="6BD9C977" w14:textId="77777777" w:rsidTr="00BC0A37">
        <w:tc>
          <w:tcPr>
            <w:tcW w:w="570" w:type="dxa"/>
            <w:tcBorders>
              <w:top w:val="single" w:sz="4" w:space="0" w:color="auto"/>
              <w:left w:val="nil"/>
              <w:bottom w:val="single" w:sz="4" w:space="0" w:color="auto"/>
              <w:right w:val="nil"/>
            </w:tcBorders>
            <w:hideMark/>
          </w:tcPr>
          <w:p w14:paraId="53CF1079"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No.</w:t>
            </w:r>
          </w:p>
        </w:tc>
        <w:tc>
          <w:tcPr>
            <w:tcW w:w="3120" w:type="dxa"/>
            <w:tcBorders>
              <w:top w:val="single" w:sz="4" w:space="0" w:color="auto"/>
              <w:left w:val="nil"/>
              <w:bottom w:val="single" w:sz="4" w:space="0" w:color="auto"/>
              <w:right w:val="nil"/>
            </w:tcBorders>
            <w:hideMark/>
          </w:tcPr>
          <w:p w14:paraId="49B7E1F9"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Character</w:t>
            </w:r>
          </w:p>
        </w:tc>
        <w:tc>
          <w:tcPr>
            <w:tcW w:w="860" w:type="dxa"/>
            <w:tcBorders>
              <w:top w:val="single" w:sz="4" w:space="0" w:color="auto"/>
              <w:left w:val="nil"/>
              <w:bottom w:val="single" w:sz="4" w:space="0" w:color="auto"/>
              <w:right w:val="nil"/>
            </w:tcBorders>
            <w:hideMark/>
          </w:tcPr>
          <w:p w14:paraId="2E64FC81"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 xml:space="preserve">Value </w:t>
            </w:r>
          </w:p>
        </w:tc>
        <w:tc>
          <w:tcPr>
            <w:tcW w:w="1390" w:type="dxa"/>
            <w:tcBorders>
              <w:top w:val="single" w:sz="4" w:space="0" w:color="auto"/>
              <w:left w:val="nil"/>
              <w:bottom w:val="single" w:sz="4" w:space="0" w:color="auto"/>
              <w:right w:val="nil"/>
            </w:tcBorders>
            <w:hideMark/>
          </w:tcPr>
          <w:p w14:paraId="73379BAE"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Rating</w:t>
            </w:r>
          </w:p>
        </w:tc>
        <w:tc>
          <w:tcPr>
            <w:tcW w:w="3533" w:type="dxa"/>
            <w:tcBorders>
              <w:top w:val="single" w:sz="4" w:space="0" w:color="auto"/>
              <w:left w:val="nil"/>
              <w:bottom w:val="single" w:sz="4" w:space="0" w:color="auto"/>
              <w:right w:val="nil"/>
            </w:tcBorders>
            <w:hideMark/>
          </w:tcPr>
          <w:p w14:paraId="375C529B"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References</w:t>
            </w:r>
          </w:p>
        </w:tc>
      </w:tr>
      <w:tr w:rsidR="00436887" w:rsidRPr="001302AD" w14:paraId="1B8BB344" w14:textId="77777777" w:rsidTr="00BC0A37">
        <w:tc>
          <w:tcPr>
            <w:tcW w:w="570" w:type="dxa"/>
            <w:tcBorders>
              <w:top w:val="single" w:sz="4" w:space="0" w:color="auto"/>
              <w:left w:val="nil"/>
              <w:bottom w:val="nil"/>
              <w:right w:val="nil"/>
            </w:tcBorders>
            <w:hideMark/>
          </w:tcPr>
          <w:p w14:paraId="1D12CD2C"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w:t>
            </w:r>
          </w:p>
        </w:tc>
        <w:tc>
          <w:tcPr>
            <w:tcW w:w="3120" w:type="dxa"/>
            <w:tcBorders>
              <w:top w:val="single" w:sz="4" w:space="0" w:color="auto"/>
              <w:left w:val="nil"/>
              <w:bottom w:val="nil"/>
              <w:right w:val="nil"/>
            </w:tcBorders>
            <w:hideMark/>
          </w:tcPr>
          <w:p w14:paraId="7555DD09"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 xml:space="preserve">pH (1:2.5) H2O </w:t>
            </w:r>
          </w:p>
        </w:tc>
        <w:tc>
          <w:tcPr>
            <w:tcW w:w="860" w:type="dxa"/>
            <w:tcBorders>
              <w:top w:val="single" w:sz="4" w:space="0" w:color="auto"/>
              <w:left w:val="nil"/>
              <w:bottom w:val="nil"/>
              <w:right w:val="nil"/>
            </w:tcBorders>
            <w:hideMark/>
          </w:tcPr>
          <w:p w14:paraId="7A0D8A1E"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8.2</w:t>
            </w:r>
          </w:p>
        </w:tc>
        <w:tc>
          <w:tcPr>
            <w:tcW w:w="1390" w:type="dxa"/>
            <w:tcBorders>
              <w:top w:val="single" w:sz="4" w:space="0" w:color="auto"/>
              <w:left w:val="nil"/>
              <w:bottom w:val="nil"/>
              <w:right w:val="nil"/>
            </w:tcBorders>
            <w:hideMark/>
          </w:tcPr>
          <w:p w14:paraId="747897CF"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Moderately alkaline</w:t>
            </w:r>
          </w:p>
        </w:tc>
        <w:tc>
          <w:tcPr>
            <w:tcW w:w="3533" w:type="dxa"/>
            <w:tcBorders>
              <w:top w:val="single" w:sz="4" w:space="0" w:color="auto"/>
              <w:left w:val="nil"/>
              <w:bottom w:val="nil"/>
              <w:right w:val="nil"/>
            </w:tcBorders>
            <w:hideMark/>
          </w:tcPr>
          <w:tbl>
            <w:tblPr>
              <w:tblW w:w="0" w:type="auto"/>
              <w:tblLook w:val="04A0" w:firstRow="1" w:lastRow="0" w:firstColumn="1" w:lastColumn="0" w:noHBand="0" w:noVBand="1"/>
            </w:tblPr>
            <w:tblGrid>
              <w:gridCol w:w="2472"/>
            </w:tblGrid>
            <w:tr w:rsidR="00436887" w:rsidRPr="001302AD" w14:paraId="21C8D1CB" w14:textId="77777777" w:rsidTr="00BC0A37">
              <w:trPr>
                <w:trHeight w:val="109"/>
              </w:trPr>
              <w:tc>
                <w:tcPr>
                  <w:tcW w:w="0" w:type="auto"/>
                  <w:tcBorders>
                    <w:top w:val="nil"/>
                    <w:left w:val="nil"/>
                    <w:bottom w:val="nil"/>
                    <w:right w:val="nil"/>
                  </w:tcBorders>
                  <w:hideMark/>
                </w:tcPr>
                <w:p w14:paraId="5164C43A" w14:textId="77777777" w:rsidR="00436887" w:rsidRPr="001302AD" w:rsidRDefault="00436887" w:rsidP="00FB03FC">
                  <w:pPr>
                    <w:autoSpaceDE w:val="0"/>
                    <w:autoSpaceDN w:val="0"/>
                    <w:adjustRightInd w:val="0"/>
                    <w:spacing w:after="0"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color w:val="000000"/>
                      <w:sz w:val="20"/>
                      <w:szCs w:val="20"/>
                    </w:rPr>
                    <w:t>(Hazelton &amp; Murphy, 2025)</w:t>
                  </w:r>
                </w:p>
              </w:tc>
            </w:tr>
          </w:tbl>
          <w:p w14:paraId="302521BA"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1302AD" w14:paraId="451460F3" w14:textId="77777777" w:rsidTr="00BC0A37">
        <w:tc>
          <w:tcPr>
            <w:tcW w:w="570" w:type="dxa"/>
            <w:tcBorders>
              <w:top w:val="nil"/>
              <w:left w:val="nil"/>
              <w:bottom w:val="nil"/>
              <w:right w:val="nil"/>
            </w:tcBorders>
            <w:hideMark/>
          </w:tcPr>
          <w:p w14:paraId="5968F13F"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w:t>
            </w:r>
          </w:p>
        </w:tc>
        <w:tc>
          <w:tcPr>
            <w:tcW w:w="3120" w:type="dxa"/>
            <w:tcBorders>
              <w:top w:val="nil"/>
              <w:left w:val="nil"/>
              <w:bottom w:val="nil"/>
              <w:right w:val="nil"/>
            </w:tcBorders>
            <w:hideMark/>
          </w:tcPr>
          <w:p w14:paraId="29FBEAE9"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 xml:space="preserve">Available Phosphorus (ppm) </w:t>
            </w:r>
          </w:p>
        </w:tc>
        <w:tc>
          <w:tcPr>
            <w:tcW w:w="860" w:type="dxa"/>
            <w:tcBorders>
              <w:top w:val="nil"/>
              <w:left w:val="nil"/>
              <w:bottom w:val="nil"/>
              <w:right w:val="nil"/>
            </w:tcBorders>
            <w:hideMark/>
          </w:tcPr>
          <w:p w14:paraId="406FAB23"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4.86</w:t>
            </w:r>
          </w:p>
        </w:tc>
        <w:tc>
          <w:tcPr>
            <w:tcW w:w="1390" w:type="dxa"/>
            <w:tcBorders>
              <w:top w:val="nil"/>
              <w:left w:val="nil"/>
              <w:bottom w:val="nil"/>
              <w:right w:val="nil"/>
            </w:tcBorders>
            <w:hideMark/>
          </w:tcPr>
          <w:p w14:paraId="170523ED"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Very Low</w:t>
            </w:r>
          </w:p>
        </w:tc>
        <w:tc>
          <w:tcPr>
            <w:tcW w:w="3533" w:type="dxa"/>
            <w:tcBorders>
              <w:top w:val="nil"/>
              <w:left w:val="nil"/>
              <w:bottom w:val="nil"/>
              <w:right w:val="nil"/>
            </w:tcBorders>
            <w:hideMark/>
          </w:tcPr>
          <w:tbl>
            <w:tblPr>
              <w:tblW w:w="0" w:type="auto"/>
              <w:tblLook w:val="04A0" w:firstRow="1" w:lastRow="0" w:firstColumn="1" w:lastColumn="0" w:noHBand="0" w:noVBand="1"/>
            </w:tblPr>
            <w:tblGrid>
              <w:gridCol w:w="2472"/>
            </w:tblGrid>
            <w:tr w:rsidR="00436887" w:rsidRPr="001302AD" w14:paraId="1FD2A204" w14:textId="77777777" w:rsidTr="00BC0A37">
              <w:trPr>
                <w:trHeight w:val="109"/>
              </w:trPr>
              <w:tc>
                <w:tcPr>
                  <w:tcW w:w="0" w:type="auto"/>
                  <w:tcBorders>
                    <w:top w:val="nil"/>
                    <w:left w:val="nil"/>
                    <w:bottom w:val="nil"/>
                    <w:right w:val="nil"/>
                  </w:tcBorders>
                  <w:hideMark/>
                </w:tcPr>
                <w:p w14:paraId="3B3FF624" w14:textId="77777777" w:rsidR="00436887" w:rsidRPr="001302AD" w:rsidRDefault="00436887" w:rsidP="00FB03FC">
                  <w:pPr>
                    <w:autoSpaceDE w:val="0"/>
                    <w:autoSpaceDN w:val="0"/>
                    <w:adjustRightInd w:val="0"/>
                    <w:spacing w:after="0"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color w:val="000000"/>
                      <w:sz w:val="20"/>
                      <w:szCs w:val="20"/>
                    </w:rPr>
                    <w:t>(Hazelton &amp; Murphy, 2025)</w:t>
                  </w:r>
                </w:p>
              </w:tc>
            </w:tr>
          </w:tbl>
          <w:p w14:paraId="6E9E2C3F"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1302AD" w14:paraId="38CCA9F8" w14:textId="77777777" w:rsidTr="00BC0A37">
        <w:tc>
          <w:tcPr>
            <w:tcW w:w="570" w:type="dxa"/>
            <w:tcBorders>
              <w:top w:val="nil"/>
              <w:left w:val="nil"/>
              <w:bottom w:val="nil"/>
              <w:right w:val="nil"/>
            </w:tcBorders>
            <w:hideMark/>
          </w:tcPr>
          <w:p w14:paraId="39D8320E"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w:t>
            </w:r>
          </w:p>
        </w:tc>
        <w:tc>
          <w:tcPr>
            <w:tcW w:w="3120" w:type="dxa"/>
            <w:tcBorders>
              <w:top w:val="nil"/>
              <w:left w:val="nil"/>
              <w:bottom w:val="nil"/>
              <w:right w:val="nil"/>
            </w:tcBorders>
            <w:hideMark/>
          </w:tcPr>
          <w:p w14:paraId="36050C84"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 xml:space="preserve">Total N (%) </w:t>
            </w:r>
          </w:p>
        </w:tc>
        <w:tc>
          <w:tcPr>
            <w:tcW w:w="860" w:type="dxa"/>
            <w:tcBorders>
              <w:top w:val="nil"/>
              <w:left w:val="nil"/>
              <w:bottom w:val="nil"/>
              <w:right w:val="nil"/>
            </w:tcBorders>
            <w:hideMark/>
          </w:tcPr>
          <w:p w14:paraId="7ABDFE17"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0.14</w:t>
            </w:r>
          </w:p>
        </w:tc>
        <w:tc>
          <w:tcPr>
            <w:tcW w:w="1390" w:type="dxa"/>
            <w:tcBorders>
              <w:top w:val="nil"/>
              <w:left w:val="nil"/>
              <w:bottom w:val="nil"/>
              <w:right w:val="nil"/>
            </w:tcBorders>
            <w:hideMark/>
          </w:tcPr>
          <w:p w14:paraId="65C9A5E6"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Low</w:t>
            </w:r>
          </w:p>
        </w:tc>
        <w:tc>
          <w:tcPr>
            <w:tcW w:w="3533" w:type="dxa"/>
            <w:tcBorders>
              <w:top w:val="nil"/>
              <w:left w:val="nil"/>
              <w:bottom w:val="nil"/>
              <w:right w:val="nil"/>
            </w:tcBorders>
            <w:hideMark/>
          </w:tcPr>
          <w:tbl>
            <w:tblPr>
              <w:tblW w:w="0" w:type="auto"/>
              <w:tblLook w:val="04A0" w:firstRow="1" w:lastRow="0" w:firstColumn="1" w:lastColumn="0" w:noHBand="0" w:noVBand="1"/>
            </w:tblPr>
            <w:tblGrid>
              <w:gridCol w:w="2522"/>
            </w:tblGrid>
            <w:tr w:rsidR="00436887" w:rsidRPr="001302AD" w14:paraId="69B1C91D" w14:textId="77777777" w:rsidTr="00BC0A37">
              <w:trPr>
                <w:trHeight w:val="109"/>
              </w:trPr>
              <w:tc>
                <w:tcPr>
                  <w:tcW w:w="0" w:type="auto"/>
                  <w:tcBorders>
                    <w:top w:val="nil"/>
                    <w:left w:val="nil"/>
                    <w:bottom w:val="nil"/>
                    <w:right w:val="nil"/>
                  </w:tcBorders>
                  <w:hideMark/>
                </w:tcPr>
                <w:p w14:paraId="03EE57FA" w14:textId="77777777" w:rsidR="00436887" w:rsidRPr="001302AD" w:rsidRDefault="00436887" w:rsidP="00FB03FC">
                  <w:pPr>
                    <w:autoSpaceDE w:val="0"/>
                    <w:autoSpaceDN w:val="0"/>
                    <w:adjustRightInd w:val="0"/>
                    <w:spacing w:after="0"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color w:val="000000"/>
                      <w:sz w:val="20"/>
                      <w:szCs w:val="20"/>
                    </w:rPr>
                    <w:t xml:space="preserve"> (</w:t>
                  </w:r>
                  <w:r w:rsidRPr="001302AD">
                    <w:rPr>
                      <w:rFonts w:ascii="Times New Roman" w:eastAsia="Calibri" w:hAnsi="Times New Roman" w:cs="Times New Roman"/>
                      <w:sz w:val="20"/>
                      <w:szCs w:val="20"/>
                    </w:rPr>
                    <w:t>Hazelton &amp; Murphy, 2025</w:t>
                  </w:r>
                  <w:r w:rsidRPr="001302AD">
                    <w:rPr>
                      <w:rFonts w:ascii="Times New Roman" w:eastAsia="Calibri" w:hAnsi="Times New Roman" w:cs="Times New Roman"/>
                      <w:color w:val="000000"/>
                      <w:sz w:val="20"/>
                      <w:szCs w:val="20"/>
                    </w:rPr>
                    <w:t>)</w:t>
                  </w:r>
                </w:p>
              </w:tc>
            </w:tr>
          </w:tbl>
          <w:p w14:paraId="647D5FAF"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1302AD" w14:paraId="3D2F1652" w14:textId="77777777" w:rsidTr="00BC0A37">
        <w:tc>
          <w:tcPr>
            <w:tcW w:w="570" w:type="dxa"/>
            <w:tcBorders>
              <w:top w:val="nil"/>
              <w:left w:val="nil"/>
              <w:bottom w:val="nil"/>
              <w:right w:val="nil"/>
            </w:tcBorders>
            <w:hideMark/>
          </w:tcPr>
          <w:p w14:paraId="1EA1706E"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4</w:t>
            </w:r>
          </w:p>
        </w:tc>
        <w:tc>
          <w:tcPr>
            <w:tcW w:w="3120" w:type="dxa"/>
            <w:tcBorders>
              <w:top w:val="nil"/>
              <w:left w:val="nil"/>
              <w:bottom w:val="nil"/>
              <w:right w:val="nil"/>
            </w:tcBorders>
            <w:hideMark/>
          </w:tcPr>
          <w:p w14:paraId="3262DD91"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Organic carbon (%)</w:t>
            </w:r>
          </w:p>
        </w:tc>
        <w:tc>
          <w:tcPr>
            <w:tcW w:w="860" w:type="dxa"/>
            <w:tcBorders>
              <w:top w:val="nil"/>
              <w:left w:val="nil"/>
              <w:bottom w:val="nil"/>
              <w:right w:val="nil"/>
            </w:tcBorders>
            <w:hideMark/>
          </w:tcPr>
          <w:p w14:paraId="15DAC098"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2.087</w:t>
            </w:r>
          </w:p>
        </w:tc>
        <w:tc>
          <w:tcPr>
            <w:tcW w:w="1390" w:type="dxa"/>
            <w:tcBorders>
              <w:top w:val="nil"/>
              <w:left w:val="nil"/>
              <w:bottom w:val="nil"/>
              <w:right w:val="nil"/>
            </w:tcBorders>
            <w:hideMark/>
          </w:tcPr>
          <w:p w14:paraId="041B548C"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Medium</w:t>
            </w:r>
          </w:p>
        </w:tc>
        <w:tc>
          <w:tcPr>
            <w:tcW w:w="3533" w:type="dxa"/>
            <w:tcBorders>
              <w:top w:val="nil"/>
              <w:left w:val="nil"/>
              <w:bottom w:val="nil"/>
              <w:right w:val="nil"/>
            </w:tcBorders>
            <w:hideMark/>
          </w:tcPr>
          <w:tbl>
            <w:tblPr>
              <w:tblW w:w="0" w:type="auto"/>
              <w:tblLook w:val="04A0" w:firstRow="1" w:lastRow="0" w:firstColumn="1" w:lastColumn="0" w:noHBand="0" w:noVBand="1"/>
            </w:tblPr>
            <w:tblGrid>
              <w:gridCol w:w="2522"/>
            </w:tblGrid>
            <w:tr w:rsidR="00436887" w:rsidRPr="001302AD" w14:paraId="0B3DC0EA" w14:textId="77777777" w:rsidTr="00BC0A37">
              <w:trPr>
                <w:trHeight w:val="247"/>
              </w:trPr>
              <w:tc>
                <w:tcPr>
                  <w:tcW w:w="0" w:type="auto"/>
                  <w:tcBorders>
                    <w:top w:val="nil"/>
                    <w:left w:val="nil"/>
                    <w:bottom w:val="nil"/>
                    <w:right w:val="nil"/>
                  </w:tcBorders>
                  <w:hideMark/>
                </w:tcPr>
                <w:p w14:paraId="278743B8" w14:textId="77777777" w:rsidR="00436887" w:rsidRPr="001302AD" w:rsidRDefault="00436887" w:rsidP="00FB03FC">
                  <w:pPr>
                    <w:autoSpaceDE w:val="0"/>
                    <w:autoSpaceDN w:val="0"/>
                    <w:adjustRightInd w:val="0"/>
                    <w:spacing w:after="0"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color w:val="000000"/>
                      <w:sz w:val="20"/>
                      <w:szCs w:val="20"/>
                    </w:rPr>
                    <w:t xml:space="preserve"> (</w:t>
                  </w:r>
                  <w:r w:rsidRPr="001302AD">
                    <w:rPr>
                      <w:rFonts w:ascii="Times New Roman" w:eastAsia="Calibri" w:hAnsi="Times New Roman" w:cs="Times New Roman"/>
                      <w:sz w:val="20"/>
                      <w:szCs w:val="20"/>
                    </w:rPr>
                    <w:t xml:space="preserve">Hazelton &amp; Murphy, 2025) </w:t>
                  </w:r>
                </w:p>
              </w:tc>
            </w:tr>
          </w:tbl>
          <w:p w14:paraId="5B1E8708"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1302AD" w14:paraId="3833CD63" w14:textId="77777777" w:rsidTr="00BC0A37">
        <w:tc>
          <w:tcPr>
            <w:tcW w:w="570" w:type="dxa"/>
            <w:tcBorders>
              <w:top w:val="nil"/>
              <w:left w:val="nil"/>
              <w:bottom w:val="nil"/>
              <w:right w:val="nil"/>
            </w:tcBorders>
            <w:hideMark/>
          </w:tcPr>
          <w:p w14:paraId="52782E84"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5</w:t>
            </w:r>
          </w:p>
        </w:tc>
        <w:tc>
          <w:tcPr>
            <w:tcW w:w="3120" w:type="dxa"/>
            <w:tcBorders>
              <w:top w:val="nil"/>
              <w:left w:val="nil"/>
              <w:bottom w:val="nil"/>
              <w:right w:val="nil"/>
            </w:tcBorders>
            <w:hideMark/>
          </w:tcPr>
          <w:p w14:paraId="679D58EA"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CEC [</w:t>
            </w:r>
            <w:proofErr w:type="spellStart"/>
            <w:r w:rsidRPr="001302AD">
              <w:rPr>
                <w:rFonts w:ascii="Times New Roman" w:eastAsia="Calibri" w:hAnsi="Times New Roman"/>
                <w:color w:val="000000"/>
                <w:sz w:val="20"/>
                <w:szCs w:val="20"/>
              </w:rPr>
              <w:t>Cmol</w:t>
            </w:r>
            <w:proofErr w:type="spellEnd"/>
            <w:r w:rsidRPr="001302AD">
              <w:rPr>
                <w:rFonts w:ascii="Times New Roman" w:eastAsia="Calibri" w:hAnsi="Times New Roman"/>
                <w:color w:val="000000"/>
                <w:sz w:val="20"/>
                <w:szCs w:val="20"/>
              </w:rPr>
              <w:t xml:space="preserve"> (+)/kg)] </w:t>
            </w:r>
          </w:p>
        </w:tc>
        <w:tc>
          <w:tcPr>
            <w:tcW w:w="860" w:type="dxa"/>
            <w:tcBorders>
              <w:top w:val="nil"/>
              <w:left w:val="nil"/>
              <w:bottom w:val="nil"/>
              <w:right w:val="nil"/>
            </w:tcBorders>
            <w:hideMark/>
          </w:tcPr>
          <w:p w14:paraId="1A68F67B"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31.2</w:t>
            </w:r>
          </w:p>
        </w:tc>
        <w:tc>
          <w:tcPr>
            <w:tcW w:w="1390" w:type="dxa"/>
            <w:tcBorders>
              <w:top w:val="nil"/>
              <w:left w:val="nil"/>
              <w:bottom w:val="nil"/>
              <w:right w:val="nil"/>
            </w:tcBorders>
            <w:hideMark/>
          </w:tcPr>
          <w:p w14:paraId="47C48E9F"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High</w:t>
            </w:r>
          </w:p>
        </w:tc>
        <w:tc>
          <w:tcPr>
            <w:tcW w:w="3533" w:type="dxa"/>
            <w:tcBorders>
              <w:top w:val="nil"/>
              <w:left w:val="nil"/>
              <w:bottom w:val="nil"/>
              <w:right w:val="nil"/>
            </w:tcBorders>
            <w:hideMark/>
          </w:tcPr>
          <w:tbl>
            <w:tblPr>
              <w:tblW w:w="0" w:type="auto"/>
              <w:tblLook w:val="04A0" w:firstRow="1" w:lastRow="0" w:firstColumn="1" w:lastColumn="0" w:noHBand="0" w:noVBand="1"/>
            </w:tblPr>
            <w:tblGrid>
              <w:gridCol w:w="2522"/>
            </w:tblGrid>
            <w:tr w:rsidR="00436887" w:rsidRPr="001302AD" w14:paraId="506846F6" w14:textId="77777777" w:rsidTr="00BC0A37">
              <w:trPr>
                <w:trHeight w:val="109"/>
              </w:trPr>
              <w:tc>
                <w:tcPr>
                  <w:tcW w:w="0" w:type="auto"/>
                  <w:tcBorders>
                    <w:top w:val="nil"/>
                    <w:left w:val="nil"/>
                    <w:bottom w:val="nil"/>
                    <w:right w:val="nil"/>
                  </w:tcBorders>
                  <w:hideMark/>
                </w:tcPr>
                <w:p w14:paraId="5AA03D9B" w14:textId="77777777" w:rsidR="00436887" w:rsidRPr="001302AD" w:rsidRDefault="00436887" w:rsidP="00FB03FC">
                  <w:pPr>
                    <w:autoSpaceDE w:val="0"/>
                    <w:autoSpaceDN w:val="0"/>
                    <w:adjustRightInd w:val="0"/>
                    <w:spacing w:after="0"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color w:val="000000"/>
                      <w:sz w:val="20"/>
                      <w:szCs w:val="20"/>
                    </w:rPr>
                    <w:t xml:space="preserve"> (</w:t>
                  </w:r>
                  <w:r w:rsidRPr="001302AD">
                    <w:rPr>
                      <w:rFonts w:ascii="Times New Roman" w:eastAsia="Calibri" w:hAnsi="Times New Roman" w:cs="Times New Roman"/>
                      <w:sz w:val="20"/>
                      <w:szCs w:val="20"/>
                    </w:rPr>
                    <w:t>Hazelton &amp; Murphy, 2025</w:t>
                  </w:r>
                  <w:r w:rsidRPr="001302AD">
                    <w:rPr>
                      <w:rFonts w:ascii="Times New Roman" w:eastAsia="Calibri" w:hAnsi="Times New Roman" w:cs="Times New Roman"/>
                      <w:color w:val="000000"/>
                      <w:sz w:val="20"/>
                      <w:szCs w:val="20"/>
                    </w:rPr>
                    <w:t>)</w:t>
                  </w:r>
                </w:p>
              </w:tc>
            </w:tr>
          </w:tbl>
          <w:p w14:paraId="4B773B89"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1302AD" w14:paraId="46F0E0D7" w14:textId="77777777" w:rsidTr="00BC0A37">
        <w:trPr>
          <w:trHeight w:val="300"/>
        </w:trPr>
        <w:tc>
          <w:tcPr>
            <w:tcW w:w="570" w:type="dxa"/>
            <w:tcBorders>
              <w:top w:val="nil"/>
              <w:left w:val="nil"/>
              <w:bottom w:val="nil"/>
              <w:right w:val="nil"/>
            </w:tcBorders>
            <w:hideMark/>
          </w:tcPr>
          <w:p w14:paraId="365B27E8"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6</w:t>
            </w:r>
          </w:p>
        </w:tc>
        <w:tc>
          <w:tcPr>
            <w:tcW w:w="3120" w:type="dxa"/>
            <w:tcBorders>
              <w:top w:val="nil"/>
              <w:left w:val="nil"/>
              <w:bottom w:val="nil"/>
              <w:right w:val="nil"/>
            </w:tcBorders>
            <w:hideMark/>
          </w:tcPr>
          <w:p w14:paraId="6216BA0F"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Electrical conductivity(ds/m)</w:t>
            </w:r>
          </w:p>
        </w:tc>
        <w:tc>
          <w:tcPr>
            <w:tcW w:w="860" w:type="dxa"/>
            <w:tcBorders>
              <w:top w:val="nil"/>
              <w:left w:val="nil"/>
              <w:bottom w:val="nil"/>
              <w:right w:val="nil"/>
            </w:tcBorders>
            <w:hideMark/>
          </w:tcPr>
          <w:p w14:paraId="1CECB5EE"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1.34</w:t>
            </w:r>
          </w:p>
        </w:tc>
        <w:tc>
          <w:tcPr>
            <w:tcW w:w="1390" w:type="dxa"/>
            <w:tcBorders>
              <w:top w:val="nil"/>
              <w:left w:val="nil"/>
              <w:bottom w:val="nil"/>
              <w:right w:val="nil"/>
            </w:tcBorders>
            <w:hideMark/>
          </w:tcPr>
          <w:p w14:paraId="400C3531"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Non saline</w:t>
            </w:r>
          </w:p>
        </w:tc>
        <w:tc>
          <w:tcPr>
            <w:tcW w:w="3533" w:type="dxa"/>
            <w:tcBorders>
              <w:top w:val="nil"/>
              <w:left w:val="nil"/>
              <w:bottom w:val="nil"/>
              <w:right w:val="nil"/>
            </w:tcBorders>
            <w:hideMark/>
          </w:tcPr>
          <w:p w14:paraId="2F616873"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color w:val="000000"/>
                <w:sz w:val="20"/>
                <w:szCs w:val="20"/>
              </w:rPr>
              <w:t xml:space="preserve">   (</w:t>
            </w:r>
            <w:r w:rsidRPr="001302AD">
              <w:rPr>
                <w:rFonts w:ascii="Times New Roman" w:eastAsia="Calibri" w:hAnsi="Times New Roman"/>
                <w:sz w:val="20"/>
                <w:szCs w:val="20"/>
              </w:rPr>
              <w:t>Hazelton &amp; Murphy, 2025</w:t>
            </w:r>
            <w:r w:rsidRPr="001302AD">
              <w:rPr>
                <w:rFonts w:ascii="Times New Roman" w:eastAsia="Calibri" w:hAnsi="Times New Roman"/>
                <w:color w:val="000000"/>
                <w:sz w:val="20"/>
                <w:szCs w:val="20"/>
              </w:rPr>
              <w:t>)</w:t>
            </w:r>
          </w:p>
        </w:tc>
      </w:tr>
      <w:tr w:rsidR="00436887" w:rsidRPr="001302AD" w14:paraId="04FB5352" w14:textId="77777777" w:rsidTr="00BC0A37">
        <w:trPr>
          <w:trHeight w:val="180"/>
        </w:trPr>
        <w:tc>
          <w:tcPr>
            <w:tcW w:w="570" w:type="dxa"/>
            <w:tcBorders>
              <w:top w:val="nil"/>
              <w:left w:val="nil"/>
              <w:bottom w:val="nil"/>
              <w:right w:val="nil"/>
            </w:tcBorders>
            <w:hideMark/>
          </w:tcPr>
          <w:p w14:paraId="21EE6283"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7</w:t>
            </w:r>
          </w:p>
        </w:tc>
        <w:tc>
          <w:tcPr>
            <w:tcW w:w="3120" w:type="dxa"/>
            <w:tcBorders>
              <w:top w:val="nil"/>
              <w:left w:val="nil"/>
              <w:bottom w:val="nil"/>
              <w:right w:val="nil"/>
            </w:tcBorders>
            <w:hideMark/>
          </w:tcPr>
          <w:p w14:paraId="5145FD3A"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Particle size distribution</w:t>
            </w:r>
          </w:p>
        </w:tc>
        <w:tc>
          <w:tcPr>
            <w:tcW w:w="860" w:type="dxa"/>
            <w:tcBorders>
              <w:top w:val="nil"/>
              <w:left w:val="nil"/>
              <w:bottom w:val="nil"/>
              <w:right w:val="nil"/>
            </w:tcBorders>
          </w:tcPr>
          <w:p w14:paraId="05107869"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p>
        </w:tc>
        <w:tc>
          <w:tcPr>
            <w:tcW w:w="1390" w:type="dxa"/>
            <w:tcBorders>
              <w:top w:val="nil"/>
              <w:left w:val="nil"/>
              <w:bottom w:val="nil"/>
              <w:right w:val="nil"/>
            </w:tcBorders>
          </w:tcPr>
          <w:p w14:paraId="63E7FB8E"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c>
          <w:tcPr>
            <w:tcW w:w="3533" w:type="dxa"/>
            <w:tcBorders>
              <w:top w:val="nil"/>
              <w:left w:val="nil"/>
              <w:bottom w:val="nil"/>
              <w:right w:val="nil"/>
            </w:tcBorders>
          </w:tcPr>
          <w:p w14:paraId="55AA6541"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1302AD" w14:paraId="1E4031F9" w14:textId="77777777" w:rsidTr="00BC0A37">
        <w:tc>
          <w:tcPr>
            <w:tcW w:w="570" w:type="dxa"/>
            <w:tcBorders>
              <w:top w:val="nil"/>
              <w:left w:val="nil"/>
              <w:bottom w:val="nil"/>
              <w:right w:val="nil"/>
            </w:tcBorders>
          </w:tcPr>
          <w:p w14:paraId="38B82910"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c>
          <w:tcPr>
            <w:tcW w:w="3120" w:type="dxa"/>
            <w:tcBorders>
              <w:top w:val="nil"/>
              <w:left w:val="nil"/>
              <w:bottom w:val="nil"/>
              <w:right w:val="nil"/>
            </w:tcBorders>
            <w:hideMark/>
          </w:tcPr>
          <w:p w14:paraId="0C0C0E1A"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Sand (%)</w:t>
            </w:r>
          </w:p>
        </w:tc>
        <w:tc>
          <w:tcPr>
            <w:tcW w:w="860" w:type="dxa"/>
            <w:tcBorders>
              <w:top w:val="nil"/>
              <w:left w:val="nil"/>
              <w:bottom w:val="nil"/>
              <w:right w:val="nil"/>
            </w:tcBorders>
            <w:hideMark/>
          </w:tcPr>
          <w:p w14:paraId="4585B344"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10.33</w:t>
            </w:r>
          </w:p>
        </w:tc>
        <w:tc>
          <w:tcPr>
            <w:tcW w:w="1390" w:type="dxa"/>
            <w:tcBorders>
              <w:top w:val="nil"/>
              <w:left w:val="nil"/>
              <w:bottom w:val="nil"/>
              <w:right w:val="nil"/>
            </w:tcBorders>
          </w:tcPr>
          <w:p w14:paraId="353B1DE8"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c>
          <w:tcPr>
            <w:tcW w:w="3533" w:type="dxa"/>
            <w:tcBorders>
              <w:top w:val="nil"/>
              <w:left w:val="nil"/>
              <w:bottom w:val="nil"/>
              <w:right w:val="nil"/>
            </w:tcBorders>
          </w:tcPr>
          <w:p w14:paraId="37F71DD4"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1302AD" w14:paraId="6131317B" w14:textId="77777777" w:rsidTr="00BC0A37">
        <w:tc>
          <w:tcPr>
            <w:tcW w:w="570" w:type="dxa"/>
            <w:tcBorders>
              <w:top w:val="nil"/>
              <w:left w:val="nil"/>
              <w:bottom w:val="nil"/>
              <w:right w:val="nil"/>
            </w:tcBorders>
          </w:tcPr>
          <w:p w14:paraId="1FC9DCC6"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c>
          <w:tcPr>
            <w:tcW w:w="3120" w:type="dxa"/>
            <w:tcBorders>
              <w:top w:val="nil"/>
              <w:left w:val="nil"/>
              <w:bottom w:val="nil"/>
              <w:right w:val="nil"/>
            </w:tcBorders>
            <w:hideMark/>
          </w:tcPr>
          <w:p w14:paraId="1E275E11"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Silt (%)</w:t>
            </w:r>
          </w:p>
        </w:tc>
        <w:tc>
          <w:tcPr>
            <w:tcW w:w="860" w:type="dxa"/>
            <w:tcBorders>
              <w:top w:val="nil"/>
              <w:left w:val="nil"/>
              <w:bottom w:val="nil"/>
              <w:right w:val="nil"/>
            </w:tcBorders>
            <w:hideMark/>
          </w:tcPr>
          <w:p w14:paraId="67506640"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19.67</w:t>
            </w:r>
          </w:p>
        </w:tc>
        <w:tc>
          <w:tcPr>
            <w:tcW w:w="1390" w:type="dxa"/>
            <w:tcBorders>
              <w:top w:val="nil"/>
              <w:left w:val="nil"/>
              <w:bottom w:val="nil"/>
              <w:right w:val="nil"/>
            </w:tcBorders>
          </w:tcPr>
          <w:p w14:paraId="126F884F"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c>
          <w:tcPr>
            <w:tcW w:w="3533" w:type="dxa"/>
            <w:tcBorders>
              <w:top w:val="nil"/>
              <w:left w:val="nil"/>
              <w:bottom w:val="nil"/>
              <w:right w:val="nil"/>
            </w:tcBorders>
          </w:tcPr>
          <w:p w14:paraId="5BCCF71E"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1302AD" w14:paraId="46068306" w14:textId="77777777" w:rsidTr="00BC0A37">
        <w:tc>
          <w:tcPr>
            <w:tcW w:w="570" w:type="dxa"/>
            <w:tcBorders>
              <w:top w:val="nil"/>
              <w:left w:val="nil"/>
              <w:bottom w:val="nil"/>
              <w:right w:val="nil"/>
            </w:tcBorders>
          </w:tcPr>
          <w:p w14:paraId="374437FE"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c>
          <w:tcPr>
            <w:tcW w:w="3120" w:type="dxa"/>
            <w:tcBorders>
              <w:top w:val="nil"/>
              <w:left w:val="nil"/>
              <w:bottom w:val="nil"/>
              <w:right w:val="nil"/>
            </w:tcBorders>
            <w:hideMark/>
          </w:tcPr>
          <w:p w14:paraId="4F24CBDC"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Clay (%)</w:t>
            </w:r>
          </w:p>
        </w:tc>
        <w:tc>
          <w:tcPr>
            <w:tcW w:w="860" w:type="dxa"/>
            <w:tcBorders>
              <w:top w:val="nil"/>
              <w:left w:val="nil"/>
              <w:bottom w:val="nil"/>
              <w:right w:val="nil"/>
            </w:tcBorders>
            <w:hideMark/>
          </w:tcPr>
          <w:p w14:paraId="51ADA6CA"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70.0</w:t>
            </w:r>
          </w:p>
        </w:tc>
        <w:tc>
          <w:tcPr>
            <w:tcW w:w="1390" w:type="dxa"/>
            <w:tcBorders>
              <w:top w:val="nil"/>
              <w:left w:val="nil"/>
              <w:bottom w:val="nil"/>
              <w:right w:val="nil"/>
            </w:tcBorders>
          </w:tcPr>
          <w:p w14:paraId="0DE4747E"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c>
          <w:tcPr>
            <w:tcW w:w="3533" w:type="dxa"/>
            <w:tcBorders>
              <w:top w:val="nil"/>
              <w:left w:val="nil"/>
              <w:bottom w:val="nil"/>
              <w:right w:val="nil"/>
            </w:tcBorders>
          </w:tcPr>
          <w:p w14:paraId="1055C8D6"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1302AD" w14:paraId="40509C18" w14:textId="77777777" w:rsidTr="00BC0A37">
        <w:tc>
          <w:tcPr>
            <w:tcW w:w="570" w:type="dxa"/>
            <w:tcBorders>
              <w:top w:val="nil"/>
              <w:left w:val="nil"/>
              <w:bottom w:val="single" w:sz="4" w:space="0" w:color="auto"/>
              <w:right w:val="nil"/>
            </w:tcBorders>
          </w:tcPr>
          <w:p w14:paraId="02DD4963"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c>
          <w:tcPr>
            <w:tcW w:w="3120" w:type="dxa"/>
            <w:tcBorders>
              <w:top w:val="nil"/>
              <w:left w:val="nil"/>
              <w:bottom w:val="single" w:sz="4" w:space="0" w:color="auto"/>
              <w:right w:val="nil"/>
            </w:tcBorders>
            <w:hideMark/>
          </w:tcPr>
          <w:p w14:paraId="7E550406"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Textural class</w:t>
            </w:r>
          </w:p>
        </w:tc>
        <w:tc>
          <w:tcPr>
            <w:tcW w:w="860" w:type="dxa"/>
            <w:tcBorders>
              <w:top w:val="nil"/>
              <w:left w:val="nil"/>
              <w:bottom w:val="single" w:sz="4" w:space="0" w:color="auto"/>
              <w:right w:val="nil"/>
            </w:tcBorders>
          </w:tcPr>
          <w:p w14:paraId="1E8848B4"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c>
          <w:tcPr>
            <w:tcW w:w="1390" w:type="dxa"/>
            <w:tcBorders>
              <w:top w:val="nil"/>
              <w:left w:val="nil"/>
              <w:bottom w:val="single" w:sz="4" w:space="0" w:color="auto"/>
              <w:right w:val="nil"/>
            </w:tcBorders>
            <w:hideMark/>
          </w:tcPr>
          <w:p w14:paraId="6D59E8CB"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Clay</w:t>
            </w:r>
          </w:p>
        </w:tc>
        <w:tc>
          <w:tcPr>
            <w:tcW w:w="3533" w:type="dxa"/>
            <w:tcBorders>
              <w:top w:val="nil"/>
              <w:left w:val="nil"/>
              <w:bottom w:val="single" w:sz="4" w:space="0" w:color="auto"/>
              <w:right w:val="nil"/>
            </w:tcBorders>
            <w:hideMark/>
          </w:tcPr>
          <w:p w14:paraId="2D44B7EC"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color w:val="000000"/>
                <w:sz w:val="20"/>
                <w:szCs w:val="20"/>
              </w:rPr>
              <w:t xml:space="preserve"> (</w:t>
            </w:r>
            <w:r w:rsidRPr="001302AD">
              <w:rPr>
                <w:rFonts w:ascii="Times New Roman" w:eastAsia="Calibri" w:hAnsi="Times New Roman"/>
                <w:sz w:val="20"/>
                <w:szCs w:val="20"/>
              </w:rPr>
              <w:t>Hazelton &amp; Murphy, 2025)</w:t>
            </w:r>
          </w:p>
        </w:tc>
      </w:tr>
    </w:tbl>
    <w:p w14:paraId="6F8129DF" w14:textId="77777777" w:rsidR="00436887" w:rsidRPr="001302AD" w:rsidRDefault="00436887" w:rsidP="00436887">
      <w:pPr>
        <w:keepNext/>
        <w:keepLines/>
        <w:spacing w:before="240" w:line="360" w:lineRule="auto"/>
        <w:jc w:val="both"/>
        <w:outlineLvl w:val="1"/>
        <w:rPr>
          <w:rFonts w:ascii="Times New Roman" w:eastAsia="Times New Roman" w:hAnsi="Times New Roman" w:cs="Times New Roman"/>
          <w:b/>
          <w:bCs/>
        </w:rPr>
      </w:pPr>
      <w:r w:rsidRPr="001302AD">
        <w:rPr>
          <w:rFonts w:ascii="Times New Roman" w:eastAsia="Times New Roman" w:hAnsi="Times New Roman" w:cs="Times New Roman"/>
          <w:b/>
          <w:bCs/>
        </w:rPr>
        <w:t>3.1. Effect of Mulching on in situ Soil Moisture conservation</w:t>
      </w:r>
      <w:bookmarkStart w:id="14" w:name="_Toc11262218"/>
    </w:p>
    <w:p w14:paraId="49303218" w14:textId="77777777" w:rsidR="00436887" w:rsidRPr="001302AD" w:rsidRDefault="00436887" w:rsidP="00436887">
      <w:pPr>
        <w:keepNext/>
        <w:keepLines/>
        <w:spacing w:before="240" w:after="0" w:line="360" w:lineRule="auto"/>
        <w:jc w:val="both"/>
        <w:outlineLvl w:val="1"/>
        <w:rPr>
          <w:rFonts w:ascii="Times New Roman" w:eastAsia="Times New Roman" w:hAnsi="Times New Roman" w:cs="Times New Roman"/>
          <w:b/>
          <w:bCs/>
          <w:sz w:val="24"/>
          <w:szCs w:val="24"/>
        </w:rPr>
      </w:pPr>
      <w:r w:rsidRPr="001302AD">
        <w:rPr>
          <w:rFonts w:ascii="Times New Roman" w:eastAsia="Calibri" w:hAnsi="Times New Roman" w:cs="Times New Roman"/>
          <w:b/>
        </w:rPr>
        <w:t>3.1.1. Soil Moisture content at 15, 30 and 45 days after Sowing</w:t>
      </w:r>
      <w:bookmarkEnd w:id="14"/>
    </w:p>
    <w:p w14:paraId="58FE93B7" w14:textId="77777777" w:rsidR="00436887" w:rsidRPr="001302AD" w:rsidRDefault="00436887" w:rsidP="00FB03FC">
      <w:pPr>
        <w:spacing w:line="240" w:lineRule="auto"/>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Organic mulching had a highly significant (P&lt;0.01) effect on soil moisture content at soil depths of 0-0.20 m, 0.20-0.40 m and 0.40-0.60 m. The highest soil moisture (23.4-25.5%) at a depth of 0-0.2 m was conserved in plots covered with 20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mulch; while the lowest soil moisture (19-20%) was observed under no mulch and 5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mulch cover (Table 2). Similarly, higher soil moisture was recorded at 20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mulch covers at 0.2-0.4 m soil depth, while the lowest soil moisture was recorded under no mulch treatment.  In the deepest soil layer (0.4-0.6 m), although there was statistical similarity among treatments of 20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color w:val="FF0000"/>
          <w:sz w:val="20"/>
          <w:szCs w:val="20"/>
        </w:rPr>
        <w:t xml:space="preserve"> </w:t>
      </w:r>
      <w:r w:rsidRPr="001302AD">
        <w:rPr>
          <w:rFonts w:ascii="Times New Roman" w:eastAsia="Calibri" w:hAnsi="Times New Roman" w:cs="Times New Roman"/>
          <w:sz w:val="20"/>
          <w:szCs w:val="20"/>
        </w:rPr>
        <w:t>mulch, 15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mulch, and 10 t ha-1 mulch treatments, the highest soil moisture content (22-24 %) was conserved under 20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mulch cover. However, the lowest soil moisture was recorded under the no mulch treatment. This could be due to the increased rate (thickness) </w:t>
      </w:r>
      <w:r w:rsidRPr="001302AD">
        <w:rPr>
          <w:rFonts w:ascii="Times New Roman" w:eastAsia="Calibri" w:hAnsi="Times New Roman" w:cs="Times New Roman"/>
          <w:sz w:val="20"/>
          <w:szCs w:val="20"/>
        </w:rPr>
        <w:lastRenderedPageBreak/>
        <w:t>of the mulching material (sesame straw), which was efficient in conserving the moisture received by protecting the soil from immediate contact with dry air that drives water evaporation into the atmosphere. In addition, the impact of raindrops and splash could be prevented to allow the rainwater to infiltrate slowly. In line with this result, Zhang et al. (2023) indicated higher soil moisture content in sunflower mulched plots than in non-mulched plots. Selvakumar and Sivakumar (2021) reported that high moisture content was conserved in plots mulched with rice straw compared to the control.</w:t>
      </w:r>
    </w:p>
    <w:p w14:paraId="3975BAE2" w14:textId="77777777" w:rsidR="00436887" w:rsidRPr="001302AD" w:rsidRDefault="00436887" w:rsidP="00FB03FC">
      <w:pPr>
        <w:spacing w:line="240" w:lineRule="auto"/>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The growth stage of the crop during these days (from planting to 45 DAS) was at the seedling and vegetative growth stages. This was because there was no flower initiation before these days. At the early vegetative stages, soil moisture stress can impact the yield by reducing the number of main stem nodes and branches that develop. Therefore, the conserved moisture due to the application of a mulch cover plays an important role in the establishment and vegetative growth stage of soybean as compared to bare soils, which have shown symptoms of water stress, such as wilting and leaf rolling, and finally delayed growth. This is in line with</w:t>
      </w:r>
      <w:r w:rsidRPr="001302AD">
        <w:rPr>
          <w:rFonts w:ascii="Times New Roman" w:hAnsi="Times New Roman" w:cs="Times New Roman"/>
          <w:b/>
          <w:sz w:val="20"/>
          <w:szCs w:val="20"/>
        </w:rPr>
        <w:t xml:space="preserve"> </w:t>
      </w:r>
      <w:proofErr w:type="spellStart"/>
      <w:r w:rsidRPr="001302AD">
        <w:rPr>
          <w:rFonts w:ascii="Times New Roman" w:hAnsi="Times New Roman" w:cs="Times New Roman"/>
          <w:sz w:val="20"/>
          <w:szCs w:val="20"/>
        </w:rPr>
        <w:t>Wijewardana</w:t>
      </w:r>
      <w:proofErr w:type="spellEnd"/>
      <w:r w:rsidRPr="001302AD">
        <w:rPr>
          <w:rFonts w:ascii="Times New Roman" w:hAnsi="Times New Roman" w:cs="Times New Roman"/>
          <w:sz w:val="20"/>
          <w:szCs w:val="20"/>
        </w:rPr>
        <w:t xml:space="preserve"> et al.</w:t>
      </w:r>
      <w:r w:rsidRPr="001302AD">
        <w:rPr>
          <w:rFonts w:ascii="Times New Roman" w:eastAsia="Calibri" w:hAnsi="Times New Roman" w:cs="Times New Roman"/>
          <w:sz w:val="20"/>
          <w:szCs w:val="20"/>
        </w:rPr>
        <w:t xml:space="preserve"> (2018), who stated that soil moisture is critical for optimum growth during the very early vegetative stage</w:t>
      </w:r>
      <w:bookmarkStart w:id="15" w:name="_Toc11262593"/>
      <w:r w:rsidRPr="001302AD">
        <w:rPr>
          <w:rFonts w:ascii="Times New Roman" w:eastAsia="Calibri" w:hAnsi="Times New Roman" w:cs="Times New Roman"/>
          <w:sz w:val="20"/>
          <w:szCs w:val="20"/>
        </w:rPr>
        <w:t xml:space="preserve"> of soybean</w:t>
      </w:r>
    </w:p>
    <w:p w14:paraId="748F3D0D" w14:textId="77777777" w:rsidR="00436887" w:rsidRPr="001302AD" w:rsidRDefault="00436887" w:rsidP="00FB03FC">
      <w:pPr>
        <w:spacing w:line="240" w:lineRule="auto"/>
        <w:jc w:val="both"/>
        <w:rPr>
          <w:rFonts w:ascii="Times New Roman" w:eastAsia="Calibri" w:hAnsi="Times New Roman" w:cs="Times New Roman"/>
          <w:b/>
          <w:sz w:val="20"/>
          <w:szCs w:val="20"/>
        </w:rPr>
      </w:pPr>
      <w:r w:rsidRPr="001302AD">
        <w:rPr>
          <w:rFonts w:ascii="Times New Roman" w:eastAsia="Calibri" w:hAnsi="Times New Roman" w:cs="Times New Roman"/>
          <w:b/>
          <w:sz w:val="20"/>
          <w:szCs w:val="20"/>
        </w:rPr>
        <w:t>Table 2. Effect of mulching rate on soil moisture content at 15, 30, and 45 d after sowing at different soil depths (m).</w:t>
      </w:r>
      <w:bookmarkEnd w:id="15"/>
    </w:p>
    <w:tbl>
      <w:tblPr>
        <w:tblStyle w:val="TableGrid"/>
        <w:tblW w:w="5038"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34"/>
        <w:gridCol w:w="883"/>
        <w:gridCol w:w="909"/>
        <w:gridCol w:w="915"/>
        <w:gridCol w:w="809"/>
        <w:gridCol w:w="861"/>
        <w:gridCol w:w="915"/>
        <w:gridCol w:w="838"/>
        <w:gridCol w:w="988"/>
        <w:gridCol w:w="828"/>
        <w:gridCol w:w="69"/>
      </w:tblGrid>
      <w:tr w:rsidR="00436887" w:rsidRPr="001302AD" w14:paraId="5507D15B" w14:textId="77777777" w:rsidTr="00BC0A37">
        <w:trPr>
          <w:gridAfter w:val="1"/>
          <w:wAfter w:w="37" w:type="pct"/>
          <w:trHeight w:val="20"/>
        </w:trPr>
        <w:tc>
          <w:tcPr>
            <w:tcW w:w="847" w:type="pct"/>
            <w:vMerge w:val="restart"/>
            <w:tcBorders>
              <w:top w:val="single" w:sz="4" w:space="0" w:color="auto"/>
              <w:left w:val="nil"/>
              <w:bottom w:val="single" w:sz="4" w:space="0" w:color="auto"/>
              <w:right w:val="single" w:sz="4" w:space="0" w:color="auto"/>
            </w:tcBorders>
            <w:hideMark/>
          </w:tcPr>
          <w:p w14:paraId="36260A78"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Treatment</w:t>
            </w:r>
          </w:p>
        </w:tc>
        <w:tc>
          <w:tcPr>
            <w:tcW w:w="1402" w:type="pct"/>
            <w:gridSpan w:val="3"/>
            <w:tcBorders>
              <w:top w:val="single" w:sz="4" w:space="0" w:color="auto"/>
              <w:left w:val="single" w:sz="4" w:space="0" w:color="auto"/>
              <w:bottom w:val="single" w:sz="4" w:space="0" w:color="auto"/>
              <w:right w:val="nil"/>
            </w:tcBorders>
            <w:hideMark/>
          </w:tcPr>
          <w:p w14:paraId="6C6C630D"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SMC(% ) at 15 DAS</w:t>
            </w:r>
          </w:p>
        </w:tc>
        <w:tc>
          <w:tcPr>
            <w:tcW w:w="1338" w:type="pct"/>
            <w:gridSpan w:val="3"/>
            <w:tcBorders>
              <w:top w:val="single" w:sz="4" w:space="0" w:color="auto"/>
              <w:left w:val="nil"/>
              <w:bottom w:val="single" w:sz="4" w:space="0" w:color="auto"/>
              <w:right w:val="nil"/>
            </w:tcBorders>
            <w:hideMark/>
          </w:tcPr>
          <w:p w14:paraId="1520D22D"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SMC(%) at 30 DAS</w:t>
            </w:r>
          </w:p>
        </w:tc>
        <w:tc>
          <w:tcPr>
            <w:tcW w:w="1375" w:type="pct"/>
            <w:gridSpan w:val="3"/>
            <w:tcBorders>
              <w:top w:val="single" w:sz="4" w:space="0" w:color="auto"/>
              <w:left w:val="nil"/>
              <w:bottom w:val="single" w:sz="4" w:space="0" w:color="auto"/>
              <w:right w:val="nil"/>
            </w:tcBorders>
            <w:hideMark/>
          </w:tcPr>
          <w:p w14:paraId="272BC3EB"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SMC(%) at 45 DAS</w:t>
            </w:r>
          </w:p>
        </w:tc>
      </w:tr>
      <w:tr w:rsidR="00436887" w:rsidRPr="001302AD" w14:paraId="2B5566D0" w14:textId="77777777" w:rsidTr="00BC0A37">
        <w:trPr>
          <w:gridAfter w:val="1"/>
          <w:wAfter w:w="37" w:type="pct"/>
          <w:trHeight w:val="20"/>
        </w:trPr>
        <w:tc>
          <w:tcPr>
            <w:tcW w:w="847" w:type="pct"/>
            <w:vMerge/>
            <w:tcBorders>
              <w:top w:val="single" w:sz="4" w:space="0" w:color="auto"/>
              <w:left w:val="nil"/>
              <w:bottom w:val="single" w:sz="4" w:space="0" w:color="auto"/>
              <w:right w:val="single" w:sz="4" w:space="0" w:color="auto"/>
            </w:tcBorders>
            <w:vAlign w:val="center"/>
            <w:hideMark/>
          </w:tcPr>
          <w:p w14:paraId="27F778BC" w14:textId="77777777" w:rsidR="00436887" w:rsidRPr="001302AD" w:rsidRDefault="00436887" w:rsidP="00FB03FC">
            <w:pPr>
              <w:rPr>
                <w:rFonts w:ascii="Times New Roman" w:hAnsi="Times New Roman"/>
                <w:b/>
                <w:color w:val="000000"/>
                <w:sz w:val="20"/>
                <w:szCs w:val="20"/>
              </w:rPr>
            </w:pPr>
          </w:p>
        </w:tc>
        <w:tc>
          <w:tcPr>
            <w:tcW w:w="4115" w:type="pct"/>
            <w:gridSpan w:val="9"/>
            <w:tcBorders>
              <w:top w:val="single" w:sz="4" w:space="0" w:color="auto"/>
              <w:left w:val="single" w:sz="4" w:space="0" w:color="auto"/>
              <w:bottom w:val="single" w:sz="4" w:space="0" w:color="auto"/>
              <w:right w:val="nil"/>
            </w:tcBorders>
            <w:hideMark/>
          </w:tcPr>
          <w:p w14:paraId="5BDF949E"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Soil depth(m)</w:t>
            </w:r>
          </w:p>
        </w:tc>
      </w:tr>
      <w:tr w:rsidR="00436887" w:rsidRPr="001302AD" w14:paraId="5AB00F13" w14:textId="77777777" w:rsidTr="00BC0A37">
        <w:trPr>
          <w:trHeight w:val="20"/>
        </w:trPr>
        <w:tc>
          <w:tcPr>
            <w:tcW w:w="847" w:type="pct"/>
            <w:vMerge/>
            <w:tcBorders>
              <w:top w:val="single" w:sz="4" w:space="0" w:color="auto"/>
              <w:left w:val="nil"/>
              <w:bottom w:val="single" w:sz="4" w:space="0" w:color="auto"/>
              <w:right w:val="single" w:sz="4" w:space="0" w:color="auto"/>
            </w:tcBorders>
            <w:vAlign w:val="center"/>
            <w:hideMark/>
          </w:tcPr>
          <w:p w14:paraId="0656053E" w14:textId="77777777" w:rsidR="00436887" w:rsidRPr="001302AD" w:rsidRDefault="00436887" w:rsidP="00FB03FC">
            <w:pPr>
              <w:rPr>
                <w:rFonts w:ascii="Times New Roman" w:hAnsi="Times New Roman"/>
                <w:color w:val="000000"/>
                <w:sz w:val="20"/>
                <w:szCs w:val="20"/>
              </w:rPr>
            </w:pPr>
          </w:p>
        </w:tc>
        <w:tc>
          <w:tcPr>
            <w:tcW w:w="458" w:type="pct"/>
            <w:tcBorders>
              <w:top w:val="single" w:sz="4" w:space="0" w:color="auto"/>
              <w:left w:val="single" w:sz="4" w:space="0" w:color="auto"/>
              <w:bottom w:val="single" w:sz="4" w:space="0" w:color="auto"/>
              <w:right w:val="nil"/>
            </w:tcBorders>
            <w:hideMark/>
          </w:tcPr>
          <w:p w14:paraId="2D13E089"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0-0.2</w:t>
            </w:r>
          </w:p>
        </w:tc>
        <w:tc>
          <w:tcPr>
            <w:tcW w:w="471" w:type="pct"/>
            <w:tcBorders>
              <w:top w:val="single" w:sz="4" w:space="0" w:color="auto"/>
              <w:left w:val="nil"/>
              <w:bottom w:val="single" w:sz="4" w:space="0" w:color="auto"/>
              <w:right w:val="nil"/>
            </w:tcBorders>
            <w:hideMark/>
          </w:tcPr>
          <w:p w14:paraId="6E99A668"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0.2-0.4</w:t>
            </w:r>
          </w:p>
        </w:tc>
        <w:tc>
          <w:tcPr>
            <w:tcW w:w="474" w:type="pct"/>
            <w:tcBorders>
              <w:top w:val="single" w:sz="4" w:space="0" w:color="auto"/>
              <w:left w:val="nil"/>
              <w:bottom w:val="single" w:sz="4" w:space="0" w:color="auto"/>
              <w:right w:val="single" w:sz="4" w:space="0" w:color="auto"/>
            </w:tcBorders>
            <w:hideMark/>
          </w:tcPr>
          <w:p w14:paraId="1791DE4B"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0.4-0.6</w:t>
            </w:r>
          </w:p>
        </w:tc>
        <w:tc>
          <w:tcPr>
            <w:tcW w:w="419" w:type="pct"/>
            <w:tcBorders>
              <w:top w:val="single" w:sz="4" w:space="0" w:color="auto"/>
              <w:left w:val="single" w:sz="4" w:space="0" w:color="auto"/>
              <w:bottom w:val="single" w:sz="4" w:space="0" w:color="auto"/>
              <w:right w:val="nil"/>
            </w:tcBorders>
            <w:hideMark/>
          </w:tcPr>
          <w:p w14:paraId="5209961F"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0-0.2</w:t>
            </w:r>
          </w:p>
        </w:tc>
        <w:tc>
          <w:tcPr>
            <w:tcW w:w="446" w:type="pct"/>
            <w:tcBorders>
              <w:top w:val="single" w:sz="4" w:space="0" w:color="auto"/>
              <w:left w:val="nil"/>
              <w:bottom w:val="single" w:sz="4" w:space="0" w:color="auto"/>
              <w:right w:val="nil"/>
            </w:tcBorders>
            <w:hideMark/>
          </w:tcPr>
          <w:p w14:paraId="54D109EA"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0.2-0.4</w:t>
            </w:r>
          </w:p>
        </w:tc>
        <w:tc>
          <w:tcPr>
            <w:tcW w:w="474" w:type="pct"/>
            <w:tcBorders>
              <w:top w:val="single" w:sz="4" w:space="0" w:color="auto"/>
              <w:left w:val="nil"/>
              <w:bottom w:val="single" w:sz="4" w:space="0" w:color="auto"/>
              <w:right w:val="single" w:sz="4" w:space="0" w:color="auto"/>
            </w:tcBorders>
            <w:hideMark/>
          </w:tcPr>
          <w:p w14:paraId="72762A00"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0.4-0.6</w:t>
            </w:r>
          </w:p>
        </w:tc>
        <w:tc>
          <w:tcPr>
            <w:tcW w:w="434" w:type="pct"/>
            <w:tcBorders>
              <w:top w:val="single" w:sz="4" w:space="0" w:color="auto"/>
              <w:left w:val="single" w:sz="4" w:space="0" w:color="auto"/>
              <w:bottom w:val="single" w:sz="4" w:space="0" w:color="auto"/>
              <w:right w:val="nil"/>
            </w:tcBorders>
            <w:hideMark/>
          </w:tcPr>
          <w:p w14:paraId="3A363398"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0-0.2</w:t>
            </w:r>
          </w:p>
        </w:tc>
        <w:tc>
          <w:tcPr>
            <w:tcW w:w="512" w:type="pct"/>
            <w:tcBorders>
              <w:top w:val="single" w:sz="4" w:space="0" w:color="auto"/>
              <w:left w:val="nil"/>
              <w:bottom w:val="single" w:sz="4" w:space="0" w:color="auto"/>
              <w:right w:val="nil"/>
            </w:tcBorders>
            <w:hideMark/>
          </w:tcPr>
          <w:p w14:paraId="4C660FC8"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0.2-0.4</w:t>
            </w:r>
          </w:p>
        </w:tc>
        <w:tc>
          <w:tcPr>
            <w:tcW w:w="467" w:type="pct"/>
            <w:gridSpan w:val="2"/>
            <w:tcBorders>
              <w:top w:val="single" w:sz="4" w:space="0" w:color="auto"/>
              <w:left w:val="nil"/>
              <w:bottom w:val="single" w:sz="4" w:space="0" w:color="auto"/>
              <w:right w:val="nil"/>
            </w:tcBorders>
            <w:hideMark/>
          </w:tcPr>
          <w:p w14:paraId="02784307"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0.4-0.6</w:t>
            </w:r>
          </w:p>
        </w:tc>
      </w:tr>
      <w:tr w:rsidR="00436887" w:rsidRPr="001302AD" w14:paraId="37854065" w14:textId="77777777" w:rsidTr="00BC0A37">
        <w:trPr>
          <w:trHeight w:val="20"/>
        </w:trPr>
        <w:tc>
          <w:tcPr>
            <w:tcW w:w="847" w:type="pct"/>
            <w:tcBorders>
              <w:top w:val="single" w:sz="4" w:space="0" w:color="auto"/>
              <w:left w:val="nil"/>
              <w:bottom w:val="nil"/>
              <w:right w:val="single" w:sz="4" w:space="0" w:color="auto"/>
            </w:tcBorders>
            <w:hideMark/>
          </w:tcPr>
          <w:p w14:paraId="2F3F3A33" w14:textId="77777777" w:rsidR="00436887" w:rsidRPr="001302AD" w:rsidRDefault="00436887" w:rsidP="00FB03FC">
            <w:pPr>
              <w:jc w:val="both"/>
              <w:rPr>
                <w:rFonts w:ascii="Times New Roman" w:eastAsia="Calibri" w:hAnsi="Times New Roman"/>
                <w:sz w:val="20"/>
                <w:szCs w:val="20"/>
              </w:rPr>
            </w:pPr>
            <w:r w:rsidRPr="001302AD">
              <w:rPr>
                <w:rFonts w:ascii="Times New Roman" w:eastAsia="Calibri" w:hAnsi="Times New Roman"/>
                <w:color w:val="000000"/>
                <w:sz w:val="20"/>
                <w:szCs w:val="20"/>
              </w:rPr>
              <w:t>20 t ha</w:t>
            </w:r>
            <w:r w:rsidRPr="001302AD">
              <w:rPr>
                <w:rFonts w:ascii="Times New Roman" w:eastAsia="Calibri" w:hAnsi="Times New Roman"/>
                <w:color w:val="000000"/>
                <w:sz w:val="20"/>
                <w:szCs w:val="20"/>
                <w:vertAlign w:val="superscript"/>
              </w:rPr>
              <w:t>-1</w:t>
            </w:r>
            <w:r w:rsidRPr="001302AD">
              <w:rPr>
                <w:rFonts w:ascii="Times New Roman" w:eastAsia="Calibri" w:hAnsi="Times New Roman"/>
                <w:color w:val="000000"/>
                <w:sz w:val="20"/>
                <w:szCs w:val="20"/>
              </w:rPr>
              <w:t xml:space="preserve"> mulch</w:t>
            </w:r>
          </w:p>
        </w:tc>
        <w:tc>
          <w:tcPr>
            <w:tcW w:w="458" w:type="pct"/>
            <w:tcBorders>
              <w:top w:val="single" w:sz="4" w:space="0" w:color="auto"/>
              <w:left w:val="single" w:sz="4" w:space="0" w:color="auto"/>
              <w:bottom w:val="nil"/>
              <w:right w:val="nil"/>
            </w:tcBorders>
            <w:vAlign w:val="center"/>
            <w:hideMark/>
          </w:tcPr>
          <w:p w14:paraId="27A88F65"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25.54</w:t>
            </w:r>
            <w:r w:rsidRPr="001302AD">
              <w:rPr>
                <w:rFonts w:ascii="Times New Roman" w:eastAsia="Calibri" w:hAnsi="Times New Roman"/>
                <w:color w:val="000000"/>
                <w:sz w:val="20"/>
                <w:szCs w:val="20"/>
                <w:vertAlign w:val="superscript"/>
              </w:rPr>
              <w:t>a</w:t>
            </w:r>
          </w:p>
        </w:tc>
        <w:tc>
          <w:tcPr>
            <w:tcW w:w="471" w:type="pct"/>
            <w:tcBorders>
              <w:top w:val="single" w:sz="4" w:space="0" w:color="auto"/>
              <w:left w:val="nil"/>
              <w:bottom w:val="nil"/>
              <w:right w:val="nil"/>
            </w:tcBorders>
            <w:vAlign w:val="center"/>
            <w:hideMark/>
          </w:tcPr>
          <w:p w14:paraId="0891D981"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24.69</w:t>
            </w:r>
            <w:r w:rsidRPr="001302AD">
              <w:rPr>
                <w:rFonts w:ascii="Times New Roman" w:eastAsia="Calibri" w:hAnsi="Times New Roman"/>
                <w:color w:val="000000"/>
                <w:sz w:val="20"/>
                <w:szCs w:val="20"/>
                <w:vertAlign w:val="superscript"/>
              </w:rPr>
              <w:t>a</w:t>
            </w:r>
          </w:p>
        </w:tc>
        <w:tc>
          <w:tcPr>
            <w:tcW w:w="474" w:type="pct"/>
            <w:tcBorders>
              <w:top w:val="single" w:sz="4" w:space="0" w:color="auto"/>
              <w:left w:val="nil"/>
              <w:bottom w:val="nil"/>
              <w:right w:val="single" w:sz="4" w:space="0" w:color="auto"/>
            </w:tcBorders>
            <w:vAlign w:val="center"/>
            <w:hideMark/>
          </w:tcPr>
          <w:p w14:paraId="5E51EC19"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22.16</w:t>
            </w:r>
            <w:r w:rsidRPr="001302AD">
              <w:rPr>
                <w:rFonts w:ascii="Times New Roman" w:eastAsia="Calibri" w:hAnsi="Times New Roman"/>
                <w:color w:val="000000"/>
                <w:sz w:val="20"/>
                <w:szCs w:val="20"/>
                <w:vertAlign w:val="superscript"/>
              </w:rPr>
              <w:t>a</w:t>
            </w:r>
          </w:p>
        </w:tc>
        <w:tc>
          <w:tcPr>
            <w:tcW w:w="419" w:type="pct"/>
            <w:tcBorders>
              <w:top w:val="single" w:sz="4" w:space="0" w:color="auto"/>
              <w:left w:val="single" w:sz="4" w:space="0" w:color="auto"/>
              <w:bottom w:val="nil"/>
              <w:right w:val="nil"/>
            </w:tcBorders>
            <w:vAlign w:val="center"/>
            <w:hideMark/>
          </w:tcPr>
          <w:p w14:paraId="07DB6ACE"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23.4</w:t>
            </w:r>
            <w:r w:rsidRPr="001302AD">
              <w:rPr>
                <w:rFonts w:ascii="Times New Roman" w:eastAsia="Calibri" w:hAnsi="Times New Roman"/>
                <w:color w:val="000000"/>
                <w:sz w:val="20"/>
                <w:szCs w:val="20"/>
                <w:vertAlign w:val="superscript"/>
              </w:rPr>
              <w:t>a</w:t>
            </w:r>
          </w:p>
        </w:tc>
        <w:tc>
          <w:tcPr>
            <w:tcW w:w="446" w:type="pct"/>
            <w:tcBorders>
              <w:top w:val="single" w:sz="4" w:space="0" w:color="auto"/>
              <w:left w:val="nil"/>
              <w:bottom w:val="nil"/>
              <w:right w:val="nil"/>
            </w:tcBorders>
            <w:vAlign w:val="center"/>
            <w:hideMark/>
          </w:tcPr>
          <w:p w14:paraId="079D0DA6"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25.21</w:t>
            </w:r>
            <w:r w:rsidRPr="001302AD">
              <w:rPr>
                <w:rFonts w:ascii="Times New Roman" w:eastAsia="Calibri" w:hAnsi="Times New Roman"/>
                <w:color w:val="000000"/>
                <w:sz w:val="20"/>
                <w:szCs w:val="20"/>
                <w:vertAlign w:val="superscript"/>
              </w:rPr>
              <w:t>a</w:t>
            </w:r>
          </w:p>
        </w:tc>
        <w:tc>
          <w:tcPr>
            <w:tcW w:w="474" w:type="pct"/>
            <w:tcBorders>
              <w:top w:val="single" w:sz="4" w:space="0" w:color="auto"/>
              <w:left w:val="nil"/>
              <w:bottom w:val="nil"/>
              <w:right w:val="single" w:sz="4" w:space="0" w:color="auto"/>
            </w:tcBorders>
            <w:vAlign w:val="center"/>
            <w:hideMark/>
          </w:tcPr>
          <w:p w14:paraId="2F213E3F"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24.16</w:t>
            </w:r>
            <w:r w:rsidRPr="001302AD">
              <w:rPr>
                <w:rFonts w:ascii="Times New Roman" w:eastAsia="Calibri" w:hAnsi="Times New Roman"/>
                <w:color w:val="000000"/>
                <w:sz w:val="20"/>
                <w:szCs w:val="20"/>
                <w:vertAlign w:val="superscript"/>
              </w:rPr>
              <w:t>a</w:t>
            </w:r>
          </w:p>
        </w:tc>
        <w:tc>
          <w:tcPr>
            <w:tcW w:w="434" w:type="pct"/>
            <w:tcBorders>
              <w:top w:val="single" w:sz="4" w:space="0" w:color="auto"/>
              <w:left w:val="single" w:sz="4" w:space="0" w:color="auto"/>
              <w:bottom w:val="nil"/>
              <w:right w:val="nil"/>
            </w:tcBorders>
            <w:vAlign w:val="center"/>
            <w:hideMark/>
          </w:tcPr>
          <w:p w14:paraId="295DBF6B"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26.05</w:t>
            </w:r>
            <w:r w:rsidRPr="001302AD">
              <w:rPr>
                <w:rFonts w:ascii="Times New Roman" w:eastAsia="Calibri" w:hAnsi="Times New Roman"/>
                <w:color w:val="000000"/>
                <w:sz w:val="20"/>
                <w:szCs w:val="20"/>
                <w:vertAlign w:val="superscript"/>
              </w:rPr>
              <w:t>a</w:t>
            </w:r>
          </w:p>
        </w:tc>
        <w:tc>
          <w:tcPr>
            <w:tcW w:w="512" w:type="pct"/>
            <w:tcBorders>
              <w:top w:val="single" w:sz="4" w:space="0" w:color="auto"/>
              <w:left w:val="nil"/>
              <w:bottom w:val="nil"/>
              <w:right w:val="nil"/>
            </w:tcBorders>
            <w:vAlign w:val="center"/>
            <w:hideMark/>
          </w:tcPr>
          <w:p w14:paraId="0C853F1F"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24.72</w:t>
            </w:r>
            <w:r w:rsidRPr="001302AD">
              <w:rPr>
                <w:rFonts w:ascii="Times New Roman" w:eastAsia="Calibri" w:hAnsi="Times New Roman"/>
                <w:color w:val="000000"/>
                <w:sz w:val="20"/>
                <w:szCs w:val="20"/>
                <w:vertAlign w:val="superscript"/>
              </w:rPr>
              <w:t>a</w:t>
            </w:r>
          </w:p>
        </w:tc>
        <w:tc>
          <w:tcPr>
            <w:tcW w:w="467" w:type="pct"/>
            <w:gridSpan w:val="2"/>
            <w:tcBorders>
              <w:top w:val="single" w:sz="4" w:space="0" w:color="auto"/>
              <w:left w:val="nil"/>
              <w:bottom w:val="nil"/>
              <w:right w:val="nil"/>
            </w:tcBorders>
            <w:vAlign w:val="center"/>
            <w:hideMark/>
          </w:tcPr>
          <w:p w14:paraId="6ED3342B"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23.7</w:t>
            </w:r>
            <w:r w:rsidRPr="001302AD">
              <w:rPr>
                <w:rFonts w:ascii="Times New Roman" w:eastAsia="Calibri" w:hAnsi="Times New Roman"/>
                <w:color w:val="000000"/>
                <w:sz w:val="20"/>
                <w:szCs w:val="20"/>
                <w:vertAlign w:val="superscript"/>
              </w:rPr>
              <w:t>a</w:t>
            </w:r>
          </w:p>
        </w:tc>
      </w:tr>
      <w:tr w:rsidR="00436887" w:rsidRPr="001302AD" w14:paraId="359884A0" w14:textId="77777777" w:rsidTr="00BC0A37">
        <w:trPr>
          <w:trHeight w:val="20"/>
        </w:trPr>
        <w:tc>
          <w:tcPr>
            <w:tcW w:w="847" w:type="pct"/>
            <w:tcBorders>
              <w:top w:val="nil"/>
              <w:left w:val="nil"/>
              <w:bottom w:val="nil"/>
              <w:right w:val="single" w:sz="4" w:space="0" w:color="auto"/>
            </w:tcBorders>
            <w:hideMark/>
          </w:tcPr>
          <w:p w14:paraId="0E043664" w14:textId="77777777" w:rsidR="00436887" w:rsidRPr="001302AD" w:rsidRDefault="00436887" w:rsidP="00FB03FC">
            <w:pPr>
              <w:jc w:val="both"/>
              <w:rPr>
                <w:rFonts w:ascii="Times New Roman" w:eastAsia="Calibri" w:hAnsi="Times New Roman"/>
                <w:sz w:val="20"/>
                <w:szCs w:val="20"/>
              </w:rPr>
            </w:pPr>
            <w:r w:rsidRPr="001302AD">
              <w:rPr>
                <w:rFonts w:ascii="Times New Roman" w:eastAsia="Calibri" w:hAnsi="Times New Roman"/>
                <w:color w:val="000000"/>
                <w:sz w:val="20"/>
                <w:szCs w:val="20"/>
              </w:rPr>
              <w:t>15 t ha</w:t>
            </w:r>
            <w:r w:rsidRPr="001302AD">
              <w:rPr>
                <w:rFonts w:ascii="Times New Roman" w:eastAsia="Calibri" w:hAnsi="Times New Roman"/>
                <w:color w:val="000000"/>
                <w:sz w:val="20"/>
                <w:szCs w:val="20"/>
                <w:vertAlign w:val="superscript"/>
              </w:rPr>
              <w:t>-1</w:t>
            </w:r>
            <w:r w:rsidRPr="001302AD">
              <w:rPr>
                <w:rFonts w:ascii="Times New Roman" w:eastAsia="Calibri" w:hAnsi="Times New Roman"/>
                <w:color w:val="000000"/>
                <w:sz w:val="20"/>
                <w:szCs w:val="20"/>
              </w:rPr>
              <w:t xml:space="preserve"> mulch</w:t>
            </w:r>
          </w:p>
        </w:tc>
        <w:tc>
          <w:tcPr>
            <w:tcW w:w="458" w:type="pct"/>
            <w:tcBorders>
              <w:top w:val="nil"/>
              <w:left w:val="single" w:sz="4" w:space="0" w:color="auto"/>
              <w:bottom w:val="nil"/>
              <w:right w:val="nil"/>
            </w:tcBorders>
            <w:vAlign w:val="center"/>
            <w:hideMark/>
          </w:tcPr>
          <w:p w14:paraId="52A749AF"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23.4</w:t>
            </w:r>
            <w:r w:rsidRPr="001302AD">
              <w:rPr>
                <w:rFonts w:ascii="Times New Roman" w:eastAsia="Calibri" w:hAnsi="Times New Roman"/>
                <w:color w:val="000000"/>
                <w:sz w:val="20"/>
                <w:szCs w:val="20"/>
                <w:vertAlign w:val="superscript"/>
              </w:rPr>
              <w:t>ab</w:t>
            </w:r>
          </w:p>
        </w:tc>
        <w:tc>
          <w:tcPr>
            <w:tcW w:w="471" w:type="pct"/>
            <w:tcBorders>
              <w:top w:val="nil"/>
              <w:left w:val="nil"/>
              <w:bottom w:val="nil"/>
              <w:right w:val="nil"/>
            </w:tcBorders>
            <w:vAlign w:val="center"/>
            <w:hideMark/>
          </w:tcPr>
          <w:p w14:paraId="76C2909E"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22.29</w:t>
            </w:r>
            <w:r w:rsidRPr="001302AD">
              <w:rPr>
                <w:rFonts w:ascii="Times New Roman" w:eastAsia="Calibri" w:hAnsi="Times New Roman"/>
                <w:color w:val="000000"/>
                <w:sz w:val="20"/>
                <w:szCs w:val="20"/>
                <w:vertAlign w:val="superscript"/>
              </w:rPr>
              <w:t>b</w:t>
            </w:r>
          </w:p>
        </w:tc>
        <w:tc>
          <w:tcPr>
            <w:tcW w:w="474" w:type="pct"/>
            <w:tcBorders>
              <w:top w:val="nil"/>
              <w:left w:val="nil"/>
              <w:bottom w:val="nil"/>
              <w:right w:val="single" w:sz="4" w:space="0" w:color="auto"/>
            </w:tcBorders>
            <w:vAlign w:val="center"/>
            <w:hideMark/>
          </w:tcPr>
          <w:p w14:paraId="2132F9A2"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20.84</w:t>
            </w:r>
            <w:r w:rsidRPr="001302AD">
              <w:rPr>
                <w:rFonts w:ascii="Times New Roman" w:eastAsia="Calibri" w:hAnsi="Times New Roman"/>
                <w:color w:val="000000"/>
                <w:sz w:val="20"/>
                <w:szCs w:val="20"/>
                <w:vertAlign w:val="superscript"/>
              </w:rPr>
              <w:t>a</w:t>
            </w:r>
          </w:p>
        </w:tc>
        <w:tc>
          <w:tcPr>
            <w:tcW w:w="419" w:type="pct"/>
            <w:tcBorders>
              <w:top w:val="nil"/>
              <w:left w:val="single" w:sz="4" w:space="0" w:color="auto"/>
              <w:bottom w:val="nil"/>
              <w:right w:val="nil"/>
            </w:tcBorders>
            <w:vAlign w:val="center"/>
            <w:hideMark/>
          </w:tcPr>
          <w:p w14:paraId="3B9F759F"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21.85</w:t>
            </w:r>
            <w:r w:rsidRPr="001302AD">
              <w:rPr>
                <w:rFonts w:ascii="Times New Roman" w:eastAsia="Calibri" w:hAnsi="Times New Roman"/>
                <w:color w:val="000000"/>
                <w:sz w:val="20"/>
                <w:szCs w:val="20"/>
                <w:vertAlign w:val="superscript"/>
              </w:rPr>
              <w:t>b</w:t>
            </w:r>
          </w:p>
        </w:tc>
        <w:tc>
          <w:tcPr>
            <w:tcW w:w="446" w:type="pct"/>
            <w:tcBorders>
              <w:top w:val="nil"/>
              <w:left w:val="nil"/>
              <w:bottom w:val="nil"/>
              <w:right w:val="nil"/>
            </w:tcBorders>
            <w:vAlign w:val="center"/>
            <w:hideMark/>
          </w:tcPr>
          <w:p w14:paraId="6F703052"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21.52</w:t>
            </w:r>
            <w:r w:rsidRPr="001302AD">
              <w:rPr>
                <w:rFonts w:ascii="Times New Roman" w:eastAsia="Calibri" w:hAnsi="Times New Roman"/>
                <w:color w:val="000000"/>
                <w:sz w:val="20"/>
                <w:szCs w:val="20"/>
                <w:vertAlign w:val="superscript"/>
              </w:rPr>
              <w:t>b</w:t>
            </w:r>
          </w:p>
        </w:tc>
        <w:tc>
          <w:tcPr>
            <w:tcW w:w="474" w:type="pct"/>
            <w:tcBorders>
              <w:top w:val="nil"/>
              <w:left w:val="nil"/>
              <w:bottom w:val="nil"/>
              <w:right w:val="single" w:sz="4" w:space="0" w:color="auto"/>
            </w:tcBorders>
            <w:vAlign w:val="center"/>
            <w:hideMark/>
          </w:tcPr>
          <w:p w14:paraId="3DFAB8A5"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22.57</w:t>
            </w:r>
            <w:r w:rsidRPr="001302AD">
              <w:rPr>
                <w:rFonts w:ascii="Times New Roman" w:eastAsia="Calibri" w:hAnsi="Times New Roman"/>
                <w:color w:val="000000"/>
                <w:sz w:val="20"/>
                <w:szCs w:val="20"/>
                <w:vertAlign w:val="superscript"/>
              </w:rPr>
              <w:t>ab</w:t>
            </w:r>
          </w:p>
        </w:tc>
        <w:tc>
          <w:tcPr>
            <w:tcW w:w="434" w:type="pct"/>
            <w:tcBorders>
              <w:top w:val="nil"/>
              <w:left w:val="single" w:sz="4" w:space="0" w:color="auto"/>
              <w:bottom w:val="nil"/>
              <w:right w:val="nil"/>
            </w:tcBorders>
            <w:vAlign w:val="center"/>
            <w:hideMark/>
          </w:tcPr>
          <w:p w14:paraId="568A5959"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24.04</w:t>
            </w:r>
            <w:r w:rsidRPr="001302AD">
              <w:rPr>
                <w:rFonts w:ascii="Times New Roman" w:eastAsia="Calibri" w:hAnsi="Times New Roman"/>
                <w:color w:val="000000"/>
                <w:sz w:val="20"/>
                <w:szCs w:val="20"/>
                <w:vertAlign w:val="superscript"/>
              </w:rPr>
              <w:t>b</w:t>
            </w:r>
          </w:p>
        </w:tc>
        <w:tc>
          <w:tcPr>
            <w:tcW w:w="512" w:type="pct"/>
            <w:tcBorders>
              <w:top w:val="nil"/>
              <w:left w:val="nil"/>
              <w:bottom w:val="nil"/>
              <w:right w:val="nil"/>
            </w:tcBorders>
            <w:vAlign w:val="center"/>
            <w:hideMark/>
          </w:tcPr>
          <w:p w14:paraId="14928925"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23.79</w:t>
            </w:r>
            <w:r w:rsidRPr="001302AD">
              <w:rPr>
                <w:rFonts w:ascii="Times New Roman" w:eastAsia="Calibri" w:hAnsi="Times New Roman"/>
                <w:color w:val="000000"/>
                <w:sz w:val="20"/>
                <w:szCs w:val="20"/>
                <w:vertAlign w:val="superscript"/>
              </w:rPr>
              <w:t>ab</w:t>
            </w:r>
          </w:p>
        </w:tc>
        <w:tc>
          <w:tcPr>
            <w:tcW w:w="467" w:type="pct"/>
            <w:gridSpan w:val="2"/>
            <w:tcBorders>
              <w:top w:val="nil"/>
              <w:left w:val="nil"/>
              <w:bottom w:val="nil"/>
              <w:right w:val="nil"/>
            </w:tcBorders>
            <w:vAlign w:val="center"/>
            <w:hideMark/>
          </w:tcPr>
          <w:p w14:paraId="54A413CD"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22.95</w:t>
            </w:r>
            <w:r w:rsidRPr="001302AD">
              <w:rPr>
                <w:rFonts w:ascii="Times New Roman" w:eastAsia="Calibri" w:hAnsi="Times New Roman"/>
                <w:color w:val="000000"/>
                <w:sz w:val="20"/>
                <w:szCs w:val="20"/>
                <w:vertAlign w:val="superscript"/>
              </w:rPr>
              <w:t>a</w:t>
            </w:r>
          </w:p>
        </w:tc>
      </w:tr>
      <w:tr w:rsidR="00436887" w:rsidRPr="001302AD" w14:paraId="574AFD0A" w14:textId="77777777" w:rsidTr="00BC0A37">
        <w:trPr>
          <w:trHeight w:val="20"/>
        </w:trPr>
        <w:tc>
          <w:tcPr>
            <w:tcW w:w="847" w:type="pct"/>
            <w:tcBorders>
              <w:top w:val="nil"/>
              <w:left w:val="nil"/>
              <w:bottom w:val="nil"/>
              <w:right w:val="single" w:sz="4" w:space="0" w:color="auto"/>
            </w:tcBorders>
            <w:hideMark/>
          </w:tcPr>
          <w:p w14:paraId="3724D035"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 t ha</w:t>
            </w:r>
            <w:r w:rsidRPr="001302AD">
              <w:rPr>
                <w:rFonts w:ascii="Times New Roman" w:eastAsia="Calibri" w:hAnsi="Times New Roman"/>
                <w:color w:val="000000"/>
                <w:sz w:val="20"/>
                <w:szCs w:val="20"/>
                <w:vertAlign w:val="superscript"/>
              </w:rPr>
              <w:t>-1</w:t>
            </w:r>
            <w:r w:rsidRPr="001302AD">
              <w:rPr>
                <w:rFonts w:ascii="Times New Roman" w:eastAsia="Calibri" w:hAnsi="Times New Roman"/>
                <w:color w:val="000000"/>
                <w:sz w:val="20"/>
                <w:szCs w:val="20"/>
              </w:rPr>
              <w:t xml:space="preserve"> mulch</w:t>
            </w:r>
          </w:p>
        </w:tc>
        <w:tc>
          <w:tcPr>
            <w:tcW w:w="458" w:type="pct"/>
            <w:tcBorders>
              <w:top w:val="nil"/>
              <w:left w:val="single" w:sz="4" w:space="0" w:color="auto"/>
              <w:bottom w:val="nil"/>
              <w:right w:val="nil"/>
            </w:tcBorders>
            <w:vAlign w:val="center"/>
            <w:hideMark/>
          </w:tcPr>
          <w:p w14:paraId="1A54522E"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22.05</w:t>
            </w:r>
            <w:r w:rsidRPr="001302AD">
              <w:rPr>
                <w:rFonts w:ascii="Times New Roman" w:eastAsia="Calibri" w:hAnsi="Times New Roman"/>
                <w:color w:val="000000"/>
                <w:sz w:val="20"/>
                <w:szCs w:val="20"/>
                <w:vertAlign w:val="superscript"/>
              </w:rPr>
              <w:t>c</w:t>
            </w:r>
          </w:p>
        </w:tc>
        <w:tc>
          <w:tcPr>
            <w:tcW w:w="471" w:type="pct"/>
            <w:tcBorders>
              <w:top w:val="nil"/>
              <w:left w:val="nil"/>
              <w:bottom w:val="nil"/>
              <w:right w:val="nil"/>
            </w:tcBorders>
            <w:vAlign w:val="center"/>
            <w:hideMark/>
          </w:tcPr>
          <w:p w14:paraId="2FE168C8"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20.88</w:t>
            </w:r>
            <w:r w:rsidRPr="001302AD">
              <w:rPr>
                <w:rFonts w:ascii="Times New Roman" w:eastAsia="Calibri" w:hAnsi="Times New Roman"/>
                <w:color w:val="000000"/>
                <w:sz w:val="20"/>
                <w:szCs w:val="20"/>
                <w:vertAlign w:val="superscript"/>
              </w:rPr>
              <w:t>bc</w:t>
            </w:r>
          </w:p>
        </w:tc>
        <w:tc>
          <w:tcPr>
            <w:tcW w:w="474" w:type="pct"/>
            <w:tcBorders>
              <w:top w:val="nil"/>
              <w:left w:val="nil"/>
              <w:bottom w:val="nil"/>
              <w:right w:val="single" w:sz="4" w:space="0" w:color="auto"/>
            </w:tcBorders>
            <w:vAlign w:val="center"/>
            <w:hideMark/>
          </w:tcPr>
          <w:p w14:paraId="757D91BA"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19.73</w:t>
            </w:r>
            <w:r w:rsidRPr="001302AD">
              <w:rPr>
                <w:rFonts w:ascii="Times New Roman" w:eastAsia="Calibri" w:hAnsi="Times New Roman"/>
                <w:color w:val="000000"/>
                <w:sz w:val="20"/>
                <w:szCs w:val="20"/>
                <w:vertAlign w:val="superscript"/>
              </w:rPr>
              <w:t>ab</w:t>
            </w:r>
          </w:p>
        </w:tc>
        <w:tc>
          <w:tcPr>
            <w:tcW w:w="419" w:type="pct"/>
            <w:tcBorders>
              <w:top w:val="nil"/>
              <w:left w:val="single" w:sz="4" w:space="0" w:color="auto"/>
              <w:bottom w:val="nil"/>
              <w:right w:val="nil"/>
            </w:tcBorders>
            <w:vAlign w:val="center"/>
            <w:hideMark/>
          </w:tcPr>
          <w:p w14:paraId="6D4C7AF0"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21.36</w:t>
            </w:r>
            <w:r w:rsidRPr="001302AD">
              <w:rPr>
                <w:rFonts w:ascii="Times New Roman" w:eastAsia="Calibri" w:hAnsi="Times New Roman"/>
                <w:color w:val="000000"/>
                <w:sz w:val="20"/>
                <w:szCs w:val="20"/>
                <w:vertAlign w:val="superscript"/>
              </w:rPr>
              <w:t>b</w:t>
            </w:r>
          </w:p>
        </w:tc>
        <w:tc>
          <w:tcPr>
            <w:tcW w:w="446" w:type="pct"/>
            <w:tcBorders>
              <w:top w:val="nil"/>
              <w:left w:val="nil"/>
              <w:bottom w:val="nil"/>
              <w:right w:val="nil"/>
            </w:tcBorders>
            <w:vAlign w:val="center"/>
            <w:hideMark/>
          </w:tcPr>
          <w:p w14:paraId="2A153875"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19.71</w:t>
            </w:r>
            <w:r w:rsidRPr="001302AD">
              <w:rPr>
                <w:rFonts w:ascii="Times New Roman" w:eastAsia="Calibri" w:hAnsi="Times New Roman"/>
                <w:color w:val="000000"/>
                <w:sz w:val="20"/>
                <w:szCs w:val="20"/>
                <w:vertAlign w:val="superscript"/>
              </w:rPr>
              <w:t>c</w:t>
            </w:r>
          </w:p>
        </w:tc>
        <w:tc>
          <w:tcPr>
            <w:tcW w:w="474" w:type="pct"/>
            <w:tcBorders>
              <w:top w:val="nil"/>
              <w:left w:val="nil"/>
              <w:bottom w:val="nil"/>
              <w:right w:val="single" w:sz="4" w:space="0" w:color="auto"/>
            </w:tcBorders>
            <w:vAlign w:val="center"/>
            <w:hideMark/>
          </w:tcPr>
          <w:p w14:paraId="0B23B04E"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22.75</w:t>
            </w:r>
            <w:r w:rsidRPr="001302AD">
              <w:rPr>
                <w:rFonts w:ascii="Times New Roman" w:eastAsia="Calibri" w:hAnsi="Times New Roman"/>
                <w:color w:val="000000"/>
                <w:sz w:val="20"/>
                <w:szCs w:val="20"/>
                <w:vertAlign w:val="superscript"/>
              </w:rPr>
              <w:t>ab</w:t>
            </w:r>
          </w:p>
        </w:tc>
        <w:tc>
          <w:tcPr>
            <w:tcW w:w="434" w:type="pct"/>
            <w:tcBorders>
              <w:top w:val="nil"/>
              <w:left w:val="single" w:sz="4" w:space="0" w:color="auto"/>
              <w:bottom w:val="nil"/>
              <w:right w:val="nil"/>
            </w:tcBorders>
            <w:vAlign w:val="center"/>
            <w:hideMark/>
          </w:tcPr>
          <w:p w14:paraId="732F64F8"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23.48</w:t>
            </w:r>
            <w:r w:rsidRPr="001302AD">
              <w:rPr>
                <w:rFonts w:ascii="Times New Roman" w:eastAsia="Calibri" w:hAnsi="Times New Roman"/>
                <w:color w:val="000000"/>
                <w:sz w:val="20"/>
                <w:szCs w:val="20"/>
                <w:vertAlign w:val="superscript"/>
              </w:rPr>
              <w:t>b</w:t>
            </w:r>
          </w:p>
        </w:tc>
        <w:tc>
          <w:tcPr>
            <w:tcW w:w="512" w:type="pct"/>
            <w:tcBorders>
              <w:top w:val="nil"/>
              <w:left w:val="nil"/>
              <w:bottom w:val="nil"/>
              <w:right w:val="nil"/>
            </w:tcBorders>
            <w:vAlign w:val="center"/>
            <w:hideMark/>
          </w:tcPr>
          <w:p w14:paraId="7C41669E"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23.07</w:t>
            </w:r>
            <w:r w:rsidRPr="001302AD">
              <w:rPr>
                <w:rFonts w:ascii="Times New Roman" w:eastAsia="Calibri" w:hAnsi="Times New Roman"/>
                <w:color w:val="000000"/>
                <w:sz w:val="20"/>
                <w:szCs w:val="20"/>
                <w:vertAlign w:val="superscript"/>
              </w:rPr>
              <w:t>abc</w:t>
            </w:r>
          </w:p>
        </w:tc>
        <w:tc>
          <w:tcPr>
            <w:tcW w:w="467" w:type="pct"/>
            <w:gridSpan w:val="2"/>
            <w:tcBorders>
              <w:top w:val="nil"/>
              <w:left w:val="nil"/>
              <w:bottom w:val="nil"/>
              <w:right w:val="nil"/>
            </w:tcBorders>
            <w:vAlign w:val="center"/>
            <w:hideMark/>
          </w:tcPr>
          <w:p w14:paraId="740AA438"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21.41</w:t>
            </w:r>
            <w:r w:rsidRPr="001302AD">
              <w:rPr>
                <w:rFonts w:ascii="Times New Roman" w:eastAsia="Calibri" w:hAnsi="Times New Roman"/>
                <w:color w:val="000000"/>
                <w:sz w:val="20"/>
                <w:szCs w:val="20"/>
                <w:vertAlign w:val="superscript"/>
              </w:rPr>
              <w:t>b</w:t>
            </w:r>
          </w:p>
        </w:tc>
      </w:tr>
      <w:tr w:rsidR="00436887" w:rsidRPr="001302AD" w14:paraId="25005152" w14:textId="77777777" w:rsidTr="00BC0A37">
        <w:trPr>
          <w:trHeight w:val="20"/>
        </w:trPr>
        <w:tc>
          <w:tcPr>
            <w:tcW w:w="847" w:type="pct"/>
            <w:tcBorders>
              <w:top w:val="nil"/>
              <w:left w:val="nil"/>
              <w:bottom w:val="nil"/>
              <w:right w:val="single" w:sz="4" w:space="0" w:color="auto"/>
            </w:tcBorders>
            <w:hideMark/>
          </w:tcPr>
          <w:p w14:paraId="72DA5CD8" w14:textId="77777777" w:rsidR="00436887" w:rsidRPr="001302AD" w:rsidRDefault="00436887" w:rsidP="00FB03FC">
            <w:pPr>
              <w:jc w:val="both"/>
              <w:rPr>
                <w:rFonts w:ascii="Times New Roman" w:eastAsia="Calibri" w:hAnsi="Times New Roman"/>
                <w:sz w:val="20"/>
                <w:szCs w:val="20"/>
              </w:rPr>
            </w:pPr>
            <w:r w:rsidRPr="001302AD">
              <w:rPr>
                <w:rFonts w:ascii="Times New Roman" w:eastAsia="Calibri" w:hAnsi="Times New Roman"/>
                <w:color w:val="000000"/>
                <w:sz w:val="20"/>
                <w:szCs w:val="20"/>
              </w:rPr>
              <w:t>5 t ha</w:t>
            </w:r>
            <w:r w:rsidRPr="001302AD">
              <w:rPr>
                <w:rFonts w:ascii="Times New Roman" w:eastAsia="Calibri" w:hAnsi="Times New Roman"/>
                <w:color w:val="000000"/>
                <w:sz w:val="20"/>
                <w:szCs w:val="20"/>
                <w:vertAlign w:val="superscript"/>
              </w:rPr>
              <w:t>-1</w:t>
            </w:r>
            <w:r w:rsidRPr="001302AD">
              <w:rPr>
                <w:rFonts w:ascii="Times New Roman" w:eastAsia="Calibri" w:hAnsi="Times New Roman"/>
                <w:color w:val="000000"/>
                <w:sz w:val="20"/>
                <w:szCs w:val="20"/>
              </w:rPr>
              <w:t xml:space="preserve"> mulch</w:t>
            </w:r>
          </w:p>
        </w:tc>
        <w:tc>
          <w:tcPr>
            <w:tcW w:w="458" w:type="pct"/>
            <w:tcBorders>
              <w:top w:val="nil"/>
              <w:left w:val="single" w:sz="4" w:space="0" w:color="auto"/>
              <w:bottom w:val="nil"/>
              <w:right w:val="nil"/>
            </w:tcBorders>
            <w:vAlign w:val="center"/>
            <w:hideMark/>
          </w:tcPr>
          <w:p w14:paraId="3E28C01B"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21.32</w:t>
            </w:r>
            <w:r w:rsidRPr="001302AD">
              <w:rPr>
                <w:rFonts w:ascii="Times New Roman" w:eastAsia="Calibri" w:hAnsi="Times New Roman"/>
                <w:color w:val="000000"/>
                <w:sz w:val="20"/>
                <w:szCs w:val="20"/>
                <w:vertAlign w:val="superscript"/>
              </w:rPr>
              <w:t>c</w:t>
            </w:r>
          </w:p>
        </w:tc>
        <w:tc>
          <w:tcPr>
            <w:tcW w:w="471" w:type="pct"/>
            <w:tcBorders>
              <w:top w:val="nil"/>
              <w:left w:val="nil"/>
              <w:bottom w:val="nil"/>
              <w:right w:val="nil"/>
            </w:tcBorders>
            <w:vAlign w:val="center"/>
            <w:hideMark/>
          </w:tcPr>
          <w:p w14:paraId="3C5EAC8B"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20.49</w:t>
            </w:r>
            <w:r w:rsidRPr="001302AD">
              <w:rPr>
                <w:rFonts w:ascii="Times New Roman" w:eastAsia="Calibri" w:hAnsi="Times New Roman"/>
                <w:color w:val="000000"/>
                <w:sz w:val="20"/>
                <w:szCs w:val="20"/>
                <w:vertAlign w:val="superscript"/>
              </w:rPr>
              <w:t>bc</w:t>
            </w:r>
          </w:p>
        </w:tc>
        <w:tc>
          <w:tcPr>
            <w:tcW w:w="474" w:type="pct"/>
            <w:tcBorders>
              <w:top w:val="nil"/>
              <w:left w:val="nil"/>
              <w:bottom w:val="nil"/>
              <w:right w:val="single" w:sz="4" w:space="0" w:color="auto"/>
            </w:tcBorders>
            <w:vAlign w:val="center"/>
            <w:hideMark/>
          </w:tcPr>
          <w:p w14:paraId="170E1715"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19.96</w:t>
            </w:r>
            <w:r w:rsidRPr="001302AD">
              <w:rPr>
                <w:rFonts w:ascii="Times New Roman" w:eastAsia="Calibri" w:hAnsi="Times New Roman"/>
                <w:color w:val="000000"/>
                <w:sz w:val="20"/>
                <w:szCs w:val="20"/>
                <w:vertAlign w:val="superscript"/>
              </w:rPr>
              <w:t>ab</w:t>
            </w:r>
          </w:p>
        </w:tc>
        <w:tc>
          <w:tcPr>
            <w:tcW w:w="419" w:type="pct"/>
            <w:tcBorders>
              <w:top w:val="nil"/>
              <w:left w:val="single" w:sz="4" w:space="0" w:color="auto"/>
              <w:bottom w:val="nil"/>
              <w:right w:val="nil"/>
            </w:tcBorders>
            <w:vAlign w:val="center"/>
            <w:hideMark/>
          </w:tcPr>
          <w:p w14:paraId="12983827"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19.9</w:t>
            </w:r>
            <w:r w:rsidRPr="001302AD">
              <w:rPr>
                <w:rFonts w:ascii="Times New Roman" w:eastAsia="Calibri" w:hAnsi="Times New Roman"/>
                <w:color w:val="000000"/>
                <w:sz w:val="20"/>
                <w:szCs w:val="20"/>
                <w:vertAlign w:val="superscript"/>
              </w:rPr>
              <w:t>c</w:t>
            </w:r>
          </w:p>
        </w:tc>
        <w:tc>
          <w:tcPr>
            <w:tcW w:w="446" w:type="pct"/>
            <w:tcBorders>
              <w:top w:val="nil"/>
              <w:left w:val="nil"/>
              <w:bottom w:val="nil"/>
              <w:right w:val="nil"/>
            </w:tcBorders>
            <w:vAlign w:val="center"/>
            <w:hideMark/>
          </w:tcPr>
          <w:p w14:paraId="74AEFA7E"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16.33</w:t>
            </w:r>
            <w:r w:rsidRPr="001302AD">
              <w:rPr>
                <w:rFonts w:ascii="Times New Roman" w:eastAsia="Calibri" w:hAnsi="Times New Roman"/>
                <w:color w:val="000000"/>
                <w:sz w:val="20"/>
                <w:szCs w:val="20"/>
                <w:vertAlign w:val="superscript"/>
              </w:rPr>
              <w:t>d</w:t>
            </w:r>
          </w:p>
        </w:tc>
        <w:tc>
          <w:tcPr>
            <w:tcW w:w="474" w:type="pct"/>
            <w:tcBorders>
              <w:top w:val="nil"/>
              <w:left w:val="nil"/>
              <w:bottom w:val="nil"/>
              <w:right w:val="single" w:sz="4" w:space="0" w:color="auto"/>
            </w:tcBorders>
            <w:vAlign w:val="center"/>
            <w:hideMark/>
          </w:tcPr>
          <w:p w14:paraId="77CCBB2A"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21.96</w:t>
            </w:r>
            <w:r w:rsidRPr="001302AD">
              <w:rPr>
                <w:rFonts w:ascii="Times New Roman" w:eastAsia="Calibri" w:hAnsi="Times New Roman"/>
                <w:color w:val="000000"/>
                <w:sz w:val="20"/>
                <w:szCs w:val="20"/>
                <w:vertAlign w:val="superscript"/>
              </w:rPr>
              <w:t>b</w:t>
            </w:r>
          </w:p>
        </w:tc>
        <w:tc>
          <w:tcPr>
            <w:tcW w:w="434" w:type="pct"/>
            <w:tcBorders>
              <w:top w:val="nil"/>
              <w:left w:val="single" w:sz="4" w:space="0" w:color="auto"/>
              <w:bottom w:val="nil"/>
              <w:right w:val="nil"/>
            </w:tcBorders>
            <w:vAlign w:val="center"/>
            <w:hideMark/>
          </w:tcPr>
          <w:p w14:paraId="04354328"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22.11</w:t>
            </w:r>
            <w:r w:rsidRPr="001302AD">
              <w:rPr>
                <w:rFonts w:ascii="Times New Roman" w:eastAsia="Calibri" w:hAnsi="Times New Roman"/>
                <w:color w:val="000000"/>
                <w:sz w:val="20"/>
                <w:szCs w:val="20"/>
                <w:vertAlign w:val="superscript"/>
              </w:rPr>
              <w:t>c</w:t>
            </w:r>
          </w:p>
        </w:tc>
        <w:tc>
          <w:tcPr>
            <w:tcW w:w="512" w:type="pct"/>
            <w:tcBorders>
              <w:top w:val="nil"/>
              <w:left w:val="nil"/>
              <w:bottom w:val="nil"/>
              <w:right w:val="nil"/>
            </w:tcBorders>
            <w:vAlign w:val="center"/>
            <w:hideMark/>
          </w:tcPr>
          <w:p w14:paraId="0A5E039E"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22.38</w:t>
            </w:r>
            <w:r w:rsidRPr="001302AD">
              <w:rPr>
                <w:rFonts w:ascii="Times New Roman" w:eastAsia="Calibri" w:hAnsi="Times New Roman"/>
                <w:color w:val="000000"/>
                <w:sz w:val="20"/>
                <w:szCs w:val="20"/>
                <w:vertAlign w:val="superscript"/>
              </w:rPr>
              <w:t>bc</w:t>
            </w:r>
          </w:p>
        </w:tc>
        <w:tc>
          <w:tcPr>
            <w:tcW w:w="467" w:type="pct"/>
            <w:gridSpan w:val="2"/>
            <w:tcBorders>
              <w:top w:val="nil"/>
              <w:left w:val="nil"/>
              <w:bottom w:val="nil"/>
              <w:right w:val="nil"/>
            </w:tcBorders>
            <w:vAlign w:val="center"/>
            <w:hideMark/>
          </w:tcPr>
          <w:p w14:paraId="53BD6CB6"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21.02</w:t>
            </w:r>
            <w:r w:rsidRPr="001302AD">
              <w:rPr>
                <w:rFonts w:ascii="Times New Roman" w:eastAsia="Calibri" w:hAnsi="Times New Roman"/>
                <w:color w:val="000000"/>
                <w:sz w:val="20"/>
                <w:szCs w:val="20"/>
                <w:vertAlign w:val="superscript"/>
              </w:rPr>
              <w:t>b</w:t>
            </w:r>
          </w:p>
        </w:tc>
      </w:tr>
      <w:tr w:rsidR="00436887" w:rsidRPr="001302AD" w14:paraId="6BB03913" w14:textId="77777777" w:rsidTr="00BC0A37">
        <w:trPr>
          <w:trHeight w:val="20"/>
        </w:trPr>
        <w:tc>
          <w:tcPr>
            <w:tcW w:w="847" w:type="pct"/>
            <w:tcBorders>
              <w:top w:val="nil"/>
              <w:left w:val="nil"/>
              <w:bottom w:val="single" w:sz="4" w:space="0" w:color="auto"/>
              <w:right w:val="single" w:sz="4" w:space="0" w:color="auto"/>
            </w:tcBorders>
            <w:hideMark/>
          </w:tcPr>
          <w:p w14:paraId="183C6A0B" w14:textId="77777777" w:rsidR="00436887" w:rsidRPr="001302AD" w:rsidRDefault="00436887" w:rsidP="00FB03FC">
            <w:pPr>
              <w:jc w:val="both"/>
              <w:rPr>
                <w:rFonts w:ascii="Times New Roman" w:eastAsia="Calibri" w:hAnsi="Times New Roman"/>
                <w:sz w:val="20"/>
                <w:szCs w:val="20"/>
              </w:rPr>
            </w:pPr>
            <w:r w:rsidRPr="001302AD">
              <w:rPr>
                <w:rFonts w:ascii="Times New Roman" w:eastAsia="Calibri" w:hAnsi="Times New Roman"/>
                <w:color w:val="000000"/>
                <w:sz w:val="20"/>
                <w:szCs w:val="20"/>
              </w:rPr>
              <w:t>no mulch</w:t>
            </w:r>
          </w:p>
        </w:tc>
        <w:tc>
          <w:tcPr>
            <w:tcW w:w="458" w:type="pct"/>
            <w:tcBorders>
              <w:top w:val="nil"/>
              <w:left w:val="single" w:sz="4" w:space="0" w:color="auto"/>
              <w:bottom w:val="single" w:sz="4" w:space="0" w:color="auto"/>
              <w:right w:val="nil"/>
            </w:tcBorders>
            <w:vAlign w:val="center"/>
            <w:hideMark/>
          </w:tcPr>
          <w:p w14:paraId="60BCE4C3"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19.77</w:t>
            </w:r>
            <w:r w:rsidRPr="001302AD">
              <w:rPr>
                <w:rFonts w:ascii="Times New Roman" w:eastAsia="Calibri" w:hAnsi="Times New Roman"/>
                <w:color w:val="000000"/>
                <w:sz w:val="20"/>
                <w:szCs w:val="20"/>
                <w:vertAlign w:val="superscript"/>
              </w:rPr>
              <w:t>c</w:t>
            </w:r>
          </w:p>
        </w:tc>
        <w:tc>
          <w:tcPr>
            <w:tcW w:w="471" w:type="pct"/>
            <w:tcBorders>
              <w:top w:val="nil"/>
              <w:left w:val="nil"/>
              <w:bottom w:val="single" w:sz="4" w:space="0" w:color="auto"/>
              <w:right w:val="nil"/>
            </w:tcBorders>
            <w:vAlign w:val="center"/>
            <w:hideMark/>
          </w:tcPr>
          <w:p w14:paraId="49A0F298"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19.09</w:t>
            </w:r>
            <w:r w:rsidRPr="001302AD">
              <w:rPr>
                <w:rFonts w:ascii="Times New Roman" w:eastAsia="Calibri" w:hAnsi="Times New Roman"/>
                <w:color w:val="000000"/>
                <w:sz w:val="20"/>
                <w:szCs w:val="20"/>
                <w:vertAlign w:val="superscript"/>
              </w:rPr>
              <w:t>c</w:t>
            </w:r>
          </w:p>
        </w:tc>
        <w:tc>
          <w:tcPr>
            <w:tcW w:w="474" w:type="pct"/>
            <w:tcBorders>
              <w:top w:val="nil"/>
              <w:left w:val="nil"/>
              <w:bottom w:val="single" w:sz="4" w:space="0" w:color="auto"/>
              <w:right w:val="single" w:sz="4" w:space="0" w:color="auto"/>
            </w:tcBorders>
            <w:vAlign w:val="center"/>
            <w:hideMark/>
          </w:tcPr>
          <w:p w14:paraId="3E877E52"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17.67</w:t>
            </w:r>
            <w:r w:rsidRPr="001302AD">
              <w:rPr>
                <w:rFonts w:ascii="Times New Roman" w:eastAsia="Calibri" w:hAnsi="Times New Roman"/>
                <w:color w:val="000000"/>
                <w:sz w:val="20"/>
                <w:szCs w:val="20"/>
                <w:vertAlign w:val="superscript"/>
              </w:rPr>
              <w:t>b</w:t>
            </w:r>
          </w:p>
        </w:tc>
        <w:tc>
          <w:tcPr>
            <w:tcW w:w="419" w:type="pct"/>
            <w:tcBorders>
              <w:top w:val="nil"/>
              <w:left w:val="single" w:sz="4" w:space="0" w:color="auto"/>
              <w:bottom w:val="single" w:sz="4" w:space="0" w:color="auto"/>
              <w:right w:val="nil"/>
            </w:tcBorders>
            <w:vAlign w:val="center"/>
            <w:hideMark/>
          </w:tcPr>
          <w:p w14:paraId="6F05E61B"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19.26</w:t>
            </w:r>
            <w:r w:rsidRPr="001302AD">
              <w:rPr>
                <w:rFonts w:ascii="Times New Roman" w:eastAsia="Calibri" w:hAnsi="Times New Roman"/>
                <w:color w:val="000000"/>
                <w:sz w:val="20"/>
                <w:szCs w:val="20"/>
                <w:vertAlign w:val="superscript"/>
              </w:rPr>
              <w:t>c</w:t>
            </w:r>
          </w:p>
        </w:tc>
        <w:tc>
          <w:tcPr>
            <w:tcW w:w="446" w:type="pct"/>
            <w:tcBorders>
              <w:top w:val="nil"/>
              <w:left w:val="nil"/>
              <w:bottom w:val="single" w:sz="4" w:space="0" w:color="auto"/>
              <w:right w:val="nil"/>
            </w:tcBorders>
            <w:vAlign w:val="center"/>
            <w:hideMark/>
          </w:tcPr>
          <w:p w14:paraId="50597D3D"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15.82</w:t>
            </w:r>
            <w:r w:rsidRPr="001302AD">
              <w:rPr>
                <w:rFonts w:ascii="Times New Roman" w:eastAsia="Calibri" w:hAnsi="Times New Roman"/>
                <w:color w:val="000000"/>
                <w:sz w:val="20"/>
                <w:szCs w:val="20"/>
                <w:vertAlign w:val="superscript"/>
              </w:rPr>
              <w:t>d</w:t>
            </w:r>
          </w:p>
        </w:tc>
        <w:tc>
          <w:tcPr>
            <w:tcW w:w="474" w:type="pct"/>
            <w:tcBorders>
              <w:top w:val="nil"/>
              <w:left w:val="nil"/>
              <w:bottom w:val="single" w:sz="4" w:space="0" w:color="auto"/>
              <w:right w:val="single" w:sz="4" w:space="0" w:color="auto"/>
            </w:tcBorders>
            <w:vAlign w:val="center"/>
            <w:hideMark/>
          </w:tcPr>
          <w:p w14:paraId="14266880"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21.12</w:t>
            </w:r>
            <w:r w:rsidRPr="001302AD">
              <w:rPr>
                <w:rFonts w:ascii="Times New Roman" w:eastAsia="Calibri" w:hAnsi="Times New Roman"/>
                <w:color w:val="000000"/>
                <w:sz w:val="20"/>
                <w:szCs w:val="20"/>
                <w:vertAlign w:val="superscript"/>
              </w:rPr>
              <w:t>b</w:t>
            </w:r>
          </w:p>
        </w:tc>
        <w:tc>
          <w:tcPr>
            <w:tcW w:w="434" w:type="pct"/>
            <w:tcBorders>
              <w:top w:val="nil"/>
              <w:left w:val="single" w:sz="4" w:space="0" w:color="auto"/>
              <w:bottom w:val="single" w:sz="4" w:space="0" w:color="auto"/>
              <w:right w:val="nil"/>
            </w:tcBorders>
            <w:vAlign w:val="center"/>
            <w:hideMark/>
          </w:tcPr>
          <w:p w14:paraId="2083BA16"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20.92</w:t>
            </w:r>
            <w:r w:rsidRPr="001302AD">
              <w:rPr>
                <w:rFonts w:ascii="Times New Roman" w:eastAsia="Calibri" w:hAnsi="Times New Roman"/>
                <w:color w:val="000000"/>
                <w:sz w:val="20"/>
                <w:szCs w:val="20"/>
                <w:vertAlign w:val="superscript"/>
              </w:rPr>
              <w:t>c</w:t>
            </w:r>
          </w:p>
        </w:tc>
        <w:tc>
          <w:tcPr>
            <w:tcW w:w="512" w:type="pct"/>
            <w:tcBorders>
              <w:top w:val="nil"/>
              <w:left w:val="nil"/>
              <w:bottom w:val="single" w:sz="4" w:space="0" w:color="auto"/>
              <w:right w:val="nil"/>
            </w:tcBorders>
            <w:vAlign w:val="center"/>
            <w:hideMark/>
          </w:tcPr>
          <w:p w14:paraId="7886B1AF"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21.16</w:t>
            </w:r>
            <w:r w:rsidRPr="001302AD">
              <w:rPr>
                <w:rFonts w:ascii="Times New Roman" w:eastAsia="Calibri" w:hAnsi="Times New Roman"/>
                <w:color w:val="000000"/>
                <w:sz w:val="20"/>
                <w:szCs w:val="20"/>
                <w:vertAlign w:val="superscript"/>
              </w:rPr>
              <w:t>c</w:t>
            </w:r>
          </w:p>
        </w:tc>
        <w:tc>
          <w:tcPr>
            <w:tcW w:w="467" w:type="pct"/>
            <w:gridSpan w:val="2"/>
            <w:tcBorders>
              <w:top w:val="nil"/>
              <w:left w:val="nil"/>
              <w:bottom w:val="single" w:sz="4" w:space="0" w:color="auto"/>
              <w:right w:val="nil"/>
            </w:tcBorders>
            <w:vAlign w:val="center"/>
            <w:hideMark/>
          </w:tcPr>
          <w:p w14:paraId="625B82A7"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19.8</w:t>
            </w:r>
            <w:r w:rsidRPr="001302AD">
              <w:rPr>
                <w:rFonts w:ascii="Times New Roman" w:eastAsia="Calibri" w:hAnsi="Times New Roman"/>
                <w:color w:val="000000"/>
                <w:sz w:val="20"/>
                <w:szCs w:val="20"/>
                <w:vertAlign w:val="superscript"/>
              </w:rPr>
              <w:t>c</w:t>
            </w:r>
          </w:p>
        </w:tc>
      </w:tr>
      <w:tr w:rsidR="00436887" w:rsidRPr="001302AD" w14:paraId="3998BA62" w14:textId="77777777" w:rsidTr="00BC0A37">
        <w:trPr>
          <w:trHeight w:val="20"/>
        </w:trPr>
        <w:tc>
          <w:tcPr>
            <w:tcW w:w="847" w:type="pct"/>
            <w:tcBorders>
              <w:top w:val="single" w:sz="4" w:space="0" w:color="auto"/>
              <w:left w:val="nil"/>
              <w:bottom w:val="single" w:sz="4" w:space="0" w:color="auto"/>
              <w:right w:val="single" w:sz="4" w:space="0" w:color="auto"/>
            </w:tcBorders>
            <w:hideMark/>
          </w:tcPr>
          <w:p w14:paraId="628A8A22"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LSD(0.05)</w:t>
            </w:r>
          </w:p>
        </w:tc>
        <w:tc>
          <w:tcPr>
            <w:tcW w:w="458" w:type="pct"/>
            <w:tcBorders>
              <w:top w:val="single" w:sz="4" w:space="0" w:color="auto"/>
              <w:left w:val="single" w:sz="4" w:space="0" w:color="auto"/>
              <w:bottom w:val="single" w:sz="4" w:space="0" w:color="auto"/>
              <w:right w:val="nil"/>
            </w:tcBorders>
            <w:vAlign w:val="bottom"/>
            <w:hideMark/>
          </w:tcPr>
          <w:p w14:paraId="77E21A7B"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2.47</w:t>
            </w:r>
          </w:p>
        </w:tc>
        <w:tc>
          <w:tcPr>
            <w:tcW w:w="471" w:type="pct"/>
            <w:tcBorders>
              <w:top w:val="single" w:sz="4" w:space="0" w:color="auto"/>
              <w:left w:val="nil"/>
              <w:bottom w:val="single" w:sz="4" w:space="0" w:color="auto"/>
              <w:right w:val="nil"/>
            </w:tcBorders>
            <w:vAlign w:val="bottom"/>
            <w:hideMark/>
          </w:tcPr>
          <w:p w14:paraId="381EE29C"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2.39</w:t>
            </w:r>
          </w:p>
        </w:tc>
        <w:tc>
          <w:tcPr>
            <w:tcW w:w="474" w:type="pct"/>
            <w:tcBorders>
              <w:top w:val="single" w:sz="4" w:space="0" w:color="auto"/>
              <w:left w:val="nil"/>
              <w:bottom w:val="single" w:sz="4" w:space="0" w:color="auto"/>
              <w:right w:val="single" w:sz="4" w:space="0" w:color="auto"/>
            </w:tcBorders>
            <w:vAlign w:val="bottom"/>
            <w:hideMark/>
          </w:tcPr>
          <w:p w14:paraId="13E85351"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2.4</w:t>
            </w:r>
          </w:p>
        </w:tc>
        <w:tc>
          <w:tcPr>
            <w:tcW w:w="419" w:type="pct"/>
            <w:tcBorders>
              <w:top w:val="single" w:sz="4" w:space="0" w:color="auto"/>
              <w:left w:val="single" w:sz="4" w:space="0" w:color="auto"/>
              <w:bottom w:val="single" w:sz="4" w:space="0" w:color="auto"/>
              <w:right w:val="nil"/>
            </w:tcBorders>
            <w:vAlign w:val="bottom"/>
            <w:hideMark/>
          </w:tcPr>
          <w:p w14:paraId="52D0F954"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1.04</w:t>
            </w:r>
          </w:p>
        </w:tc>
        <w:tc>
          <w:tcPr>
            <w:tcW w:w="446" w:type="pct"/>
            <w:tcBorders>
              <w:top w:val="single" w:sz="4" w:space="0" w:color="auto"/>
              <w:left w:val="nil"/>
              <w:bottom w:val="single" w:sz="4" w:space="0" w:color="auto"/>
              <w:right w:val="nil"/>
            </w:tcBorders>
            <w:vAlign w:val="bottom"/>
            <w:hideMark/>
          </w:tcPr>
          <w:p w14:paraId="35FA007B"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1.76</w:t>
            </w:r>
          </w:p>
        </w:tc>
        <w:tc>
          <w:tcPr>
            <w:tcW w:w="474" w:type="pct"/>
            <w:tcBorders>
              <w:top w:val="single" w:sz="4" w:space="0" w:color="auto"/>
              <w:left w:val="nil"/>
              <w:bottom w:val="single" w:sz="4" w:space="0" w:color="auto"/>
              <w:right w:val="single" w:sz="4" w:space="0" w:color="auto"/>
            </w:tcBorders>
            <w:vAlign w:val="bottom"/>
            <w:hideMark/>
          </w:tcPr>
          <w:p w14:paraId="52F136EA"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1.71</w:t>
            </w:r>
          </w:p>
        </w:tc>
        <w:tc>
          <w:tcPr>
            <w:tcW w:w="434" w:type="pct"/>
            <w:tcBorders>
              <w:top w:val="single" w:sz="4" w:space="0" w:color="auto"/>
              <w:left w:val="single" w:sz="4" w:space="0" w:color="auto"/>
              <w:bottom w:val="single" w:sz="4" w:space="0" w:color="auto"/>
              <w:right w:val="nil"/>
            </w:tcBorders>
            <w:vAlign w:val="bottom"/>
            <w:hideMark/>
          </w:tcPr>
          <w:p w14:paraId="0AD48CBF"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2.08</w:t>
            </w:r>
          </w:p>
        </w:tc>
        <w:tc>
          <w:tcPr>
            <w:tcW w:w="512" w:type="pct"/>
            <w:tcBorders>
              <w:top w:val="single" w:sz="4" w:space="0" w:color="auto"/>
              <w:left w:val="nil"/>
              <w:bottom w:val="single" w:sz="4" w:space="0" w:color="auto"/>
              <w:right w:val="nil"/>
            </w:tcBorders>
            <w:vAlign w:val="bottom"/>
            <w:hideMark/>
          </w:tcPr>
          <w:p w14:paraId="172837C8"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2.23</w:t>
            </w:r>
          </w:p>
        </w:tc>
        <w:tc>
          <w:tcPr>
            <w:tcW w:w="467" w:type="pct"/>
            <w:gridSpan w:val="2"/>
            <w:tcBorders>
              <w:top w:val="single" w:sz="4" w:space="0" w:color="auto"/>
              <w:left w:val="nil"/>
              <w:bottom w:val="single" w:sz="4" w:space="0" w:color="auto"/>
              <w:right w:val="nil"/>
            </w:tcBorders>
            <w:vAlign w:val="bottom"/>
            <w:hideMark/>
          </w:tcPr>
          <w:p w14:paraId="7CF0B690"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0.98</w:t>
            </w:r>
          </w:p>
        </w:tc>
      </w:tr>
      <w:tr w:rsidR="00436887" w:rsidRPr="001302AD" w14:paraId="6B4CC6BD" w14:textId="77777777" w:rsidTr="00BC0A37">
        <w:trPr>
          <w:trHeight w:val="20"/>
        </w:trPr>
        <w:tc>
          <w:tcPr>
            <w:tcW w:w="847" w:type="pct"/>
            <w:tcBorders>
              <w:top w:val="single" w:sz="4" w:space="0" w:color="auto"/>
              <w:left w:val="nil"/>
              <w:bottom w:val="single" w:sz="4" w:space="0" w:color="auto"/>
              <w:right w:val="single" w:sz="4" w:space="0" w:color="auto"/>
            </w:tcBorders>
            <w:hideMark/>
          </w:tcPr>
          <w:p w14:paraId="3333160C"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CV (%)</w:t>
            </w:r>
          </w:p>
        </w:tc>
        <w:tc>
          <w:tcPr>
            <w:tcW w:w="458" w:type="pct"/>
            <w:tcBorders>
              <w:top w:val="single" w:sz="4" w:space="0" w:color="auto"/>
              <w:left w:val="single" w:sz="4" w:space="0" w:color="auto"/>
              <w:bottom w:val="single" w:sz="4" w:space="0" w:color="auto"/>
              <w:right w:val="nil"/>
            </w:tcBorders>
            <w:vAlign w:val="bottom"/>
            <w:hideMark/>
          </w:tcPr>
          <w:p w14:paraId="49E19909"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11.4</w:t>
            </w:r>
          </w:p>
        </w:tc>
        <w:tc>
          <w:tcPr>
            <w:tcW w:w="471" w:type="pct"/>
            <w:tcBorders>
              <w:top w:val="single" w:sz="4" w:space="0" w:color="auto"/>
              <w:left w:val="nil"/>
              <w:bottom w:val="single" w:sz="4" w:space="0" w:color="auto"/>
              <w:right w:val="nil"/>
            </w:tcBorders>
            <w:vAlign w:val="bottom"/>
            <w:hideMark/>
          </w:tcPr>
          <w:p w14:paraId="6EB8BD77"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11.5</w:t>
            </w:r>
          </w:p>
        </w:tc>
        <w:tc>
          <w:tcPr>
            <w:tcW w:w="474" w:type="pct"/>
            <w:tcBorders>
              <w:top w:val="single" w:sz="4" w:space="0" w:color="auto"/>
              <w:left w:val="nil"/>
              <w:bottom w:val="single" w:sz="4" w:space="0" w:color="auto"/>
              <w:right w:val="single" w:sz="4" w:space="0" w:color="auto"/>
            </w:tcBorders>
            <w:vAlign w:val="bottom"/>
            <w:hideMark/>
          </w:tcPr>
          <w:p w14:paraId="40497E35"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12.4</w:t>
            </w:r>
          </w:p>
        </w:tc>
        <w:tc>
          <w:tcPr>
            <w:tcW w:w="419" w:type="pct"/>
            <w:tcBorders>
              <w:top w:val="single" w:sz="4" w:space="0" w:color="auto"/>
              <w:left w:val="single" w:sz="4" w:space="0" w:color="auto"/>
              <w:bottom w:val="single" w:sz="4" w:space="0" w:color="auto"/>
              <w:right w:val="nil"/>
            </w:tcBorders>
            <w:vAlign w:val="bottom"/>
            <w:hideMark/>
          </w:tcPr>
          <w:p w14:paraId="5E7B9A62"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5.1</w:t>
            </w:r>
          </w:p>
        </w:tc>
        <w:tc>
          <w:tcPr>
            <w:tcW w:w="446" w:type="pct"/>
            <w:tcBorders>
              <w:top w:val="single" w:sz="4" w:space="0" w:color="auto"/>
              <w:left w:val="nil"/>
              <w:bottom w:val="single" w:sz="4" w:space="0" w:color="auto"/>
              <w:right w:val="nil"/>
            </w:tcBorders>
            <w:vAlign w:val="bottom"/>
            <w:hideMark/>
          </w:tcPr>
          <w:p w14:paraId="46DE875B"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9.3</w:t>
            </w:r>
          </w:p>
        </w:tc>
        <w:tc>
          <w:tcPr>
            <w:tcW w:w="474" w:type="pct"/>
            <w:tcBorders>
              <w:top w:val="single" w:sz="4" w:space="0" w:color="auto"/>
              <w:left w:val="nil"/>
              <w:bottom w:val="single" w:sz="4" w:space="0" w:color="auto"/>
              <w:right w:val="single" w:sz="4" w:space="0" w:color="auto"/>
            </w:tcBorders>
            <w:vAlign w:val="bottom"/>
            <w:hideMark/>
          </w:tcPr>
          <w:p w14:paraId="61FB7B28"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7.9</w:t>
            </w:r>
          </w:p>
        </w:tc>
        <w:tc>
          <w:tcPr>
            <w:tcW w:w="434" w:type="pct"/>
            <w:tcBorders>
              <w:top w:val="single" w:sz="4" w:space="0" w:color="auto"/>
              <w:left w:val="single" w:sz="4" w:space="0" w:color="auto"/>
              <w:bottom w:val="single" w:sz="4" w:space="0" w:color="auto"/>
              <w:right w:val="nil"/>
            </w:tcBorders>
            <w:vAlign w:val="bottom"/>
            <w:hideMark/>
          </w:tcPr>
          <w:p w14:paraId="07B0AA37"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5.3</w:t>
            </w:r>
          </w:p>
        </w:tc>
        <w:tc>
          <w:tcPr>
            <w:tcW w:w="512" w:type="pct"/>
            <w:tcBorders>
              <w:top w:val="single" w:sz="4" w:space="0" w:color="auto"/>
              <w:left w:val="nil"/>
              <w:bottom w:val="single" w:sz="4" w:space="0" w:color="auto"/>
              <w:right w:val="nil"/>
            </w:tcBorders>
            <w:vAlign w:val="bottom"/>
            <w:hideMark/>
          </w:tcPr>
          <w:p w14:paraId="1F7EBD0D"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5.8</w:t>
            </w:r>
          </w:p>
        </w:tc>
        <w:tc>
          <w:tcPr>
            <w:tcW w:w="467" w:type="pct"/>
            <w:gridSpan w:val="2"/>
            <w:tcBorders>
              <w:top w:val="single" w:sz="4" w:space="0" w:color="auto"/>
              <w:left w:val="nil"/>
              <w:bottom w:val="single" w:sz="4" w:space="0" w:color="auto"/>
              <w:right w:val="nil"/>
            </w:tcBorders>
            <w:vAlign w:val="bottom"/>
            <w:hideMark/>
          </w:tcPr>
          <w:p w14:paraId="5C27509F"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4.7</w:t>
            </w:r>
          </w:p>
        </w:tc>
      </w:tr>
    </w:tbl>
    <w:p w14:paraId="7B713ED6" w14:textId="77777777" w:rsidR="00436887" w:rsidRPr="001302AD" w:rsidRDefault="00436887" w:rsidP="00FB03FC">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1302AD">
        <w:rPr>
          <w:rFonts w:ascii="Times New Roman" w:eastAsia="Calibri" w:hAnsi="Times New Roman" w:cs="Times New Roman"/>
          <w:color w:val="000000"/>
          <w:sz w:val="20"/>
          <w:szCs w:val="20"/>
        </w:rPr>
        <w:t>LSD = Least Significant Difference at 5% level of significance; CV (%) = coefficient of variation in percent; DAS = days after sowing; SMC = Soil Moisture Content; Means in column and followed by the same letters are not significantly different at 5% level of significance</w:t>
      </w:r>
      <w:r w:rsidRPr="001302AD">
        <w:rPr>
          <w:rFonts w:ascii="Times New Roman" w:eastAsia="Calibri" w:hAnsi="Times New Roman" w:cs="Times New Roman"/>
          <w:color w:val="000000"/>
          <w:sz w:val="24"/>
          <w:szCs w:val="24"/>
        </w:rPr>
        <w:t>.</w:t>
      </w:r>
    </w:p>
    <w:p w14:paraId="42849373" w14:textId="77777777" w:rsidR="00436887" w:rsidRPr="001302AD" w:rsidRDefault="00436887" w:rsidP="00436887">
      <w:pPr>
        <w:autoSpaceDE w:val="0"/>
        <w:autoSpaceDN w:val="0"/>
        <w:adjustRightInd w:val="0"/>
        <w:spacing w:before="240" w:after="0" w:line="360" w:lineRule="auto"/>
        <w:jc w:val="both"/>
        <w:rPr>
          <w:rFonts w:ascii="Times New Roman" w:eastAsia="Calibri" w:hAnsi="Times New Roman" w:cs="Times New Roman"/>
          <w:b/>
          <w:color w:val="000000"/>
        </w:rPr>
      </w:pPr>
      <w:r w:rsidRPr="001302AD">
        <w:rPr>
          <w:rFonts w:ascii="Times New Roman" w:eastAsia="Calibri" w:hAnsi="Times New Roman" w:cs="Times New Roman"/>
          <w:b/>
        </w:rPr>
        <w:t>3.1.2. Soil Moisture content at 60, 75 and 90 days after Sowing</w:t>
      </w:r>
    </w:p>
    <w:p w14:paraId="7319786B" w14:textId="77777777" w:rsidR="00436887" w:rsidRPr="001302AD" w:rsidRDefault="00436887" w:rsidP="00843265">
      <w:pPr>
        <w:spacing w:line="240" w:lineRule="auto"/>
        <w:jc w:val="both"/>
        <w:rPr>
          <w:rFonts w:ascii="Times New Roman" w:eastAsia="Calibri" w:hAnsi="Times New Roman" w:cs="Times New Roman"/>
          <w:i/>
          <w:sz w:val="20"/>
          <w:szCs w:val="20"/>
        </w:rPr>
      </w:pPr>
      <w:r w:rsidRPr="001302AD">
        <w:rPr>
          <w:rFonts w:ascii="Times New Roman" w:eastAsia="Calibri" w:hAnsi="Times New Roman" w:cs="Times New Roman"/>
          <w:color w:val="000000"/>
          <w:sz w:val="20"/>
          <w:szCs w:val="20"/>
        </w:rPr>
        <w:t>The analysis of variance revealed that the main effects of mulching and land preparation methods had significant (P&lt;0.01) effect on soil moisture at all soil depths (0-0.2, 0.2-0.4 and 0.4-</w:t>
      </w:r>
      <w:smartTag w:uri="urn:schemas-microsoft-com:office:smarttags" w:element="metricconverter">
        <w:smartTagPr>
          <w:attr w:name="ProductID" w:val="0.6 m"/>
        </w:smartTagPr>
        <w:r w:rsidRPr="001302AD">
          <w:rPr>
            <w:rFonts w:ascii="Times New Roman" w:eastAsia="Calibri" w:hAnsi="Times New Roman" w:cs="Times New Roman"/>
            <w:color w:val="000000"/>
            <w:sz w:val="20"/>
            <w:szCs w:val="20"/>
          </w:rPr>
          <w:t>0.6 m</w:t>
        </w:r>
      </w:smartTag>
      <w:r w:rsidRPr="001302AD">
        <w:rPr>
          <w:rFonts w:ascii="Times New Roman" w:eastAsia="Calibri" w:hAnsi="Times New Roman" w:cs="Times New Roman"/>
          <w:color w:val="000000"/>
          <w:sz w:val="20"/>
          <w:szCs w:val="20"/>
        </w:rPr>
        <w:t>) during 60, 75, and 90 DAS. The highest soil moisture (24.6-24.8) was recorded in plots covered with 20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mulch, followed by 15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mulch cover at all soil depths. However, the lowest soil moisture was recorded under no mulch (21-21.2) at all soil depths 60 days after sowing (Table 3). This growth stage is known as flowering. At this growth stage the conserved soil moisture due to mulching is critical for flower initiation and development. </w:t>
      </w:r>
    </w:p>
    <w:p w14:paraId="332D9250" w14:textId="77777777" w:rsidR="00436887" w:rsidRPr="001302AD" w:rsidRDefault="00436887" w:rsidP="00843265">
      <w:pPr>
        <w:autoSpaceDE w:val="0"/>
        <w:autoSpaceDN w:val="0"/>
        <w:adjustRightInd w:val="0"/>
        <w:spacing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color w:val="000000"/>
          <w:sz w:val="20"/>
          <w:szCs w:val="20"/>
        </w:rPr>
        <w:t>Similarly, the 20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mulch cover conserved the highest soil moisture (24.2-25.5) at all soil depths. However, the lowest soil moisture (19.7-22.7) was observed in the control and treatments with no mulch at 75 days after sowing (Table 3). In this growth stage of soybean, the moisture conserved by mulching plays an important role in pod development and pod filling compared with the control treatment. The highest soil moisture (23.5-24.6) was recorded under treatments covered with 20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mulch, followed by mulch cover of 15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while the lowest soil moisture was conserved under no mulch cover at all soil depths at 90 days after sowing (Table 3). The soil moisture conserved due to mulching during this growth stage is important for grain filling and for fully maturing the crop.</w:t>
      </w:r>
    </w:p>
    <w:p w14:paraId="7652E133" w14:textId="77777777" w:rsidR="00436887" w:rsidRPr="001302AD" w:rsidRDefault="00436887" w:rsidP="00843265">
      <w:pPr>
        <w:autoSpaceDE w:val="0"/>
        <w:autoSpaceDN w:val="0"/>
        <w:adjustRightInd w:val="0"/>
        <w:spacing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color w:val="000000"/>
          <w:sz w:val="20"/>
          <w:szCs w:val="20"/>
        </w:rPr>
        <w:t>Generally,</w:t>
      </w:r>
      <w:r w:rsidRPr="001302AD">
        <w:rPr>
          <w:rFonts w:ascii="Times New Roman" w:eastAsia="Calibri" w:hAnsi="Times New Roman" w:cs="Times New Roman"/>
          <w:b/>
          <w:bCs/>
          <w:color w:val="000000"/>
          <w:sz w:val="20"/>
          <w:szCs w:val="20"/>
        </w:rPr>
        <w:t> </w:t>
      </w:r>
      <w:r w:rsidRPr="001302AD">
        <w:rPr>
          <w:rFonts w:ascii="Times New Roman" w:eastAsia="Calibri" w:hAnsi="Times New Roman" w:cs="Times New Roman"/>
          <w:color w:val="000000"/>
          <w:sz w:val="20"/>
          <w:szCs w:val="20"/>
        </w:rPr>
        <w:t>Soybeans require adequate soil moisture during the reproductive stages (from flower beginning through seed filling).</w:t>
      </w:r>
      <w:r w:rsidRPr="001302AD">
        <w:rPr>
          <w:rFonts w:ascii="Times New Roman" w:eastAsia="Calibri" w:hAnsi="Times New Roman" w:cs="Times New Roman"/>
          <w:color w:val="2C2A25"/>
          <w:sz w:val="20"/>
          <w:szCs w:val="20"/>
        </w:rPr>
        <w:t xml:space="preserve"> </w:t>
      </w:r>
      <w:r w:rsidRPr="001302AD">
        <w:rPr>
          <w:rFonts w:ascii="Times New Roman" w:eastAsia="Calibri" w:hAnsi="Times New Roman" w:cs="Times New Roman"/>
          <w:color w:val="000000"/>
          <w:sz w:val="20"/>
          <w:szCs w:val="20"/>
        </w:rPr>
        <w:t>Water stress during pod development and early seed fill can have the greatest impact on yield potential, resulting in a reduced number of seeds per pod and reduced seed size. Similarly,</w:t>
      </w:r>
      <w:r w:rsidRPr="001302AD">
        <w:rPr>
          <w:rFonts w:ascii="Times New Roman" w:hAnsi="Times New Roman" w:cs="Times New Roman"/>
          <w:b/>
          <w:sz w:val="20"/>
          <w:szCs w:val="20"/>
        </w:rPr>
        <w:t xml:space="preserve"> </w:t>
      </w:r>
      <w:proofErr w:type="spellStart"/>
      <w:r w:rsidRPr="001302AD">
        <w:rPr>
          <w:rFonts w:ascii="Times New Roman" w:hAnsi="Times New Roman" w:cs="Times New Roman"/>
          <w:sz w:val="20"/>
          <w:szCs w:val="20"/>
        </w:rPr>
        <w:t>Vennam</w:t>
      </w:r>
      <w:proofErr w:type="spellEnd"/>
      <w:r w:rsidRPr="001302AD">
        <w:rPr>
          <w:rFonts w:ascii="Times New Roman" w:eastAsia="Calibri" w:hAnsi="Times New Roman" w:cs="Times New Roman"/>
          <w:sz w:val="20"/>
          <w:szCs w:val="20"/>
        </w:rPr>
        <w:t xml:space="preserve"> et al (2023)</w:t>
      </w:r>
      <w:r w:rsidRPr="001302AD">
        <w:rPr>
          <w:rFonts w:ascii="Times New Roman" w:eastAsia="AdvP8585" w:hAnsi="Times New Roman" w:cs="Times New Roman"/>
          <w:color w:val="000000" w:themeColor="text1"/>
          <w:sz w:val="20"/>
          <w:szCs w:val="20"/>
        </w:rPr>
        <w:t xml:space="preserve"> </w:t>
      </w:r>
      <w:r w:rsidRPr="001302AD">
        <w:rPr>
          <w:rFonts w:ascii="Times New Roman" w:eastAsia="Calibri" w:hAnsi="Times New Roman" w:cs="Times New Roman"/>
          <w:color w:val="000000"/>
          <w:sz w:val="20"/>
          <w:szCs w:val="20"/>
        </w:rPr>
        <w:t>noted that from flowering through the seed-filling period, soil moisture stress can accelerate leaf senescence and shorten the seed-filling period. Soybean pod set and seed development are more vulnerable to soil moisture stress, leading to substantial yield reduction.</w:t>
      </w:r>
    </w:p>
    <w:p w14:paraId="64964F12" w14:textId="77777777" w:rsidR="001302AD" w:rsidRDefault="001302AD" w:rsidP="00843265">
      <w:pPr>
        <w:autoSpaceDE w:val="0"/>
        <w:autoSpaceDN w:val="0"/>
        <w:adjustRightInd w:val="0"/>
        <w:spacing w:line="240" w:lineRule="auto"/>
        <w:jc w:val="both"/>
        <w:rPr>
          <w:rFonts w:ascii="Times New Roman" w:eastAsia="Calibri" w:hAnsi="Times New Roman" w:cs="Times New Roman"/>
          <w:b/>
          <w:bCs/>
          <w:sz w:val="20"/>
          <w:szCs w:val="20"/>
        </w:rPr>
      </w:pPr>
    </w:p>
    <w:p w14:paraId="756454F4" w14:textId="77777777" w:rsidR="001302AD" w:rsidRDefault="001302AD" w:rsidP="00843265">
      <w:pPr>
        <w:autoSpaceDE w:val="0"/>
        <w:autoSpaceDN w:val="0"/>
        <w:adjustRightInd w:val="0"/>
        <w:spacing w:line="240" w:lineRule="auto"/>
        <w:jc w:val="both"/>
        <w:rPr>
          <w:rFonts w:ascii="Times New Roman" w:eastAsia="Calibri" w:hAnsi="Times New Roman" w:cs="Times New Roman"/>
          <w:b/>
          <w:bCs/>
          <w:sz w:val="20"/>
          <w:szCs w:val="20"/>
        </w:rPr>
      </w:pPr>
    </w:p>
    <w:p w14:paraId="251C18AB" w14:textId="77777777" w:rsidR="00436887" w:rsidRPr="001302AD" w:rsidRDefault="00436887" w:rsidP="00843265">
      <w:pPr>
        <w:autoSpaceDE w:val="0"/>
        <w:autoSpaceDN w:val="0"/>
        <w:adjustRightInd w:val="0"/>
        <w:spacing w:line="240" w:lineRule="auto"/>
        <w:jc w:val="both"/>
        <w:rPr>
          <w:rFonts w:ascii="Times New Roman" w:eastAsia="Calibri" w:hAnsi="Times New Roman" w:cs="Times New Roman"/>
          <w:b/>
          <w:color w:val="000000"/>
          <w:sz w:val="20"/>
          <w:szCs w:val="20"/>
        </w:rPr>
      </w:pPr>
      <w:r w:rsidRPr="001302AD">
        <w:rPr>
          <w:rFonts w:ascii="Times New Roman" w:eastAsia="Calibri" w:hAnsi="Times New Roman" w:cs="Times New Roman"/>
          <w:b/>
          <w:bCs/>
          <w:sz w:val="20"/>
          <w:szCs w:val="20"/>
        </w:rPr>
        <w:t>Table 3. Effect of mulching rate on soil moisture content at 60, 75, and 90 days after sowing at different soil depths (m).</w:t>
      </w:r>
    </w:p>
    <w:tbl>
      <w:tblPr>
        <w:tblStyle w:val="TableGrid"/>
        <w:tblW w:w="4982" w:type="pct"/>
        <w:tblInd w:w="-7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7"/>
        <w:gridCol w:w="811"/>
        <w:gridCol w:w="903"/>
        <w:gridCol w:w="903"/>
        <w:gridCol w:w="811"/>
        <w:gridCol w:w="903"/>
        <w:gridCol w:w="903"/>
        <w:gridCol w:w="811"/>
        <w:gridCol w:w="903"/>
        <w:gridCol w:w="189"/>
        <w:gridCol w:w="788"/>
      </w:tblGrid>
      <w:tr w:rsidR="00436887" w:rsidRPr="001302AD" w14:paraId="541DC3CF" w14:textId="77777777" w:rsidTr="00BC0A37">
        <w:tc>
          <w:tcPr>
            <w:tcW w:w="848" w:type="pct"/>
            <w:vMerge w:val="restart"/>
            <w:tcBorders>
              <w:top w:val="single" w:sz="4" w:space="0" w:color="auto"/>
              <w:left w:val="nil"/>
              <w:bottom w:val="single" w:sz="4" w:space="0" w:color="auto"/>
              <w:right w:val="single" w:sz="4" w:space="0" w:color="auto"/>
            </w:tcBorders>
            <w:hideMark/>
          </w:tcPr>
          <w:p w14:paraId="41EB0DB2"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Treatment</w:t>
            </w:r>
          </w:p>
        </w:tc>
        <w:tc>
          <w:tcPr>
            <w:tcW w:w="1370" w:type="pct"/>
            <w:gridSpan w:val="3"/>
            <w:tcBorders>
              <w:top w:val="single" w:sz="4" w:space="0" w:color="auto"/>
              <w:left w:val="single" w:sz="4" w:space="0" w:color="auto"/>
              <w:bottom w:val="single" w:sz="4" w:space="0" w:color="auto"/>
              <w:right w:val="single" w:sz="4" w:space="0" w:color="auto"/>
            </w:tcBorders>
            <w:hideMark/>
          </w:tcPr>
          <w:p w14:paraId="71793AA1"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SMC(% ) at 60 DAS</w:t>
            </w:r>
          </w:p>
        </w:tc>
        <w:tc>
          <w:tcPr>
            <w:tcW w:w="1370" w:type="pct"/>
            <w:gridSpan w:val="3"/>
            <w:tcBorders>
              <w:top w:val="single" w:sz="4" w:space="0" w:color="auto"/>
              <w:left w:val="single" w:sz="4" w:space="0" w:color="auto"/>
              <w:bottom w:val="single" w:sz="4" w:space="0" w:color="auto"/>
              <w:right w:val="single" w:sz="4" w:space="0" w:color="auto"/>
            </w:tcBorders>
            <w:hideMark/>
          </w:tcPr>
          <w:p w14:paraId="52CB31F1"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SMC(%) at 75 DAS</w:t>
            </w:r>
          </w:p>
        </w:tc>
        <w:tc>
          <w:tcPr>
            <w:tcW w:w="1412" w:type="pct"/>
            <w:gridSpan w:val="4"/>
            <w:tcBorders>
              <w:top w:val="single" w:sz="4" w:space="0" w:color="auto"/>
              <w:left w:val="single" w:sz="4" w:space="0" w:color="auto"/>
              <w:bottom w:val="single" w:sz="4" w:space="0" w:color="auto"/>
              <w:right w:val="nil"/>
            </w:tcBorders>
            <w:hideMark/>
          </w:tcPr>
          <w:p w14:paraId="5847C357"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SMC(%) at 90 DAS</w:t>
            </w:r>
          </w:p>
        </w:tc>
      </w:tr>
      <w:tr w:rsidR="00436887" w:rsidRPr="001302AD" w14:paraId="36668CE5" w14:textId="77777777" w:rsidTr="00BC0A37">
        <w:trPr>
          <w:trHeight w:val="163"/>
        </w:trPr>
        <w:tc>
          <w:tcPr>
            <w:tcW w:w="848" w:type="pct"/>
            <w:vMerge/>
            <w:tcBorders>
              <w:top w:val="single" w:sz="4" w:space="0" w:color="auto"/>
              <w:left w:val="nil"/>
              <w:bottom w:val="single" w:sz="4" w:space="0" w:color="auto"/>
              <w:right w:val="single" w:sz="4" w:space="0" w:color="auto"/>
            </w:tcBorders>
            <w:vAlign w:val="center"/>
            <w:hideMark/>
          </w:tcPr>
          <w:p w14:paraId="14EDC8EC" w14:textId="77777777" w:rsidR="00436887" w:rsidRPr="001302AD" w:rsidRDefault="00436887" w:rsidP="00843265">
            <w:pPr>
              <w:rPr>
                <w:rFonts w:ascii="Times New Roman" w:hAnsi="Times New Roman"/>
                <w:b/>
                <w:sz w:val="20"/>
                <w:szCs w:val="20"/>
              </w:rPr>
            </w:pPr>
          </w:p>
        </w:tc>
        <w:tc>
          <w:tcPr>
            <w:tcW w:w="3739" w:type="pct"/>
            <w:gridSpan w:val="9"/>
            <w:tcBorders>
              <w:top w:val="single" w:sz="4" w:space="0" w:color="auto"/>
              <w:left w:val="single" w:sz="4" w:space="0" w:color="auto"/>
              <w:bottom w:val="single" w:sz="4" w:space="0" w:color="auto"/>
              <w:right w:val="nil"/>
            </w:tcBorders>
            <w:hideMark/>
          </w:tcPr>
          <w:p w14:paraId="0141CEB8"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Soil depth(m)</w:t>
            </w:r>
          </w:p>
        </w:tc>
        <w:tc>
          <w:tcPr>
            <w:tcW w:w="413" w:type="pct"/>
            <w:tcBorders>
              <w:top w:val="single" w:sz="4" w:space="0" w:color="auto"/>
              <w:left w:val="nil"/>
              <w:bottom w:val="single" w:sz="4" w:space="0" w:color="auto"/>
              <w:right w:val="nil"/>
            </w:tcBorders>
          </w:tcPr>
          <w:p w14:paraId="54A4192C" w14:textId="77777777" w:rsidR="00436887" w:rsidRPr="001302AD" w:rsidRDefault="00436887" w:rsidP="00843265">
            <w:pPr>
              <w:autoSpaceDE w:val="0"/>
              <w:autoSpaceDN w:val="0"/>
              <w:adjustRightInd w:val="0"/>
              <w:jc w:val="both"/>
              <w:rPr>
                <w:rFonts w:ascii="Times New Roman" w:eastAsia="Calibri" w:hAnsi="Times New Roman"/>
                <w:sz w:val="20"/>
                <w:szCs w:val="20"/>
              </w:rPr>
            </w:pPr>
          </w:p>
        </w:tc>
      </w:tr>
      <w:tr w:rsidR="00436887" w:rsidRPr="001302AD" w14:paraId="2B76B5A4" w14:textId="77777777" w:rsidTr="00BC0A37">
        <w:trPr>
          <w:trHeight w:val="245"/>
        </w:trPr>
        <w:tc>
          <w:tcPr>
            <w:tcW w:w="848" w:type="pct"/>
            <w:vMerge/>
            <w:tcBorders>
              <w:top w:val="single" w:sz="4" w:space="0" w:color="auto"/>
              <w:left w:val="nil"/>
              <w:bottom w:val="single" w:sz="4" w:space="0" w:color="auto"/>
              <w:right w:val="single" w:sz="4" w:space="0" w:color="auto"/>
            </w:tcBorders>
            <w:vAlign w:val="center"/>
            <w:hideMark/>
          </w:tcPr>
          <w:p w14:paraId="1737FF51" w14:textId="77777777" w:rsidR="00436887" w:rsidRPr="001302AD" w:rsidRDefault="00436887" w:rsidP="00843265">
            <w:pPr>
              <w:rPr>
                <w:rFonts w:ascii="Times New Roman" w:hAnsi="Times New Roman"/>
                <w:sz w:val="20"/>
                <w:szCs w:val="20"/>
              </w:rPr>
            </w:pPr>
          </w:p>
        </w:tc>
        <w:tc>
          <w:tcPr>
            <w:tcW w:w="425" w:type="pct"/>
            <w:tcBorders>
              <w:top w:val="single" w:sz="4" w:space="0" w:color="auto"/>
              <w:left w:val="single" w:sz="4" w:space="0" w:color="auto"/>
              <w:bottom w:val="single" w:sz="4" w:space="0" w:color="auto"/>
              <w:right w:val="nil"/>
            </w:tcBorders>
            <w:hideMark/>
          </w:tcPr>
          <w:p w14:paraId="5A4A7CE6"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0-0.2</w:t>
            </w:r>
          </w:p>
        </w:tc>
        <w:tc>
          <w:tcPr>
            <w:tcW w:w="473" w:type="pct"/>
            <w:tcBorders>
              <w:top w:val="single" w:sz="4" w:space="0" w:color="auto"/>
              <w:left w:val="nil"/>
              <w:bottom w:val="single" w:sz="4" w:space="0" w:color="auto"/>
              <w:right w:val="nil"/>
            </w:tcBorders>
            <w:hideMark/>
          </w:tcPr>
          <w:p w14:paraId="76A65F6A"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0.2-0.4</w:t>
            </w:r>
          </w:p>
        </w:tc>
        <w:tc>
          <w:tcPr>
            <w:tcW w:w="473" w:type="pct"/>
            <w:tcBorders>
              <w:top w:val="single" w:sz="4" w:space="0" w:color="auto"/>
              <w:left w:val="nil"/>
              <w:bottom w:val="single" w:sz="4" w:space="0" w:color="auto"/>
              <w:right w:val="single" w:sz="4" w:space="0" w:color="auto"/>
            </w:tcBorders>
            <w:hideMark/>
          </w:tcPr>
          <w:p w14:paraId="67A759DF"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0.4-0.6</w:t>
            </w:r>
          </w:p>
        </w:tc>
        <w:tc>
          <w:tcPr>
            <w:tcW w:w="425" w:type="pct"/>
            <w:tcBorders>
              <w:top w:val="single" w:sz="4" w:space="0" w:color="auto"/>
              <w:left w:val="single" w:sz="4" w:space="0" w:color="auto"/>
              <w:bottom w:val="single" w:sz="4" w:space="0" w:color="auto"/>
              <w:right w:val="nil"/>
            </w:tcBorders>
            <w:hideMark/>
          </w:tcPr>
          <w:p w14:paraId="1A2F9D4D"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0-0.2</w:t>
            </w:r>
          </w:p>
        </w:tc>
        <w:tc>
          <w:tcPr>
            <w:tcW w:w="473" w:type="pct"/>
            <w:tcBorders>
              <w:top w:val="single" w:sz="4" w:space="0" w:color="auto"/>
              <w:left w:val="nil"/>
              <w:bottom w:val="single" w:sz="4" w:space="0" w:color="auto"/>
              <w:right w:val="nil"/>
            </w:tcBorders>
            <w:hideMark/>
          </w:tcPr>
          <w:p w14:paraId="2FB24BEB"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0.2-0.4</w:t>
            </w:r>
          </w:p>
        </w:tc>
        <w:tc>
          <w:tcPr>
            <w:tcW w:w="473" w:type="pct"/>
            <w:tcBorders>
              <w:top w:val="single" w:sz="4" w:space="0" w:color="auto"/>
              <w:left w:val="nil"/>
              <w:bottom w:val="single" w:sz="4" w:space="0" w:color="auto"/>
              <w:right w:val="single" w:sz="4" w:space="0" w:color="auto"/>
            </w:tcBorders>
            <w:hideMark/>
          </w:tcPr>
          <w:p w14:paraId="66175202"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0.4-0.6</w:t>
            </w:r>
          </w:p>
        </w:tc>
        <w:tc>
          <w:tcPr>
            <w:tcW w:w="425" w:type="pct"/>
            <w:tcBorders>
              <w:top w:val="single" w:sz="4" w:space="0" w:color="auto"/>
              <w:left w:val="single" w:sz="4" w:space="0" w:color="auto"/>
              <w:bottom w:val="single" w:sz="4" w:space="0" w:color="auto"/>
              <w:right w:val="nil"/>
            </w:tcBorders>
            <w:hideMark/>
          </w:tcPr>
          <w:p w14:paraId="27B1F630"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0-0.2</w:t>
            </w:r>
          </w:p>
        </w:tc>
        <w:tc>
          <w:tcPr>
            <w:tcW w:w="473" w:type="pct"/>
            <w:tcBorders>
              <w:top w:val="single" w:sz="4" w:space="0" w:color="auto"/>
              <w:left w:val="nil"/>
              <w:bottom w:val="single" w:sz="4" w:space="0" w:color="auto"/>
              <w:right w:val="nil"/>
            </w:tcBorders>
            <w:hideMark/>
          </w:tcPr>
          <w:p w14:paraId="713E52A5"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0.2-0.4</w:t>
            </w:r>
          </w:p>
        </w:tc>
        <w:tc>
          <w:tcPr>
            <w:tcW w:w="514" w:type="pct"/>
            <w:gridSpan w:val="2"/>
            <w:tcBorders>
              <w:top w:val="single" w:sz="4" w:space="0" w:color="auto"/>
              <w:left w:val="nil"/>
              <w:bottom w:val="single" w:sz="4" w:space="0" w:color="auto"/>
              <w:right w:val="nil"/>
            </w:tcBorders>
            <w:hideMark/>
          </w:tcPr>
          <w:p w14:paraId="7EF58185"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0.4-0.6</w:t>
            </w:r>
          </w:p>
        </w:tc>
      </w:tr>
      <w:tr w:rsidR="00436887" w:rsidRPr="001302AD" w14:paraId="69244C1B" w14:textId="77777777" w:rsidTr="00BC0A37">
        <w:tc>
          <w:tcPr>
            <w:tcW w:w="848" w:type="pct"/>
            <w:tcBorders>
              <w:top w:val="single" w:sz="4" w:space="0" w:color="auto"/>
              <w:left w:val="nil"/>
              <w:bottom w:val="nil"/>
              <w:right w:val="single" w:sz="4" w:space="0" w:color="auto"/>
            </w:tcBorders>
            <w:hideMark/>
          </w:tcPr>
          <w:p w14:paraId="042324D5"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color w:val="000000"/>
                <w:sz w:val="20"/>
                <w:szCs w:val="20"/>
              </w:rPr>
              <w:t>20 t ha</w:t>
            </w:r>
            <w:r w:rsidRPr="001302AD">
              <w:rPr>
                <w:rFonts w:ascii="Times New Roman" w:eastAsia="Calibri" w:hAnsi="Times New Roman"/>
                <w:color w:val="000000"/>
                <w:sz w:val="20"/>
                <w:szCs w:val="20"/>
                <w:vertAlign w:val="superscript"/>
              </w:rPr>
              <w:t>-1</w:t>
            </w:r>
            <w:r w:rsidRPr="001302AD">
              <w:rPr>
                <w:rFonts w:ascii="Times New Roman" w:eastAsia="Calibri" w:hAnsi="Times New Roman"/>
                <w:color w:val="000000"/>
                <w:sz w:val="20"/>
                <w:szCs w:val="20"/>
              </w:rPr>
              <w:t xml:space="preserve"> mulch</w:t>
            </w:r>
          </w:p>
        </w:tc>
        <w:tc>
          <w:tcPr>
            <w:tcW w:w="425" w:type="pct"/>
            <w:tcBorders>
              <w:top w:val="single" w:sz="4" w:space="0" w:color="auto"/>
              <w:left w:val="single" w:sz="4" w:space="0" w:color="auto"/>
              <w:bottom w:val="nil"/>
              <w:right w:val="nil"/>
            </w:tcBorders>
            <w:hideMark/>
          </w:tcPr>
          <w:p w14:paraId="5348A119"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24.69</w:t>
            </w:r>
            <w:r w:rsidRPr="001302AD">
              <w:rPr>
                <w:rFonts w:ascii="Times New Roman" w:eastAsia="Calibri" w:hAnsi="Times New Roman"/>
                <w:sz w:val="20"/>
                <w:szCs w:val="20"/>
                <w:vertAlign w:val="superscript"/>
              </w:rPr>
              <w:t>a</w:t>
            </w:r>
          </w:p>
        </w:tc>
        <w:tc>
          <w:tcPr>
            <w:tcW w:w="473" w:type="pct"/>
            <w:tcBorders>
              <w:top w:val="single" w:sz="4" w:space="0" w:color="auto"/>
              <w:left w:val="nil"/>
              <w:bottom w:val="nil"/>
              <w:right w:val="nil"/>
            </w:tcBorders>
            <w:hideMark/>
          </w:tcPr>
          <w:p w14:paraId="24590BE2"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24.59</w:t>
            </w:r>
            <w:r w:rsidRPr="001302AD">
              <w:rPr>
                <w:rFonts w:ascii="Times New Roman" w:eastAsia="Calibri" w:hAnsi="Times New Roman"/>
                <w:sz w:val="20"/>
                <w:szCs w:val="20"/>
                <w:vertAlign w:val="superscript"/>
              </w:rPr>
              <w:t>a</w:t>
            </w:r>
          </w:p>
        </w:tc>
        <w:tc>
          <w:tcPr>
            <w:tcW w:w="473" w:type="pct"/>
            <w:tcBorders>
              <w:top w:val="single" w:sz="4" w:space="0" w:color="auto"/>
              <w:left w:val="nil"/>
              <w:bottom w:val="nil"/>
              <w:right w:val="single" w:sz="4" w:space="0" w:color="auto"/>
            </w:tcBorders>
            <w:hideMark/>
          </w:tcPr>
          <w:p w14:paraId="0729A1BD"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24.81</w:t>
            </w:r>
            <w:r w:rsidRPr="001302AD">
              <w:rPr>
                <w:rFonts w:ascii="Times New Roman" w:eastAsia="Calibri" w:hAnsi="Times New Roman"/>
                <w:sz w:val="20"/>
                <w:szCs w:val="20"/>
                <w:vertAlign w:val="superscript"/>
              </w:rPr>
              <w:t>a</w:t>
            </w:r>
          </w:p>
        </w:tc>
        <w:tc>
          <w:tcPr>
            <w:tcW w:w="425" w:type="pct"/>
            <w:tcBorders>
              <w:top w:val="single" w:sz="4" w:space="0" w:color="auto"/>
              <w:left w:val="single" w:sz="4" w:space="0" w:color="auto"/>
              <w:bottom w:val="nil"/>
              <w:right w:val="nil"/>
            </w:tcBorders>
            <w:hideMark/>
          </w:tcPr>
          <w:p w14:paraId="632E91D2"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25.52</w:t>
            </w:r>
            <w:r w:rsidRPr="001302AD">
              <w:rPr>
                <w:rFonts w:ascii="Times New Roman" w:eastAsia="Calibri" w:hAnsi="Times New Roman"/>
                <w:sz w:val="20"/>
                <w:szCs w:val="20"/>
                <w:vertAlign w:val="superscript"/>
              </w:rPr>
              <w:t>a</w:t>
            </w:r>
          </w:p>
        </w:tc>
        <w:tc>
          <w:tcPr>
            <w:tcW w:w="473" w:type="pct"/>
            <w:tcBorders>
              <w:top w:val="single" w:sz="4" w:space="0" w:color="auto"/>
              <w:left w:val="nil"/>
              <w:bottom w:val="nil"/>
              <w:right w:val="nil"/>
            </w:tcBorders>
            <w:hideMark/>
          </w:tcPr>
          <w:p w14:paraId="0C9D0E0B"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24.23</w:t>
            </w:r>
            <w:r w:rsidRPr="001302AD">
              <w:rPr>
                <w:rFonts w:ascii="Times New Roman" w:eastAsia="Calibri" w:hAnsi="Times New Roman"/>
                <w:sz w:val="20"/>
                <w:szCs w:val="20"/>
                <w:vertAlign w:val="superscript"/>
              </w:rPr>
              <w:t>a</w:t>
            </w:r>
          </w:p>
        </w:tc>
        <w:tc>
          <w:tcPr>
            <w:tcW w:w="473" w:type="pct"/>
            <w:tcBorders>
              <w:top w:val="single" w:sz="4" w:space="0" w:color="auto"/>
              <w:left w:val="nil"/>
              <w:bottom w:val="nil"/>
              <w:right w:val="single" w:sz="4" w:space="0" w:color="auto"/>
            </w:tcBorders>
            <w:hideMark/>
          </w:tcPr>
          <w:p w14:paraId="00306CEE"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25.04</w:t>
            </w:r>
            <w:r w:rsidRPr="001302AD">
              <w:rPr>
                <w:rFonts w:ascii="Times New Roman" w:eastAsia="Calibri" w:hAnsi="Times New Roman"/>
                <w:sz w:val="20"/>
                <w:szCs w:val="20"/>
                <w:vertAlign w:val="superscript"/>
              </w:rPr>
              <w:t>a</w:t>
            </w:r>
          </w:p>
        </w:tc>
        <w:tc>
          <w:tcPr>
            <w:tcW w:w="425" w:type="pct"/>
            <w:tcBorders>
              <w:top w:val="single" w:sz="4" w:space="0" w:color="auto"/>
              <w:left w:val="single" w:sz="4" w:space="0" w:color="auto"/>
              <w:bottom w:val="nil"/>
              <w:right w:val="nil"/>
            </w:tcBorders>
            <w:vAlign w:val="center"/>
            <w:hideMark/>
          </w:tcPr>
          <w:p w14:paraId="5CCF8B06"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23.51</w:t>
            </w:r>
            <w:r w:rsidRPr="001302AD">
              <w:rPr>
                <w:rFonts w:ascii="Times New Roman" w:eastAsia="Calibri" w:hAnsi="Times New Roman"/>
                <w:color w:val="000000"/>
                <w:sz w:val="20"/>
                <w:szCs w:val="20"/>
                <w:vertAlign w:val="superscript"/>
              </w:rPr>
              <w:t>a</w:t>
            </w:r>
          </w:p>
        </w:tc>
        <w:tc>
          <w:tcPr>
            <w:tcW w:w="473" w:type="pct"/>
            <w:tcBorders>
              <w:top w:val="single" w:sz="4" w:space="0" w:color="auto"/>
              <w:left w:val="nil"/>
              <w:bottom w:val="nil"/>
              <w:right w:val="nil"/>
            </w:tcBorders>
            <w:vAlign w:val="center"/>
            <w:hideMark/>
          </w:tcPr>
          <w:p w14:paraId="21155799"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24.57</w:t>
            </w:r>
            <w:r w:rsidRPr="001302AD">
              <w:rPr>
                <w:rFonts w:ascii="Times New Roman" w:eastAsia="Calibri" w:hAnsi="Times New Roman"/>
                <w:color w:val="000000"/>
                <w:sz w:val="20"/>
                <w:szCs w:val="20"/>
                <w:vertAlign w:val="superscript"/>
              </w:rPr>
              <w:t>a</w:t>
            </w:r>
          </w:p>
        </w:tc>
        <w:tc>
          <w:tcPr>
            <w:tcW w:w="514" w:type="pct"/>
            <w:gridSpan w:val="2"/>
            <w:tcBorders>
              <w:top w:val="single" w:sz="4" w:space="0" w:color="auto"/>
              <w:left w:val="nil"/>
              <w:bottom w:val="nil"/>
              <w:right w:val="nil"/>
            </w:tcBorders>
            <w:vAlign w:val="center"/>
            <w:hideMark/>
          </w:tcPr>
          <w:p w14:paraId="4ACE5875"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24.32</w:t>
            </w:r>
            <w:r w:rsidRPr="001302AD">
              <w:rPr>
                <w:rFonts w:ascii="Times New Roman" w:eastAsia="Calibri" w:hAnsi="Times New Roman"/>
                <w:color w:val="000000"/>
                <w:sz w:val="20"/>
                <w:szCs w:val="20"/>
                <w:vertAlign w:val="superscript"/>
              </w:rPr>
              <w:t>a</w:t>
            </w:r>
          </w:p>
        </w:tc>
      </w:tr>
      <w:tr w:rsidR="00436887" w:rsidRPr="001302AD" w14:paraId="191967BB" w14:textId="77777777" w:rsidTr="00BC0A37">
        <w:tc>
          <w:tcPr>
            <w:tcW w:w="848" w:type="pct"/>
            <w:tcBorders>
              <w:top w:val="nil"/>
              <w:left w:val="nil"/>
              <w:bottom w:val="nil"/>
              <w:right w:val="single" w:sz="4" w:space="0" w:color="auto"/>
            </w:tcBorders>
            <w:hideMark/>
          </w:tcPr>
          <w:p w14:paraId="30888C37"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color w:val="000000"/>
                <w:sz w:val="20"/>
                <w:szCs w:val="20"/>
              </w:rPr>
              <w:t>15 t ha</w:t>
            </w:r>
            <w:r w:rsidRPr="001302AD">
              <w:rPr>
                <w:rFonts w:ascii="Times New Roman" w:eastAsia="Calibri" w:hAnsi="Times New Roman"/>
                <w:color w:val="000000"/>
                <w:sz w:val="20"/>
                <w:szCs w:val="20"/>
                <w:vertAlign w:val="superscript"/>
              </w:rPr>
              <w:t>-1</w:t>
            </w:r>
            <w:r w:rsidRPr="001302AD">
              <w:rPr>
                <w:rFonts w:ascii="Times New Roman" w:eastAsia="Calibri" w:hAnsi="Times New Roman"/>
                <w:color w:val="000000"/>
                <w:sz w:val="20"/>
                <w:szCs w:val="20"/>
              </w:rPr>
              <w:t xml:space="preserve"> mulch</w:t>
            </w:r>
          </w:p>
        </w:tc>
        <w:tc>
          <w:tcPr>
            <w:tcW w:w="425" w:type="pct"/>
            <w:tcBorders>
              <w:top w:val="nil"/>
              <w:left w:val="single" w:sz="4" w:space="0" w:color="auto"/>
              <w:bottom w:val="nil"/>
              <w:right w:val="nil"/>
            </w:tcBorders>
            <w:hideMark/>
          </w:tcPr>
          <w:p w14:paraId="0177DCBF"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23.51</w:t>
            </w:r>
            <w:r w:rsidRPr="001302AD">
              <w:rPr>
                <w:rFonts w:ascii="Times New Roman" w:eastAsia="Calibri" w:hAnsi="Times New Roman"/>
                <w:sz w:val="20"/>
                <w:szCs w:val="20"/>
                <w:vertAlign w:val="superscript"/>
              </w:rPr>
              <w:t>b</w:t>
            </w:r>
          </w:p>
        </w:tc>
        <w:tc>
          <w:tcPr>
            <w:tcW w:w="473" w:type="pct"/>
            <w:tcBorders>
              <w:top w:val="nil"/>
              <w:left w:val="nil"/>
              <w:bottom w:val="nil"/>
              <w:right w:val="nil"/>
            </w:tcBorders>
            <w:hideMark/>
          </w:tcPr>
          <w:p w14:paraId="6E5C38CA"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23.82</w:t>
            </w:r>
            <w:r w:rsidRPr="001302AD">
              <w:rPr>
                <w:rFonts w:ascii="Times New Roman" w:eastAsia="Calibri" w:hAnsi="Times New Roman"/>
                <w:sz w:val="20"/>
                <w:szCs w:val="20"/>
                <w:vertAlign w:val="superscript"/>
              </w:rPr>
              <w:t>b</w:t>
            </w:r>
          </w:p>
        </w:tc>
        <w:tc>
          <w:tcPr>
            <w:tcW w:w="473" w:type="pct"/>
            <w:tcBorders>
              <w:top w:val="nil"/>
              <w:left w:val="nil"/>
              <w:bottom w:val="nil"/>
              <w:right w:val="single" w:sz="4" w:space="0" w:color="auto"/>
            </w:tcBorders>
            <w:hideMark/>
          </w:tcPr>
          <w:p w14:paraId="62FBA06F"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23.91</w:t>
            </w:r>
            <w:r w:rsidRPr="001302AD">
              <w:rPr>
                <w:rFonts w:ascii="Times New Roman" w:eastAsia="Calibri" w:hAnsi="Times New Roman"/>
                <w:sz w:val="20"/>
                <w:szCs w:val="20"/>
                <w:vertAlign w:val="superscript"/>
              </w:rPr>
              <w:t>b</w:t>
            </w:r>
          </w:p>
        </w:tc>
        <w:tc>
          <w:tcPr>
            <w:tcW w:w="425" w:type="pct"/>
            <w:tcBorders>
              <w:top w:val="nil"/>
              <w:left w:val="single" w:sz="4" w:space="0" w:color="auto"/>
              <w:bottom w:val="nil"/>
              <w:right w:val="nil"/>
            </w:tcBorders>
            <w:hideMark/>
          </w:tcPr>
          <w:p w14:paraId="6A469BDC"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23.25</w:t>
            </w:r>
            <w:r w:rsidRPr="001302AD">
              <w:rPr>
                <w:rFonts w:ascii="Times New Roman" w:eastAsia="Calibri" w:hAnsi="Times New Roman"/>
                <w:sz w:val="20"/>
                <w:szCs w:val="20"/>
                <w:vertAlign w:val="superscript"/>
              </w:rPr>
              <w:t>b</w:t>
            </w:r>
          </w:p>
        </w:tc>
        <w:tc>
          <w:tcPr>
            <w:tcW w:w="473" w:type="pct"/>
            <w:tcBorders>
              <w:top w:val="nil"/>
              <w:left w:val="nil"/>
              <w:bottom w:val="nil"/>
              <w:right w:val="nil"/>
            </w:tcBorders>
            <w:hideMark/>
          </w:tcPr>
          <w:p w14:paraId="31D64973"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23.16</w:t>
            </w:r>
            <w:r w:rsidRPr="001302AD">
              <w:rPr>
                <w:rFonts w:ascii="Times New Roman" w:eastAsia="Calibri" w:hAnsi="Times New Roman"/>
                <w:sz w:val="20"/>
                <w:szCs w:val="20"/>
                <w:vertAlign w:val="superscript"/>
              </w:rPr>
              <w:t>b</w:t>
            </w:r>
          </w:p>
        </w:tc>
        <w:tc>
          <w:tcPr>
            <w:tcW w:w="473" w:type="pct"/>
            <w:tcBorders>
              <w:top w:val="nil"/>
              <w:left w:val="nil"/>
              <w:bottom w:val="nil"/>
              <w:right w:val="single" w:sz="4" w:space="0" w:color="auto"/>
            </w:tcBorders>
            <w:hideMark/>
          </w:tcPr>
          <w:p w14:paraId="04CC844B"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24.58</w:t>
            </w:r>
            <w:r w:rsidRPr="001302AD">
              <w:rPr>
                <w:rFonts w:ascii="Times New Roman" w:eastAsia="Calibri" w:hAnsi="Times New Roman"/>
                <w:sz w:val="20"/>
                <w:szCs w:val="20"/>
                <w:vertAlign w:val="superscript"/>
              </w:rPr>
              <w:t>a</w:t>
            </w:r>
          </w:p>
        </w:tc>
        <w:tc>
          <w:tcPr>
            <w:tcW w:w="425" w:type="pct"/>
            <w:tcBorders>
              <w:top w:val="nil"/>
              <w:left w:val="single" w:sz="4" w:space="0" w:color="auto"/>
              <w:bottom w:val="nil"/>
              <w:right w:val="nil"/>
            </w:tcBorders>
            <w:vAlign w:val="center"/>
            <w:hideMark/>
          </w:tcPr>
          <w:p w14:paraId="34FBD79C"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22.07</w:t>
            </w:r>
            <w:r w:rsidRPr="001302AD">
              <w:rPr>
                <w:rFonts w:ascii="Times New Roman" w:eastAsia="Calibri" w:hAnsi="Times New Roman"/>
                <w:color w:val="000000"/>
                <w:sz w:val="20"/>
                <w:szCs w:val="20"/>
                <w:vertAlign w:val="superscript"/>
              </w:rPr>
              <w:t>b</w:t>
            </w:r>
          </w:p>
        </w:tc>
        <w:tc>
          <w:tcPr>
            <w:tcW w:w="473" w:type="pct"/>
            <w:tcBorders>
              <w:top w:val="nil"/>
              <w:left w:val="nil"/>
              <w:bottom w:val="nil"/>
              <w:right w:val="nil"/>
            </w:tcBorders>
            <w:vAlign w:val="center"/>
            <w:hideMark/>
          </w:tcPr>
          <w:p w14:paraId="3C8B5583"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23.04</w:t>
            </w:r>
            <w:r w:rsidRPr="001302AD">
              <w:rPr>
                <w:rFonts w:ascii="Times New Roman" w:eastAsia="Calibri" w:hAnsi="Times New Roman"/>
                <w:color w:val="000000"/>
                <w:sz w:val="20"/>
                <w:szCs w:val="20"/>
                <w:vertAlign w:val="superscript"/>
              </w:rPr>
              <w:t>ab</w:t>
            </w:r>
          </w:p>
        </w:tc>
        <w:tc>
          <w:tcPr>
            <w:tcW w:w="514" w:type="pct"/>
            <w:gridSpan w:val="2"/>
            <w:tcBorders>
              <w:top w:val="nil"/>
              <w:left w:val="nil"/>
              <w:bottom w:val="nil"/>
              <w:right w:val="nil"/>
            </w:tcBorders>
            <w:vAlign w:val="center"/>
            <w:hideMark/>
          </w:tcPr>
          <w:p w14:paraId="485C5443"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23.21</w:t>
            </w:r>
            <w:r w:rsidRPr="001302AD">
              <w:rPr>
                <w:rFonts w:ascii="Times New Roman" w:eastAsia="Calibri" w:hAnsi="Times New Roman"/>
                <w:color w:val="000000"/>
                <w:sz w:val="20"/>
                <w:szCs w:val="20"/>
                <w:vertAlign w:val="superscript"/>
              </w:rPr>
              <w:t>ab</w:t>
            </w:r>
          </w:p>
        </w:tc>
      </w:tr>
      <w:tr w:rsidR="00436887" w:rsidRPr="001302AD" w14:paraId="7813BDAC" w14:textId="77777777" w:rsidTr="00BC0A37">
        <w:tc>
          <w:tcPr>
            <w:tcW w:w="848" w:type="pct"/>
            <w:tcBorders>
              <w:top w:val="nil"/>
              <w:left w:val="nil"/>
              <w:bottom w:val="nil"/>
              <w:right w:val="single" w:sz="4" w:space="0" w:color="auto"/>
            </w:tcBorders>
            <w:hideMark/>
          </w:tcPr>
          <w:p w14:paraId="7EAD3F28" w14:textId="77777777" w:rsidR="00436887" w:rsidRPr="001302AD" w:rsidRDefault="00436887" w:rsidP="00843265">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 t ha</w:t>
            </w:r>
            <w:r w:rsidRPr="001302AD">
              <w:rPr>
                <w:rFonts w:ascii="Times New Roman" w:eastAsia="Calibri" w:hAnsi="Times New Roman"/>
                <w:color w:val="000000"/>
                <w:sz w:val="20"/>
                <w:szCs w:val="20"/>
                <w:vertAlign w:val="superscript"/>
              </w:rPr>
              <w:t>-1</w:t>
            </w:r>
            <w:r w:rsidRPr="001302AD">
              <w:rPr>
                <w:rFonts w:ascii="Times New Roman" w:eastAsia="Calibri" w:hAnsi="Times New Roman"/>
                <w:color w:val="000000"/>
                <w:sz w:val="20"/>
                <w:szCs w:val="20"/>
              </w:rPr>
              <w:t xml:space="preserve"> mulch</w:t>
            </w:r>
          </w:p>
        </w:tc>
        <w:tc>
          <w:tcPr>
            <w:tcW w:w="425" w:type="pct"/>
            <w:tcBorders>
              <w:top w:val="nil"/>
              <w:left w:val="single" w:sz="4" w:space="0" w:color="auto"/>
              <w:bottom w:val="nil"/>
              <w:right w:val="nil"/>
            </w:tcBorders>
            <w:hideMark/>
          </w:tcPr>
          <w:p w14:paraId="575CD3A5"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23.2</w:t>
            </w:r>
            <w:r w:rsidRPr="001302AD">
              <w:rPr>
                <w:rFonts w:ascii="Times New Roman" w:eastAsia="Calibri" w:hAnsi="Times New Roman"/>
                <w:sz w:val="20"/>
                <w:szCs w:val="20"/>
                <w:vertAlign w:val="superscript"/>
              </w:rPr>
              <w:t>b</w:t>
            </w:r>
          </w:p>
        </w:tc>
        <w:tc>
          <w:tcPr>
            <w:tcW w:w="473" w:type="pct"/>
            <w:tcBorders>
              <w:top w:val="nil"/>
              <w:left w:val="nil"/>
              <w:bottom w:val="nil"/>
              <w:right w:val="nil"/>
            </w:tcBorders>
            <w:hideMark/>
          </w:tcPr>
          <w:p w14:paraId="1F30535C"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23.12</w:t>
            </w:r>
            <w:r w:rsidRPr="001302AD">
              <w:rPr>
                <w:rFonts w:ascii="Times New Roman" w:eastAsia="Calibri" w:hAnsi="Times New Roman"/>
                <w:sz w:val="20"/>
                <w:szCs w:val="20"/>
                <w:vertAlign w:val="superscript"/>
              </w:rPr>
              <w:t>c</w:t>
            </w:r>
          </w:p>
        </w:tc>
        <w:tc>
          <w:tcPr>
            <w:tcW w:w="473" w:type="pct"/>
            <w:tcBorders>
              <w:top w:val="nil"/>
              <w:left w:val="nil"/>
              <w:bottom w:val="nil"/>
              <w:right w:val="single" w:sz="4" w:space="0" w:color="auto"/>
            </w:tcBorders>
            <w:hideMark/>
          </w:tcPr>
          <w:p w14:paraId="1BFAB1E9"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22.93</w:t>
            </w:r>
            <w:r w:rsidRPr="001302AD">
              <w:rPr>
                <w:rFonts w:ascii="Times New Roman" w:eastAsia="Calibri" w:hAnsi="Times New Roman"/>
                <w:sz w:val="20"/>
                <w:szCs w:val="20"/>
                <w:vertAlign w:val="superscript"/>
              </w:rPr>
              <w:t>c</w:t>
            </w:r>
          </w:p>
        </w:tc>
        <w:tc>
          <w:tcPr>
            <w:tcW w:w="425" w:type="pct"/>
            <w:tcBorders>
              <w:top w:val="nil"/>
              <w:left w:val="single" w:sz="4" w:space="0" w:color="auto"/>
              <w:bottom w:val="nil"/>
              <w:right w:val="nil"/>
            </w:tcBorders>
            <w:hideMark/>
          </w:tcPr>
          <w:p w14:paraId="7B88080A"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21.72</w:t>
            </w:r>
            <w:r w:rsidRPr="001302AD">
              <w:rPr>
                <w:rFonts w:ascii="Times New Roman" w:eastAsia="Calibri" w:hAnsi="Times New Roman"/>
                <w:sz w:val="20"/>
                <w:szCs w:val="20"/>
                <w:vertAlign w:val="superscript"/>
              </w:rPr>
              <w:t>c</w:t>
            </w:r>
          </w:p>
        </w:tc>
        <w:tc>
          <w:tcPr>
            <w:tcW w:w="473" w:type="pct"/>
            <w:tcBorders>
              <w:top w:val="nil"/>
              <w:left w:val="nil"/>
              <w:bottom w:val="nil"/>
              <w:right w:val="nil"/>
            </w:tcBorders>
            <w:hideMark/>
          </w:tcPr>
          <w:p w14:paraId="2CA96404"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23.07</w:t>
            </w:r>
            <w:r w:rsidRPr="001302AD">
              <w:rPr>
                <w:rFonts w:ascii="Times New Roman" w:eastAsia="Calibri" w:hAnsi="Times New Roman"/>
                <w:sz w:val="20"/>
                <w:szCs w:val="20"/>
                <w:vertAlign w:val="superscript"/>
              </w:rPr>
              <w:t>b</w:t>
            </w:r>
          </w:p>
        </w:tc>
        <w:tc>
          <w:tcPr>
            <w:tcW w:w="473" w:type="pct"/>
            <w:tcBorders>
              <w:top w:val="nil"/>
              <w:left w:val="nil"/>
              <w:bottom w:val="nil"/>
              <w:right w:val="single" w:sz="4" w:space="0" w:color="auto"/>
            </w:tcBorders>
            <w:hideMark/>
          </w:tcPr>
          <w:p w14:paraId="796EB502"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23.89</w:t>
            </w:r>
            <w:r w:rsidRPr="001302AD">
              <w:rPr>
                <w:rFonts w:ascii="Times New Roman" w:eastAsia="Calibri" w:hAnsi="Times New Roman"/>
                <w:sz w:val="20"/>
                <w:szCs w:val="20"/>
                <w:vertAlign w:val="superscript"/>
              </w:rPr>
              <w:t>b</w:t>
            </w:r>
          </w:p>
        </w:tc>
        <w:tc>
          <w:tcPr>
            <w:tcW w:w="425" w:type="pct"/>
            <w:tcBorders>
              <w:top w:val="nil"/>
              <w:left w:val="single" w:sz="4" w:space="0" w:color="auto"/>
              <w:bottom w:val="nil"/>
              <w:right w:val="nil"/>
            </w:tcBorders>
            <w:vAlign w:val="center"/>
            <w:hideMark/>
          </w:tcPr>
          <w:p w14:paraId="2722F97A"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20.49</w:t>
            </w:r>
            <w:r w:rsidRPr="001302AD">
              <w:rPr>
                <w:rFonts w:ascii="Times New Roman" w:eastAsia="Calibri" w:hAnsi="Times New Roman"/>
                <w:color w:val="000000"/>
                <w:sz w:val="20"/>
                <w:szCs w:val="20"/>
                <w:vertAlign w:val="superscript"/>
              </w:rPr>
              <w:t>c</w:t>
            </w:r>
          </w:p>
        </w:tc>
        <w:tc>
          <w:tcPr>
            <w:tcW w:w="473" w:type="pct"/>
            <w:tcBorders>
              <w:top w:val="nil"/>
              <w:left w:val="nil"/>
              <w:bottom w:val="nil"/>
              <w:right w:val="nil"/>
            </w:tcBorders>
            <w:vAlign w:val="center"/>
            <w:hideMark/>
          </w:tcPr>
          <w:p w14:paraId="03C97898"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21.54</w:t>
            </w:r>
            <w:r w:rsidRPr="001302AD">
              <w:rPr>
                <w:rFonts w:ascii="Times New Roman" w:eastAsia="Calibri" w:hAnsi="Times New Roman"/>
                <w:color w:val="000000"/>
                <w:sz w:val="20"/>
                <w:szCs w:val="20"/>
                <w:vertAlign w:val="superscript"/>
              </w:rPr>
              <w:t>b</w:t>
            </w:r>
          </w:p>
        </w:tc>
        <w:tc>
          <w:tcPr>
            <w:tcW w:w="514" w:type="pct"/>
            <w:gridSpan w:val="2"/>
            <w:tcBorders>
              <w:top w:val="nil"/>
              <w:left w:val="nil"/>
              <w:bottom w:val="nil"/>
              <w:right w:val="nil"/>
            </w:tcBorders>
            <w:vAlign w:val="center"/>
            <w:hideMark/>
          </w:tcPr>
          <w:p w14:paraId="63240654"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22.12</w:t>
            </w:r>
            <w:r w:rsidRPr="001302AD">
              <w:rPr>
                <w:rFonts w:ascii="Times New Roman" w:eastAsia="Calibri" w:hAnsi="Times New Roman"/>
                <w:color w:val="000000"/>
                <w:sz w:val="20"/>
                <w:szCs w:val="20"/>
                <w:vertAlign w:val="superscript"/>
              </w:rPr>
              <w:t>b</w:t>
            </w:r>
          </w:p>
        </w:tc>
      </w:tr>
      <w:tr w:rsidR="00436887" w:rsidRPr="001302AD" w14:paraId="14390E20" w14:textId="77777777" w:rsidTr="00BC0A37">
        <w:tc>
          <w:tcPr>
            <w:tcW w:w="848" w:type="pct"/>
            <w:tcBorders>
              <w:top w:val="nil"/>
              <w:left w:val="nil"/>
              <w:bottom w:val="nil"/>
              <w:right w:val="single" w:sz="4" w:space="0" w:color="auto"/>
            </w:tcBorders>
            <w:hideMark/>
          </w:tcPr>
          <w:p w14:paraId="286064AD"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color w:val="000000"/>
                <w:sz w:val="20"/>
                <w:szCs w:val="20"/>
              </w:rPr>
              <w:t>5 t ha</w:t>
            </w:r>
            <w:r w:rsidRPr="001302AD">
              <w:rPr>
                <w:rFonts w:ascii="Times New Roman" w:eastAsia="Calibri" w:hAnsi="Times New Roman"/>
                <w:color w:val="000000"/>
                <w:sz w:val="20"/>
                <w:szCs w:val="20"/>
                <w:vertAlign w:val="superscript"/>
              </w:rPr>
              <w:t>-1</w:t>
            </w:r>
            <w:r w:rsidRPr="001302AD">
              <w:rPr>
                <w:rFonts w:ascii="Times New Roman" w:eastAsia="Calibri" w:hAnsi="Times New Roman"/>
                <w:color w:val="000000"/>
                <w:sz w:val="20"/>
                <w:szCs w:val="20"/>
              </w:rPr>
              <w:t xml:space="preserve"> mulch</w:t>
            </w:r>
          </w:p>
        </w:tc>
        <w:tc>
          <w:tcPr>
            <w:tcW w:w="425" w:type="pct"/>
            <w:tcBorders>
              <w:top w:val="nil"/>
              <w:left w:val="single" w:sz="4" w:space="0" w:color="auto"/>
              <w:bottom w:val="nil"/>
              <w:right w:val="nil"/>
            </w:tcBorders>
            <w:hideMark/>
          </w:tcPr>
          <w:p w14:paraId="1502F7A0"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21.78</w:t>
            </w:r>
            <w:r w:rsidRPr="001302AD">
              <w:rPr>
                <w:rFonts w:ascii="Times New Roman" w:eastAsia="Calibri" w:hAnsi="Times New Roman"/>
                <w:sz w:val="20"/>
                <w:szCs w:val="20"/>
                <w:vertAlign w:val="superscript"/>
              </w:rPr>
              <w:t>c</w:t>
            </w:r>
          </w:p>
        </w:tc>
        <w:tc>
          <w:tcPr>
            <w:tcW w:w="473" w:type="pct"/>
            <w:tcBorders>
              <w:top w:val="nil"/>
              <w:left w:val="nil"/>
              <w:bottom w:val="nil"/>
              <w:right w:val="nil"/>
            </w:tcBorders>
            <w:hideMark/>
          </w:tcPr>
          <w:p w14:paraId="2DE26023"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21.87</w:t>
            </w:r>
            <w:r w:rsidRPr="001302AD">
              <w:rPr>
                <w:rFonts w:ascii="Times New Roman" w:eastAsia="Calibri" w:hAnsi="Times New Roman"/>
                <w:sz w:val="20"/>
                <w:szCs w:val="20"/>
                <w:vertAlign w:val="superscript"/>
              </w:rPr>
              <w:t>d</w:t>
            </w:r>
          </w:p>
        </w:tc>
        <w:tc>
          <w:tcPr>
            <w:tcW w:w="473" w:type="pct"/>
            <w:tcBorders>
              <w:top w:val="nil"/>
              <w:left w:val="nil"/>
              <w:bottom w:val="nil"/>
              <w:right w:val="single" w:sz="4" w:space="0" w:color="auto"/>
            </w:tcBorders>
            <w:hideMark/>
          </w:tcPr>
          <w:p w14:paraId="608EDC3B"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21.94</w:t>
            </w:r>
            <w:r w:rsidRPr="001302AD">
              <w:rPr>
                <w:rFonts w:ascii="Times New Roman" w:eastAsia="Calibri" w:hAnsi="Times New Roman"/>
                <w:sz w:val="20"/>
                <w:szCs w:val="20"/>
                <w:vertAlign w:val="superscript"/>
              </w:rPr>
              <w:t>d</w:t>
            </w:r>
          </w:p>
        </w:tc>
        <w:tc>
          <w:tcPr>
            <w:tcW w:w="425" w:type="pct"/>
            <w:tcBorders>
              <w:top w:val="nil"/>
              <w:left w:val="single" w:sz="4" w:space="0" w:color="auto"/>
              <w:bottom w:val="nil"/>
              <w:right w:val="nil"/>
            </w:tcBorders>
            <w:hideMark/>
          </w:tcPr>
          <w:p w14:paraId="63A3A224"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21.4</w:t>
            </w:r>
            <w:r w:rsidRPr="001302AD">
              <w:rPr>
                <w:rFonts w:ascii="Times New Roman" w:eastAsia="Calibri" w:hAnsi="Times New Roman"/>
                <w:sz w:val="20"/>
                <w:szCs w:val="20"/>
                <w:vertAlign w:val="superscript"/>
              </w:rPr>
              <w:t>c</w:t>
            </w:r>
          </w:p>
        </w:tc>
        <w:tc>
          <w:tcPr>
            <w:tcW w:w="473" w:type="pct"/>
            <w:tcBorders>
              <w:top w:val="nil"/>
              <w:left w:val="nil"/>
              <w:bottom w:val="nil"/>
              <w:right w:val="nil"/>
            </w:tcBorders>
            <w:hideMark/>
          </w:tcPr>
          <w:p w14:paraId="17902FB3"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22.7</w:t>
            </w:r>
            <w:r w:rsidRPr="001302AD">
              <w:rPr>
                <w:rFonts w:ascii="Times New Roman" w:eastAsia="Calibri" w:hAnsi="Times New Roman"/>
                <w:sz w:val="20"/>
                <w:szCs w:val="20"/>
                <w:vertAlign w:val="superscript"/>
              </w:rPr>
              <w:t>b</w:t>
            </w:r>
          </w:p>
        </w:tc>
        <w:tc>
          <w:tcPr>
            <w:tcW w:w="473" w:type="pct"/>
            <w:tcBorders>
              <w:top w:val="nil"/>
              <w:left w:val="nil"/>
              <w:bottom w:val="nil"/>
              <w:right w:val="single" w:sz="4" w:space="0" w:color="auto"/>
            </w:tcBorders>
            <w:hideMark/>
          </w:tcPr>
          <w:p w14:paraId="118299BB"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23.31</w:t>
            </w:r>
            <w:r w:rsidRPr="001302AD">
              <w:rPr>
                <w:rFonts w:ascii="Times New Roman" w:eastAsia="Calibri" w:hAnsi="Times New Roman"/>
                <w:sz w:val="20"/>
                <w:szCs w:val="20"/>
                <w:vertAlign w:val="superscript"/>
              </w:rPr>
              <w:t>bc</w:t>
            </w:r>
          </w:p>
        </w:tc>
        <w:tc>
          <w:tcPr>
            <w:tcW w:w="425" w:type="pct"/>
            <w:tcBorders>
              <w:top w:val="nil"/>
              <w:left w:val="single" w:sz="4" w:space="0" w:color="auto"/>
              <w:bottom w:val="nil"/>
              <w:right w:val="nil"/>
            </w:tcBorders>
            <w:vAlign w:val="center"/>
            <w:hideMark/>
          </w:tcPr>
          <w:p w14:paraId="5A505B25"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19.21</w:t>
            </w:r>
            <w:r w:rsidRPr="001302AD">
              <w:rPr>
                <w:rFonts w:ascii="Times New Roman" w:eastAsia="Calibri" w:hAnsi="Times New Roman"/>
                <w:color w:val="000000"/>
                <w:sz w:val="20"/>
                <w:szCs w:val="20"/>
                <w:vertAlign w:val="superscript"/>
              </w:rPr>
              <w:t>d</w:t>
            </w:r>
          </w:p>
        </w:tc>
        <w:tc>
          <w:tcPr>
            <w:tcW w:w="473" w:type="pct"/>
            <w:tcBorders>
              <w:top w:val="nil"/>
              <w:left w:val="nil"/>
              <w:bottom w:val="nil"/>
              <w:right w:val="nil"/>
            </w:tcBorders>
            <w:vAlign w:val="center"/>
            <w:hideMark/>
          </w:tcPr>
          <w:p w14:paraId="57C58DD4"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19.65</w:t>
            </w:r>
            <w:r w:rsidRPr="001302AD">
              <w:rPr>
                <w:rFonts w:ascii="Times New Roman" w:eastAsia="Calibri" w:hAnsi="Times New Roman"/>
                <w:color w:val="000000"/>
                <w:sz w:val="20"/>
                <w:szCs w:val="20"/>
                <w:vertAlign w:val="superscript"/>
              </w:rPr>
              <w:t>c</w:t>
            </w:r>
          </w:p>
        </w:tc>
        <w:tc>
          <w:tcPr>
            <w:tcW w:w="514" w:type="pct"/>
            <w:gridSpan w:val="2"/>
            <w:tcBorders>
              <w:top w:val="nil"/>
              <w:left w:val="nil"/>
              <w:bottom w:val="nil"/>
              <w:right w:val="nil"/>
            </w:tcBorders>
            <w:vAlign w:val="center"/>
            <w:hideMark/>
          </w:tcPr>
          <w:p w14:paraId="50DEF3BA"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20.09</w:t>
            </w:r>
            <w:r w:rsidRPr="001302AD">
              <w:rPr>
                <w:rFonts w:ascii="Times New Roman" w:eastAsia="Calibri" w:hAnsi="Times New Roman"/>
                <w:color w:val="000000"/>
                <w:sz w:val="20"/>
                <w:szCs w:val="20"/>
                <w:vertAlign w:val="superscript"/>
              </w:rPr>
              <w:t>c</w:t>
            </w:r>
          </w:p>
        </w:tc>
      </w:tr>
      <w:tr w:rsidR="00436887" w:rsidRPr="001302AD" w14:paraId="632DAB82" w14:textId="77777777" w:rsidTr="00BC0A37">
        <w:tc>
          <w:tcPr>
            <w:tcW w:w="848" w:type="pct"/>
            <w:tcBorders>
              <w:top w:val="nil"/>
              <w:left w:val="nil"/>
              <w:bottom w:val="single" w:sz="4" w:space="0" w:color="auto"/>
              <w:right w:val="single" w:sz="4" w:space="0" w:color="auto"/>
            </w:tcBorders>
            <w:hideMark/>
          </w:tcPr>
          <w:p w14:paraId="6BDF9626"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color w:val="000000"/>
                <w:sz w:val="20"/>
                <w:szCs w:val="20"/>
              </w:rPr>
              <w:t>no mulch</w:t>
            </w:r>
          </w:p>
        </w:tc>
        <w:tc>
          <w:tcPr>
            <w:tcW w:w="425" w:type="pct"/>
            <w:tcBorders>
              <w:top w:val="nil"/>
              <w:left w:val="single" w:sz="4" w:space="0" w:color="auto"/>
              <w:bottom w:val="single" w:sz="4" w:space="0" w:color="auto"/>
              <w:right w:val="nil"/>
            </w:tcBorders>
            <w:hideMark/>
          </w:tcPr>
          <w:p w14:paraId="7B90164E"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20.99</w:t>
            </w:r>
            <w:r w:rsidRPr="001302AD">
              <w:rPr>
                <w:rFonts w:ascii="Times New Roman" w:eastAsia="Calibri" w:hAnsi="Times New Roman"/>
                <w:sz w:val="20"/>
                <w:szCs w:val="20"/>
                <w:vertAlign w:val="superscript"/>
              </w:rPr>
              <w:t>c</w:t>
            </w:r>
          </w:p>
        </w:tc>
        <w:tc>
          <w:tcPr>
            <w:tcW w:w="473" w:type="pct"/>
            <w:tcBorders>
              <w:top w:val="nil"/>
              <w:left w:val="nil"/>
              <w:bottom w:val="single" w:sz="4" w:space="0" w:color="auto"/>
              <w:right w:val="nil"/>
            </w:tcBorders>
            <w:hideMark/>
          </w:tcPr>
          <w:p w14:paraId="61B49AC1"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21.25</w:t>
            </w:r>
            <w:r w:rsidRPr="001302AD">
              <w:rPr>
                <w:rFonts w:ascii="Times New Roman" w:eastAsia="Calibri" w:hAnsi="Times New Roman"/>
                <w:sz w:val="20"/>
                <w:szCs w:val="20"/>
                <w:vertAlign w:val="superscript"/>
              </w:rPr>
              <w:t>d</w:t>
            </w:r>
          </w:p>
        </w:tc>
        <w:tc>
          <w:tcPr>
            <w:tcW w:w="473" w:type="pct"/>
            <w:tcBorders>
              <w:top w:val="nil"/>
              <w:left w:val="nil"/>
              <w:bottom w:val="single" w:sz="4" w:space="0" w:color="auto"/>
              <w:right w:val="single" w:sz="4" w:space="0" w:color="auto"/>
            </w:tcBorders>
            <w:hideMark/>
          </w:tcPr>
          <w:p w14:paraId="68A1D805"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21.01</w:t>
            </w:r>
            <w:r w:rsidRPr="001302AD">
              <w:rPr>
                <w:rFonts w:ascii="Times New Roman" w:eastAsia="Calibri" w:hAnsi="Times New Roman"/>
                <w:sz w:val="20"/>
                <w:szCs w:val="20"/>
                <w:vertAlign w:val="superscript"/>
              </w:rPr>
              <w:t>e</w:t>
            </w:r>
          </w:p>
        </w:tc>
        <w:tc>
          <w:tcPr>
            <w:tcW w:w="425" w:type="pct"/>
            <w:tcBorders>
              <w:top w:val="nil"/>
              <w:left w:val="single" w:sz="4" w:space="0" w:color="auto"/>
              <w:bottom w:val="single" w:sz="4" w:space="0" w:color="auto"/>
              <w:right w:val="nil"/>
            </w:tcBorders>
            <w:hideMark/>
          </w:tcPr>
          <w:p w14:paraId="23E925F7"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19.66</w:t>
            </w:r>
            <w:r w:rsidRPr="001302AD">
              <w:rPr>
                <w:rFonts w:ascii="Times New Roman" w:eastAsia="Calibri" w:hAnsi="Times New Roman"/>
                <w:sz w:val="20"/>
                <w:szCs w:val="20"/>
                <w:vertAlign w:val="superscript"/>
              </w:rPr>
              <w:t>d</w:t>
            </w:r>
          </w:p>
        </w:tc>
        <w:tc>
          <w:tcPr>
            <w:tcW w:w="473" w:type="pct"/>
            <w:tcBorders>
              <w:top w:val="nil"/>
              <w:left w:val="nil"/>
              <w:bottom w:val="single" w:sz="4" w:space="0" w:color="auto"/>
              <w:right w:val="nil"/>
            </w:tcBorders>
            <w:hideMark/>
          </w:tcPr>
          <w:p w14:paraId="426228A8"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21.92</w:t>
            </w:r>
            <w:r w:rsidRPr="001302AD">
              <w:rPr>
                <w:rFonts w:ascii="Times New Roman" w:eastAsia="Calibri" w:hAnsi="Times New Roman"/>
                <w:sz w:val="20"/>
                <w:szCs w:val="20"/>
                <w:vertAlign w:val="superscript"/>
              </w:rPr>
              <w:t>c</w:t>
            </w:r>
          </w:p>
        </w:tc>
        <w:tc>
          <w:tcPr>
            <w:tcW w:w="473" w:type="pct"/>
            <w:tcBorders>
              <w:top w:val="nil"/>
              <w:left w:val="nil"/>
              <w:bottom w:val="single" w:sz="4" w:space="0" w:color="auto"/>
              <w:right w:val="single" w:sz="4" w:space="0" w:color="auto"/>
            </w:tcBorders>
            <w:hideMark/>
          </w:tcPr>
          <w:p w14:paraId="4ABE8A26"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22.67</w:t>
            </w:r>
            <w:r w:rsidRPr="001302AD">
              <w:rPr>
                <w:rFonts w:ascii="Times New Roman" w:eastAsia="Calibri" w:hAnsi="Times New Roman"/>
                <w:sz w:val="20"/>
                <w:szCs w:val="20"/>
                <w:vertAlign w:val="superscript"/>
              </w:rPr>
              <w:t>c</w:t>
            </w:r>
          </w:p>
        </w:tc>
        <w:tc>
          <w:tcPr>
            <w:tcW w:w="425" w:type="pct"/>
            <w:tcBorders>
              <w:top w:val="nil"/>
              <w:left w:val="single" w:sz="4" w:space="0" w:color="auto"/>
              <w:bottom w:val="single" w:sz="4" w:space="0" w:color="auto"/>
              <w:right w:val="nil"/>
            </w:tcBorders>
            <w:vAlign w:val="bottom"/>
            <w:hideMark/>
          </w:tcPr>
          <w:p w14:paraId="0AC6BAD6"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17.49</w:t>
            </w:r>
            <w:r w:rsidRPr="001302AD">
              <w:rPr>
                <w:rFonts w:ascii="Times New Roman" w:eastAsia="Calibri" w:hAnsi="Times New Roman"/>
                <w:color w:val="000000"/>
                <w:sz w:val="20"/>
                <w:szCs w:val="20"/>
                <w:vertAlign w:val="superscript"/>
              </w:rPr>
              <w:t>d</w:t>
            </w:r>
          </w:p>
        </w:tc>
        <w:tc>
          <w:tcPr>
            <w:tcW w:w="473" w:type="pct"/>
            <w:tcBorders>
              <w:top w:val="nil"/>
              <w:left w:val="nil"/>
              <w:bottom w:val="single" w:sz="4" w:space="0" w:color="auto"/>
              <w:right w:val="nil"/>
            </w:tcBorders>
            <w:vAlign w:val="center"/>
            <w:hideMark/>
          </w:tcPr>
          <w:p w14:paraId="04FA4DDB"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18.17</w:t>
            </w:r>
            <w:r w:rsidRPr="001302AD">
              <w:rPr>
                <w:rFonts w:ascii="Times New Roman" w:eastAsia="Calibri" w:hAnsi="Times New Roman"/>
                <w:color w:val="000000"/>
                <w:sz w:val="20"/>
                <w:szCs w:val="20"/>
                <w:vertAlign w:val="superscript"/>
              </w:rPr>
              <w:t>c</w:t>
            </w:r>
          </w:p>
        </w:tc>
        <w:tc>
          <w:tcPr>
            <w:tcW w:w="514" w:type="pct"/>
            <w:gridSpan w:val="2"/>
            <w:tcBorders>
              <w:top w:val="nil"/>
              <w:left w:val="nil"/>
              <w:bottom w:val="single" w:sz="4" w:space="0" w:color="auto"/>
              <w:right w:val="nil"/>
            </w:tcBorders>
            <w:vAlign w:val="center"/>
            <w:hideMark/>
          </w:tcPr>
          <w:p w14:paraId="1189812F"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18.82</w:t>
            </w:r>
            <w:r w:rsidRPr="001302AD">
              <w:rPr>
                <w:rFonts w:ascii="Times New Roman" w:eastAsia="Calibri" w:hAnsi="Times New Roman"/>
                <w:color w:val="000000"/>
                <w:sz w:val="20"/>
                <w:szCs w:val="20"/>
                <w:vertAlign w:val="superscript"/>
              </w:rPr>
              <w:t>c</w:t>
            </w:r>
          </w:p>
        </w:tc>
      </w:tr>
      <w:tr w:rsidR="00436887" w:rsidRPr="001302AD" w14:paraId="41B99B97" w14:textId="77777777" w:rsidTr="00BC0A37">
        <w:tc>
          <w:tcPr>
            <w:tcW w:w="848" w:type="pct"/>
            <w:tcBorders>
              <w:top w:val="single" w:sz="4" w:space="0" w:color="auto"/>
              <w:left w:val="nil"/>
              <w:bottom w:val="single" w:sz="4" w:space="0" w:color="auto"/>
              <w:right w:val="single" w:sz="4" w:space="0" w:color="auto"/>
            </w:tcBorders>
            <w:hideMark/>
          </w:tcPr>
          <w:p w14:paraId="6A198659" w14:textId="77777777" w:rsidR="00436887" w:rsidRPr="001302AD" w:rsidRDefault="00436887" w:rsidP="00843265">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LSD(0.05)</w:t>
            </w:r>
          </w:p>
        </w:tc>
        <w:tc>
          <w:tcPr>
            <w:tcW w:w="425" w:type="pct"/>
            <w:tcBorders>
              <w:top w:val="single" w:sz="4" w:space="0" w:color="auto"/>
              <w:left w:val="single" w:sz="4" w:space="0" w:color="auto"/>
              <w:bottom w:val="single" w:sz="4" w:space="0" w:color="auto"/>
              <w:right w:val="nil"/>
            </w:tcBorders>
            <w:hideMark/>
          </w:tcPr>
          <w:p w14:paraId="7043E24A"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0.95</w:t>
            </w:r>
          </w:p>
        </w:tc>
        <w:tc>
          <w:tcPr>
            <w:tcW w:w="473" w:type="pct"/>
            <w:tcBorders>
              <w:top w:val="single" w:sz="4" w:space="0" w:color="auto"/>
              <w:left w:val="nil"/>
              <w:bottom w:val="single" w:sz="4" w:space="0" w:color="auto"/>
              <w:right w:val="nil"/>
            </w:tcBorders>
            <w:hideMark/>
          </w:tcPr>
          <w:p w14:paraId="774D288A"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0.65</w:t>
            </w:r>
          </w:p>
        </w:tc>
        <w:tc>
          <w:tcPr>
            <w:tcW w:w="473" w:type="pct"/>
            <w:tcBorders>
              <w:top w:val="single" w:sz="4" w:space="0" w:color="auto"/>
              <w:left w:val="nil"/>
              <w:bottom w:val="single" w:sz="4" w:space="0" w:color="auto"/>
              <w:right w:val="single" w:sz="4" w:space="0" w:color="auto"/>
            </w:tcBorders>
            <w:hideMark/>
          </w:tcPr>
          <w:p w14:paraId="6619397B"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0.56</w:t>
            </w:r>
          </w:p>
        </w:tc>
        <w:tc>
          <w:tcPr>
            <w:tcW w:w="425" w:type="pct"/>
            <w:tcBorders>
              <w:top w:val="single" w:sz="4" w:space="0" w:color="auto"/>
              <w:left w:val="single" w:sz="4" w:space="0" w:color="auto"/>
              <w:bottom w:val="single" w:sz="4" w:space="0" w:color="auto"/>
              <w:right w:val="nil"/>
            </w:tcBorders>
            <w:hideMark/>
          </w:tcPr>
          <w:p w14:paraId="70BF0D8E"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0.97</w:t>
            </w:r>
          </w:p>
        </w:tc>
        <w:tc>
          <w:tcPr>
            <w:tcW w:w="473" w:type="pct"/>
            <w:tcBorders>
              <w:top w:val="single" w:sz="4" w:space="0" w:color="auto"/>
              <w:left w:val="nil"/>
              <w:bottom w:val="single" w:sz="4" w:space="0" w:color="auto"/>
              <w:right w:val="nil"/>
            </w:tcBorders>
            <w:hideMark/>
          </w:tcPr>
          <w:p w14:paraId="6C77F3AC"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0.77</w:t>
            </w:r>
          </w:p>
        </w:tc>
        <w:tc>
          <w:tcPr>
            <w:tcW w:w="473" w:type="pct"/>
            <w:tcBorders>
              <w:top w:val="single" w:sz="4" w:space="0" w:color="auto"/>
              <w:left w:val="nil"/>
              <w:bottom w:val="single" w:sz="4" w:space="0" w:color="auto"/>
              <w:right w:val="single" w:sz="4" w:space="0" w:color="auto"/>
            </w:tcBorders>
            <w:hideMark/>
          </w:tcPr>
          <w:p w14:paraId="50CC0DB0"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0.65</w:t>
            </w:r>
          </w:p>
        </w:tc>
        <w:tc>
          <w:tcPr>
            <w:tcW w:w="425" w:type="pct"/>
            <w:tcBorders>
              <w:top w:val="single" w:sz="4" w:space="0" w:color="auto"/>
              <w:left w:val="single" w:sz="4" w:space="0" w:color="auto"/>
              <w:bottom w:val="single" w:sz="4" w:space="0" w:color="auto"/>
              <w:right w:val="nil"/>
            </w:tcBorders>
            <w:vAlign w:val="bottom"/>
            <w:hideMark/>
          </w:tcPr>
          <w:p w14:paraId="3F35EAAF"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1.7</w:t>
            </w:r>
          </w:p>
        </w:tc>
        <w:tc>
          <w:tcPr>
            <w:tcW w:w="473" w:type="pct"/>
            <w:tcBorders>
              <w:top w:val="single" w:sz="4" w:space="0" w:color="auto"/>
              <w:left w:val="nil"/>
              <w:bottom w:val="single" w:sz="4" w:space="0" w:color="auto"/>
              <w:right w:val="nil"/>
            </w:tcBorders>
            <w:vAlign w:val="bottom"/>
            <w:hideMark/>
          </w:tcPr>
          <w:p w14:paraId="12791BEF"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1.7</w:t>
            </w:r>
          </w:p>
        </w:tc>
        <w:tc>
          <w:tcPr>
            <w:tcW w:w="514" w:type="pct"/>
            <w:gridSpan w:val="2"/>
            <w:tcBorders>
              <w:top w:val="single" w:sz="4" w:space="0" w:color="auto"/>
              <w:left w:val="nil"/>
              <w:bottom w:val="single" w:sz="4" w:space="0" w:color="auto"/>
              <w:right w:val="nil"/>
            </w:tcBorders>
            <w:vAlign w:val="bottom"/>
            <w:hideMark/>
          </w:tcPr>
          <w:p w14:paraId="4B3169EE"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1.6</w:t>
            </w:r>
          </w:p>
        </w:tc>
      </w:tr>
      <w:tr w:rsidR="00436887" w:rsidRPr="001302AD" w14:paraId="7597BE7E" w14:textId="77777777" w:rsidTr="00BC0A37">
        <w:tc>
          <w:tcPr>
            <w:tcW w:w="848" w:type="pct"/>
            <w:tcBorders>
              <w:top w:val="single" w:sz="4" w:space="0" w:color="auto"/>
              <w:left w:val="nil"/>
              <w:bottom w:val="single" w:sz="4" w:space="0" w:color="auto"/>
              <w:right w:val="single" w:sz="4" w:space="0" w:color="auto"/>
            </w:tcBorders>
            <w:hideMark/>
          </w:tcPr>
          <w:p w14:paraId="0892B851" w14:textId="77777777" w:rsidR="00436887" w:rsidRPr="001302AD" w:rsidRDefault="00436887" w:rsidP="00843265">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CV (%)</w:t>
            </w:r>
          </w:p>
        </w:tc>
        <w:tc>
          <w:tcPr>
            <w:tcW w:w="425" w:type="pct"/>
            <w:tcBorders>
              <w:top w:val="single" w:sz="4" w:space="0" w:color="auto"/>
              <w:left w:val="single" w:sz="4" w:space="0" w:color="auto"/>
              <w:bottom w:val="single" w:sz="4" w:space="0" w:color="auto"/>
              <w:right w:val="nil"/>
            </w:tcBorders>
            <w:hideMark/>
          </w:tcPr>
          <w:p w14:paraId="7FB5A156"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4.3</w:t>
            </w:r>
          </w:p>
        </w:tc>
        <w:tc>
          <w:tcPr>
            <w:tcW w:w="473" w:type="pct"/>
            <w:tcBorders>
              <w:top w:val="single" w:sz="4" w:space="0" w:color="auto"/>
              <w:left w:val="nil"/>
              <w:bottom w:val="single" w:sz="4" w:space="0" w:color="auto"/>
              <w:right w:val="nil"/>
            </w:tcBorders>
            <w:hideMark/>
          </w:tcPr>
          <w:p w14:paraId="75FB5CFF"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3</w:t>
            </w:r>
          </w:p>
        </w:tc>
        <w:tc>
          <w:tcPr>
            <w:tcW w:w="473" w:type="pct"/>
            <w:tcBorders>
              <w:top w:val="single" w:sz="4" w:space="0" w:color="auto"/>
              <w:left w:val="nil"/>
              <w:bottom w:val="single" w:sz="4" w:space="0" w:color="auto"/>
              <w:right w:val="single" w:sz="4" w:space="0" w:color="auto"/>
            </w:tcBorders>
            <w:hideMark/>
          </w:tcPr>
          <w:p w14:paraId="472B8D1C"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2.5</w:t>
            </w:r>
          </w:p>
        </w:tc>
        <w:tc>
          <w:tcPr>
            <w:tcW w:w="425" w:type="pct"/>
            <w:tcBorders>
              <w:top w:val="single" w:sz="4" w:space="0" w:color="auto"/>
              <w:left w:val="single" w:sz="4" w:space="0" w:color="auto"/>
              <w:bottom w:val="single" w:sz="4" w:space="0" w:color="auto"/>
              <w:right w:val="nil"/>
            </w:tcBorders>
            <w:hideMark/>
          </w:tcPr>
          <w:p w14:paraId="6CD1495B"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4.5</w:t>
            </w:r>
          </w:p>
        </w:tc>
        <w:tc>
          <w:tcPr>
            <w:tcW w:w="473" w:type="pct"/>
            <w:tcBorders>
              <w:top w:val="single" w:sz="4" w:space="0" w:color="auto"/>
              <w:left w:val="nil"/>
              <w:bottom w:val="single" w:sz="4" w:space="0" w:color="auto"/>
              <w:right w:val="nil"/>
            </w:tcBorders>
            <w:hideMark/>
          </w:tcPr>
          <w:p w14:paraId="33F80E43"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3.5</w:t>
            </w:r>
          </w:p>
        </w:tc>
        <w:tc>
          <w:tcPr>
            <w:tcW w:w="473" w:type="pct"/>
            <w:tcBorders>
              <w:top w:val="single" w:sz="4" w:space="0" w:color="auto"/>
              <w:left w:val="nil"/>
              <w:bottom w:val="single" w:sz="4" w:space="0" w:color="auto"/>
              <w:right w:val="single" w:sz="4" w:space="0" w:color="auto"/>
            </w:tcBorders>
            <w:hideMark/>
          </w:tcPr>
          <w:p w14:paraId="4E47F0E3"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2.8</w:t>
            </w:r>
          </w:p>
        </w:tc>
        <w:tc>
          <w:tcPr>
            <w:tcW w:w="425" w:type="pct"/>
            <w:tcBorders>
              <w:top w:val="single" w:sz="4" w:space="0" w:color="auto"/>
              <w:left w:val="single" w:sz="4" w:space="0" w:color="auto"/>
              <w:bottom w:val="single" w:sz="4" w:space="0" w:color="auto"/>
              <w:right w:val="nil"/>
            </w:tcBorders>
            <w:vAlign w:val="bottom"/>
            <w:hideMark/>
          </w:tcPr>
          <w:p w14:paraId="38F1186C"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8.7</w:t>
            </w:r>
          </w:p>
        </w:tc>
        <w:tc>
          <w:tcPr>
            <w:tcW w:w="473" w:type="pct"/>
            <w:tcBorders>
              <w:top w:val="single" w:sz="4" w:space="0" w:color="auto"/>
              <w:left w:val="nil"/>
              <w:bottom w:val="single" w:sz="4" w:space="0" w:color="auto"/>
              <w:right w:val="nil"/>
            </w:tcBorders>
            <w:vAlign w:val="bottom"/>
            <w:hideMark/>
          </w:tcPr>
          <w:p w14:paraId="1442A68D"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8.4</w:t>
            </w:r>
          </w:p>
        </w:tc>
        <w:tc>
          <w:tcPr>
            <w:tcW w:w="514" w:type="pct"/>
            <w:gridSpan w:val="2"/>
            <w:tcBorders>
              <w:top w:val="single" w:sz="4" w:space="0" w:color="auto"/>
              <w:left w:val="nil"/>
              <w:bottom w:val="single" w:sz="4" w:space="0" w:color="auto"/>
              <w:right w:val="nil"/>
            </w:tcBorders>
            <w:vAlign w:val="bottom"/>
            <w:hideMark/>
          </w:tcPr>
          <w:p w14:paraId="5BFC355B"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7.5</w:t>
            </w:r>
          </w:p>
        </w:tc>
      </w:tr>
    </w:tbl>
    <w:p w14:paraId="5973F131" w14:textId="77777777" w:rsidR="00436887" w:rsidRPr="001302AD" w:rsidRDefault="00436887" w:rsidP="00843265">
      <w:pPr>
        <w:autoSpaceDE w:val="0"/>
        <w:autoSpaceDN w:val="0"/>
        <w:adjustRightInd w:val="0"/>
        <w:spacing w:after="0" w:line="240" w:lineRule="auto"/>
        <w:jc w:val="both"/>
        <w:rPr>
          <w:rFonts w:ascii="Times New Roman" w:eastAsia="Calibri" w:hAnsi="Times New Roman" w:cs="Times New Roman"/>
          <w:b/>
          <w:color w:val="000000"/>
          <w:sz w:val="20"/>
          <w:szCs w:val="20"/>
        </w:rPr>
      </w:pPr>
      <w:r w:rsidRPr="001302AD">
        <w:rPr>
          <w:rFonts w:ascii="Times New Roman" w:eastAsia="Calibri" w:hAnsi="Times New Roman" w:cs="Times New Roman"/>
          <w:color w:val="000000"/>
          <w:sz w:val="20"/>
          <w:szCs w:val="20"/>
        </w:rPr>
        <w:t>LSD = Least Significant Difference at 5% level of significance; CV (%) = coefficient of variation in percent; DAS = days after sowing; SMC = Soil Moisture Content; Means in column and followed by the same letters are not significantly different at 5% level of significance.</w:t>
      </w:r>
    </w:p>
    <w:p w14:paraId="4FF8C3BC" w14:textId="77777777" w:rsidR="00436887" w:rsidRPr="001302AD" w:rsidRDefault="00436887" w:rsidP="00436887">
      <w:pPr>
        <w:autoSpaceDE w:val="0"/>
        <w:autoSpaceDN w:val="0"/>
        <w:adjustRightInd w:val="0"/>
        <w:spacing w:before="240" w:after="0" w:line="360" w:lineRule="auto"/>
        <w:jc w:val="both"/>
        <w:rPr>
          <w:rFonts w:ascii="Times New Roman" w:eastAsia="Calibri" w:hAnsi="Times New Roman" w:cs="Times New Roman"/>
          <w:b/>
          <w:color w:val="000000"/>
        </w:rPr>
      </w:pPr>
      <w:r w:rsidRPr="001302AD">
        <w:rPr>
          <w:rFonts w:ascii="Times New Roman" w:eastAsia="Calibri" w:hAnsi="Times New Roman" w:cs="Times New Roman"/>
          <w:b/>
        </w:rPr>
        <w:t xml:space="preserve">3.2. Effect of organic mulching on crop phenology and growth parameters </w:t>
      </w:r>
    </w:p>
    <w:p w14:paraId="1579E275" w14:textId="77777777" w:rsidR="00436887" w:rsidRPr="001302AD" w:rsidRDefault="00436887" w:rsidP="00436887">
      <w:pPr>
        <w:autoSpaceDE w:val="0"/>
        <w:autoSpaceDN w:val="0"/>
        <w:adjustRightInd w:val="0"/>
        <w:spacing w:after="0" w:line="360" w:lineRule="auto"/>
        <w:jc w:val="both"/>
        <w:rPr>
          <w:rFonts w:ascii="Times New Roman" w:eastAsia="Calibri" w:hAnsi="Times New Roman" w:cs="Times New Roman"/>
          <w:b/>
          <w:color w:val="000000"/>
        </w:rPr>
      </w:pPr>
      <w:r w:rsidRPr="001302AD">
        <w:rPr>
          <w:rFonts w:ascii="Times New Roman" w:eastAsia="Calibri" w:hAnsi="Times New Roman" w:cs="Times New Roman"/>
          <w:b/>
        </w:rPr>
        <w:t>3.2.1. Days to 50% flowering</w:t>
      </w:r>
    </w:p>
    <w:p w14:paraId="7FF17033" w14:textId="77777777" w:rsidR="00436887" w:rsidRPr="001302AD" w:rsidRDefault="00436887" w:rsidP="00843265">
      <w:pPr>
        <w:spacing w:line="240" w:lineRule="auto"/>
        <w:jc w:val="both"/>
        <w:rPr>
          <w:rFonts w:ascii="Times New Roman" w:eastAsia="Calibri" w:hAnsi="Times New Roman" w:cs="Times New Roman"/>
          <w:color w:val="000000" w:themeColor="text1"/>
          <w:sz w:val="20"/>
          <w:szCs w:val="20"/>
        </w:rPr>
      </w:pPr>
      <w:r w:rsidRPr="001302AD">
        <w:rPr>
          <w:rFonts w:ascii="Times New Roman" w:eastAsia="Calibri" w:hAnsi="Times New Roman" w:cs="Times New Roman"/>
          <w:color w:val="000000"/>
          <w:sz w:val="20"/>
          <w:szCs w:val="20"/>
        </w:rPr>
        <w:t>The analysis of variance revealed that mulching had a highly significant (P&lt;0.01) effect on the days to 50% flowering of soybean. The longest days to 50% flowering (56.33) was recorded on plots covered with 15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mulch followed by 20t/ha mulch cover (54.89), while the shortest duration (51.33) was recorded</w:t>
      </w:r>
      <w:r w:rsidRPr="001302AD">
        <w:rPr>
          <w:rFonts w:ascii="Times New Roman" w:eastAsia="Calibri" w:hAnsi="Times New Roman" w:cs="Times New Roman"/>
          <w:b/>
          <w:color w:val="000000"/>
          <w:sz w:val="20"/>
          <w:szCs w:val="20"/>
        </w:rPr>
        <w:t xml:space="preserve"> </w:t>
      </w:r>
      <w:r w:rsidRPr="001302AD">
        <w:rPr>
          <w:rFonts w:ascii="Times New Roman" w:eastAsia="Calibri" w:hAnsi="Times New Roman" w:cs="Times New Roman"/>
          <w:color w:val="000000"/>
          <w:sz w:val="20"/>
          <w:szCs w:val="20"/>
        </w:rPr>
        <w:t>in a treatment with no mulch (Table 4). The delay in days to 50% flowering of soybean observed in plots covered with 15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mulch might be due to increased water infiltration rate in the soil, reduced evaporation, and weed development, which resulted in an overall improvement in soil moisture in the root zone. Sufficient soil moisture resulted from the application of mulch, which in turn prolonged the vegetative growth period and flowering compared to no mulch (control) treatments.</w:t>
      </w:r>
      <w:r w:rsidRPr="001302AD">
        <w:rPr>
          <w:rFonts w:ascii="Times New Roman" w:eastAsia="Calibri" w:hAnsi="Times New Roman" w:cs="Times New Roman"/>
          <w:color w:val="000000" w:themeColor="text1"/>
          <w:sz w:val="20"/>
          <w:szCs w:val="20"/>
        </w:rPr>
        <w:t xml:space="preserve"> </w:t>
      </w:r>
      <w:r w:rsidRPr="001302AD">
        <w:rPr>
          <w:rFonts w:ascii="Times New Roman" w:eastAsia="Calibri" w:hAnsi="Times New Roman" w:cs="Times New Roman"/>
          <w:sz w:val="20"/>
          <w:szCs w:val="20"/>
        </w:rPr>
        <w:t xml:space="preserve">A similar result was found by Lenga et al. (2024), who reported that higher soil water content and moderated soil temperature often delay the onset of flowering in mulched plots compared with non-mulched control plots, likely because improved moisture availability supports prolonged vegetative growth before reproductive development. </w:t>
      </w:r>
    </w:p>
    <w:p w14:paraId="6C6A6297" w14:textId="77777777" w:rsidR="00436887" w:rsidRPr="001302AD" w:rsidRDefault="00436887" w:rsidP="00843265">
      <w:pPr>
        <w:spacing w:line="240" w:lineRule="auto"/>
        <w:jc w:val="both"/>
        <w:rPr>
          <w:rFonts w:ascii="Times New Roman" w:eastAsia="Calibri" w:hAnsi="Times New Roman" w:cs="Times New Roman"/>
          <w:b/>
          <w:sz w:val="20"/>
          <w:szCs w:val="20"/>
        </w:rPr>
      </w:pPr>
      <w:r w:rsidRPr="001302AD">
        <w:rPr>
          <w:rFonts w:ascii="Times New Roman" w:eastAsia="Calibri" w:hAnsi="Times New Roman" w:cs="Times New Roman"/>
          <w:b/>
          <w:sz w:val="20"/>
          <w:szCs w:val="20"/>
        </w:rPr>
        <w:t>3.2.2. Days to 90% maturity</w:t>
      </w:r>
    </w:p>
    <w:p w14:paraId="485523AE" w14:textId="77777777" w:rsidR="00436887" w:rsidRPr="001302AD" w:rsidRDefault="00436887" w:rsidP="00843265">
      <w:pPr>
        <w:spacing w:line="240" w:lineRule="auto"/>
        <w:jc w:val="both"/>
        <w:rPr>
          <w:rFonts w:ascii="Times New Roman" w:eastAsia="Calibri" w:hAnsi="Times New Roman" w:cs="Times New Roman"/>
          <w:i/>
          <w:sz w:val="20"/>
          <w:szCs w:val="20"/>
        </w:rPr>
      </w:pPr>
      <w:bookmarkStart w:id="16" w:name="_Toc8273017"/>
      <w:bookmarkStart w:id="17" w:name="_Toc8272713"/>
      <w:bookmarkStart w:id="18" w:name="_Toc8070626"/>
      <w:bookmarkStart w:id="19" w:name="_Toc7066071"/>
      <w:r w:rsidRPr="001302AD">
        <w:rPr>
          <w:rFonts w:ascii="Times New Roman" w:eastAsia="Calibri" w:hAnsi="Times New Roman" w:cs="Times New Roman"/>
          <w:sz w:val="20"/>
          <w:szCs w:val="20"/>
        </w:rPr>
        <w:t>The analysis of variance revealed that mulching had a highly significant (P&lt;0.01) effect on days to 90% maturity</w:t>
      </w:r>
      <w:bookmarkEnd w:id="16"/>
      <w:bookmarkEnd w:id="17"/>
      <w:bookmarkEnd w:id="18"/>
      <w:bookmarkEnd w:id="19"/>
      <w:r w:rsidRPr="001302AD">
        <w:rPr>
          <w:rFonts w:ascii="Times New Roman" w:eastAsia="Calibri" w:hAnsi="Times New Roman" w:cs="Times New Roman"/>
          <w:sz w:val="20"/>
          <w:szCs w:val="20"/>
        </w:rPr>
        <w:t>.</w:t>
      </w:r>
      <w:r w:rsidRPr="001302AD">
        <w:rPr>
          <w:rFonts w:ascii="Times New Roman" w:eastAsia="Times New Roman" w:hAnsi="Times New Roman" w:cs="Times New Roman"/>
          <w:b/>
          <w:bCs/>
          <w:sz w:val="20"/>
          <w:szCs w:val="20"/>
        </w:rPr>
        <w:t xml:space="preserve"> </w:t>
      </w:r>
      <w:r w:rsidRPr="001302AD">
        <w:rPr>
          <w:rFonts w:ascii="Times New Roman" w:eastAsia="Calibri" w:hAnsi="Times New Roman" w:cs="Times New Roman"/>
          <w:color w:val="000000"/>
          <w:sz w:val="20"/>
          <w:szCs w:val="20"/>
        </w:rPr>
        <w:t>The longest period taken to maturity (97.4 days) was recorded in plots covered with 15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of mulch, while the lowest period (92.6 days) was recorded in plots with no mulch (</w:t>
      </w:r>
      <w:r w:rsidRPr="001302AD">
        <w:rPr>
          <w:rFonts w:ascii="Times New Roman" w:eastAsia="Calibri" w:hAnsi="Times New Roman" w:cs="Times New Roman"/>
          <w:sz w:val="20"/>
          <w:szCs w:val="20"/>
        </w:rPr>
        <w:t>Table 4</w:t>
      </w:r>
      <w:r w:rsidRPr="001302AD">
        <w:rPr>
          <w:rFonts w:ascii="Times New Roman" w:eastAsia="Calibri" w:hAnsi="Times New Roman" w:cs="Times New Roman"/>
          <w:color w:val="000000"/>
          <w:sz w:val="20"/>
          <w:szCs w:val="20"/>
        </w:rPr>
        <w:t>). The delay in physiological maturity observed in the 15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mulched plots was due to improved optimum soil moisture conservation, which resulted in a longer period of water availability for crop growth and development. This does not mean that 15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mulch conserved greater moisture than 20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but the optimum was 15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The optimum availability of water in the root zone caused extended vegetative growth, delaying maturity. A similar result was found by </w:t>
      </w:r>
      <w:proofErr w:type="spellStart"/>
      <w:r w:rsidRPr="001302AD">
        <w:rPr>
          <w:rFonts w:ascii="Times New Roman" w:eastAsia="Calibri" w:hAnsi="Times New Roman" w:cs="Times New Roman"/>
          <w:color w:val="000000"/>
          <w:sz w:val="20"/>
          <w:szCs w:val="20"/>
        </w:rPr>
        <w:t>Teame</w:t>
      </w:r>
      <w:proofErr w:type="spellEnd"/>
      <w:r w:rsidRPr="001302AD">
        <w:rPr>
          <w:rFonts w:ascii="Times New Roman" w:eastAsia="Calibri" w:hAnsi="Times New Roman" w:cs="Times New Roman"/>
          <w:color w:val="000000"/>
          <w:sz w:val="20"/>
          <w:szCs w:val="20"/>
        </w:rPr>
        <w:t xml:space="preserve"> et al. (2017), who reported that the longest period taken for maturity (94 days) was recorded in plots mulched with sesame straw, while the lowest period was recorded in plots with no mulch (90 days). This result is also in line with that </w:t>
      </w:r>
      <w:r w:rsidRPr="001302AD">
        <w:rPr>
          <w:rFonts w:ascii="Times New Roman" w:eastAsia="Calibri" w:hAnsi="Times New Roman" w:cs="Times New Roman"/>
          <w:sz w:val="20"/>
          <w:szCs w:val="20"/>
        </w:rPr>
        <w:t xml:space="preserve">of Taye et al. (2015), </w:t>
      </w:r>
      <w:r w:rsidRPr="001302AD">
        <w:rPr>
          <w:rFonts w:ascii="Times New Roman" w:eastAsia="Calibri" w:hAnsi="Times New Roman" w:cs="Times New Roman"/>
          <w:color w:val="000000"/>
          <w:sz w:val="20"/>
          <w:szCs w:val="20"/>
        </w:rPr>
        <w:t>who reported that mulching applied at planting time showed noticeably prolonged days to maturity.</w:t>
      </w:r>
    </w:p>
    <w:p w14:paraId="0546A88D" w14:textId="77777777" w:rsidR="00436887" w:rsidRPr="001302AD" w:rsidRDefault="00436887" w:rsidP="00843265">
      <w:pPr>
        <w:autoSpaceDE w:val="0"/>
        <w:autoSpaceDN w:val="0"/>
        <w:adjustRightInd w:val="0"/>
        <w:spacing w:before="240" w:line="240" w:lineRule="auto"/>
        <w:jc w:val="both"/>
        <w:rPr>
          <w:rFonts w:ascii="Times New Roman" w:eastAsia="Calibri" w:hAnsi="Times New Roman" w:cs="Times New Roman"/>
          <w:b/>
          <w:color w:val="000000"/>
          <w:sz w:val="20"/>
          <w:szCs w:val="20"/>
        </w:rPr>
      </w:pPr>
      <w:r w:rsidRPr="001302AD">
        <w:rPr>
          <w:rFonts w:ascii="Times New Roman" w:eastAsia="Calibri" w:hAnsi="Times New Roman" w:cs="Times New Roman"/>
          <w:b/>
          <w:color w:val="000000"/>
          <w:sz w:val="20"/>
          <w:szCs w:val="20"/>
        </w:rPr>
        <w:t>3.2.3. Plant Height (cm)</w:t>
      </w:r>
    </w:p>
    <w:p w14:paraId="02BCD0A4" w14:textId="77777777" w:rsidR="00436887" w:rsidRPr="001302AD" w:rsidRDefault="00436887" w:rsidP="00843265">
      <w:pPr>
        <w:autoSpaceDE w:val="0"/>
        <w:autoSpaceDN w:val="0"/>
        <w:adjustRightInd w:val="0"/>
        <w:spacing w:line="240" w:lineRule="auto"/>
        <w:jc w:val="both"/>
        <w:rPr>
          <w:rFonts w:ascii="Times New Roman" w:eastAsia="Calibri" w:hAnsi="Times New Roman" w:cs="Times New Roman"/>
          <w:b/>
          <w:color w:val="000000"/>
          <w:sz w:val="20"/>
          <w:szCs w:val="20"/>
        </w:rPr>
      </w:pPr>
      <w:r w:rsidRPr="001302AD">
        <w:rPr>
          <w:rFonts w:ascii="Times New Roman" w:eastAsia="Calibri" w:hAnsi="Times New Roman" w:cs="Times New Roman"/>
          <w:color w:val="000000"/>
          <w:sz w:val="20"/>
          <w:szCs w:val="20"/>
        </w:rPr>
        <w:t>Mulching had a highly significant (P &lt; 0.01) effect on plant height. The longest plants (63.6, 61.8, 60.4) which had statistical similarity was measured from plots covered with 15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10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and 20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of mulch, respectively. However, the shortest plans (50.5) were recorded in the plots without mulch (Table 4).  </w:t>
      </w:r>
      <w:r w:rsidRPr="001302AD">
        <w:rPr>
          <w:rFonts w:ascii="Times New Roman" w:eastAsia="Calibri" w:hAnsi="Times New Roman" w:cs="Times New Roman"/>
          <w:sz w:val="20"/>
          <w:szCs w:val="20"/>
        </w:rPr>
        <w:t xml:space="preserve">The highest plant height observed in the treatments was due to the positive effect of mulch on rainwater infiltration, water conservation, and </w:t>
      </w:r>
      <w:r w:rsidRPr="001302AD">
        <w:rPr>
          <w:rFonts w:ascii="Times New Roman" w:eastAsia="Calibri" w:hAnsi="Times New Roman" w:cs="Times New Roman"/>
          <w:sz w:val="20"/>
          <w:szCs w:val="20"/>
        </w:rPr>
        <w:lastRenderedPageBreak/>
        <w:t>reduced evaporation, which helped the plant grow and develop well.</w:t>
      </w:r>
      <w:r w:rsidRPr="001302AD">
        <w:rPr>
          <w:rFonts w:ascii="Times New Roman" w:eastAsia="Calibri" w:hAnsi="Times New Roman" w:cs="Times New Roman"/>
          <w:color w:val="000000" w:themeColor="text1"/>
          <w:sz w:val="20"/>
          <w:szCs w:val="20"/>
        </w:rPr>
        <w:t xml:space="preserve"> This result is in line with </w:t>
      </w:r>
      <w:r w:rsidRPr="001302AD">
        <w:rPr>
          <w:rFonts w:ascii="Times New Roman" w:eastAsia="Calibri" w:hAnsi="Times New Roman" w:cs="Times New Roman"/>
          <w:sz w:val="20"/>
          <w:szCs w:val="20"/>
        </w:rPr>
        <w:t>Wahyuni et al. (2022),</w:t>
      </w:r>
      <w:r w:rsidRPr="001302AD">
        <w:rPr>
          <w:rFonts w:ascii="Times New Roman" w:eastAsia="Calibri" w:hAnsi="Times New Roman" w:cs="Times New Roman"/>
          <w:color w:val="000000" w:themeColor="text1"/>
          <w:sz w:val="20"/>
          <w:szCs w:val="20"/>
        </w:rPr>
        <w:t xml:space="preserve"> who found the tallest plant height in sunflowers mulched with rye than in the no mulch plot</w:t>
      </w:r>
      <w:bookmarkStart w:id="20" w:name="_Toc11262586"/>
      <w:r w:rsidRPr="001302AD">
        <w:rPr>
          <w:rFonts w:ascii="Times New Roman" w:eastAsia="Calibri" w:hAnsi="Times New Roman" w:cs="Times New Roman"/>
          <w:color w:val="000000" w:themeColor="text1"/>
          <w:sz w:val="20"/>
          <w:szCs w:val="20"/>
        </w:rPr>
        <w:t>.</w:t>
      </w:r>
    </w:p>
    <w:p w14:paraId="209CC586" w14:textId="77777777" w:rsidR="001302AD" w:rsidRDefault="001302AD" w:rsidP="00843265">
      <w:pPr>
        <w:autoSpaceDE w:val="0"/>
        <w:autoSpaceDN w:val="0"/>
        <w:adjustRightInd w:val="0"/>
        <w:spacing w:line="240" w:lineRule="auto"/>
        <w:jc w:val="both"/>
        <w:rPr>
          <w:rFonts w:ascii="Times New Roman" w:eastAsia="Calibri" w:hAnsi="Times New Roman" w:cs="Times New Roman"/>
          <w:b/>
          <w:bCs/>
          <w:sz w:val="20"/>
          <w:szCs w:val="20"/>
        </w:rPr>
      </w:pPr>
    </w:p>
    <w:p w14:paraId="39526406" w14:textId="77777777" w:rsidR="00436887" w:rsidRPr="001302AD" w:rsidRDefault="00436887" w:rsidP="00843265">
      <w:pPr>
        <w:autoSpaceDE w:val="0"/>
        <w:autoSpaceDN w:val="0"/>
        <w:adjustRightInd w:val="0"/>
        <w:spacing w:line="240" w:lineRule="auto"/>
        <w:jc w:val="both"/>
        <w:rPr>
          <w:rFonts w:ascii="Times New Roman" w:eastAsia="Calibri" w:hAnsi="Times New Roman" w:cs="Times New Roman"/>
          <w:b/>
          <w:i/>
          <w:color w:val="000000"/>
          <w:sz w:val="20"/>
          <w:szCs w:val="20"/>
        </w:rPr>
      </w:pPr>
      <w:r w:rsidRPr="001302AD">
        <w:rPr>
          <w:rFonts w:ascii="Times New Roman" w:eastAsia="Calibri" w:hAnsi="Times New Roman" w:cs="Times New Roman"/>
          <w:b/>
          <w:bCs/>
          <w:sz w:val="20"/>
          <w:szCs w:val="20"/>
        </w:rPr>
        <w:t>Table 4. Effect of mulching on days to 50% flowering, 90% physiological maturity, and plant height of soybean.</w:t>
      </w:r>
      <w:bookmarkEnd w:id="20"/>
    </w:p>
    <w:tbl>
      <w:tblPr>
        <w:tblStyle w:val="TableGrid"/>
        <w:tblW w:w="9360" w:type="dxa"/>
        <w:tblInd w:w="8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610"/>
        <w:gridCol w:w="2610"/>
        <w:gridCol w:w="1890"/>
      </w:tblGrid>
      <w:tr w:rsidR="00436887" w:rsidRPr="001302AD" w14:paraId="1E100AC1" w14:textId="77777777" w:rsidTr="00BC0A37">
        <w:trPr>
          <w:trHeight w:val="150"/>
        </w:trPr>
        <w:tc>
          <w:tcPr>
            <w:tcW w:w="2250" w:type="dxa"/>
            <w:tcBorders>
              <w:top w:val="single" w:sz="4" w:space="0" w:color="auto"/>
              <w:left w:val="nil"/>
              <w:bottom w:val="single" w:sz="4" w:space="0" w:color="auto"/>
              <w:right w:val="nil"/>
            </w:tcBorders>
            <w:hideMark/>
          </w:tcPr>
          <w:p w14:paraId="28D40975"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Treatments</w:t>
            </w:r>
          </w:p>
        </w:tc>
        <w:tc>
          <w:tcPr>
            <w:tcW w:w="2610" w:type="dxa"/>
            <w:tcBorders>
              <w:top w:val="single" w:sz="4" w:space="0" w:color="auto"/>
              <w:left w:val="nil"/>
              <w:bottom w:val="single" w:sz="4" w:space="0" w:color="auto"/>
              <w:right w:val="nil"/>
            </w:tcBorders>
            <w:hideMark/>
          </w:tcPr>
          <w:p w14:paraId="697B87B9" w14:textId="77777777" w:rsidR="00436887" w:rsidRPr="001302AD" w:rsidRDefault="00436887" w:rsidP="00843265">
            <w:pPr>
              <w:autoSpaceDE w:val="0"/>
              <w:autoSpaceDN w:val="0"/>
              <w:adjustRightInd w:val="0"/>
              <w:contextualSpacing/>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Days to 50% flowering</w:t>
            </w:r>
          </w:p>
        </w:tc>
        <w:tc>
          <w:tcPr>
            <w:tcW w:w="2610" w:type="dxa"/>
            <w:tcBorders>
              <w:top w:val="single" w:sz="4" w:space="0" w:color="auto"/>
              <w:left w:val="nil"/>
              <w:bottom w:val="single" w:sz="4" w:space="0" w:color="auto"/>
              <w:right w:val="nil"/>
            </w:tcBorders>
            <w:hideMark/>
          </w:tcPr>
          <w:p w14:paraId="4312A337" w14:textId="77777777" w:rsidR="00436887" w:rsidRPr="001302AD" w:rsidRDefault="00436887" w:rsidP="00843265">
            <w:pPr>
              <w:autoSpaceDE w:val="0"/>
              <w:autoSpaceDN w:val="0"/>
              <w:adjustRightInd w:val="0"/>
              <w:contextualSpacing/>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Days to 90% maturity</w:t>
            </w:r>
          </w:p>
        </w:tc>
        <w:tc>
          <w:tcPr>
            <w:tcW w:w="1890" w:type="dxa"/>
            <w:tcBorders>
              <w:top w:val="single" w:sz="4" w:space="0" w:color="auto"/>
              <w:left w:val="nil"/>
              <w:bottom w:val="single" w:sz="4" w:space="0" w:color="auto"/>
              <w:right w:val="nil"/>
            </w:tcBorders>
            <w:hideMark/>
          </w:tcPr>
          <w:p w14:paraId="3D0C5B1C" w14:textId="77777777" w:rsidR="00436887" w:rsidRPr="001302AD" w:rsidRDefault="00436887" w:rsidP="00843265">
            <w:pPr>
              <w:autoSpaceDE w:val="0"/>
              <w:autoSpaceDN w:val="0"/>
              <w:adjustRightInd w:val="0"/>
              <w:contextualSpacing/>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Plant height</w:t>
            </w:r>
          </w:p>
        </w:tc>
      </w:tr>
      <w:tr w:rsidR="00436887" w:rsidRPr="001302AD" w14:paraId="46767416" w14:textId="77777777" w:rsidTr="00BC0A37">
        <w:trPr>
          <w:trHeight w:val="258"/>
        </w:trPr>
        <w:tc>
          <w:tcPr>
            <w:tcW w:w="2250" w:type="dxa"/>
            <w:tcBorders>
              <w:top w:val="single" w:sz="4" w:space="0" w:color="auto"/>
              <w:left w:val="nil"/>
              <w:bottom w:val="nil"/>
              <w:right w:val="nil"/>
            </w:tcBorders>
            <w:hideMark/>
          </w:tcPr>
          <w:p w14:paraId="68794FD3"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no mulch</w:t>
            </w:r>
          </w:p>
        </w:tc>
        <w:tc>
          <w:tcPr>
            <w:tcW w:w="2610" w:type="dxa"/>
            <w:tcBorders>
              <w:top w:val="single" w:sz="4" w:space="0" w:color="auto"/>
              <w:left w:val="nil"/>
              <w:bottom w:val="nil"/>
              <w:right w:val="nil"/>
            </w:tcBorders>
            <w:vAlign w:val="bottom"/>
            <w:hideMark/>
          </w:tcPr>
          <w:p w14:paraId="10F836F5" w14:textId="77777777" w:rsidR="00436887" w:rsidRPr="001302AD" w:rsidRDefault="00436887" w:rsidP="00843265">
            <w:pPr>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51.33</w:t>
            </w:r>
            <w:r w:rsidRPr="001302AD">
              <w:rPr>
                <w:rFonts w:ascii="Times New Roman" w:eastAsia="Calibri" w:hAnsi="Times New Roman"/>
                <w:color w:val="000000"/>
                <w:sz w:val="20"/>
                <w:szCs w:val="20"/>
                <w:vertAlign w:val="superscript"/>
              </w:rPr>
              <w:t>c</w:t>
            </w:r>
          </w:p>
        </w:tc>
        <w:tc>
          <w:tcPr>
            <w:tcW w:w="2610" w:type="dxa"/>
            <w:tcBorders>
              <w:top w:val="single" w:sz="4" w:space="0" w:color="auto"/>
              <w:left w:val="nil"/>
              <w:bottom w:val="nil"/>
              <w:right w:val="nil"/>
            </w:tcBorders>
            <w:hideMark/>
          </w:tcPr>
          <w:p w14:paraId="1D611EA9" w14:textId="77777777" w:rsidR="00436887" w:rsidRPr="001302AD" w:rsidRDefault="00436887" w:rsidP="00843265">
            <w:pPr>
              <w:autoSpaceDE w:val="0"/>
              <w:autoSpaceDN w:val="0"/>
              <w:adjustRightInd w:val="0"/>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92.56</w:t>
            </w:r>
            <w:r w:rsidRPr="001302AD">
              <w:rPr>
                <w:rFonts w:ascii="Times New Roman" w:eastAsia="Calibri" w:hAnsi="Times New Roman"/>
                <w:color w:val="000000"/>
                <w:sz w:val="20"/>
                <w:szCs w:val="20"/>
                <w:vertAlign w:val="superscript"/>
              </w:rPr>
              <w:t>c</w:t>
            </w:r>
          </w:p>
        </w:tc>
        <w:tc>
          <w:tcPr>
            <w:tcW w:w="1890" w:type="dxa"/>
            <w:tcBorders>
              <w:top w:val="single" w:sz="4" w:space="0" w:color="auto"/>
              <w:left w:val="nil"/>
              <w:bottom w:val="nil"/>
              <w:right w:val="nil"/>
            </w:tcBorders>
            <w:vAlign w:val="bottom"/>
            <w:hideMark/>
          </w:tcPr>
          <w:p w14:paraId="31E20213" w14:textId="77777777" w:rsidR="00436887" w:rsidRPr="001302AD" w:rsidRDefault="00436887" w:rsidP="00843265">
            <w:pPr>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50.49</w:t>
            </w:r>
            <w:r w:rsidRPr="001302AD">
              <w:rPr>
                <w:rFonts w:ascii="Times New Roman" w:eastAsia="Calibri" w:hAnsi="Times New Roman"/>
                <w:color w:val="000000"/>
                <w:sz w:val="20"/>
                <w:szCs w:val="20"/>
                <w:vertAlign w:val="superscript"/>
              </w:rPr>
              <w:t>c</w:t>
            </w:r>
          </w:p>
        </w:tc>
      </w:tr>
      <w:tr w:rsidR="00436887" w:rsidRPr="001302AD" w14:paraId="6F23C5BB" w14:textId="77777777" w:rsidTr="00BC0A37">
        <w:tc>
          <w:tcPr>
            <w:tcW w:w="2250" w:type="dxa"/>
            <w:tcBorders>
              <w:top w:val="nil"/>
              <w:left w:val="nil"/>
              <w:bottom w:val="nil"/>
              <w:right w:val="nil"/>
            </w:tcBorders>
            <w:hideMark/>
          </w:tcPr>
          <w:p w14:paraId="49503A05"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5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2610" w:type="dxa"/>
            <w:tcBorders>
              <w:top w:val="nil"/>
              <w:left w:val="nil"/>
              <w:bottom w:val="nil"/>
              <w:right w:val="nil"/>
            </w:tcBorders>
            <w:vAlign w:val="bottom"/>
            <w:hideMark/>
          </w:tcPr>
          <w:p w14:paraId="25CEBD57" w14:textId="77777777" w:rsidR="00436887" w:rsidRPr="001302AD" w:rsidRDefault="00436887" w:rsidP="00843265">
            <w:pPr>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53.11b</w:t>
            </w:r>
            <w:r w:rsidRPr="001302AD">
              <w:rPr>
                <w:rFonts w:ascii="Times New Roman" w:eastAsia="Calibri" w:hAnsi="Times New Roman"/>
                <w:color w:val="000000"/>
                <w:sz w:val="20"/>
                <w:szCs w:val="20"/>
                <w:vertAlign w:val="superscript"/>
              </w:rPr>
              <w:t>c</w:t>
            </w:r>
          </w:p>
        </w:tc>
        <w:tc>
          <w:tcPr>
            <w:tcW w:w="2610" w:type="dxa"/>
            <w:tcBorders>
              <w:top w:val="nil"/>
              <w:left w:val="nil"/>
              <w:bottom w:val="nil"/>
              <w:right w:val="nil"/>
            </w:tcBorders>
            <w:vAlign w:val="center"/>
            <w:hideMark/>
          </w:tcPr>
          <w:p w14:paraId="07427F30" w14:textId="77777777" w:rsidR="00436887" w:rsidRPr="001302AD" w:rsidRDefault="00436887" w:rsidP="00843265">
            <w:pPr>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93.56</w:t>
            </w:r>
            <w:r w:rsidRPr="001302AD">
              <w:rPr>
                <w:rFonts w:ascii="Times New Roman" w:eastAsia="Calibri" w:hAnsi="Times New Roman"/>
                <w:color w:val="000000"/>
                <w:sz w:val="20"/>
                <w:szCs w:val="20"/>
                <w:vertAlign w:val="superscript"/>
              </w:rPr>
              <w:t>c</w:t>
            </w:r>
          </w:p>
        </w:tc>
        <w:tc>
          <w:tcPr>
            <w:tcW w:w="1890" w:type="dxa"/>
            <w:tcBorders>
              <w:top w:val="nil"/>
              <w:left w:val="nil"/>
              <w:bottom w:val="nil"/>
              <w:right w:val="nil"/>
            </w:tcBorders>
            <w:vAlign w:val="bottom"/>
            <w:hideMark/>
          </w:tcPr>
          <w:p w14:paraId="1D15F9FB" w14:textId="77777777" w:rsidR="00436887" w:rsidRPr="001302AD" w:rsidRDefault="00436887" w:rsidP="00843265">
            <w:pPr>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54.24</w:t>
            </w:r>
            <w:r w:rsidRPr="001302AD">
              <w:rPr>
                <w:rFonts w:ascii="Times New Roman" w:eastAsia="Calibri" w:hAnsi="Times New Roman"/>
                <w:color w:val="000000"/>
                <w:sz w:val="20"/>
                <w:szCs w:val="20"/>
                <w:vertAlign w:val="superscript"/>
              </w:rPr>
              <w:t>b</w:t>
            </w:r>
          </w:p>
        </w:tc>
      </w:tr>
      <w:tr w:rsidR="00436887" w:rsidRPr="001302AD" w14:paraId="1432A193" w14:textId="77777777" w:rsidTr="00BC0A37">
        <w:tc>
          <w:tcPr>
            <w:tcW w:w="2250" w:type="dxa"/>
            <w:tcBorders>
              <w:top w:val="nil"/>
              <w:left w:val="nil"/>
              <w:bottom w:val="nil"/>
              <w:right w:val="nil"/>
            </w:tcBorders>
            <w:hideMark/>
          </w:tcPr>
          <w:p w14:paraId="4A6595F0"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2610" w:type="dxa"/>
            <w:tcBorders>
              <w:top w:val="nil"/>
              <w:left w:val="nil"/>
              <w:bottom w:val="nil"/>
              <w:right w:val="nil"/>
            </w:tcBorders>
            <w:vAlign w:val="bottom"/>
            <w:hideMark/>
          </w:tcPr>
          <w:p w14:paraId="3635ED88" w14:textId="77777777" w:rsidR="00436887" w:rsidRPr="001302AD" w:rsidRDefault="00436887" w:rsidP="00843265">
            <w:pPr>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53.67</w:t>
            </w:r>
            <w:r w:rsidRPr="001302AD">
              <w:rPr>
                <w:rFonts w:ascii="Times New Roman" w:eastAsia="Calibri" w:hAnsi="Times New Roman"/>
                <w:color w:val="000000"/>
                <w:sz w:val="20"/>
                <w:szCs w:val="20"/>
                <w:vertAlign w:val="superscript"/>
              </w:rPr>
              <w:t>b</w:t>
            </w:r>
          </w:p>
        </w:tc>
        <w:tc>
          <w:tcPr>
            <w:tcW w:w="2610" w:type="dxa"/>
            <w:tcBorders>
              <w:top w:val="nil"/>
              <w:left w:val="nil"/>
              <w:bottom w:val="nil"/>
              <w:right w:val="nil"/>
            </w:tcBorders>
            <w:vAlign w:val="center"/>
            <w:hideMark/>
          </w:tcPr>
          <w:p w14:paraId="4DE64FF9" w14:textId="77777777" w:rsidR="00436887" w:rsidRPr="001302AD" w:rsidRDefault="00436887" w:rsidP="00843265">
            <w:pPr>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95.22</w:t>
            </w:r>
            <w:r w:rsidRPr="001302AD">
              <w:rPr>
                <w:rFonts w:ascii="Times New Roman" w:eastAsia="Calibri" w:hAnsi="Times New Roman"/>
                <w:color w:val="000000"/>
                <w:sz w:val="20"/>
                <w:szCs w:val="20"/>
                <w:vertAlign w:val="superscript"/>
              </w:rPr>
              <w:t>b</w:t>
            </w:r>
          </w:p>
        </w:tc>
        <w:tc>
          <w:tcPr>
            <w:tcW w:w="1890" w:type="dxa"/>
            <w:tcBorders>
              <w:top w:val="nil"/>
              <w:left w:val="nil"/>
              <w:bottom w:val="nil"/>
              <w:right w:val="nil"/>
            </w:tcBorders>
            <w:vAlign w:val="bottom"/>
            <w:hideMark/>
          </w:tcPr>
          <w:p w14:paraId="1796EDEF" w14:textId="77777777" w:rsidR="00436887" w:rsidRPr="001302AD" w:rsidRDefault="00436887" w:rsidP="00843265">
            <w:pPr>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61.84</w:t>
            </w:r>
            <w:r w:rsidRPr="001302AD">
              <w:rPr>
                <w:rFonts w:ascii="Times New Roman" w:eastAsia="Calibri" w:hAnsi="Times New Roman"/>
                <w:color w:val="000000"/>
                <w:sz w:val="20"/>
                <w:szCs w:val="20"/>
                <w:vertAlign w:val="superscript"/>
              </w:rPr>
              <w:t>a</w:t>
            </w:r>
          </w:p>
        </w:tc>
      </w:tr>
      <w:tr w:rsidR="00436887" w:rsidRPr="001302AD" w14:paraId="2E66BA9C" w14:textId="77777777" w:rsidTr="00BC0A37">
        <w:tc>
          <w:tcPr>
            <w:tcW w:w="2250" w:type="dxa"/>
            <w:tcBorders>
              <w:top w:val="nil"/>
              <w:left w:val="nil"/>
              <w:bottom w:val="nil"/>
              <w:right w:val="nil"/>
            </w:tcBorders>
            <w:hideMark/>
          </w:tcPr>
          <w:p w14:paraId="756D3D45"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15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2610" w:type="dxa"/>
            <w:tcBorders>
              <w:top w:val="nil"/>
              <w:left w:val="nil"/>
              <w:bottom w:val="nil"/>
              <w:right w:val="nil"/>
            </w:tcBorders>
            <w:vAlign w:val="bottom"/>
            <w:hideMark/>
          </w:tcPr>
          <w:p w14:paraId="7AD47B18" w14:textId="77777777" w:rsidR="00436887" w:rsidRPr="001302AD" w:rsidRDefault="00436887" w:rsidP="00843265">
            <w:pPr>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56.33</w:t>
            </w:r>
            <w:r w:rsidRPr="001302AD">
              <w:rPr>
                <w:rFonts w:ascii="Times New Roman" w:eastAsia="Calibri" w:hAnsi="Times New Roman"/>
                <w:color w:val="000000"/>
                <w:sz w:val="20"/>
                <w:szCs w:val="20"/>
                <w:vertAlign w:val="superscript"/>
              </w:rPr>
              <w:t>a</w:t>
            </w:r>
          </w:p>
        </w:tc>
        <w:tc>
          <w:tcPr>
            <w:tcW w:w="2610" w:type="dxa"/>
            <w:tcBorders>
              <w:top w:val="nil"/>
              <w:left w:val="nil"/>
              <w:bottom w:val="nil"/>
              <w:right w:val="nil"/>
            </w:tcBorders>
            <w:vAlign w:val="center"/>
            <w:hideMark/>
          </w:tcPr>
          <w:p w14:paraId="448351D0" w14:textId="77777777" w:rsidR="00436887" w:rsidRPr="001302AD" w:rsidRDefault="00436887" w:rsidP="00843265">
            <w:pPr>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97.44</w:t>
            </w:r>
            <w:r w:rsidRPr="001302AD">
              <w:rPr>
                <w:rFonts w:ascii="Times New Roman" w:eastAsia="Calibri" w:hAnsi="Times New Roman"/>
                <w:color w:val="000000"/>
                <w:sz w:val="20"/>
                <w:szCs w:val="20"/>
                <w:vertAlign w:val="superscript"/>
              </w:rPr>
              <w:t>a</w:t>
            </w:r>
          </w:p>
        </w:tc>
        <w:tc>
          <w:tcPr>
            <w:tcW w:w="1890" w:type="dxa"/>
            <w:tcBorders>
              <w:top w:val="nil"/>
              <w:left w:val="nil"/>
              <w:bottom w:val="nil"/>
              <w:right w:val="nil"/>
            </w:tcBorders>
            <w:vAlign w:val="bottom"/>
            <w:hideMark/>
          </w:tcPr>
          <w:p w14:paraId="7CE66968" w14:textId="77777777" w:rsidR="00436887" w:rsidRPr="001302AD" w:rsidRDefault="00436887" w:rsidP="00843265">
            <w:pPr>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63.64</w:t>
            </w:r>
            <w:r w:rsidRPr="001302AD">
              <w:rPr>
                <w:rFonts w:ascii="Times New Roman" w:eastAsia="Calibri" w:hAnsi="Times New Roman"/>
                <w:color w:val="000000"/>
                <w:sz w:val="20"/>
                <w:szCs w:val="20"/>
                <w:vertAlign w:val="superscript"/>
              </w:rPr>
              <w:t>a</w:t>
            </w:r>
          </w:p>
        </w:tc>
      </w:tr>
      <w:tr w:rsidR="00436887" w:rsidRPr="001302AD" w14:paraId="7A528081" w14:textId="77777777" w:rsidTr="00BC0A37">
        <w:tc>
          <w:tcPr>
            <w:tcW w:w="2250" w:type="dxa"/>
            <w:tcBorders>
              <w:top w:val="nil"/>
              <w:left w:val="nil"/>
              <w:bottom w:val="single" w:sz="4" w:space="0" w:color="auto"/>
              <w:right w:val="nil"/>
            </w:tcBorders>
            <w:hideMark/>
          </w:tcPr>
          <w:p w14:paraId="3611C804"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2610" w:type="dxa"/>
            <w:tcBorders>
              <w:top w:val="nil"/>
              <w:left w:val="nil"/>
              <w:bottom w:val="single" w:sz="4" w:space="0" w:color="auto"/>
              <w:right w:val="nil"/>
            </w:tcBorders>
            <w:vAlign w:val="bottom"/>
            <w:hideMark/>
          </w:tcPr>
          <w:p w14:paraId="63331705" w14:textId="77777777" w:rsidR="00436887" w:rsidRPr="001302AD" w:rsidRDefault="00436887" w:rsidP="00843265">
            <w:pPr>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54.89</w:t>
            </w:r>
            <w:r w:rsidRPr="001302AD">
              <w:rPr>
                <w:rFonts w:ascii="Times New Roman" w:eastAsia="Calibri" w:hAnsi="Times New Roman"/>
                <w:color w:val="000000"/>
                <w:sz w:val="20"/>
                <w:szCs w:val="20"/>
                <w:vertAlign w:val="superscript"/>
              </w:rPr>
              <w:t>ab</w:t>
            </w:r>
          </w:p>
        </w:tc>
        <w:tc>
          <w:tcPr>
            <w:tcW w:w="2610" w:type="dxa"/>
            <w:tcBorders>
              <w:top w:val="nil"/>
              <w:left w:val="nil"/>
              <w:bottom w:val="single" w:sz="4" w:space="0" w:color="auto"/>
              <w:right w:val="nil"/>
            </w:tcBorders>
            <w:vAlign w:val="center"/>
            <w:hideMark/>
          </w:tcPr>
          <w:p w14:paraId="3A07054A" w14:textId="77777777" w:rsidR="00436887" w:rsidRPr="001302AD" w:rsidRDefault="00436887" w:rsidP="00843265">
            <w:pPr>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93.89</w:t>
            </w:r>
            <w:r w:rsidRPr="001302AD">
              <w:rPr>
                <w:rFonts w:ascii="Times New Roman" w:eastAsia="Calibri" w:hAnsi="Times New Roman"/>
                <w:color w:val="000000"/>
                <w:sz w:val="20"/>
                <w:szCs w:val="20"/>
                <w:vertAlign w:val="superscript"/>
              </w:rPr>
              <w:t>c</w:t>
            </w:r>
          </w:p>
        </w:tc>
        <w:tc>
          <w:tcPr>
            <w:tcW w:w="1890" w:type="dxa"/>
            <w:tcBorders>
              <w:top w:val="nil"/>
              <w:left w:val="nil"/>
              <w:bottom w:val="single" w:sz="4" w:space="0" w:color="auto"/>
              <w:right w:val="nil"/>
            </w:tcBorders>
            <w:vAlign w:val="bottom"/>
            <w:hideMark/>
          </w:tcPr>
          <w:p w14:paraId="3A62C5FE" w14:textId="77777777" w:rsidR="00436887" w:rsidRPr="001302AD" w:rsidRDefault="00436887" w:rsidP="00843265">
            <w:pPr>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60.44</w:t>
            </w:r>
            <w:r w:rsidRPr="001302AD">
              <w:rPr>
                <w:rFonts w:ascii="Times New Roman" w:eastAsia="Calibri" w:hAnsi="Times New Roman"/>
                <w:color w:val="000000"/>
                <w:sz w:val="20"/>
                <w:szCs w:val="20"/>
                <w:vertAlign w:val="superscript"/>
              </w:rPr>
              <w:t>a</w:t>
            </w:r>
          </w:p>
        </w:tc>
      </w:tr>
      <w:tr w:rsidR="00436887" w:rsidRPr="001302AD" w14:paraId="1C32AC99" w14:textId="77777777" w:rsidTr="00BC0A37">
        <w:trPr>
          <w:trHeight w:val="386"/>
        </w:trPr>
        <w:tc>
          <w:tcPr>
            <w:tcW w:w="2250" w:type="dxa"/>
            <w:tcBorders>
              <w:top w:val="single" w:sz="4" w:space="0" w:color="auto"/>
              <w:left w:val="nil"/>
              <w:bottom w:val="single" w:sz="4" w:space="0" w:color="auto"/>
              <w:right w:val="nil"/>
            </w:tcBorders>
            <w:hideMark/>
          </w:tcPr>
          <w:p w14:paraId="4A18CFE5"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LSD (0.05)</w:t>
            </w:r>
          </w:p>
        </w:tc>
        <w:tc>
          <w:tcPr>
            <w:tcW w:w="2610" w:type="dxa"/>
            <w:tcBorders>
              <w:top w:val="single" w:sz="4" w:space="0" w:color="auto"/>
              <w:left w:val="nil"/>
              <w:bottom w:val="single" w:sz="4" w:space="0" w:color="auto"/>
              <w:right w:val="nil"/>
            </w:tcBorders>
            <w:hideMark/>
          </w:tcPr>
          <w:p w14:paraId="34EC67EC" w14:textId="77777777" w:rsidR="00436887" w:rsidRPr="001302AD" w:rsidRDefault="00436887" w:rsidP="00843265">
            <w:pPr>
              <w:autoSpaceDE w:val="0"/>
              <w:autoSpaceDN w:val="0"/>
              <w:adjustRightInd w:val="0"/>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1.78</w:t>
            </w:r>
          </w:p>
        </w:tc>
        <w:tc>
          <w:tcPr>
            <w:tcW w:w="2610" w:type="dxa"/>
            <w:tcBorders>
              <w:top w:val="single" w:sz="4" w:space="0" w:color="auto"/>
              <w:left w:val="nil"/>
              <w:bottom w:val="single" w:sz="4" w:space="0" w:color="auto"/>
              <w:right w:val="nil"/>
            </w:tcBorders>
            <w:hideMark/>
          </w:tcPr>
          <w:p w14:paraId="6C5B9981" w14:textId="77777777" w:rsidR="00436887" w:rsidRPr="001302AD" w:rsidRDefault="00436887" w:rsidP="00843265">
            <w:pPr>
              <w:autoSpaceDE w:val="0"/>
              <w:autoSpaceDN w:val="0"/>
              <w:adjustRightInd w:val="0"/>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1.39</w:t>
            </w:r>
          </w:p>
        </w:tc>
        <w:tc>
          <w:tcPr>
            <w:tcW w:w="1890" w:type="dxa"/>
            <w:tcBorders>
              <w:top w:val="single" w:sz="4" w:space="0" w:color="auto"/>
              <w:left w:val="nil"/>
              <w:bottom w:val="single" w:sz="4" w:space="0" w:color="auto"/>
              <w:right w:val="nil"/>
            </w:tcBorders>
            <w:hideMark/>
          </w:tcPr>
          <w:p w14:paraId="111CE2BA" w14:textId="77777777" w:rsidR="00436887" w:rsidRPr="001302AD" w:rsidRDefault="00436887" w:rsidP="00843265">
            <w:pPr>
              <w:autoSpaceDE w:val="0"/>
              <w:autoSpaceDN w:val="0"/>
              <w:adjustRightInd w:val="0"/>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3.08</w:t>
            </w:r>
          </w:p>
        </w:tc>
      </w:tr>
      <w:tr w:rsidR="00436887" w:rsidRPr="001302AD" w14:paraId="271D67AD" w14:textId="77777777" w:rsidTr="00BC0A37">
        <w:tc>
          <w:tcPr>
            <w:tcW w:w="2250" w:type="dxa"/>
            <w:tcBorders>
              <w:top w:val="single" w:sz="4" w:space="0" w:color="auto"/>
              <w:left w:val="nil"/>
              <w:bottom w:val="single" w:sz="4" w:space="0" w:color="auto"/>
              <w:right w:val="nil"/>
            </w:tcBorders>
            <w:hideMark/>
          </w:tcPr>
          <w:p w14:paraId="5F1437CE"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CV (%)</w:t>
            </w:r>
          </w:p>
        </w:tc>
        <w:tc>
          <w:tcPr>
            <w:tcW w:w="2610" w:type="dxa"/>
            <w:tcBorders>
              <w:top w:val="single" w:sz="4" w:space="0" w:color="auto"/>
              <w:left w:val="nil"/>
              <w:bottom w:val="single" w:sz="4" w:space="0" w:color="auto"/>
              <w:right w:val="nil"/>
            </w:tcBorders>
            <w:hideMark/>
          </w:tcPr>
          <w:p w14:paraId="25ADCBF4" w14:textId="77777777" w:rsidR="00436887" w:rsidRPr="001302AD" w:rsidRDefault="00436887" w:rsidP="00843265">
            <w:pPr>
              <w:autoSpaceDE w:val="0"/>
              <w:autoSpaceDN w:val="0"/>
              <w:adjustRightInd w:val="0"/>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3.4</w:t>
            </w:r>
          </w:p>
        </w:tc>
        <w:tc>
          <w:tcPr>
            <w:tcW w:w="2610" w:type="dxa"/>
            <w:tcBorders>
              <w:top w:val="single" w:sz="4" w:space="0" w:color="auto"/>
              <w:left w:val="nil"/>
              <w:bottom w:val="single" w:sz="4" w:space="0" w:color="auto"/>
              <w:right w:val="nil"/>
            </w:tcBorders>
            <w:hideMark/>
          </w:tcPr>
          <w:p w14:paraId="17761B9F" w14:textId="77777777" w:rsidR="00436887" w:rsidRPr="001302AD" w:rsidRDefault="00436887" w:rsidP="00843265">
            <w:pPr>
              <w:autoSpaceDE w:val="0"/>
              <w:autoSpaceDN w:val="0"/>
              <w:adjustRightInd w:val="0"/>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1.5</w:t>
            </w:r>
          </w:p>
        </w:tc>
        <w:tc>
          <w:tcPr>
            <w:tcW w:w="1890" w:type="dxa"/>
            <w:tcBorders>
              <w:top w:val="single" w:sz="4" w:space="0" w:color="auto"/>
              <w:left w:val="nil"/>
              <w:bottom w:val="single" w:sz="4" w:space="0" w:color="auto"/>
              <w:right w:val="nil"/>
            </w:tcBorders>
            <w:hideMark/>
          </w:tcPr>
          <w:p w14:paraId="290E5D48" w14:textId="77777777" w:rsidR="00436887" w:rsidRPr="001302AD" w:rsidRDefault="00436887" w:rsidP="00843265">
            <w:pPr>
              <w:autoSpaceDE w:val="0"/>
              <w:autoSpaceDN w:val="0"/>
              <w:adjustRightInd w:val="0"/>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5.5</w:t>
            </w:r>
          </w:p>
        </w:tc>
      </w:tr>
    </w:tbl>
    <w:p w14:paraId="2E1F2D7E" w14:textId="77777777" w:rsidR="00436887" w:rsidRPr="001302AD" w:rsidRDefault="00436887" w:rsidP="00843265">
      <w:pPr>
        <w:spacing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color w:val="000000"/>
          <w:sz w:val="20"/>
          <w:szCs w:val="20"/>
        </w:rPr>
        <w:t>LSD = Least Significant Difference at 5% level of significance; CV (%) = coefficient of variation in percent; Means in column and followed by the same letters are not significantly differe</w:t>
      </w:r>
      <w:bookmarkStart w:id="21" w:name="_Toc11262210"/>
      <w:r w:rsidRPr="001302AD">
        <w:rPr>
          <w:rFonts w:ascii="Times New Roman" w:eastAsia="Calibri" w:hAnsi="Times New Roman" w:cs="Times New Roman"/>
          <w:color w:val="000000"/>
          <w:sz w:val="20"/>
          <w:szCs w:val="20"/>
        </w:rPr>
        <w:t>nce at 5% level of significance</w:t>
      </w:r>
    </w:p>
    <w:p w14:paraId="7D2105D9" w14:textId="77777777" w:rsidR="00436887" w:rsidRPr="001302AD" w:rsidRDefault="00436887" w:rsidP="00843265">
      <w:pPr>
        <w:spacing w:line="240" w:lineRule="auto"/>
        <w:jc w:val="both"/>
        <w:rPr>
          <w:rFonts w:ascii="Times New Roman" w:eastAsia="Calibri" w:hAnsi="Times New Roman" w:cs="Times New Roman"/>
          <w:b/>
          <w:color w:val="000000"/>
        </w:rPr>
      </w:pPr>
      <w:r w:rsidRPr="001302AD">
        <w:rPr>
          <w:rFonts w:ascii="Times New Roman" w:eastAsia="Times New Roman" w:hAnsi="Times New Roman" w:cs="Times New Roman"/>
          <w:b/>
          <w:bCs/>
          <w:sz w:val="20"/>
          <w:szCs w:val="20"/>
        </w:rPr>
        <w:t xml:space="preserve">3.3. </w:t>
      </w:r>
      <w:r w:rsidRPr="001302AD">
        <w:rPr>
          <w:rFonts w:ascii="Times New Roman" w:eastAsia="Times New Roman" w:hAnsi="Times New Roman" w:cs="Times New Roman"/>
          <w:b/>
          <w:bCs/>
        </w:rPr>
        <w:t>Yield and Yield Components of Soybea</w:t>
      </w:r>
      <w:bookmarkStart w:id="22" w:name="_Toc11262211"/>
      <w:bookmarkEnd w:id="21"/>
      <w:r w:rsidRPr="001302AD">
        <w:rPr>
          <w:rFonts w:ascii="Times New Roman" w:eastAsia="Times New Roman" w:hAnsi="Times New Roman" w:cs="Times New Roman"/>
          <w:b/>
          <w:bCs/>
        </w:rPr>
        <w:t>n</w:t>
      </w:r>
    </w:p>
    <w:p w14:paraId="76EA562E" w14:textId="77777777" w:rsidR="00436887" w:rsidRPr="001302AD" w:rsidRDefault="00436887" w:rsidP="00843265">
      <w:pPr>
        <w:spacing w:line="240" w:lineRule="auto"/>
        <w:jc w:val="both"/>
        <w:rPr>
          <w:rFonts w:ascii="Times New Roman" w:eastAsia="Calibri" w:hAnsi="Times New Roman" w:cs="Times New Roman"/>
          <w:b/>
          <w:color w:val="000000"/>
        </w:rPr>
      </w:pPr>
      <w:r w:rsidRPr="001302AD">
        <w:rPr>
          <w:rFonts w:ascii="Times New Roman" w:eastAsia="Times New Roman" w:hAnsi="Times New Roman" w:cs="Times New Roman"/>
          <w:b/>
          <w:bCs/>
        </w:rPr>
        <w:t>3.3.1. Number of Primary Branches per Plant</w:t>
      </w:r>
      <w:bookmarkEnd w:id="22"/>
    </w:p>
    <w:p w14:paraId="16F928C3" w14:textId="77777777" w:rsidR="00436887" w:rsidRPr="001302AD" w:rsidRDefault="00436887" w:rsidP="00843265">
      <w:pPr>
        <w:spacing w:line="240" w:lineRule="auto"/>
        <w:jc w:val="both"/>
        <w:rPr>
          <w:rFonts w:ascii="Times New Roman" w:eastAsia="Times New Roman" w:hAnsi="Times New Roman" w:cs="Times New Roman"/>
          <w:bCs/>
          <w:i/>
          <w:sz w:val="20"/>
          <w:szCs w:val="20"/>
        </w:rPr>
      </w:pPr>
      <w:r w:rsidRPr="001302AD">
        <w:rPr>
          <w:rFonts w:ascii="Times New Roman" w:eastAsia="Calibri" w:hAnsi="Times New Roman" w:cs="Times New Roman"/>
          <w:color w:val="000000"/>
          <w:sz w:val="20"/>
          <w:szCs w:val="20"/>
        </w:rPr>
        <w:t>The number of effective branches per plant was highly significantly (P&lt;0.01) affected by mulching.</w:t>
      </w:r>
      <w:r w:rsidRPr="001302AD">
        <w:rPr>
          <w:rFonts w:ascii="Times New Roman" w:eastAsia="Calibri" w:hAnsi="Times New Roman" w:cs="Times New Roman"/>
          <w:b/>
          <w:sz w:val="20"/>
          <w:szCs w:val="20"/>
        </w:rPr>
        <w:t xml:space="preserve"> </w:t>
      </w:r>
      <w:r w:rsidRPr="001302AD">
        <w:rPr>
          <w:rFonts w:ascii="Times New Roman" w:eastAsia="Calibri" w:hAnsi="Times New Roman" w:cs="Times New Roman"/>
          <w:color w:val="000000"/>
          <w:sz w:val="20"/>
          <w:szCs w:val="20"/>
        </w:rPr>
        <w:t>The highest number of primary branches per plant (3.02) was recorded under the 10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sz w:val="20"/>
          <w:szCs w:val="20"/>
        </w:rPr>
        <w:t>mulch cover, followed by 15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sz w:val="20"/>
          <w:szCs w:val="20"/>
        </w:rPr>
        <w:t>mulch cover (2.93), although they were statistically in the same range. The lowest number of primary branches per plant (2.89) was recorded under the no mulch treatment (Table 5). The lowest number of branches per plant observed in non-mulched plots was due to water stress in the root zone resulting from water loss by evaporation.</w:t>
      </w:r>
      <w:r w:rsidRPr="001302AD">
        <w:rPr>
          <w:rFonts w:ascii="Times New Roman" w:eastAsia="Calibri" w:hAnsi="Times New Roman" w:cs="Times New Roman"/>
          <w:sz w:val="20"/>
          <w:szCs w:val="20"/>
        </w:rPr>
        <w:t xml:space="preserve">  This is in line with the findings of Kader et al. (2019), who reported that </w:t>
      </w:r>
      <w:bookmarkStart w:id="23" w:name="_Toc11262212"/>
      <w:r w:rsidRPr="001302AD">
        <w:rPr>
          <w:rFonts w:ascii="Times New Roman" w:eastAsia="Calibri" w:hAnsi="Times New Roman" w:cs="Times New Roman"/>
          <w:sz w:val="20"/>
          <w:szCs w:val="20"/>
        </w:rPr>
        <w:t>mulching has been widely recognized as an effective water-saving technique in arid and semi</w:t>
      </w:r>
      <w:r w:rsidRPr="001302AD">
        <w:rPr>
          <w:rFonts w:ascii="Times New Roman" w:eastAsia="Calibri" w:hAnsi="Times New Roman" w:cs="Times New Roman"/>
          <w:sz w:val="20"/>
          <w:szCs w:val="20"/>
        </w:rPr>
        <w:noBreakHyphen/>
        <w:t>arid environments because it conserves soil moisture and reduces surface evaporation by covering the soil surface and buffering it against direct solar radiation and heat</w:t>
      </w:r>
      <w:r w:rsidRPr="001302AD">
        <w:rPr>
          <w:rFonts w:ascii="Times New Roman" w:eastAsia="Calibri" w:hAnsi="Times New Roman" w:cs="Times New Roman"/>
          <w:color w:val="000000"/>
          <w:sz w:val="20"/>
          <w:szCs w:val="20"/>
        </w:rPr>
        <w:t>.</w:t>
      </w:r>
    </w:p>
    <w:p w14:paraId="6F9D72AA" w14:textId="77777777" w:rsidR="00436887" w:rsidRPr="001302AD" w:rsidRDefault="00436887" w:rsidP="00843265">
      <w:pPr>
        <w:spacing w:before="240" w:line="240" w:lineRule="auto"/>
        <w:jc w:val="both"/>
        <w:rPr>
          <w:rFonts w:ascii="Times New Roman" w:eastAsia="Times New Roman" w:hAnsi="Times New Roman" w:cs="Times New Roman"/>
          <w:b/>
          <w:bCs/>
          <w:sz w:val="24"/>
          <w:szCs w:val="24"/>
        </w:rPr>
      </w:pPr>
      <w:r w:rsidRPr="001302AD">
        <w:rPr>
          <w:rFonts w:ascii="Times New Roman" w:eastAsia="Times New Roman" w:hAnsi="Times New Roman" w:cs="Times New Roman"/>
          <w:b/>
          <w:bCs/>
          <w:sz w:val="24"/>
          <w:szCs w:val="24"/>
        </w:rPr>
        <w:t>3.3.2. Number of Pods per plant</w:t>
      </w:r>
      <w:bookmarkEnd w:id="23"/>
    </w:p>
    <w:p w14:paraId="0644DBF2" w14:textId="77777777" w:rsidR="00436887" w:rsidRPr="001302AD" w:rsidRDefault="00436887" w:rsidP="00843265">
      <w:pPr>
        <w:autoSpaceDE w:val="0"/>
        <w:autoSpaceDN w:val="0"/>
        <w:adjustRightInd w:val="0"/>
        <w:spacing w:after="0" w:line="240" w:lineRule="auto"/>
        <w:jc w:val="both"/>
        <w:rPr>
          <w:rFonts w:ascii="Times New Roman" w:eastAsia="Times New Roman" w:hAnsi="Times New Roman" w:cs="Times New Roman"/>
          <w:bCs/>
          <w:i/>
          <w:sz w:val="20"/>
          <w:szCs w:val="20"/>
        </w:rPr>
      </w:pPr>
      <w:r w:rsidRPr="001302AD">
        <w:rPr>
          <w:rFonts w:ascii="Times New Roman" w:eastAsia="Calibri" w:hAnsi="Times New Roman" w:cs="Times New Roman"/>
          <w:color w:val="000000"/>
          <w:sz w:val="20"/>
          <w:szCs w:val="20"/>
        </w:rPr>
        <w:t xml:space="preserve">The analysis of variance results revealed that mulching had a highly significant (P&lt;0.01) effect on the number of pods per plant. The highest mean number of pods per plant (48.69) was recorded in plots covered with 10t/ha mulch cover, while the lowest number of pods per plant (34.2) was recorded in no-mulch plots (Table 5). The highest number of pods produced per plant could be due to the positive effects of mulching on conserving moisture in the soil, reducing evaporation, and increasing infiltration of rainwater to the soil, which eventually improved water availability for better crop growth and production of enough numbers of pods per plant. This is in line with </w:t>
      </w:r>
      <w:proofErr w:type="spellStart"/>
      <w:r w:rsidRPr="001302AD">
        <w:rPr>
          <w:rFonts w:ascii="Times New Roman" w:eastAsia="Calibri" w:hAnsi="Times New Roman" w:cs="Times New Roman"/>
          <w:color w:val="000000"/>
          <w:sz w:val="20"/>
          <w:szCs w:val="20"/>
        </w:rPr>
        <w:t>Teame</w:t>
      </w:r>
      <w:proofErr w:type="spellEnd"/>
      <w:r w:rsidRPr="001302AD">
        <w:rPr>
          <w:rFonts w:ascii="Times New Roman" w:eastAsia="Calibri" w:hAnsi="Times New Roman" w:cs="Times New Roman"/>
          <w:color w:val="000000"/>
          <w:sz w:val="20"/>
          <w:szCs w:val="20"/>
        </w:rPr>
        <w:t xml:space="preserve"> et al. (2017),</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color w:val="000000"/>
          <w:sz w:val="20"/>
          <w:szCs w:val="20"/>
        </w:rPr>
        <w:t>who reported that a significant number of capsules were produced in mulched plots, while the no mulch treatment produced fewer capsules in sesame plants due to p</w:t>
      </w:r>
      <w:bookmarkStart w:id="24" w:name="_Toc11262213"/>
      <w:r w:rsidRPr="001302AD">
        <w:rPr>
          <w:rFonts w:ascii="Times New Roman" w:eastAsia="Calibri" w:hAnsi="Times New Roman" w:cs="Times New Roman"/>
          <w:color w:val="000000"/>
          <w:sz w:val="20"/>
          <w:szCs w:val="20"/>
        </w:rPr>
        <w:t>oor soil moisture conservation.</w:t>
      </w:r>
      <w:r w:rsidRPr="001302AD">
        <w:rPr>
          <w:rFonts w:ascii="Times New Roman" w:eastAsia="Times New Roman" w:hAnsi="Times New Roman" w:cs="Times New Roman"/>
          <w:b/>
          <w:bCs/>
          <w:sz w:val="20"/>
          <w:szCs w:val="20"/>
        </w:rPr>
        <w:t xml:space="preserve"> </w:t>
      </w:r>
    </w:p>
    <w:p w14:paraId="1AB693E1" w14:textId="77777777" w:rsidR="00436887" w:rsidRPr="001302AD" w:rsidRDefault="00436887" w:rsidP="00843265">
      <w:pPr>
        <w:autoSpaceDE w:val="0"/>
        <w:autoSpaceDN w:val="0"/>
        <w:adjustRightInd w:val="0"/>
        <w:spacing w:before="240" w:line="240" w:lineRule="auto"/>
        <w:jc w:val="both"/>
        <w:rPr>
          <w:rFonts w:ascii="Times New Roman" w:eastAsia="Times New Roman" w:hAnsi="Times New Roman" w:cs="Times New Roman"/>
          <w:b/>
          <w:bCs/>
        </w:rPr>
      </w:pPr>
      <w:r w:rsidRPr="001302AD">
        <w:rPr>
          <w:rFonts w:ascii="Times New Roman" w:eastAsia="Times New Roman" w:hAnsi="Times New Roman" w:cs="Times New Roman"/>
          <w:b/>
          <w:bCs/>
        </w:rPr>
        <w:t>3.3.3. Number of Seeds per Pod</w:t>
      </w:r>
      <w:bookmarkEnd w:id="24"/>
    </w:p>
    <w:p w14:paraId="6953E4B8" w14:textId="77777777" w:rsidR="00436887" w:rsidRPr="001302AD" w:rsidRDefault="00436887" w:rsidP="00843265">
      <w:pPr>
        <w:autoSpaceDE w:val="0"/>
        <w:autoSpaceDN w:val="0"/>
        <w:adjustRightInd w:val="0"/>
        <w:spacing w:after="0" w:line="240" w:lineRule="auto"/>
        <w:jc w:val="both"/>
        <w:rPr>
          <w:rFonts w:ascii="Times New Roman" w:eastAsia="Calibri" w:hAnsi="Times New Roman" w:cs="Times New Roman"/>
          <w:sz w:val="20"/>
          <w:szCs w:val="20"/>
        </w:rPr>
      </w:pPr>
      <w:r w:rsidRPr="001302AD">
        <w:rPr>
          <w:rFonts w:ascii="Times New Roman" w:eastAsia="Calibri" w:hAnsi="Times New Roman" w:cs="Times New Roman"/>
          <w:color w:val="000000"/>
          <w:sz w:val="20"/>
          <w:szCs w:val="20"/>
        </w:rPr>
        <w:t>The number of seeds per pod was highly significantly (P&lt;0.01) influenced by the mulch application. The highest number of seeds per pod (2.4, 2.3, 2.2) was recorded in plots treated with 20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15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sz w:val="20"/>
          <w:szCs w:val="20"/>
        </w:rPr>
        <w:t>and 10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sz w:val="20"/>
          <w:szCs w:val="20"/>
        </w:rPr>
        <w:t>mulch cover, respectively. However, the lowest number of seeds per pod was recorded in the plots with no mulch cover (Table 5).</w:t>
      </w:r>
      <w:r w:rsidRPr="001302AD">
        <w:rPr>
          <w:rFonts w:ascii="Times New Roman" w:eastAsia="Calibri" w:hAnsi="Times New Roman" w:cs="Times New Roman"/>
          <w:color w:val="000000" w:themeColor="text1"/>
          <w:sz w:val="20"/>
          <w:szCs w:val="20"/>
        </w:rPr>
        <w:t xml:space="preserve"> </w:t>
      </w:r>
      <w:r w:rsidRPr="001302AD">
        <w:rPr>
          <w:rFonts w:ascii="Times New Roman" w:eastAsia="Calibri" w:hAnsi="Times New Roman" w:cs="Times New Roman"/>
          <w:sz w:val="20"/>
          <w:szCs w:val="20"/>
        </w:rPr>
        <w:t xml:space="preserve">The highest number of seeds per pod observed in the 10-20 </w:t>
      </w:r>
      <w:r w:rsidRPr="001302AD">
        <w:rPr>
          <w:rFonts w:ascii="Times New Roman" w:eastAsia="Calibri" w:hAnsi="Times New Roman" w:cs="Times New Roman"/>
          <w:color w:val="000000"/>
          <w:sz w:val="20"/>
          <w:szCs w:val="20"/>
        </w:rPr>
        <w:t>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sz w:val="20"/>
          <w:szCs w:val="20"/>
        </w:rPr>
        <w:t>mulch-covered plots could be due to improved moisture conservation in the soil, which consequently facilitates the translocation of assimilates from the source to the sink</w:t>
      </w:r>
      <w:r w:rsidRPr="001302AD">
        <w:rPr>
          <w:rFonts w:ascii="Times New Roman" w:eastAsia="Calibri" w:hAnsi="Times New Roman" w:cs="Times New Roman"/>
          <w:bCs/>
          <w:sz w:val="20"/>
          <w:szCs w:val="20"/>
        </w:rPr>
        <w:t>.</w:t>
      </w:r>
      <w:r w:rsidRPr="001302AD">
        <w:rPr>
          <w:rFonts w:ascii="Times New Roman" w:eastAsia="Calibri" w:hAnsi="Times New Roman" w:cs="Times New Roman"/>
          <w:sz w:val="20"/>
          <w:szCs w:val="20"/>
        </w:rPr>
        <w:t xml:space="preserve"> A similar result was reported by Tadesse et al. (2024), who demonstrated that higher soil moisture in soybean results in a greater number of seeds per pod, whereas water deficit conditions significantly reduce the number of seeds per pod.</w:t>
      </w:r>
    </w:p>
    <w:p w14:paraId="527A59B5" w14:textId="77777777" w:rsidR="00436887" w:rsidRPr="001302AD" w:rsidRDefault="00436887" w:rsidP="00843265">
      <w:pPr>
        <w:autoSpaceDE w:val="0"/>
        <w:autoSpaceDN w:val="0"/>
        <w:adjustRightInd w:val="0"/>
        <w:spacing w:before="240" w:line="240" w:lineRule="auto"/>
        <w:jc w:val="both"/>
        <w:rPr>
          <w:rFonts w:ascii="Times New Roman" w:eastAsia="Times New Roman" w:hAnsi="Times New Roman" w:cs="Times New Roman"/>
          <w:b/>
          <w:bCs/>
        </w:rPr>
      </w:pPr>
      <w:r w:rsidRPr="001302AD">
        <w:rPr>
          <w:rFonts w:ascii="Times New Roman" w:eastAsia="Times New Roman" w:hAnsi="Times New Roman" w:cs="Times New Roman"/>
          <w:b/>
          <w:bCs/>
        </w:rPr>
        <w:t>3.3.4. Hundred Seed Weight (g)</w:t>
      </w:r>
    </w:p>
    <w:p w14:paraId="3AD0600D" w14:textId="77777777" w:rsidR="00436887" w:rsidRPr="001302AD" w:rsidRDefault="00436887" w:rsidP="00843265">
      <w:pPr>
        <w:autoSpaceDE w:val="0"/>
        <w:autoSpaceDN w:val="0"/>
        <w:adjustRightInd w:val="0"/>
        <w:spacing w:after="0" w:line="240" w:lineRule="auto"/>
        <w:jc w:val="both"/>
        <w:rPr>
          <w:rFonts w:ascii="Times New Roman" w:eastAsia="Times New Roman" w:hAnsi="Times New Roman" w:cs="Times New Roman"/>
          <w:bCs/>
          <w:i/>
          <w:sz w:val="20"/>
          <w:szCs w:val="20"/>
        </w:rPr>
      </w:pPr>
      <w:r w:rsidRPr="001302AD">
        <w:rPr>
          <w:rFonts w:ascii="Times New Roman" w:eastAsia="Calibri" w:hAnsi="Times New Roman" w:cs="Times New Roman"/>
          <w:color w:val="000000"/>
          <w:sz w:val="20"/>
          <w:szCs w:val="20"/>
        </w:rPr>
        <w:lastRenderedPageBreak/>
        <w:t>The analysis of variance showed that mulching did not significantly influence (P&gt;0.05) the hundred seed weight of soybean</w:t>
      </w:r>
      <w:bookmarkStart w:id="25" w:name="_Toc11262588"/>
      <w:r w:rsidRPr="001302AD">
        <w:rPr>
          <w:rFonts w:ascii="Times New Roman" w:eastAsia="Calibri" w:hAnsi="Times New Roman" w:cs="Times New Roman"/>
          <w:color w:val="000000"/>
          <w:sz w:val="20"/>
          <w:szCs w:val="20"/>
        </w:rPr>
        <w:t>. Although there was statistical similarity among the treatments, the highest seed weight (11.69 g) was recorded from treatments covered with 15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sz w:val="20"/>
          <w:szCs w:val="20"/>
        </w:rPr>
        <w:t>mulch, while the lowest seed weight (10.14 g) was observed from 5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sz w:val="20"/>
          <w:szCs w:val="20"/>
        </w:rPr>
        <w:t xml:space="preserve">mulch </w:t>
      </w:r>
      <w:bookmarkStart w:id="26" w:name="_Toc11262216"/>
      <w:r w:rsidRPr="001302AD">
        <w:rPr>
          <w:rFonts w:ascii="Times New Roman" w:eastAsia="Calibri" w:hAnsi="Times New Roman" w:cs="Times New Roman"/>
          <w:color w:val="000000"/>
          <w:sz w:val="20"/>
          <w:szCs w:val="20"/>
        </w:rPr>
        <w:t>cover. This is in line with</w:t>
      </w:r>
      <w:r w:rsidRPr="001302AD">
        <w:rPr>
          <w:rFonts w:ascii="Times New Roman" w:eastAsia="Calibri" w:hAnsi="Times New Roman" w:cs="Times New Roman"/>
          <w:sz w:val="20"/>
          <w:szCs w:val="20"/>
        </w:rPr>
        <w:t xml:space="preserve"> the findings of Akhtar et al. (2019), who found that the highest harvest seed weight of soybean was recorded under mulching treatments compared with the lowest seed yield observed in lower mulching rates or control plots, indicating that mulching significantly enhances seed yield by improving soil moisture and growth conditions.</w:t>
      </w:r>
    </w:p>
    <w:p w14:paraId="6701B0C1" w14:textId="77777777" w:rsidR="00436887" w:rsidRPr="001302AD" w:rsidRDefault="00436887" w:rsidP="00843265">
      <w:pPr>
        <w:autoSpaceDE w:val="0"/>
        <w:autoSpaceDN w:val="0"/>
        <w:adjustRightInd w:val="0"/>
        <w:spacing w:before="240" w:line="240" w:lineRule="auto"/>
        <w:jc w:val="both"/>
        <w:rPr>
          <w:rFonts w:ascii="Times New Roman" w:eastAsia="Times New Roman" w:hAnsi="Times New Roman" w:cs="Times New Roman"/>
          <w:b/>
          <w:bCs/>
        </w:rPr>
      </w:pPr>
      <w:r w:rsidRPr="001302AD">
        <w:rPr>
          <w:rFonts w:ascii="Times New Roman" w:eastAsia="Times New Roman" w:hAnsi="Times New Roman" w:cs="Times New Roman"/>
          <w:b/>
          <w:bCs/>
        </w:rPr>
        <w:t>3.3.5. Grain yield (kg ha</w:t>
      </w:r>
      <w:r w:rsidRPr="001302AD">
        <w:rPr>
          <w:rFonts w:ascii="Times New Roman" w:eastAsia="Times New Roman" w:hAnsi="Times New Roman" w:cs="Times New Roman"/>
          <w:b/>
          <w:bCs/>
          <w:vertAlign w:val="superscript"/>
        </w:rPr>
        <w:t>-1</w:t>
      </w:r>
      <w:r w:rsidRPr="001302AD">
        <w:rPr>
          <w:rFonts w:ascii="Times New Roman" w:eastAsia="Times New Roman" w:hAnsi="Times New Roman" w:cs="Times New Roman"/>
          <w:b/>
          <w:bCs/>
        </w:rPr>
        <w:t>)</w:t>
      </w:r>
      <w:bookmarkEnd w:id="26"/>
    </w:p>
    <w:p w14:paraId="46E6DABE" w14:textId="77777777" w:rsidR="00436887" w:rsidRPr="001302AD" w:rsidRDefault="00436887" w:rsidP="00843265">
      <w:pPr>
        <w:autoSpaceDE w:val="0"/>
        <w:autoSpaceDN w:val="0"/>
        <w:adjustRightInd w:val="0"/>
        <w:spacing w:after="0" w:line="240" w:lineRule="auto"/>
        <w:jc w:val="both"/>
        <w:rPr>
          <w:rFonts w:ascii="Times New Roman" w:eastAsia="Calibri" w:hAnsi="Times New Roman" w:cs="Times New Roman"/>
          <w:sz w:val="20"/>
          <w:szCs w:val="20"/>
        </w:rPr>
      </w:pPr>
      <w:r w:rsidRPr="001302AD">
        <w:rPr>
          <w:rFonts w:ascii="Times New Roman" w:eastAsia="Calibri" w:hAnsi="Times New Roman" w:cs="Times New Roman"/>
          <w:color w:val="000000"/>
          <w:sz w:val="20"/>
          <w:szCs w:val="20"/>
        </w:rPr>
        <w:t xml:space="preserve">The results of the analysis of variance indicated that soybean grain yield was highly significantly </w:t>
      </w:r>
      <w:r w:rsidRPr="001302AD">
        <w:rPr>
          <w:rFonts w:ascii="Times New Roman" w:eastAsia="Calibri" w:hAnsi="Times New Roman" w:cs="Times New Roman"/>
          <w:sz w:val="20"/>
          <w:szCs w:val="20"/>
        </w:rPr>
        <w:t xml:space="preserve">(P&lt;0.01) </w:t>
      </w:r>
      <w:r w:rsidRPr="001302AD">
        <w:rPr>
          <w:rFonts w:ascii="Times New Roman" w:eastAsia="Calibri" w:hAnsi="Times New Roman" w:cs="Times New Roman"/>
          <w:color w:val="000000"/>
          <w:sz w:val="20"/>
          <w:szCs w:val="20"/>
        </w:rPr>
        <w:t>influenced by the application of mulch. The highest grain yield (1611 kg/ha) was obtained from the treatments mulched with 15t/ha mulch cover. However, the lowest grain yield (915) was recorded in the no mulch treatment (Table 5). The highest yield obtained from the 15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sz w:val="20"/>
          <w:szCs w:val="20"/>
        </w:rPr>
        <w:t xml:space="preserve">mulch cover could be due to the effects of these treatments on optimizing moisture retention and reducing evaporation, which in turn avails sufficient water required for crop development and production, especially at the critical stages of growth, such as flowering and seed formation. A similar result was found by </w:t>
      </w:r>
      <w:r w:rsidRPr="001302AD">
        <w:rPr>
          <w:rFonts w:ascii="Times New Roman" w:hAnsi="Times New Roman" w:cs="Times New Roman"/>
          <w:sz w:val="20"/>
          <w:szCs w:val="20"/>
        </w:rPr>
        <w:t>Ayodeji and Samuel (2024)</w:t>
      </w:r>
      <w:r w:rsidRPr="001302AD">
        <w:rPr>
          <w:rFonts w:ascii="Times New Roman" w:eastAsia="Calibri" w:hAnsi="Times New Roman" w:cs="Times New Roman"/>
          <w:sz w:val="20"/>
          <w:szCs w:val="20"/>
        </w:rPr>
        <w:t>,</w:t>
      </w:r>
      <w:r w:rsidRPr="001302AD">
        <w:rPr>
          <w:rFonts w:ascii="Times New Roman" w:eastAsia="Calibri" w:hAnsi="Times New Roman" w:cs="Times New Roman"/>
          <w:color w:val="000000"/>
          <w:sz w:val="20"/>
          <w:szCs w:val="20"/>
        </w:rPr>
        <w:t xml:space="preserve"> who reported higher tomato yield (23.30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when the field was mulched with 15t/ha. </w:t>
      </w:r>
      <w:r w:rsidRPr="001302AD">
        <w:rPr>
          <w:rFonts w:ascii="Times New Roman" w:eastAsia="Calibri" w:hAnsi="Times New Roman" w:cs="Times New Roman"/>
          <w:sz w:val="20"/>
          <w:szCs w:val="20"/>
        </w:rPr>
        <w:t>Mulching has been shown to significantly improve soil water retention and reduce soil water evaporation in arid and semi</w:t>
      </w:r>
      <w:r w:rsidRPr="001302AD">
        <w:rPr>
          <w:rFonts w:ascii="Times New Roman" w:eastAsia="Calibri" w:hAnsi="Times New Roman" w:cs="Times New Roman"/>
          <w:sz w:val="20"/>
          <w:szCs w:val="20"/>
        </w:rPr>
        <w:noBreakHyphen/>
        <w:t xml:space="preserve">arid areas, thereby supporting improved crop growth and yield underwater-limited conditions (Ramos et al., </w:t>
      </w:r>
    </w:p>
    <w:p w14:paraId="216283D1" w14:textId="77777777" w:rsidR="00436887" w:rsidRPr="001302AD" w:rsidRDefault="00436887" w:rsidP="00843265">
      <w:pPr>
        <w:autoSpaceDE w:val="0"/>
        <w:autoSpaceDN w:val="0"/>
        <w:adjustRightInd w:val="0"/>
        <w:spacing w:after="0"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sz w:val="20"/>
          <w:szCs w:val="20"/>
        </w:rPr>
        <w:t>2024).</w:t>
      </w:r>
    </w:p>
    <w:p w14:paraId="5B67A5C4" w14:textId="77777777" w:rsidR="00436887" w:rsidRPr="001302AD" w:rsidRDefault="00436887" w:rsidP="00F04802">
      <w:pPr>
        <w:autoSpaceDE w:val="0"/>
        <w:autoSpaceDN w:val="0"/>
        <w:adjustRightInd w:val="0"/>
        <w:spacing w:before="240" w:line="240" w:lineRule="auto"/>
        <w:jc w:val="both"/>
        <w:rPr>
          <w:rFonts w:ascii="Times New Roman" w:eastAsia="Times New Roman" w:hAnsi="Times New Roman" w:cs="Times New Roman"/>
          <w:b/>
          <w:bCs/>
        </w:rPr>
      </w:pPr>
      <w:r w:rsidRPr="001302AD">
        <w:rPr>
          <w:rFonts w:ascii="Times New Roman" w:eastAsia="Times New Roman" w:hAnsi="Times New Roman" w:cs="Times New Roman"/>
          <w:b/>
          <w:bCs/>
        </w:rPr>
        <w:t>3.3.6. Harvest Index (%)</w:t>
      </w:r>
    </w:p>
    <w:p w14:paraId="324F3CED" w14:textId="77777777" w:rsidR="00436887" w:rsidRPr="001302AD" w:rsidRDefault="00436887" w:rsidP="00843265">
      <w:pPr>
        <w:autoSpaceDE w:val="0"/>
        <w:autoSpaceDN w:val="0"/>
        <w:adjustRightInd w:val="0"/>
        <w:spacing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sz w:val="20"/>
          <w:szCs w:val="20"/>
        </w:rPr>
        <w:t>The harvest index (HI) is the physiological efficiency and ability of a crop to convert total dry matter into economic yield. A higher harvest index reflects a greater proportion of total above-ground biomass being partitioned into grain yield rather than vegetative plant parts (</w:t>
      </w:r>
      <w:r w:rsidRPr="001302AD">
        <w:rPr>
          <w:rFonts w:ascii="Times New Roman" w:hAnsi="Times New Roman" w:cs="Times New Roman"/>
          <w:sz w:val="20"/>
          <w:szCs w:val="20"/>
        </w:rPr>
        <w:t>Achilli</w:t>
      </w:r>
      <w:r w:rsidRPr="001302AD">
        <w:rPr>
          <w:rFonts w:ascii="Times New Roman" w:eastAsia="Calibri" w:hAnsi="Times New Roman" w:cs="Times New Roman"/>
          <w:sz w:val="20"/>
          <w:szCs w:val="20"/>
        </w:rPr>
        <w:t xml:space="preserve"> et al., 2022). </w:t>
      </w:r>
      <w:r w:rsidRPr="001302AD">
        <w:rPr>
          <w:rFonts w:ascii="Times New Roman" w:eastAsia="Calibri" w:hAnsi="Times New Roman" w:cs="Times New Roman"/>
          <w:color w:val="000000"/>
          <w:sz w:val="20"/>
          <w:szCs w:val="20"/>
        </w:rPr>
        <w:t>Analysis of variance showed a highly significant (P&lt;0.01) effect of mulch application rate on the harvest index. Treatments covered with 15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sz w:val="20"/>
          <w:szCs w:val="20"/>
        </w:rPr>
        <w:t>mulch scored the highest harvest index (38.48), followed by 20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sz w:val="20"/>
          <w:szCs w:val="20"/>
        </w:rPr>
        <w:t>mulch cover (35.54). In contrast, the lowest harvest index (31.13) was recorded from the 5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sz w:val="20"/>
          <w:szCs w:val="20"/>
        </w:rPr>
        <w:t>mulch cover, which was statistically similar to the HI (32.49) observed from the no mulch cover treatment (Table 5). The highest harvest index observed for the 15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mulch cover was due to the effect of the treatments in conserving moisture in the root zone and its availability for enhanced crop growth and production. </w:t>
      </w:r>
      <w:r w:rsidRPr="001302AD">
        <w:rPr>
          <w:rFonts w:ascii="Times New Roman" w:eastAsia="Calibri" w:hAnsi="Times New Roman" w:cs="Times New Roman"/>
          <w:sz w:val="20"/>
          <w:szCs w:val="20"/>
        </w:rPr>
        <w:t xml:space="preserve">This is in line with the findings of Gajić </w:t>
      </w:r>
      <w:r w:rsidRPr="001302AD">
        <w:rPr>
          <w:rFonts w:ascii="Times New Roman" w:eastAsia="Calibri" w:hAnsi="Times New Roman" w:cs="Times New Roman"/>
          <w:iCs/>
          <w:sz w:val="20"/>
          <w:szCs w:val="20"/>
        </w:rPr>
        <w:t>et al</w:t>
      </w:r>
      <w:r w:rsidRPr="001302AD">
        <w:rPr>
          <w:rFonts w:ascii="Times New Roman" w:eastAsia="Calibri" w:hAnsi="Times New Roman" w:cs="Times New Roman"/>
          <w:i/>
          <w:iCs/>
          <w:sz w:val="20"/>
          <w:szCs w:val="20"/>
        </w:rPr>
        <w:t>.</w:t>
      </w:r>
      <w:r w:rsidRPr="001302AD">
        <w:rPr>
          <w:rFonts w:ascii="Times New Roman" w:eastAsia="Calibri" w:hAnsi="Times New Roman" w:cs="Times New Roman"/>
          <w:sz w:val="20"/>
          <w:szCs w:val="20"/>
        </w:rPr>
        <w:t xml:space="preserve"> (2018), who reported that mulching practices have been found to enhance the harvest index of crops by improving soil moisture conservation and resource use efficiency, leading to a greater proportion of biomass being allocated to harvestable seed yield compared with un</w:t>
      </w:r>
      <w:r w:rsidRPr="001302AD">
        <w:rPr>
          <w:rFonts w:ascii="Times New Roman" w:eastAsia="Calibri" w:hAnsi="Times New Roman" w:cs="Times New Roman"/>
          <w:sz w:val="20"/>
          <w:szCs w:val="20"/>
        </w:rPr>
        <w:noBreakHyphen/>
        <w:t xml:space="preserve">mulched control treatments. </w:t>
      </w:r>
    </w:p>
    <w:p w14:paraId="24E11914" w14:textId="77777777" w:rsidR="00436887" w:rsidRPr="001302AD" w:rsidRDefault="00436887" w:rsidP="00F04802">
      <w:pPr>
        <w:spacing w:line="240" w:lineRule="auto"/>
        <w:jc w:val="both"/>
        <w:rPr>
          <w:rFonts w:ascii="Times New Roman" w:eastAsia="Calibri" w:hAnsi="Times New Roman" w:cs="Times New Roman"/>
          <w:b/>
          <w:bCs/>
          <w:sz w:val="20"/>
          <w:szCs w:val="20"/>
        </w:rPr>
      </w:pPr>
      <w:r w:rsidRPr="001302AD">
        <w:rPr>
          <w:rFonts w:ascii="Times New Roman" w:eastAsia="Calibri" w:hAnsi="Times New Roman" w:cs="Times New Roman"/>
          <w:b/>
          <w:bCs/>
          <w:sz w:val="20"/>
          <w:szCs w:val="20"/>
        </w:rPr>
        <w:t>Table 5. Effects of mulching on the number of branches per plant, number of pods per plant, and number of seeds per pod of soybean.</w:t>
      </w:r>
      <w:bookmarkEnd w:id="25"/>
    </w:p>
    <w:tbl>
      <w:tblPr>
        <w:tblStyle w:val="TableGrid"/>
        <w:tblW w:w="927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990"/>
        <w:gridCol w:w="990"/>
        <w:gridCol w:w="1170"/>
        <w:gridCol w:w="1257"/>
        <w:gridCol w:w="1443"/>
        <w:gridCol w:w="990"/>
      </w:tblGrid>
      <w:tr w:rsidR="00436887" w:rsidRPr="001302AD" w14:paraId="55D2ABD9" w14:textId="77777777" w:rsidTr="00BC0A37">
        <w:tc>
          <w:tcPr>
            <w:tcW w:w="2430" w:type="dxa"/>
            <w:tcBorders>
              <w:top w:val="single" w:sz="4" w:space="0" w:color="auto"/>
              <w:left w:val="nil"/>
              <w:bottom w:val="single" w:sz="4" w:space="0" w:color="auto"/>
              <w:right w:val="nil"/>
            </w:tcBorders>
            <w:hideMark/>
          </w:tcPr>
          <w:p w14:paraId="6A8BEAF5" w14:textId="77777777" w:rsidR="00436887" w:rsidRPr="001302AD" w:rsidRDefault="00436887" w:rsidP="00843265">
            <w:pPr>
              <w:autoSpaceDE w:val="0"/>
              <w:autoSpaceDN w:val="0"/>
              <w:adjustRightInd w:val="0"/>
              <w:contextualSpacing/>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Treatments</w:t>
            </w:r>
          </w:p>
        </w:tc>
        <w:tc>
          <w:tcPr>
            <w:tcW w:w="990" w:type="dxa"/>
            <w:tcBorders>
              <w:top w:val="single" w:sz="4" w:space="0" w:color="auto"/>
              <w:left w:val="nil"/>
              <w:bottom w:val="single" w:sz="4" w:space="0" w:color="auto"/>
              <w:right w:val="nil"/>
            </w:tcBorders>
            <w:hideMark/>
          </w:tcPr>
          <w:p w14:paraId="14C198EA" w14:textId="77777777" w:rsidR="00436887" w:rsidRPr="001302AD" w:rsidRDefault="00436887" w:rsidP="00843265">
            <w:pPr>
              <w:autoSpaceDE w:val="0"/>
              <w:autoSpaceDN w:val="0"/>
              <w:adjustRightInd w:val="0"/>
              <w:contextualSpacing/>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NBPP</w:t>
            </w:r>
          </w:p>
        </w:tc>
        <w:tc>
          <w:tcPr>
            <w:tcW w:w="990" w:type="dxa"/>
            <w:tcBorders>
              <w:top w:val="single" w:sz="4" w:space="0" w:color="auto"/>
              <w:left w:val="nil"/>
              <w:bottom w:val="single" w:sz="4" w:space="0" w:color="auto"/>
              <w:right w:val="nil"/>
            </w:tcBorders>
            <w:hideMark/>
          </w:tcPr>
          <w:p w14:paraId="62140FAA" w14:textId="77777777" w:rsidR="00436887" w:rsidRPr="001302AD" w:rsidRDefault="00436887" w:rsidP="00843265">
            <w:pPr>
              <w:autoSpaceDE w:val="0"/>
              <w:autoSpaceDN w:val="0"/>
              <w:adjustRightInd w:val="0"/>
              <w:contextualSpacing/>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NPP</w:t>
            </w:r>
          </w:p>
        </w:tc>
        <w:tc>
          <w:tcPr>
            <w:tcW w:w="1170" w:type="dxa"/>
            <w:tcBorders>
              <w:top w:val="single" w:sz="4" w:space="0" w:color="auto"/>
              <w:left w:val="nil"/>
              <w:bottom w:val="single" w:sz="4" w:space="0" w:color="auto"/>
              <w:right w:val="nil"/>
            </w:tcBorders>
            <w:hideMark/>
          </w:tcPr>
          <w:p w14:paraId="36A9D19D" w14:textId="77777777" w:rsidR="00436887" w:rsidRPr="001302AD" w:rsidRDefault="00436887" w:rsidP="00843265">
            <w:pPr>
              <w:autoSpaceDE w:val="0"/>
              <w:autoSpaceDN w:val="0"/>
              <w:adjustRightInd w:val="0"/>
              <w:contextualSpacing/>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NSPP</w:t>
            </w:r>
          </w:p>
        </w:tc>
        <w:tc>
          <w:tcPr>
            <w:tcW w:w="1257" w:type="dxa"/>
            <w:tcBorders>
              <w:top w:val="single" w:sz="4" w:space="0" w:color="auto"/>
              <w:left w:val="nil"/>
              <w:bottom w:val="single" w:sz="4" w:space="0" w:color="auto"/>
              <w:right w:val="nil"/>
            </w:tcBorders>
            <w:hideMark/>
          </w:tcPr>
          <w:p w14:paraId="2BDB3A3F" w14:textId="77777777" w:rsidR="00436887" w:rsidRPr="001302AD" w:rsidRDefault="00436887" w:rsidP="00843265">
            <w:pPr>
              <w:autoSpaceDE w:val="0"/>
              <w:autoSpaceDN w:val="0"/>
              <w:adjustRightInd w:val="0"/>
              <w:contextualSpacing/>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100SW(g)</w:t>
            </w:r>
          </w:p>
        </w:tc>
        <w:tc>
          <w:tcPr>
            <w:tcW w:w="1443" w:type="dxa"/>
            <w:tcBorders>
              <w:top w:val="single" w:sz="4" w:space="0" w:color="auto"/>
              <w:left w:val="nil"/>
              <w:bottom w:val="single" w:sz="4" w:space="0" w:color="auto"/>
              <w:right w:val="nil"/>
            </w:tcBorders>
            <w:hideMark/>
          </w:tcPr>
          <w:p w14:paraId="14563DEF" w14:textId="77777777" w:rsidR="00436887" w:rsidRPr="001302AD" w:rsidRDefault="00436887" w:rsidP="00843265">
            <w:pPr>
              <w:autoSpaceDE w:val="0"/>
              <w:autoSpaceDN w:val="0"/>
              <w:adjustRightInd w:val="0"/>
              <w:contextualSpacing/>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Yield(kg/ha)</w:t>
            </w:r>
          </w:p>
        </w:tc>
        <w:tc>
          <w:tcPr>
            <w:tcW w:w="990" w:type="dxa"/>
            <w:tcBorders>
              <w:top w:val="single" w:sz="4" w:space="0" w:color="auto"/>
              <w:left w:val="nil"/>
              <w:bottom w:val="single" w:sz="4" w:space="0" w:color="auto"/>
              <w:right w:val="nil"/>
            </w:tcBorders>
            <w:hideMark/>
          </w:tcPr>
          <w:p w14:paraId="4B92B265" w14:textId="77777777" w:rsidR="00436887" w:rsidRPr="001302AD" w:rsidRDefault="00436887" w:rsidP="00843265">
            <w:pPr>
              <w:autoSpaceDE w:val="0"/>
              <w:autoSpaceDN w:val="0"/>
              <w:adjustRightInd w:val="0"/>
              <w:contextualSpacing/>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HI (%)</w:t>
            </w:r>
          </w:p>
        </w:tc>
      </w:tr>
      <w:tr w:rsidR="00436887" w:rsidRPr="001302AD" w14:paraId="4313FB9A" w14:textId="77777777" w:rsidTr="00BC0A37">
        <w:trPr>
          <w:trHeight w:val="440"/>
        </w:trPr>
        <w:tc>
          <w:tcPr>
            <w:tcW w:w="2430" w:type="dxa"/>
            <w:tcBorders>
              <w:top w:val="single" w:sz="4" w:space="0" w:color="auto"/>
              <w:left w:val="nil"/>
              <w:bottom w:val="nil"/>
              <w:right w:val="nil"/>
            </w:tcBorders>
            <w:hideMark/>
          </w:tcPr>
          <w:p w14:paraId="0E1797E6"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no mulch</w:t>
            </w:r>
          </w:p>
        </w:tc>
        <w:tc>
          <w:tcPr>
            <w:tcW w:w="990" w:type="dxa"/>
            <w:tcBorders>
              <w:top w:val="single" w:sz="4" w:space="0" w:color="auto"/>
              <w:left w:val="nil"/>
              <w:bottom w:val="nil"/>
              <w:right w:val="nil"/>
            </w:tcBorders>
            <w:vAlign w:val="center"/>
            <w:hideMark/>
          </w:tcPr>
          <w:p w14:paraId="3A2B13E5"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2.29</w:t>
            </w:r>
            <w:r w:rsidRPr="001302AD">
              <w:rPr>
                <w:rFonts w:ascii="Times New Roman" w:eastAsia="Calibri" w:hAnsi="Times New Roman"/>
                <w:color w:val="000000"/>
                <w:sz w:val="20"/>
                <w:szCs w:val="20"/>
                <w:vertAlign w:val="superscript"/>
              </w:rPr>
              <w:t>b</w:t>
            </w:r>
          </w:p>
        </w:tc>
        <w:tc>
          <w:tcPr>
            <w:tcW w:w="990" w:type="dxa"/>
            <w:tcBorders>
              <w:top w:val="single" w:sz="4" w:space="0" w:color="auto"/>
              <w:left w:val="nil"/>
              <w:bottom w:val="nil"/>
              <w:right w:val="nil"/>
            </w:tcBorders>
            <w:vAlign w:val="center"/>
            <w:hideMark/>
          </w:tcPr>
          <w:p w14:paraId="21A6FAA8"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34.2</w:t>
            </w:r>
            <w:r w:rsidRPr="001302AD">
              <w:rPr>
                <w:rFonts w:ascii="Times New Roman" w:eastAsia="Calibri" w:hAnsi="Times New Roman"/>
                <w:color w:val="000000"/>
                <w:sz w:val="20"/>
                <w:szCs w:val="20"/>
                <w:vertAlign w:val="superscript"/>
              </w:rPr>
              <w:t>c</w:t>
            </w:r>
          </w:p>
        </w:tc>
        <w:tc>
          <w:tcPr>
            <w:tcW w:w="1170" w:type="dxa"/>
            <w:tcBorders>
              <w:top w:val="single" w:sz="4" w:space="0" w:color="auto"/>
              <w:left w:val="nil"/>
              <w:bottom w:val="nil"/>
              <w:right w:val="nil"/>
            </w:tcBorders>
            <w:vAlign w:val="center"/>
            <w:hideMark/>
          </w:tcPr>
          <w:p w14:paraId="1DEAB6EE"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1.82</w:t>
            </w:r>
            <w:r w:rsidRPr="001302AD">
              <w:rPr>
                <w:rFonts w:ascii="Times New Roman" w:eastAsia="Calibri" w:hAnsi="Times New Roman"/>
                <w:color w:val="000000"/>
                <w:sz w:val="20"/>
                <w:szCs w:val="20"/>
                <w:vertAlign w:val="superscript"/>
              </w:rPr>
              <w:t>c</w:t>
            </w:r>
          </w:p>
        </w:tc>
        <w:tc>
          <w:tcPr>
            <w:tcW w:w="1257" w:type="dxa"/>
            <w:tcBorders>
              <w:top w:val="single" w:sz="4" w:space="0" w:color="auto"/>
              <w:left w:val="nil"/>
              <w:bottom w:val="nil"/>
              <w:right w:val="nil"/>
            </w:tcBorders>
            <w:vAlign w:val="center"/>
            <w:hideMark/>
          </w:tcPr>
          <w:p w14:paraId="50788F44"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10.36</w:t>
            </w:r>
            <w:r w:rsidRPr="001302AD">
              <w:rPr>
                <w:rFonts w:ascii="Times New Roman" w:eastAsia="Calibri" w:hAnsi="Times New Roman"/>
                <w:color w:val="000000"/>
                <w:sz w:val="20"/>
                <w:szCs w:val="20"/>
                <w:vertAlign w:val="superscript"/>
              </w:rPr>
              <w:t>b</w:t>
            </w:r>
          </w:p>
        </w:tc>
        <w:tc>
          <w:tcPr>
            <w:tcW w:w="1443" w:type="dxa"/>
            <w:tcBorders>
              <w:top w:val="single" w:sz="4" w:space="0" w:color="auto"/>
              <w:left w:val="nil"/>
              <w:bottom w:val="nil"/>
              <w:right w:val="nil"/>
            </w:tcBorders>
            <w:vAlign w:val="center"/>
            <w:hideMark/>
          </w:tcPr>
          <w:p w14:paraId="3C1D167E"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915</w:t>
            </w:r>
            <w:r w:rsidRPr="001302AD">
              <w:rPr>
                <w:rFonts w:ascii="Times New Roman" w:eastAsia="Calibri" w:hAnsi="Times New Roman"/>
                <w:color w:val="000000"/>
                <w:sz w:val="20"/>
                <w:szCs w:val="20"/>
                <w:vertAlign w:val="superscript"/>
              </w:rPr>
              <w:t>c</w:t>
            </w:r>
          </w:p>
        </w:tc>
        <w:tc>
          <w:tcPr>
            <w:tcW w:w="990" w:type="dxa"/>
            <w:tcBorders>
              <w:top w:val="single" w:sz="4" w:space="0" w:color="auto"/>
              <w:left w:val="nil"/>
              <w:bottom w:val="nil"/>
              <w:right w:val="nil"/>
            </w:tcBorders>
            <w:vAlign w:val="center"/>
            <w:hideMark/>
          </w:tcPr>
          <w:p w14:paraId="42F4C41A"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32.49</w:t>
            </w:r>
            <w:r w:rsidRPr="001302AD">
              <w:rPr>
                <w:rFonts w:ascii="Times New Roman" w:eastAsia="Calibri" w:hAnsi="Times New Roman"/>
                <w:color w:val="000000"/>
                <w:sz w:val="20"/>
                <w:szCs w:val="20"/>
                <w:vertAlign w:val="superscript"/>
              </w:rPr>
              <w:t>c</w:t>
            </w:r>
          </w:p>
        </w:tc>
      </w:tr>
      <w:tr w:rsidR="00436887" w:rsidRPr="001302AD" w14:paraId="7525D842" w14:textId="77777777" w:rsidTr="00BC0A37">
        <w:tc>
          <w:tcPr>
            <w:tcW w:w="2430" w:type="dxa"/>
            <w:hideMark/>
          </w:tcPr>
          <w:p w14:paraId="70A81AD5"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5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990" w:type="dxa"/>
            <w:vAlign w:val="center"/>
            <w:hideMark/>
          </w:tcPr>
          <w:p w14:paraId="7C1A600D"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2.44</w:t>
            </w:r>
            <w:r w:rsidRPr="001302AD">
              <w:rPr>
                <w:rFonts w:ascii="Times New Roman" w:eastAsia="Calibri" w:hAnsi="Times New Roman"/>
                <w:color w:val="000000"/>
                <w:sz w:val="20"/>
                <w:szCs w:val="20"/>
                <w:vertAlign w:val="superscript"/>
              </w:rPr>
              <w:t>b</w:t>
            </w:r>
          </w:p>
        </w:tc>
        <w:tc>
          <w:tcPr>
            <w:tcW w:w="990" w:type="dxa"/>
            <w:vAlign w:val="center"/>
            <w:hideMark/>
          </w:tcPr>
          <w:p w14:paraId="1AE3CA89"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37.43</w:t>
            </w:r>
            <w:r w:rsidRPr="001302AD">
              <w:rPr>
                <w:rFonts w:ascii="Times New Roman" w:eastAsia="Calibri" w:hAnsi="Times New Roman"/>
                <w:color w:val="000000"/>
                <w:sz w:val="20"/>
                <w:szCs w:val="20"/>
                <w:vertAlign w:val="superscript"/>
              </w:rPr>
              <w:t>c</w:t>
            </w:r>
          </w:p>
        </w:tc>
        <w:tc>
          <w:tcPr>
            <w:tcW w:w="1170" w:type="dxa"/>
            <w:vAlign w:val="center"/>
            <w:hideMark/>
          </w:tcPr>
          <w:p w14:paraId="2FDDAE55"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2.07</w:t>
            </w:r>
            <w:r w:rsidRPr="001302AD">
              <w:rPr>
                <w:rFonts w:ascii="Times New Roman" w:eastAsia="Calibri" w:hAnsi="Times New Roman"/>
                <w:color w:val="000000"/>
                <w:sz w:val="20"/>
                <w:szCs w:val="20"/>
                <w:vertAlign w:val="superscript"/>
              </w:rPr>
              <w:t>b</w:t>
            </w:r>
          </w:p>
        </w:tc>
        <w:tc>
          <w:tcPr>
            <w:tcW w:w="1257" w:type="dxa"/>
            <w:vAlign w:val="center"/>
            <w:hideMark/>
          </w:tcPr>
          <w:p w14:paraId="6675AE12"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10.14</w:t>
            </w:r>
            <w:r w:rsidRPr="001302AD">
              <w:rPr>
                <w:rFonts w:ascii="Times New Roman" w:eastAsia="Calibri" w:hAnsi="Times New Roman"/>
                <w:color w:val="000000"/>
                <w:sz w:val="20"/>
                <w:szCs w:val="20"/>
                <w:vertAlign w:val="superscript"/>
              </w:rPr>
              <w:t>b</w:t>
            </w:r>
          </w:p>
        </w:tc>
        <w:tc>
          <w:tcPr>
            <w:tcW w:w="1443" w:type="dxa"/>
            <w:vAlign w:val="center"/>
            <w:hideMark/>
          </w:tcPr>
          <w:p w14:paraId="4BA3D569"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946</w:t>
            </w:r>
            <w:r w:rsidRPr="001302AD">
              <w:rPr>
                <w:rFonts w:ascii="Times New Roman" w:eastAsia="Calibri" w:hAnsi="Times New Roman"/>
                <w:color w:val="000000"/>
                <w:sz w:val="20"/>
                <w:szCs w:val="20"/>
                <w:vertAlign w:val="superscript"/>
              </w:rPr>
              <w:t>c</w:t>
            </w:r>
          </w:p>
        </w:tc>
        <w:tc>
          <w:tcPr>
            <w:tcW w:w="990" w:type="dxa"/>
            <w:vAlign w:val="center"/>
            <w:hideMark/>
          </w:tcPr>
          <w:p w14:paraId="673EF40F"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32.13</w:t>
            </w:r>
            <w:r w:rsidRPr="001302AD">
              <w:rPr>
                <w:rFonts w:ascii="Times New Roman" w:eastAsia="Calibri" w:hAnsi="Times New Roman"/>
                <w:color w:val="000000"/>
                <w:sz w:val="20"/>
                <w:szCs w:val="20"/>
                <w:vertAlign w:val="superscript"/>
              </w:rPr>
              <w:t>c</w:t>
            </w:r>
          </w:p>
        </w:tc>
      </w:tr>
      <w:tr w:rsidR="00436887" w:rsidRPr="001302AD" w14:paraId="7D45963A" w14:textId="77777777" w:rsidTr="00BC0A37">
        <w:tc>
          <w:tcPr>
            <w:tcW w:w="2430" w:type="dxa"/>
            <w:hideMark/>
          </w:tcPr>
          <w:p w14:paraId="47E662FF"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990" w:type="dxa"/>
            <w:vAlign w:val="center"/>
            <w:hideMark/>
          </w:tcPr>
          <w:p w14:paraId="6C70B6C3"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3.02</w:t>
            </w:r>
            <w:r w:rsidRPr="001302AD">
              <w:rPr>
                <w:rFonts w:ascii="Times New Roman" w:eastAsia="Calibri" w:hAnsi="Times New Roman"/>
                <w:color w:val="000000"/>
                <w:sz w:val="20"/>
                <w:szCs w:val="20"/>
                <w:vertAlign w:val="superscript"/>
              </w:rPr>
              <w:t>a</w:t>
            </w:r>
          </w:p>
        </w:tc>
        <w:tc>
          <w:tcPr>
            <w:tcW w:w="990" w:type="dxa"/>
            <w:vAlign w:val="center"/>
            <w:hideMark/>
          </w:tcPr>
          <w:p w14:paraId="3B2046C9"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48.69</w:t>
            </w:r>
            <w:r w:rsidRPr="001302AD">
              <w:rPr>
                <w:rFonts w:ascii="Times New Roman" w:eastAsia="Calibri" w:hAnsi="Times New Roman"/>
                <w:color w:val="000000"/>
                <w:sz w:val="20"/>
                <w:szCs w:val="20"/>
                <w:vertAlign w:val="superscript"/>
              </w:rPr>
              <w:t>a</w:t>
            </w:r>
          </w:p>
        </w:tc>
        <w:tc>
          <w:tcPr>
            <w:tcW w:w="1170" w:type="dxa"/>
            <w:vAlign w:val="center"/>
            <w:hideMark/>
          </w:tcPr>
          <w:p w14:paraId="60484EE1"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2.16</w:t>
            </w:r>
            <w:r w:rsidRPr="001302AD">
              <w:rPr>
                <w:rFonts w:ascii="Times New Roman" w:eastAsia="Calibri" w:hAnsi="Times New Roman"/>
                <w:color w:val="000000"/>
                <w:sz w:val="20"/>
                <w:szCs w:val="20"/>
                <w:vertAlign w:val="superscript"/>
              </w:rPr>
              <w:t>ab</w:t>
            </w:r>
          </w:p>
        </w:tc>
        <w:tc>
          <w:tcPr>
            <w:tcW w:w="1257" w:type="dxa"/>
            <w:vAlign w:val="center"/>
            <w:hideMark/>
          </w:tcPr>
          <w:p w14:paraId="510700FA"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10.72</w:t>
            </w:r>
            <w:r w:rsidRPr="001302AD">
              <w:rPr>
                <w:rFonts w:ascii="Times New Roman" w:eastAsia="Calibri" w:hAnsi="Times New Roman"/>
                <w:color w:val="000000"/>
                <w:sz w:val="20"/>
                <w:szCs w:val="20"/>
                <w:vertAlign w:val="superscript"/>
              </w:rPr>
              <w:t>ab</w:t>
            </w:r>
          </w:p>
        </w:tc>
        <w:tc>
          <w:tcPr>
            <w:tcW w:w="1443" w:type="dxa"/>
            <w:vAlign w:val="center"/>
            <w:hideMark/>
          </w:tcPr>
          <w:p w14:paraId="14BD5E99"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1448</w:t>
            </w:r>
            <w:r w:rsidRPr="001302AD">
              <w:rPr>
                <w:rFonts w:ascii="Times New Roman" w:eastAsia="Calibri" w:hAnsi="Times New Roman"/>
                <w:color w:val="000000"/>
                <w:sz w:val="20"/>
                <w:szCs w:val="20"/>
                <w:vertAlign w:val="superscript"/>
              </w:rPr>
              <w:t>b</w:t>
            </w:r>
          </w:p>
        </w:tc>
        <w:tc>
          <w:tcPr>
            <w:tcW w:w="990" w:type="dxa"/>
            <w:vAlign w:val="center"/>
            <w:hideMark/>
          </w:tcPr>
          <w:p w14:paraId="3FE2DD03"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34.59</w:t>
            </w:r>
            <w:r w:rsidRPr="001302AD">
              <w:rPr>
                <w:rFonts w:ascii="Times New Roman" w:eastAsia="Calibri" w:hAnsi="Times New Roman"/>
                <w:color w:val="000000"/>
                <w:sz w:val="20"/>
                <w:szCs w:val="20"/>
                <w:vertAlign w:val="superscript"/>
              </w:rPr>
              <w:t>bc</w:t>
            </w:r>
          </w:p>
        </w:tc>
      </w:tr>
      <w:tr w:rsidR="00436887" w:rsidRPr="001302AD" w14:paraId="05A8D9FF" w14:textId="77777777" w:rsidTr="00BC0A37">
        <w:tc>
          <w:tcPr>
            <w:tcW w:w="2430" w:type="dxa"/>
            <w:hideMark/>
          </w:tcPr>
          <w:p w14:paraId="71A11C9D"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15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990" w:type="dxa"/>
            <w:vAlign w:val="center"/>
            <w:hideMark/>
          </w:tcPr>
          <w:p w14:paraId="4CD3A274"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2.93</w:t>
            </w:r>
            <w:r w:rsidRPr="001302AD">
              <w:rPr>
                <w:rFonts w:ascii="Times New Roman" w:eastAsia="Calibri" w:hAnsi="Times New Roman"/>
                <w:color w:val="000000"/>
                <w:sz w:val="20"/>
                <w:szCs w:val="20"/>
                <w:vertAlign w:val="superscript"/>
              </w:rPr>
              <w:t>a</w:t>
            </w:r>
          </w:p>
        </w:tc>
        <w:tc>
          <w:tcPr>
            <w:tcW w:w="990" w:type="dxa"/>
            <w:vAlign w:val="center"/>
            <w:hideMark/>
          </w:tcPr>
          <w:p w14:paraId="6E0C19E0"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45.3</w:t>
            </w:r>
            <w:r w:rsidRPr="001302AD">
              <w:rPr>
                <w:rFonts w:ascii="Times New Roman" w:eastAsia="Calibri" w:hAnsi="Times New Roman"/>
                <w:color w:val="000000"/>
                <w:sz w:val="20"/>
                <w:szCs w:val="20"/>
                <w:vertAlign w:val="superscript"/>
              </w:rPr>
              <w:t>b</w:t>
            </w:r>
          </w:p>
        </w:tc>
        <w:tc>
          <w:tcPr>
            <w:tcW w:w="1170" w:type="dxa"/>
            <w:vAlign w:val="center"/>
            <w:hideMark/>
          </w:tcPr>
          <w:p w14:paraId="61498921"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2.33</w:t>
            </w:r>
            <w:r w:rsidRPr="001302AD">
              <w:rPr>
                <w:rFonts w:ascii="Times New Roman" w:eastAsia="Calibri" w:hAnsi="Times New Roman"/>
                <w:color w:val="000000"/>
                <w:sz w:val="20"/>
                <w:szCs w:val="20"/>
                <w:vertAlign w:val="superscript"/>
              </w:rPr>
              <w:t>a</w:t>
            </w:r>
          </w:p>
        </w:tc>
        <w:tc>
          <w:tcPr>
            <w:tcW w:w="1257" w:type="dxa"/>
            <w:vAlign w:val="center"/>
            <w:hideMark/>
          </w:tcPr>
          <w:p w14:paraId="5D1EA069"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11.69</w:t>
            </w:r>
            <w:r w:rsidRPr="001302AD">
              <w:rPr>
                <w:rFonts w:ascii="Times New Roman" w:eastAsia="Calibri" w:hAnsi="Times New Roman"/>
                <w:color w:val="000000"/>
                <w:sz w:val="20"/>
                <w:szCs w:val="20"/>
                <w:vertAlign w:val="superscript"/>
              </w:rPr>
              <w:t>a</w:t>
            </w:r>
          </w:p>
        </w:tc>
        <w:tc>
          <w:tcPr>
            <w:tcW w:w="1443" w:type="dxa"/>
            <w:vAlign w:val="center"/>
            <w:hideMark/>
          </w:tcPr>
          <w:p w14:paraId="7AFCCBC9"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1611</w:t>
            </w:r>
            <w:r w:rsidRPr="001302AD">
              <w:rPr>
                <w:rFonts w:ascii="Times New Roman" w:eastAsia="Calibri" w:hAnsi="Times New Roman"/>
                <w:color w:val="000000"/>
                <w:sz w:val="20"/>
                <w:szCs w:val="20"/>
                <w:vertAlign w:val="superscript"/>
              </w:rPr>
              <w:t>a</w:t>
            </w:r>
          </w:p>
        </w:tc>
        <w:tc>
          <w:tcPr>
            <w:tcW w:w="990" w:type="dxa"/>
            <w:vAlign w:val="center"/>
            <w:hideMark/>
          </w:tcPr>
          <w:p w14:paraId="4F22D096"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38.48</w:t>
            </w:r>
            <w:r w:rsidRPr="001302AD">
              <w:rPr>
                <w:rFonts w:ascii="Times New Roman" w:eastAsia="Calibri" w:hAnsi="Times New Roman"/>
                <w:color w:val="000000"/>
                <w:sz w:val="20"/>
                <w:szCs w:val="20"/>
                <w:vertAlign w:val="superscript"/>
              </w:rPr>
              <w:t>a</w:t>
            </w:r>
          </w:p>
        </w:tc>
      </w:tr>
      <w:tr w:rsidR="00436887" w:rsidRPr="001302AD" w14:paraId="086335EF" w14:textId="77777777" w:rsidTr="00BC0A37">
        <w:tc>
          <w:tcPr>
            <w:tcW w:w="2430" w:type="dxa"/>
            <w:tcBorders>
              <w:top w:val="nil"/>
              <w:left w:val="nil"/>
              <w:bottom w:val="single" w:sz="4" w:space="0" w:color="auto"/>
              <w:right w:val="nil"/>
            </w:tcBorders>
            <w:hideMark/>
          </w:tcPr>
          <w:p w14:paraId="39BFB466"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990" w:type="dxa"/>
            <w:tcBorders>
              <w:top w:val="nil"/>
              <w:left w:val="nil"/>
              <w:bottom w:val="single" w:sz="4" w:space="0" w:color="auto"/>
              <w:right w:val="nil"/>
            </w:tcBorders>
            <w:vAlign w:val="center"/>
            <w:hideMark/>
          </w:tcPr>
          <w:p w14:paraId="0A787FB4"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2.93</w:t>
            </w:r>
            <w:r w:rsidRPr="001302AD">
              <w:rPr>
                <w:rFonts w:ascii="Times New Roman" w:eastAsia="Calibri" w:hAnsi="Times New Roman"/>
                <w:color w:val="000000"/>
                <w:sz w:val="20"/>
                <w:szCs w:val="20"/>
                <w:vertAlign w:val="superscript"/>
              </w:rPr>
              <w:t>a</w:t>
            </w:r>
          </w:p>
        </w:tc>
        <w:tc>
          <w:tcPr>
            <w:tcW w:w="990" w:type="dxa"/>
            <w:tcBorders>
              <w:top w:val="nil"/>
              <w:left w:val="nil"/>
              <w:bottom w:val="single" w:sz="4" w:space="0" w:color="auto"/>
              <w:right w:val="nil"/>
            </w:tcBorders>
            <w:vAlign w:val="center"/>
            <w:hideMark/>
          </w:tcPr>
          <w:p w14:paraId="4BC7DD47"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45.16</w:t>
            </w:r>
            <w:r w:rsidRPr="001302AD">
              <w:rPr>
                <w:rFonts w:ascii="Times New Roman" w:eastAsia="Calibri" w:hAnsi="Times New Roman"/>
                <w:color w:val="000000"/>
                <w:sz w:val="20"/>
                <w:szCs w:val="20"/>
                <w:vertAlign w:val="superscript"/>
              </w:rPr>
              <w:t>b</w:t>
            </w:r>
          </w:p>
        </w:tc>
        <w:tc>
          <w:tcPr>
            <w:tcW w:w="1170" w:type="dxa"/>
            <w:tcBorders>
              <w:top w:val="nil"/>
              <w:left w:val="nil"/>
              <w:bottom w:val="single" w:sz="4" w:space="0" w:color="auto"/>
              <w:right w:val="nil"/>
            </w:tcBorders>
            <w:vAlign w:val="center"/>
            <w:hideMark/>
          </w:tcPr>
          <w:p w14:paraId="4D80D22C"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2.38</w:t>
            </w:r>
            <w:r w:rsidRPr="001302AD">
              <w:rPr>
                <w:rFonts w:ascii="Times New Roman" w:eastAsia="Calibri" w:hAnsi="Times New Roman"/>
                <w:color w:val="000000"/>
                <w:sz w:val="20"/>
                <w:szCs w:val="20"/>
                <w:vertAlign w:val="superscript"/>
              </w:rPr>
              <w:t>a</w:t>
            </w:r>
          </w:p>
        </w:tc>
        <w:tc>
          <w:tcPr>
            <w:tcW w:w="1257" w:type="dxa"/>
            <w:tcBorders>
              <w:top w:val="nil"/>
              <w:left w:val="nil"/>
              <w:bottom w:val="single" w:sz="4" w:space="0" w:color="auto"/>
              <w:right w:val="nil"/>
            </w:tcBorders>
            <w:vAlign w:val="center"/>
            <w:hideMark/>
          </w:tcPr>
          <w:p w14:paraId="620BB29B"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10.67</w:t>
            </w:r>
            <w:r w:rsidRPr="001302AD">
              <w:rPr>
                <w:rFonts w:ascii="Times New Roman" w:eastAsia="Calibri" w:hAnsi="Times New Roman"/>
                <w:color w:val="000000"/>
                <w:sz w:val="20"/>
                <w:szCs w:val="20"/>
                <w:vertAlign w:val="superscript"/>
              </w:rPr>
              <w:t>ab</w:t>
            </w:r>
          </w:p>
        </w:tc>
        <w:tc>
          <w:tcPr>
            <w:tcW w:w="1443" w:type="dxa"/>
            <w:tcBorders>
              <w:top w:val="nil"/>
              <w:left w:val="nil"/>
              <w:bottom w:val="single" w:sz="4" w:space="0" w:color="auto"/>
              <w:right w:val="nil"/>
            </w:tcBorders>
            <w:vAlign w:val="center"/>
            <w:hideMark/>
          </w:tcPr>
          <w:p w14:paraId="75CFCF3A"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1380</w:t>
            </w:r>
            <w:r w:rsidRPr="001302AD">
              <w:rPr>
                <w:rFonts w:ascii="Times New Roman" w:eastAsia="Calibri" w:hAnsi="Times New Roman"/>
                <w:color w:val="000000"/>
                <w:sz w:val="20"/>
                <w:szCs w:val="20"/>
                <w:vertAlign w:val="superscript"/>
              </w:rPr>
              <w:t>b</w:t>
            </w:r>
          </w:p>
        </w:tc>
        <w:tc>
          <w:tcPr>
            <w:tcW w:w="990" w:type="dxa"/>
            <w:tcBorders>
              <w:top w:val="nil"/>
              <w:left w:val="nil"/>
              <w:bottom w:val="single" w:sz="4" w:space="0" w:color="auto"/>
              <w:right w:val="nil"/>
            </w:tcBorders>
            <w:vAlign w:val="center"/>
            <w:hideMark/>
          </w:tcPr>
          <w:p w14:paraId="404DEBFE"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35.54</w:t>
            </w:r>
            <w:r w:rsidRPr="001302AD">
              <w:rPr>
                <w:rFonts w:ascii="Times New Roman" w:eastAsia="Calibri" w:hAnsi="Times New Roman"/>
                <w:color w:val="000000"/>
                <w:sz w:val="20"/>
                <w:szCs w:val="20"/>
                <w:vertAlign w:val="superscript"/>
              </w:rPr>
              <w:t>b</w:t>
            </w:r>
          </w:p>
        </w:tc>
      </w:tr>
      <w:tr w:rsidR="00436887" w:rsidRPr="001302AD" w14:paraId="0B5B6B6C" w14:textId="77777777" w:rsidTr="00BC0A37">
        <w:trPr>
          <w:trHeight w:val="386"/>
        </w:trPr>
        <w:tc>
          <w:tcPr>
            <w:tcW w:w="2430" w:type="dxa"/>
            <w:tcBorders>
              <w:top w:val="single" w:sz="4" w:space="0" w:color="auto"/>
              <w:left w:val="nil"/>
              <w:bottom w:val="single" w:sz="4" w:space="0" w:color="auto"/>
              <w:right w:val="nil"/>
            </w:tcBorders>
            <w:hideMark/>
          </w:tcPr>
          <w:p w14:paraId="6118D050"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LSD(0.05)</w:t>
            </w:r>
          </w:p>
        </w:tc>
        <w:tc>
          <w:tcPr>
            <w:tcW w:w="990" w:type="dxa"/>
            <w:tcBorders>
              <w:top w:val="single" w:sz="4" w:space="0" w:color="auto"/>
              <w:left w:val="nil"/>
              <w:bottom w:val="single" w:sz="4" w:space="0" w:color="auto"/>
              <w:right w:val="nil"/>
            </w:tcBorders>
            <w:hideMark/>
          </w:tcPr>
          <w:p w14:paraId="0FFC79A3"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0.28</w:t>
            </w:r>
          </w:p>
        </w:tc>
        <w:tc>
          <w:tcPr>
            <w:tcW w:w="990" w:type="dxa"/>
            <w:tcBorders>
              <w:top w:val="single" w:sz="4" w:space="0" w:color="auto"/>
              <w:left w:val="nil"/>
              <w:bottom w:val="single" w:sz="4" w:space="0" w:color="auto"/>
              <w:right w:val="nil"/>
            </w:tcBorders>
            <w:hideMark/>
          </w:tcPr>
          <w:p w14:paraId="63D31D42"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3.34</w:t>
            </w:r>
          </w:p>
        </w:tc>
        <w:tc>
          <w:tcPr>
            <w:tcW w:w="1170" w:type="dxa"/>
            <w:tcBorders>
              <w:top w:val="single" w:sz="4" w:space="0" w:color="auto"/>
              <w:left w:val="nil"/>
              <w:bottom w:val="single" w:sz="4" w:space="0" w:color="auto"/>
              <w:right w:val="nil"/>
            </w:tcBorders>
            <w:hideMark/>
          </w:tcPr>
          <w:p w14:paraId="35164BE9" w14:textId="77777777" w:rsidR="00436887" w:rsidRPr="001302AD" w:rsidRDefault="00436887" w:rsidP="00843265">
            <w:pPr>
              <w:autoSpaceDE w:val="0"/>
              <w:autoSpaceDN w:val="0"/>
              <w:adjustRightInd w:val="0"/>
              <w:contextualSpacing/>
              <w:jc w:val="both"/>
              <w:rPr>
                <w:rFonts w:ascii="Times New Roman" w:eastAsia="Calibri" w:hAnsi="Times New Roman"/>
                <w:sz w:val="20"/>
                <w:szCs w:val="20"/>
              </w:rPr>
            </w:pPr>
            <w:r w:rsidRPr="001302AD">
              <w:rPr>
                <w:rFonts w:ascii="Times New Roman" w:eastAsia="Calibri" w:hAnsi="Times New Roman"/>
                <w:sz w:val="20"/>
                <w:szCs w:val="20"/>
              </w:rPr>
              <w:t>0.24</w:t>
            </w:r>
          </w:p>
        </w:tc>
        <w:tc>
          <w:tcPr>
            <w:tcW w:w="1257" w:type="dxa"/>
            <w:tcBorders>
              <w:top w:val="single" w:sz="4" w:space="0" w:color="auto"/>
              <w:left w:val="nil"/>
              <w:bottom w:val="single" w:sz="4" w:space="0" w:color="auto"/>
              <w:right w:val="nil"/>
            </w:tcBorders>
            <w:hideMark/>
          </w:tcPr>
          <w:p w14:paraId="336B08CE" w14:textId="77777777" w:rsidR="00436887" w:rsidRPr="001302AD" w:rsidRDefault="00436887" w:rsidP="00843265">
            <w:pPr>
              <w:autoSpaceDE w:val="0"/>
              <w:autoSpaceDN w:val="0"/>
              <w:adjustRightInd w:val="0"/>
              <w:contextualSpacing/>
              <w:jc w:val="both"/>
              <w:rPr>
                <w:rFonts w:ascii="Times New Roman" w:eastAsia="Calibri" w:hAnsi="Times New Roman"/>
                <w:sz w:val="20"/>
                <w:szCs w:val="20"/>
              </w:rPr>
            </w:pPr>
            <w:r w:rsidRPr="001302AD">
              <w:rPr>
                <w:rFonts w:ascii="Times New Roman" w:eastAsia="Calibri" w:hAnsi="Times New Roman"/>
                <w:sz w:val="20"/>
                <w:szCs w:val="20"/>
              </w:rPr>
              <w:t>0.57</w:t>
            </w:r>
          </w:p>
        </w:tc>
        <w:tc>
          <w:tcPr>
            <w:tcW w:w="1443" w:type="dxa"/>
            <w:tcBorders>
              <w:top w:val="single" w:sz="4" w:space="0" w:color="auto"/>
              <w:left w:val="nil"/>
              <w:bottom w:val="single" w:sz="4" w:space="0" w:color="auto"/>
              <w:right w:val="nil"/>
            </w:tcBorders>
            <w:hideMark/>
          </w:tcPr>
          <w:p w14:paraId="2C3D948A"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42.88</w:t>
            </w:r>
          </w:p>
        </w:tc>
        <w:tc>
          <w:tcPr>
            <w:tcW w:w="990" w:type="dxa"/>
            <w:tcBorders>
              <w:top w:val="single" w:sz="4" w:space="0" w:color="auto"/>
              <w:left w:val="nil"/>
              <w:bottom w:val="single" w:sz="4" w:space="0" w:color="auto"/>
              <w:right w:val="nil"/>
            </w:tcBorders>
            <w:hideMark/>
          </w:tcPr>
          <w:p w14:paraId="51783378"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2.54</w:t>
            </w:r>
          </w:p>
        </w:tc>
      </w:tr>
      <w:tr w:rsidR="00436887" w:rsidRPr="001302AD" w14:paraId="481A321F" w14:textId="77777777" w:rsidTr="00BC0A37">
        <w:tc>
          <w:tcPr>
            <w:tcW w:w="2430" w:type="dxa"/>
            <w:tcBorders>
              <w:top w:val="single" w:sz="4" w:space="0" w:color="auto"/>
              <w:left w:val="nil"/>
              <w:bottom w:val="single" w:sz="4" w:space="0" w:color="auto"/>
              <w:right w:val="nil"/>
            </w:tcBorders>
            <w:hideMark/>
          </w:tcPr>
          <w:p w14:paraId="4D34C621"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CV (%)</w:t>
            </w:r>
          </w:p>
        </w:tc>
        <w:tc>
          <w:tcPr>
            <w:tcW w:w="990" w:type="dxa"/>
            <w:tcBorders>
              <w:top w:val="single" w:sz="4" w:space="0" w:color="auto"/>
              <w:left w:val="nil"/>
              <w:bottom w:val="single" w:sz="4" w:space="0" w:color="auto"/>
              <w:right w:val="nil"/>
            </w:tcBorders>
            <w:hideMark/>
          </w:tcPr>
          <w:p w14:paraId="7CA1CD28"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10.7</w:t>
            </w:r>
          </w:p>
        </w:tc>
        <w:tc>
          <w:tcPr>
            <w:tcW w:w="990" w:type="dxa"/>
            <w:tcBorders>
              <w:top w:val="single" w:sz="4" w:space="0" w:color="auto"/>
              <w:left w:val="nil"/>
              <w:bottom w:val="single" w:sz="4" w:space="0" w:color="auto"/>
              <w:right w:val="nil"/>
            </w:tcBorders>
            <w:hideMark/>
          </w:tcPr>
          <w:p w14:paraId="66486A52"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8.2</w:t>
            </w:r>
          </w:p>
        </w:tc>
        <w:tc>
          <w:tcPr>
            <w:tcW w:w="1170" w:type="dxa"/>
            <w:tcBorders>
              <w:top w:val="single" w:sz="4" w:space="0" w:color="auto"/>
              <w:left w:val="nil"/>
              <w:bottom w:val="single" w:sz="4" w:space="0" w:color="auto"/>
              <w:right w:val="nil"/>
            </w:tcBorders>
            <w:hideMark/>
          </w:tcPr>
          <w:p w14:paraId="0323B01F"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11.5</w:t>
            </w:r>
          </w:p>
        </w:tc>
        <w:tc>
          <w:tcPr>
            <w:tcW w:w="1257" w:type="dxa"/>
            <w:tcBorders>
              <w:top w:val="single" w:sz="4" w:space="0" w:color="auto"/>
              <w:left w:val="nil"/>
              <w:bottom w:val="single" w:sz="4" w:space="0" w:color="auto"/>
              <w:right w:val="nil"/>
            </w:tcBorders>
            <w:hideMark/>
          </w:tcPr>
          <w:p w14:paraId="0B28510F"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11.2</w:t>
            </w:r>
          </w:p>
        </w:tc>
        <w:tc>
          <w:tcPr>
            <w:tcW w:w="1443" w:type="dxa"/>
            <w:tcBorders>
              <w:top w:val="single" w:sz="4" w:space="0" w:color="auto"/>
              <w:left w:val="nil"/>
              <w:bottom w:val="single" w:sz="4" w:space="0" w:color="auto"/>
              <w:right w:val="nil"/>
            </w:tcBorders>
            <w:hideMark/>
          </w:tcPr>
          <w:p w14:paraId="24BA5DFB"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10.2</w:t>
            </w:r>
          </w:p>
        </w:tc>
        <w:tc>
          <w:tcPr>
            <w:tcW w:w="990" w:type="dxa"/>
            <w:tcBorders>
              <w:top w:val="single" w:sz="4" w:space="0" w:color="auto"/>
              <w:left w:val="nil"/>
              <w:bottom w:val="single" w:sz="4" w:space="0" w:color="auto"/>
              <w:right w:val="nil"/>
            </w:tcBorders>
            <w:hideMark/>
          </w:tcPr>
          <w:p w14:paraId="1CB43321"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7.6</w:t>
            </w:r>
          </w:p>
        </w:tc>
      </w:tr>
    </w:tbl>
    <w:p w14:paraId="3001A924" w14:textId="77777777" w:rsidR="00436887" w:rsidRPr="001302AD" w:rsidRDefault="00436887" w:rsidP="00843265">
      <w:pPr>
        <w:spacing w:after="0"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color w:val="000000"/>
          <w:sz w:val="20"/>
          <w:szCs w:val="20"/>
        </w:rPr>
        <w:t>NBPP = Number of branches per plant; NPP = Number of pods per plant; NSPP = Number of seeds per pod; HI= harvest index; LSD = Least Significant Difference at 5% level of significance; CV (%) = coefficient of variation in percent; Means in column and followed by the same letters are not significantly difference at 5% level of significance.</w:t>
      </w:r>
    </w:p>
    <w:p w14:paraId="4AC28C04" w14:textId="77777777" w:rsidR="00436887" w:rsidRPr="001302AD" w:rsidRDefault="00436887" w:rsidP="00F04802">
      <w:pPr>
        <w:spacing w:before="240" w:line="240" w:lineRule="auto"/>
        <w:jc w:val="both"/>
        <w:rPr>
          <w:rFonts w:ascii="Times New Roman" w:eastAsia="Times New Roman" w:hAnsi="Times New Roman" w:cs="Times New Roman"/>
          <w:b/>
          <w:bCs/>
        </w:rPr>
      </w:pPr>
      <w:r w:rsidRPr="001302AD">
        <w:rPr>
          <w:rFonts w:ascii="Times New Roman" w:eastAsia="Times New Roman" w:hAnsi="Times New Roman" w:cs="Times New Roman"/>
          <w:b/>
          <w:bCs/>
        </w:rPr>
        <w:t>3.4. Economic Analysis</w:t>
      </w:r>
    </w:p>
    <w:p w14:paraId="2482494D" w14:textId="77777777" w:rsidR="00436887" w:rsidRPr="001302AD" w:rsidRDefault="00436887" w:rsidP="00843265">
      <w:pPr>
        <w:spacing w:line="240" w:lineRule="auto"/>
        <w:jc w:val="both"/>
        <w:rPr>
          <w:rFonts w:ascii="Times New Roman" w:eastAsia="Times New Roman" w:hAnsi="Times New Roman" w:cs="Times New Roman"/>
          <w:bCs/>
          <w:i/>
          <w:sz w:val="20"/>
          <w:szCs w:val="20"/>
        </w:rPr>
      </w:pPr>
      <w:r w:rsidRPr="001302AD">
        <w:rPr>
          <w:rFonts w:ascii="Times New Roman" w:eastAsia="Times New Roman" w:hAnsi="Times New Roman" w:cs="Times New Roman"/>
          <w:sz w:val="20"/>
          <w:szCs w:val="20"/>
          <w:lang w:val="en-GB" w:eastAsia="en-GB"/>
        </w:rPr>
        <w:lastRenderedPageBreak/>
        <w:t>Economic analysis was performed using the CIMMYT partial budget analysis methodology</w:t>
      </w:r>
      <w:r w:rsidRPr="001302AD">
        <w:rPr>
          <w:rFonts w:ascii="Times New Roman" w:eastAsia="Calibri" w:hAnsi="Times New Roman" w:cs="Times New Roman"/>
          <w:sz w:val="20"/>
          <w:szCs w:val="20"/>
        </w:rPr>
        <w:t xml:space="preserve"> (</w:t>
      </w:r>
      <w:r w:rsidRPr="001302AD">
        <w:rPr>
          <w:rFonts w:ascii="Times New Roman" w:eastAsia="Times New Roman" w:hAnsi="Times New Roman" w:cs="Times New Roman"/>
          <w:sz w:val="20"/>
          <w:szCs w:val="20"/>
          <w:lang w:val="en-GB" w:eastAsia="en-GB"/>
        </w:rPr>
        <w:t>CIMMYT</w:t>
      </w:r>
      <w:r w:rsidRPr="001302AD">
        <w:rPr>
          <w:rFonts w:ascii="Times New Roman" w:eastAsia="Calibri" w:hAnsi="Times New Roman" w:cs="Times New Roman"/>
          <w:sz w:val="20"/>
          <w:szCs w:val="20"/>
        </w:rPr>
        <w:t>, 1988</w:t>
      </w:r>
      <w:r w:rsidRPr="001302AD">
        <w:rPr>
          <w:rFonts w:ascii="Times New Roman" w:eastAsia="Times New Roman" w:hAnsi="Times New Roman" w:cs="Times New Roman"/>
          <w:sz w:val="20"/>
          <w:szCs w:val="20"/>
          <w:lang w:val="en-GB" w:eastAsia="en-GB"/>
        </w:rPr>
        <w:t>). The average grain yield price of ETB 21 per kg was considered for computation. The average cost of ETB 400 per ton of sesame straw was considered in the economic analysis. The labour cost for weeding was also considered as ETB 6.6, 5, 3.3, 1.66, and 0 per plot for treatments of no mulch, 5</w:t>
      </w:r>
      <w:r w:rsidRPr="001302AD">
        <w:rPr>
          <w:rFonts w:ascii="Times New Roman" w:eastAsia="Calibri" w:hAnsi="Times New Roman" w:cs="Times New Roman"/>
          <w:color w:val="000000"/>
          <w:sz w:val="20"/>
          <w:szCs w:val="20"/>
        </w:rPr>
        <w:t xml:space="preserve"> t ha</w:t>
      </w:r>
      <w:r w:rsidRPr="001302AD">
        <w:rPr>
          <w:rFonts w:ascii="Times New Roman" w:eastAsia="Calibri" w:hAnsi="Times New Roman" w:cs="Times New Roman"/>
          <w:color w:val="000000"/>
          <w:sz w:val="20"/>
          <w:szCs w:val="20"/>
          <w:vertAlign w:val="superscript"/>
        </w:rPr>
        <w:t>-1</w:t>
      </w:r>
      <w:r w:rsidRPr="001302AD">
        <w:rPr>
          <w:rFonts w:ascii="Times New Roman" w:eastAsia="Times New Roman" w:hAnsi="Times New Roman" w:cs="Times New Roman"/>
          <w:sz w:val="20"/>
          <w:szCs w:val="20"/>
          <w:lang w:val="en-GB" w:eastAsia="en-GB"/>
        </w:rPr>
        <w:t>, 10</w:t>
      </w:r>
      <w:r w:rsidRPr="001302AD">
        <w:rPr>
          <w:rFonts w:ascii="Times New Roman" w:eastAsia="Calibri" w:hAnsi="Times New Roman" w:cs="Times New Roman"/>
          <w:color w:val="000000"/>
          <w:sz w:val="20"/>
          <w:szCs w:val="20"/>
        </w:rPr>
        <w:t xml:space="preserve"> t ha</w:t>
      </w:r>
      <w:r w:rsidRPr="001302AD">
        <w:rPr>
          <w:rFonts w:ascii="Times New Roman" w:eastAsia="Calibri" w:hAnsi="Times New Roman" w:cs="Times New Roman"/>
          <w:color w:val="000000"/>
          <w:sz w:val="20"/>
          <w:szCs w:val="20"/>
          <w:vertAlign w:val="superscript"/>
        </w:rPr>
        <w:t>-1</w:t>
      </w:r>
      <w:r w:rsidRPr="001302AD">
        <w:rPr>
          <w:rFonts w:ascii="Times New Roman" w:eastAsia="Times New Roman" w:hAnsi="Times New Roman" w:cs="Times New Roman"/>
          <w:sz w:val="20"/>
          <w:szCs w:val="20"/>
          <w:lang w:val="en-GB" w:eastAsia="en-GB"/>
        </w:rPr>
        <w:t>, 15</w:t>
      </w:r>
      <w:r w:rsidRPr="001302AD">
        <w:rPr>
          <w:rFonts w:ascii="Times New Roman" w:eastAsia="Calibri" w:hAnsi="Times New Roman" w:cs="Times New Roman"/>
          <w:color w:val="000000"/>
          <w:sz w:val="20"/>
          <w:szCs w:val="20"/>
        </w:rPr>
        <w:t xml:space="preserve">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Times New Roman" w:hAnsi="Times New Roman" w:cs="Times New Roman"/>
          <w:sz w:val="20"/>
          <w:szCs w:val="20"/>
          <w:lang w:val="en-GB" w:eastAsia="en-GB"/>
        </w:rPr>
        <w:t>and 20</w:t>
      </w:r>
      <w:r w:rsidRPr="001302AD">
        <w:rPr>
          <w:rFonts w:ascii="Times New Roman" w:eastAsia="Calibri" w:hAnsi="Times New Roman" w:cs="Times New Roman"/>
          <w:color w:val="000000"/>
          <w:sz w:val="20"/>
          <w:szCs w:val="20"/>
        </w:rPr>
        <w:t xml:space="preserve">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Times New Roman" w:hAnsi="Times New Roman" w:cs="Times New Roman"/>
          <w:sz w:val="20"/>
          <w:szCs w:val="20"/>
          <w:lang w:val="en-GB" w:eastAsia="en-GB"/>
        </w:rPr>
        <w:t>respectively. Following the CIMMYT partial budget analysis method, total variable costs (TVC), gross benefits (GB), and net benefits (NB) were calculated. The</w:t>
      </w:r>
      <w:r w:rsidRPr="001302AD">
        <w:rPr>
          <w:rFonts w:ascii="Times New Roman" w:eastAsia="Calibri" w:hAnsi="Times New Roman" w:cs="Times New Roman"/>
          <w:sz w:val="20"/>
          <w:szCs w:val="20"/>
        </w:rPr>
        <w:t xml:space="preserve"> results of the economic analysis revealed that the highest net benefit (ETB 23064.9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was obtained from treatments mulched with 15</w:t>
      </w:r>
      <w:r w:rsidRPr="001302AD">
        <w:rPr>
          <w:rFonts w:ascii="Times New Roman" w:eastAsia="Calibri" w:hAnsi="Times New Roman" w:cs="Times New Roman"/>
          <w:color w:val="000000"/>
          <w:sz w:val="20"/>
          <w:szCs w:val="20"/>
        </w:rPr>
        <w:t xml:space="preserve">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sz w:val="20"/>
          <w:szCs w:val="20"/>
        </w:rPr>
        <w:t>straw followed by 10</w:t>
      </w:r>
      <w:r w:rsidRPr="001302AD">
        <w:rPr>
          <w:rFonts w:ascii="Times New Roman" w:eastAsia="Calibri" w:hAnsi="Times New Roman" w:cs="Times New Roman"/>
          <w:color w:val="000000"/>
          <w:sz w:val="20"/>
          <w:szCs w:val="20"/>
        </w:rPr>
        <w:t xml:space="preserve">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sz w:val="20"/>
          <w:szCs w:val="20"/>
        </w:rPr>
        <w:t>straw (ETB 20617.2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while the lowest net benefit (ETB 11713.4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was recorded from treatments with no mulch (Table 6). From the dominance analysis, 5t/ha and 20t/ha mulch cover were dominant and rejected from further analysis because of their non-profitability to the farmers. When compared</w:t>
      </w:r>
      <w:r w:rsidRPr="001302AD">
        <w:rPr>
          <w:rFonts w:ascii="Times New Roman" w:eastAsia="Calibri" w:hAnsi="Times New Roman" w:cs="Times New Roman"/>
          <w:color w:val="000000" w:themeColor="text1"/>
          <w:sz w:val="20"/>
          <w:szCs w:val="20"/>
        </w:rPr>
        <w:t xml:space="preserve"> with no mulch, 15</w:t>
      </w:r>
      <w:r w:rsidRPr="001302AD">
        <w:rPr>
          <w:rFonts w:ascii="Times New Roman" w:eastAsia="Calibri" w:hAnsi="Times New Roman" w:cs="Times New Roman"/>
          <w:color w:val="000000"/>
          <w:sz w:val="20"/>
          <w:szCs w:val="20"/>
        </w:rPr>
        <w:t xml:space="preserve">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themeColor="text1"/>
          <w:sz w:val="20"/>
          <w:szCs w:val="20"/>
        </w:rPr>
        <w:t xml:space="preserve">mulch cover offered a 386.7% marginal rate of return (Table 7). In contrast, at </w:t>
      </w:r>
      <w:r w:rsidRPr="001302AD">
        <w:rPr>
          <w:rFonts w:ascii="Times New Roman" w:eastAsia="Calibri" w:hAnsi="Times New Roman" w:cs="Times New Roman"/>
          <w:sz w:val="20"/>
          <w:szCs w:val="20"/>
        </w:rPr>
        <w:t>15</w:t>
      </w:r>
      <w:r w:rsidRPr="001302AD">
        <w:rPr>
          <w:rFonts w:ascii="Times New Roman" w:eastAsia="Calibri" w:hAnsi="Times New Roman" w:cs="Times New Roman"/>
          <w:color w:val="000000"/>
          <w:sz w:val="20"/>
          <w:szCs w:val="20"/>
        </w:rPr>
        <w:t xml:space="preserve">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sz w:val="20"/>
          <w:szCs w:val="20"/>
        </w:rPr>
        <w:t>, the highest marginal rate of return (705.9) was offered by 10</w:t>
      </w:r>
      <w:r w:rsidRPr="001302AD">
        <w:rPr>
          <w:rFonts w:ascii="Times New Roman" w:eastAsia="Calibri" w:hAnsi="Times New Roman" w:cs="Times New Roman"/>
          <w:color w:val="000000"/>
          <w:sz w:val="20"/>
          <w:szCs w:val="20"/>
        </w:rPr>
        <w:t xml:space="preserve">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sz w:val="20"/>
          <w:szCs w:val="20"/>
        </w:rPr>
        <w:t xml:space="preserve">mulch.  This implies that the producer would receive ETB 7.05 after recovering the investment. Therefore, the most profitable treatment was 10 </w:t>
      </w:r>
      <w:r w:rsidRPr="001302AD">
        <w:rPr>
          <w:rFonts w:ascii="Times New Roman" w:eastAsia="Calibri" w:hAnsi="Times New Roman" w:cs="Times New Roman"/>
          <w:color w:val="000000"/>
          <w:sz w:val="20"/>
          <w:szCs w:val="20"/>
        </w:rPr>
        <w:t>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sz w:val="20"/>
          <w:szCs w:val="20"/>
        </w:rPr>
        <w:t>followed by 15</w:t>
      </w:r>
      <w:r w:rsidRPr="001302AD">
        <w:rPr>
          <w:rFonts w:ascii="Times New Roman" w:eastAsia="Calibri" w:hAnsi="Times New Roman" w:cs="Times New Roman"/>
          <w:color w:val="000000"/>
          <w:sz w:val="20"/>
          <w:szCs w:val="20"/>
        </w:rPr>
        <w:t xml:space="preserve">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sz w:val="20"/>
          <w:szCs w:val="20"/>
        </w:rPr>
        <w:t>mulch cover (Table 7).</w:t>
      </w:r>
    </w:p>
    <w:p w14:paraId="3542CC44" w14:textId="77777777" w:rsidR="00436887" w:rsidRPr="001302AD" w:rsidRDefault="00436887" w:rsidP="00F04802">
      <w:pPr>
        <w:keepNext/>
        <w:spacing w:before="240" w:line="240" w:lineRule="auto"/>
        <w:jc w:val="both"/>
        <w:rPr>
          <w:rFonts w:ascii="Times New Roman" w:eastAsia="Calibri" w:hAnsi="Times New Roman" w:cs="Times New Roman"/>
          <w:b/>
          <w:bCs/>
          <w:sz w:val="20"/>
          <w:szCs w:val="20"/>
        </w:rPr>
      </w:pPr>
      <w:bookmarkStart w:id="27" w:name="_Toc11262597"/>
      <w:r w:rsidRPr="001302AD">
        <w:rPr>
          <w:rFonts w:ascii="Times New Roman" w:eastAsia="Calibri" w:hAnsi="Times New Roman" w:cs="Times New Roman"/>
          <w:b/>
          <w:bCs/>
          <w:sz w:val="20"/>
          <w:szCs w:val="20"/>
        </w:rPr>
        <w:t>Table 6.</w:t>
      </w:r>
      <w:r w:rsidRPr="001302AD">
        <w:rPr>
          <w:rFonts w:ascii="Times New Roman" w:eastAsia="Calibri" w:hAnsi="Times New Roman" w:cs="Times New Roman"/>
          <w:b/>
          <w:sz w:val="20"/>
          <w:szCs w:val="20"/>
        </w:rPr>
        <w:t xml:space="preserve"> Dominance analysis of the effect of mulching rate on soybean.</w:t>
      </w:r>
      <w:bookmarkEnd w:id="27"/>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1206"/>
        <w:gridCol w:w="1135"/>
        <w:gridCol w:w="1135"/>
        <w:gridCol w:w="1166"/>
        <w:gridCol w:w="1135"/>
        <w:gridCol w:w="1396"/>
      </w:tblGrid>
      <w:tr w:rsidR="00436887" w:rsidRPr="001302AD" w14:paraId="4C26C0CF" w14:textId="77777777" w:rsidTr="00BC0A37">
        <w:trPr>
          <w:trHeight w:val="300"/>
        </w:trPr>
        <w:tc>
          <w:tcPr>
            <w:tcW w:w="1264" w:type="pct"/>
            <w:tcBorders>
              <w:top w:val="single" w:sz="4" w:space="0" w:color="auto"/>
              <w:left w:val="nil"/>
              <w:bottom w:val="nil"/>
              <w:right w:val="nil"/>
            </w:tcBorders>
            <w:noWrap/>
            <w:hideMark/>
          </w:tcPr>
          <w:p w14:paraId="5EA31682" w14:textId="77777777" w:rsidR="00436887" w:rsidRPr="001302AD" w:rsidRDefault="00436887" w:rsidP="00843265">
            <w:pPr>
              <w:rPr>
                <w:rFonts w:ascii="Times New Roman" w:eastAsia="Calibri" w:hAnsi="Times New Roman"/>
                <w:b/>
                <w:sz w:val="20"/>
                <w:szCs w:val="20"/>
              </w:rPr>
            </w:pPr>
            <w:r w:rsidRPr="001302AD">
              <w:rPr>
                <w:rFonts w:ascii="Times New Roman" w:eastAsia="Calibri" w:hAnsi="Times New Roman"/>
                <w:b/>
                <w:sz w:val="20"/>
                <w:szCs w:val="20"/>
              </w:rPr>
              <w:t>Treatments</w:t>
            </w:r>
          </w:p>
        </w:tc>
        <w:tc>
          <w:tcPr>
            <w:tcW w:w="639" w:type="pct"/>
            <w:tcBorders>
              <w:top w:val="single" w:sz="4" w:space="0" w:color="auto"/>
              <w:left w:val="nil"/>
              <w:bottom w:val="single" w:sz="4" w:space="0" w:color="auto"/>
              <w:right w:val="nil"/>
            </w:tcBorders>
            <w:noWrap/>
            <w:hideMark/>
          </w:tcPr>
          <w:p w14:paraId="31A34FD8" w14:textId="77777777" w:rsidR="00436887" w:rsidRPr="001302AD" w:rsidRDefault="00436887" w:rsidP="00843265">
            <w:pPr>
              <w:rPr>
                <w:rFonts w:ascii="Times New Roman" w:eastAsia="Calibri" w:hAnsi="Times New Roman"/>
                <w:b/>
                <w:sz w:val="20"/>
                <w:szCs w:val="20"/>
              </w:rPr>
            </w:pPr>
            <w:proofErr w:type="spellStart"/>
            <w:r w:rsidRPr="001302AD">
              <w:rPr>
                <w:rFonts w:ascii="Times New Roman" w:eastAsia="Calibri" w:hAnsi="Times New Roman"/>
                <w:b/>
                <w:sz w:val="20"/>
                <w:szCs w:val="20"/>
              </w:rPr>
              <w:t>AvY</w:t>
            </w:r>
            <w:proofErr w:type="spellEnd"/>
          </w:p>
          <w:p w14:paraId="613AEA68" w14:textId="77777777" w:rsidR="00436887" w:rsidRPr="001302AD" w:rsidRDefault="00436887" w:rsidP="00843265">
            <w:pPr>
              <w:rPr>
                <w:rFonts w:ascii="Times New Roman" w:eastAsia="Calibri" w:hAnsi="Times New Roman"/>
                <w:b/>
                <w:sz w:val="20"/>
                <w:szCs w:val="20"/>
              </w:rPr>
            </w:pPr>
            <w:r w:rsidRPr="001302AD">
              <w:rPr>
                <w:rFonts w:ascii="Times New Roman" w:eastAsia="Calibri" w:hAnsi="Times New Roman"/>
                <w:b/>
                <w:sz w:val="20"/>
                <w:szCs w:val="20"/>
              </w:rPr>
              <w:t>(Kg/ha)</w:t>
            </w:r>
          </w:p>
        </w:tc>
        <w:tc>
          <w:tcPr>
            <w:tcW w:w="602" w:type="pct"/>
            <w:tcBorders>
              <w:top w:val="single" w:sz="4" w:space="0" w:color="auto"/>
              <w:left w:val="nil"/>
              <w:bottom w:val="single" w:sz="4" w:space="0" w:color="auto"/>
              <w:right w:val="nil"/>
            </w:tcBorders>
            <w:noWrap/>
            <w:hideMark/>
          </w:tcPr>
          <w:p w14:paraId="2C3F88ED" w14:textId="77777777" w:rsidR="00436887" w:rsidRPr="001302AD" w:rsidRDefault="00436887" w:rsidP="00843265">
            <w:pPr>
              <w:rPr>
                <w:rFonts w:ascii="Times New Roman" w:eastAsia="Calibri" w:hAnsi="Times New Roman"/>
                <w:b/>
                <w:sz w:val="20"/>
                <w:szCs w:val="20"/>
              </w:rPr>
            </w:pPr>
            <w:proofErr w:type="spellStart"/>
            <w:r w:rsidRPr="001302AD">
              <w:rPr>
                <w:rFonts w:ascii="Times New Roman" w:eastAsia="Calibri" w:hAnsi="Times New Roman"/>
                <w:b/>
                <w:sz w:val="20"/>
                <w:szCs w:val="20"/>
              </w:rPr>
              <w:t>AdjY</w:t>
            </w:r>
            <w:proofErr w:type="spellEnd"/>
          </w:p>
          <w:p w14:paraId="1C74AA37" w14:textId="77777777" w:rsidR="00436887" w:rsidRPr="001302AD" w:rsidRDefault="00436887" w:rsidP="00843265">
            <w:pPr>
              <w:rPr>
                <w:rFonts w:ascii="Times New Roman" w:eastAsia="Calibri" w:hAnsi="Times New Roman"/>
                <w:b/>
                <w:sz w:val="20"/>
                <w:szCs w:val="20"/>
              </w:rPr>
            </w:pPr>
            <w:r w:rsidRPr="001302AD">
              <w:rPr>
                <w:rFonts w:ascii="Times New Roman" w:eastAsia="Calibri" w:hAnsi="Times New Roman"/>
                <w:b/>
                <w:sz w:val="20"/>
                <w:szCs w:val="20"/>
              </w:rPr>
              <w:t>(Kg/ha)</w:t>
            </w:r>
          </w:p>
        </w:tc>
        <w:tc>
          <w:tcPr>
            <w:tcW w:w="602" w:type="pct"/>
            <w:tcBorders>
              <w:top w:val="single" w:sz="4" w:space="0" w:color="auto"/>
              <w:left w:val="nil"/>
              <w:bottom w:val="single" w:sz="4" w:space="0" w:color="auto"/>
              <w:right w:val="nil"/>
            </w:tcBorders>
            <w:noWrap/>
            <w:hideMark/>
          </w:tcPr>
          <w:p w14:paraId="42B2C9B6" w14:textId="77777777" w:rsidR="00436887" w:rsidRPr="001302AD" w:rsidRDefault="00436887" w:rsidP="00843265">
            <w:pPr>
              <w:rPr>
                <w:rFonts w:ascii="Times New Roman" w:eastAsia="Calibri" w:hAnsi="Times New Roman"/>
                <w:b/>
                <w:sz w:val="20"/>
                <w:szCs w:val="20"/>
              </w:rPr>
            </w:pPr>
            <w:r w:rsidRPr="001302AD">
              <w:rPr>
                <w:rFonts w:ascii="Times New Roman" w:eastAsia="Calibri" w:hAnsi="Times New Roman"/>
                <w:b/>
                <w:sz w:val="20"/>
                <w:szCs w:val="20"/>
              </w:rPr>
              <w:t>GB (birr)</w:t>
            </w:r>
          </w:p>
        </w:tc>
        <w:tc>
          <w:tcPr>
            <w:tcW w:w="552" w:type="pct"/>
            <w:tcBorders>
              <w:top w:val="single" w:sz="4" w:space="0" w:color="auto"/>
              <w:left w:val="nil"/>
              <w:bottom w:val="single" w:sz="4" w:space="0" w:color="auto"/>
              <w:right w:val="nil"/>
            </w:tcBorders>
            <w:noWrap/>
            <w:hideMark/>
          </w:tcPr>
          <w:p w14:paraId="5FF11AC4" w14:textId="77777777" w:rsidR="00436887" w:rsidRPr="001302AD" w:rsidRDefault="00436887" w:rsidP="00843265">
            <w:pPr>
              <w:rPr>
                <w:rFonts w:ascii="Times New Roman" w:eastAsia="Calibri" w:hAnsi="Times New Roman"/>
                <w:b/>
                <w:sz w:val="20"/>
                <w:szCs w:val="20"/>
              </w:rPr>
            </w:pPr>
            <w:r w:rsidRPr="001302AD">
              <w:rPr>
                <w:rFonts w:ascii="Times New Roman" w:eastAsia="Calibri" w:hAnsi="Times New Roman"/>
                <w:b/>
                <w:sz w:val="20"/>
                <w:szCs w:val="20"/>
              </w:rPr>
              <w:t>TVC (birr)</w:t>
            </w:r>
          </w:p>
        </w:tc>
        <w:tc>
          <w:tcPr>
            <w:tcW w:w="602" w:type="pct"/>
            <w:tcBorders>
              <w:top w:val="single" w:sz="4" w:space="0" w:color="auto"/>
              <w:left w:val="nil"/>
              <w:bottom w:val="single" w:sz="4" w:space="0" w:color="auto"/>
              <w:right w:val="nil"/>
            </w:tcBorders>
            <w:noWrap/>
            <w:hideMark/>
          </w:tcPr>
          <w:p w14:paraId="3F9CAE44" w14:textId="77777777" w:rsidR="00436887" w:rsidRPr="001302AD" w:rsidRDefault="00436887" w:rsidP="00843265">
            <w:pPr>
              <w:rPr>
                <w:rFonts w:ascii="Times New Roman" w:eastAsia="Calibri" w:hAnsi="Times New Roman"/>
                <w:b/>
                <w:sz w:val="20"/>
                <w:szCs w:val="20"/>
              </w:rPr>
            </w:pPr>
            <w:r w:rsidRPr="001302AD">
              <w:rPr>
                <w:rFonts w:ascii="Times New Roman" w:eastAsia="Calibri" w:hAnsi="Times New Roman"/>
                <w:b/>
                <w:sz w:val="20"/>
                <w:szCs w:val="20"/>
              </w:rPr>
              <w:t>NB (birr)</w:t>
            </w:r>
          </w:p>
        </w:tc>
        <w:tc>
          <w:tcPr>
            <w:tcW w:w="738" w:type="pct"/>
            <w:tcBorders>
              <w:top w:val="single" w:sz="4" w:space="0" w:color="auto"/>
              <w:left w:val="nil"/>
              <w:bottom w:val="single" w:sz="4" w:space="0" w:color="auto"/>
              <w:right w:val="nil"/>
            </w:tcBorders>
            <w:noWrap/>
            <w:hideMark/>
          </w:tcPr>
          <w:p w14:paraId="78D6311B" w14:textId="77777777" w:rsidR="00436887" w:rsidRPr="001302AD" w:rsidRDefault="00436887" w:rsidP="00843265">
            <w:pPr>
              <w:rPr>
                <w:rFonts w:ascii="Times New Roman" w:eastAsia="Calibri" w:hAnsi="Times New Roman"/>
                <w:b/>
                <w:sz w:val="20"/>
                <w:szCs w:val="20"/>
              </w:rPr>
            </w:pPr>
            <w:r w:rsidRPr="001302AD">
              <w:rPr>
                <w:rFonts w:ascii="Times New Roman" w:eastAsia="Calibri" w:hAnsi="Times New Roman"/>
                <w:b/>
                <w:sz w:val="20"/>
                <w:szCs w:val="20"/>
              </w:rPr>
              <w:t>Dominance</w:t>
            </w:r>
          </w:p>
        </w:tc>
      </w:tr>
      <w:tr w:rsidR="00436887" w:rsidRPr="001302AD" w14:paraId="19AF4082" w14:textId="77777777" w:rsidTr="00BC0A37">
        <w:trPr>
          <w:trHeight w:val="300"/>
        </w:trPr>
        <w:tc>
          <w:tcPr>
            <w:tcW w:w="1264" w:type="pct"/>
            <w:noWrap/>
            <w:hideMark/>
          </w:tcPr>
          <w:p w14:paraId="05BFA38A"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color w:val="000000"/>
                <w:sz w:val="20"/>
                <w:szCs w:val="20"/>
              </w:rPr>
              <w:t>no mulch</w:t>
            </w:r>
          </w:p>
        </w:tc>
        <w:tc>
          <w:tcPr>
            <w:tcW w:w="639" w:type="pct"/>
            <w:tcBorders>
              <w:top w:val="single" w:sz="4" w:space="0" w:color="auto"/>
              <w:left w:val="nil"/>
              <w:bottom w:val="nil"/>
              <w:right w:val="nil"/>
            </w:tcBorders>
            <w:noWrap/>
            <w:hideMark/>
          </w:tcPr>
          <w:p w14:paraId="23F18C8C"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915</w:t>
            </w:r>
          </w:p>
        </w:tc>
        <w:tc>
          <w:tcPr>
            <w:tcW w:w="602" w:type="pct"/>
            <w:tcBorders>
              <w:top w:val="single" w:sz="4" w:space="0" w:color="auto"/>
              <w:left w:val="nil"/>
              <w:bottom w:val="nil"/>
              <w:right w:val="nil"/>
            </w:tcBorders>
            <w:noWrap/>
            <w:hideMark/>
          </w:tcPr>
          <w:p w14:paraId="04A99F2B"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823.5</w:t>
            </w:r>
          </w:p>
        </w:tc>
        <w:tc>
          <w:tcPr>
            <w:tcW w:w="602" w:type="pct"/>
            <w:tcBorders>
              <w:top w:val="single" w:sz="4" w:space="0" w:color="auto"/>
              <w:left w:val="nil"/>
              <w:bottom w:val="nil"/>
              <w:right w:val="nil"/>
            </w:tcBorders>
            <w:noWrap/>
            <w:hideMark/>
          </w:tcPr>
          <w:p w14:paraId="7A4BF2F5"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17293.5</w:t>
            </w:r>
          </w:p>
        </w:tc>
        <w:tc>
          <w:tcPr>
            <w:tcW w:w="552" w:type="pct"/>
            <w:tcBorders>
              <w:top w:val="single" w:sz="4" w:space="0" w:color="auto"/>
              <w:left w:val="nil"/>
              <w:bottom w:val="nil"/>
              <w:right w:val="nil"/>
            </w:tcBorders>
            <w:noWrap/>
            <w:hideMark/>
          </w:tcPr>
          <w:p w14:paraId="4EB4A600"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5500</w:t>
            </w:r>
          </w:p>
        </w:tc>
        <w:tc>
          <w:tcPr>
            <w:tcW w:w="602" w:type="pct"/>
            <w:tcBorders>
              <w:top w:val="single" w:sz="4" w:space="0" w:color="auto"/>
              <w:left w:val="nil"/>
              <w:bottom w:val="nil"/>
              <w:right w:val="nil"/>
            </w:tcBorders>
            <w:noWrap/>
            <w:hideMark/>
          </w:tcPr>
          <w:p w14:paraId="035137BA"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11793.5</w:t>
            </w:r>
          </w:p>
        </w:tc>
        <w:tc>
          <w:tcPr>
            <w:tcW w:w="738" w:type="pct"/>
            <w:tcBorders>
              <w:top w:val="single" w:sz="4" w:space="0" w:color="auto"/>
              <w:left w:val="nil"/>
              <w:bottom w:val="nil"/>
              <w:right w:val="nil"/>
            </w:tcBorders>
            <w:noWrap/>
            <w:hideMark/>
          </w:tcPr>
          <w:p w14:paraId="5DD3995C" w14:textId="77777777" w:rsidR="00436887" w:rsidRPr="001302AD" w:rsidRDefault="00436887" w:rsidP="00843265">
            <w:pPr>
              <w:rPr>
                <w:rFonts w:ascii="Times New Roman" w:eastAsia="Calibri" w:hAnsi="Times New Roman"/>
                <w:sz w:val="20"/>
                <w:szCs w:val="20"/>
              </w:rPr>
            </w:pPr>
          </w:p>
        </w:tc>
      </w:tr>
      <w:tr w:rsidR="00436887" w:rsidRPr="001302AD" w14:paraId="25845188" w14:textId="77777777" w:rsidTr="00BC0A37">
        <w:trPr>
          <w:trHeight w:val="300"/>
        </w:trPr>
        <w:tc>
          <w:tcPr>
            <w:tcW w:w="1264" w:type="pct"/>
            <w:noWrap/>
            <w:hideMark/>
          </w:tcPr>
          <w:p w14:paraId="734A7CC9"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color w:val="000000"/>
                <w:sz w:val="20"/>
                <w:szCs w:val="20"/>
              </w:rPr>
              <w:t>5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639" w:type="pct"/>
            <w:noWrap/>
            <w:hideMark/>
          </w:tcPr>
          <w:p w14:paraId="0BA228C1"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946</w:t>
            </w:r>
          </w:p>
        </w:tc>
        <w:tc>
          <w:tcPr>
            <w:tcW w:w="602" w:type="pct"/>
            <w:noWrap/>
            <w:hideMark/>
          </w:tcPr>
          <w:p w14:paraId="67021FCB"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851.4</w:t>
            </w:r>
          </w:p>
        </w:tc>
        <w:tc>
          <w:tcPr>
            <w:tcW w:w="602" w:type="pct"/>
            <w:noWrap/>
            <w:hideMark/>
          </w:tcPr>
          <w:p w14:paraId="578AAAFA"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17879.4</w:t>
            </w:r>
          </w:p>
        </w:tc>
        <w:tc>
          <w:tcPr>
            <w:tcW w:w="552" w:type="pct"/>
            <w:noWrap/>
            <w:hideMark/>
          </w:tcPr>
          <w:p w14:paraId="7DCE18CD"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6166</w:t>
            </w:r>
          </w:p>
        </w:tc>
        <w:tc>
          <w:tcPr>
            <w:tcW w:w="602" w:type="pct"/>
            <w:noWrap/>
            <w:hideMark/>
          </w:tcPr>
          <w:p w14:paraId="669A6476"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11713.4</w:t>
            </w:r>
          </w:p>
        </w:tc>
        <w:tc>
          <w:tcPr>
            <w:tcW w:w="738" w:type="pct"/>
            <w:noWrap/>
            <w:hideMark/>
          </w:tcPr>
          <w:p w14:paraId="4C0CE399" w14:textId="77777777" w:rsidR="00436887" w:rsidRPr="001302AD" w:rsidRDefault="00436887" w:rsidP="00843265">
            <w:pPr>
              <w:jc w:val="center"/>
              <w:rPr>
                <w:rFonts w:ascii="Times New Roman" w:eastAsia="Calibri" w:hAnsi="Times New Roman"/>
                <w:sz w:val="20"/>
                <w:szCs w:val="20"/>
              </w:rPr>
            </w:pPr>
            <w:r w:rsidRPr="001302AD">
              <w:rPr>
                <w:rFonts w:ascii="Times New Roman" w:eastAsia="Calibri" w:hAnsi="Times New Roman"/>
                <w:sz w:val="20"/>
                <w:szCs w:val="20"/>
              </w:rPr>
              <w:t>D</w:t>
            </w:r>
          </w:p>
        </w:tc>
      </w:tr>
      <w:tr w:rsidR="00436887" w:rsidRPr="001302AD" w14:paraId="2D96E42A" w14:textId="77777777" w:rsidTr="00BC0A37">
        <w:trPr>
          <w:trHeight w:val="300"/>
        </w:trPr>
        <w:tc>
          <w:tcPr>
            <w:tcW w:w="1264" w:type="pct"/>
            <w:noWrap/>
            <w:hideMark/>
          </w:tcPr>
          <w:p w14:paraId="603885ED"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color w:val="000000"/>
                <w:sz w:val="20"/>
                <w:szCs w:val="20"/>
              </w:rPr>
              <w:t>10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639" w:type="pct"/>
            <w:noWrap/>
            <w:hideMark/>
          </w:tcPr>
          <w:p w14:paraId="7376C5C9"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1448</w:t>
            </w:r>
          </w:p>
        </w:tc>
        <w:tc>
          <w:tcPr>
            <w:tcW w:w="602" w:type="pct"/>
            <w:noWrap/>
            <w:hideMark/>
          </w:tcPr>
          <w:p w14:paraId="2E8EB76B"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1303.2</w:t>
            </w:r>
          </w:p>
        </w:tc>
        <w:tc>
          <w:tcPr>
            <w:tcW w:w="602" w:type="pct"/>
            <w:noWrap/>
            <w:hideMark/>
          </w:tcPr>
          <w:p w14:paraId="341F400A"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27367.2</w:t>
            </w:r>
          </w:p>
        </w:tc>
        <w:tc>
          <w:tcPr>
            <w:tcW w:w="552" w:type="pct"/>
            <w:noWrap/>
            <w:hideMark/>
          </w:tcPr>
          <w:p w14:paraId="2DE89401"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6750</w:t>
            </w:r>
          </w:p>
        </w:tc>
        <w:tc>
          <w:tcPr>
            <w:tcW w:w="602" w:type="pct"/>
            <w:noWrap/>
            <w:hideMark/>
          </w:tcPr>
          <w:p w14:paraId="4E82B212"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20617.2</w:t>
            </w:r>
          </w:p>
        </w:tc>
        <w:tc>
          <w:tcPr>
            <w:tcW w:w="738" w:type="pct"/>
            <w:noWrap/>
            <w:hideMark/>
          </w:tcPr>
          <w:p w14:paraId="06F62FDD" w14:textId="77777777" w:rsidR="00436887" w:rsidRPr="001302AD" w:rsidRDefault="00436887" w:rsidP="00843265">
            <w:pPr>
              <w:rPr>
                <w:rFonts w:ascii="Times New Roman" w:eastAsia="Calibri" w:hAnsi="Times New Roman"/>
                <w:sz w:val="20"/>
                <w:szCs w:val="20"/>
              </w:rPr>
            </w:pPr>
          </w:p>
        </w:tc>
      </w:tr>
      <w:tr w:rsidR="00436887" w:rsidRPr="001302AD" w14:paraId="4CD8FCAE" w14:textId="77777777" w:rsidTr="00BC0A37">
        <w:trPr>
          <w:trHeight w:val="300"/>
        </w:trPr>
        <w:tc>
          <w:tcPr>
            <w:tcW w:w="1264" w:type="pct"/>
            <w:noWrap/>
            <w:hideMark/>
          </w:tcPr>
          <w:p w14:paraId="10BBDF8D"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color w:val="000000"/>
                <w:sz w:val="20"/>
                <w:szCs w:val="20"/>
              </w:rPr>
              <w:t>15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639" w:type="pct"/>
            <w:noWrap/>
            <w:hideMark/>
          </w:tcPr>
          <w:p w14:paraId="127BD1DB"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1611</w:t>
            </w:r>
          </w:p>
        </w:tc>
        <w:tc>
          <w:tcPr>
            <w:tcW w:w="602" w:type="pct"/>
            <w:noWrap/>
            <w:hideMark/>
          </w:tcPr>
          <w:p w14:paraId="332E89CA"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1449.9</w:t>
            </w:r>
          </w:p>
        </w:tc>
        <w:tc>
          <w:tcPr>
            <w:tcW w:w="602" w:type="pct"/>
            <w:noWrap/>
            <w:hideMark/>
          </w:tcPr>
          <w:p w14:paraId="1B68CBF3"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30447.9</w:t>
            </w:r>
          </w:p>
        </w:tc>
        <w:tc>
          <w:tcPr>
            <w:tcW w:w="552" w:type="pct"/>
            <w:noWrap/>
            <w:hideMark/>
          </w:tcPr>
          <w:p w14:paraId="1E64DA48"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7383</w:t>
            </w:r>
          </w:p>
        </w:tc>
        <w:tc>
          <w:tcPr>
            <w:tcW w:w="602" w:type="pct"/>
            <w:noWrap/>
            <w:hideMark/>
          </w:tcPr>
          <w:p w14:paraId="1E16CE0E"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23064.9</w:t>
            </w:r>
          </w:p>
        </w:tc>
        <w:tc>
          <w:tcPr>
            <w:tcW w:w="738" w:type="pct"/>
            <w:noWrap/>
            <w:hideMark/>
          </w:tcPr>
          <w:p w14:paraId="6BEBB704" w14:textId="77777777" w:rsidR="00436887" w:rsidRPr="001302AD" w:rsidRDefault="00436887" w:rsidP="00843265">
            <w:pPr>
              <w:rPr>
                <w:rFonts w:ascii="Times New Roman" w:eastAsia="Calibri" w:hAnsi="Times New Roman"/>
                <w:sz w:val="20"/>
                <w:szCs w:val="20"/>
              </w:rPr>
            </w:pPr>
          </w:p>
        </w:tc>
      </w:tr>
      <w:tr w:rsidR="00436887" w:rsidRPr="001302AD" w14:paraId="4956EFB3" w14:textId="77777777" w:rsidTr="00BC0A37">
        <w:trPr>
          <w:trHeight w:val="300"/>
        </w:trPr>
        <w:tc>
          <w:tcPr>
            <w:tcW w:w="1264" w:type="pct"/>
            <w:tcBorders>
              <w:top w:val="nil"/>
              <w:left w:val="nil"/>
              <w:bottom w:val="single" w:sz="4" w:space="0" w:color="auto"/>
              <w:right w:val="nil"/>
            </w:tcBorders>
            <w:noWrap/>
            <w:hideMark/>
          </w:tcPr>
          <w:p w14:paraId="3B626C2A"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color w:val="000000"/>
                <w:sz w:val="20"/>
                <w:szCs w:val="20"/>
              </w:rPr>
              <w:t>20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639" w:type="pct"/>
            <w:tcBorders>
              <w:top w:val="nil"/>
              <w:left w:val="nil"/>
              <w:bottom w:val="single" w:sz="4" w:space="0" w:color="auto"/>
              <w:right w:val="nil"/>
            </w:tcBorders>
            <w:noWrap/>
            <w:hideMark/>
          </w:tcPr>
          <w:p w14:paraId="49DC4FA3"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1380</w:t>
            </w:r>
          </w:p>
        </w:tc>
        <w:tc>
          <w:tcPr>
            <w:tcW w:w="602" w:type="pct"/>
            <w:tcBorders>
              <w:top w:val="nil"/>
              <w:left w:val="nil"/>
              <w:bottom w:val="single" w:sz="4" w:space="0" w:color="auto"/>
              <w:right w:val="nil"/>
            </w:tcBorders>
            <w:noWrap/>
            <w:hideMark/>
          </w:tcPr>
          <w:p w14:paraId="23E80BE4"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1242</w:t>
            </w:r>
          </w:p>
        </w:tc>
        <w:tc>
          <w:tcPr>
            <w:tcW w:w="602" w:type="pct"/>
            <w:tcBorders>
              <w:top w:val="nil"/>
              <w:left w:val="nil"/>
              <w:bottom w:val="single" w:sz="4" w:space="0" w:color="auto"/>
              <w:right w:val="nil"/>
            </w:tcBorders>
            <w:noWrap/>
            <w:hideMark/>
          </w:tcPr>
          <w:p w14:paraId="181CDDFB"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26082</w:t>
            </w:r>
          </w:p>
        </w:tc>
        <w:tc>
          <w:tcPr>
            <w:tcW w:w="552" w:type="pct"/>
            <w:tcBorders>
              <w:top w:val="nil"/>
              <w:left w:val="nil"/>
              <w:bottom w:val="single" w:sz="4" w:space="0" w:color="auto"/>
              <w:right w:val="nil"/>
            </w:tcBorders>
            <w:noWrap/>
            <w:hideMark/>
          </w:tcPr>
          <w:p w14:paraId="267CA9D9"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8000</w:t>
            </w:r>
          </w:p>
        </w:tc>
        <w:tc>
          <w:tcPr>
            <w:tcW w:w="602" w:type="pct"/>
            <w:tcBorders>
              <w:top w:val="nil"/>
              <w:left w:val="nil"/>
              <w:bottom w:val="single" w:sz="4" w:space="0" w:color="auto"/>
              <w:right w:val="nil"/>
            </w:tcBorders>
            <w:noWrap/>
            <w:hideMark/>
          </w:tcPr>
          <w:p w14:paraId="178C9E23"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18082</w:t>
            </w:r>
          </w:p>
        </w:tc>
        <w:tc>
          <w:tcPr>
            <w:tcW w:w="738" w:type="pct"/>
            <w:tcBorders>
              <w:top w:val="nil"/>
              <w:left w:val="nil"/>
              <w:bottom w:val="single" w:sz="4" w:space="0" w:color="auto"/>
              <w:right w:val="nil"/>
            </w:tcBorders>
            <w:noWrap/>
            <w:hideMark/>
          </w:tcPr>
          <w:p w14:paraId="089B4FF4" w14:textId="77777777" w:rsidR="00436887" w:rsidRPr="001302AD" w:rsidRDefault="00436887" w:rsidP="00843265">
            <w:pPr>
              <w:jc w:val="center"/>
              <w:rPr>
                <w:rFonts w:ascii="Times New Roman" w:eastAsia="Calibri" w:hAnsi="Times New Roman"/>
                <w:sz w:val="20"/>
                <w:szCs w:val="20"/>
              </w:rPr>
            </w:pPr>
            <w:r w:rsidRPr="001302AD">
              <w:rPr>
                <w:rFonts w:ascii="Times New Roman" w:eastAsia="Calibri" w:hAnsi="Times New Roman"/>
                <w:sz w:val="20"/>
                <w:szCs w:val="20"/>
              </w:rPr>
              <w:t>D</w:t>
            </w:r>
          </w:p>
        </w:tc>
      </w:tr>
    </w:tbl>
    <w:p w14:paraId="27367860" w14:textId="77777777" w:rsidR="00436887" w:rsidRPr="001302AD" w:rsidRDefault="00436887" w:rsidP="00843265">
      <w:pPr>
        <w:autoSpaceDE w:val="0"/>
        <w:autoSpaceDN w:val="0"/>
        <w:adjustRightInd w:val="0"/>
        <w:spacing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color w:val="000000"/>
          <w:sz w:val="20"/>
          <w:szCs w:val="20"/>
        </w:rPr>
        <w:t xml:space="preserve">Where, </w:t>
      </w:r>
      <w:proofErr w:type="spellStart"/>
      <w:r w:rsidRPr="001302AD">
        <w:rPr>
          <w:rFonts w:ascii="Times New Roman" w:eastAsia="Calibri" w:hAnsi="Times New Roman" w:cs="Times New Roman"/>
          <w:color w:val="000000"/>
          <w:sz w:val="20"/>
          <w:szCs w:val="20"/>
        </w:rPr>
        <w:t>AvY</w:t>
      </w:r>
      <w:proofErr w:type="spellEnd"/>
      <w:r w:rsidRPr="001302AD">
        <w:rPr>
          <w:rFonts w:ascii="Times New Roman" w:eastAsia="Calibri" w:hAnsi="Times New Roman" w:cs="Times New Roman"/>
          <w:color w:val="000000"/>
          <w:sz w:val="20"/>
          <w:szCs w:val="20"/>
        </w:rPr>
        <w:t xml:space="preserve"> = Average yield; </w:t>
      </w:r>
      <w:proofErr w:type="spellStart"/>
      <w:r w:rsidRPr="001302AD">
        <w:rPr>
          <w:rFonts w:ascii="Times New Roman" w:eastAsia="Calibri" w:hAnsi="Times New Roman" w:cs="Times New Roman"/>
          <w:color w:val="000000"/>
          <w:sz w:val="20"/>
          <w:szCs w:val="20"/>
        </w:rPr>
        <w:t>AdjY</w:t>
      </w:r>
      <w:proofErr w:type="spellEnd"/>
      <w:r w:rsidRPr="001302AD">
        <w:rPr>
          <w:rFonts w:ascii="Times New Roman" w:eastAsia="Calibri" w:hAnsi="Times New Roman" w:cs="Times New Roman"/>
          <w:color w:val="000000"/>
          <w:sz w:val="20"/>
          <w:szCs w:val="20"/>
        </w:rPr>
        <w:t xml:space="preserve"> = Adjusted yield; GB = Gross benefit; TVC = Total variable cost; NB = Net benefit</w:t>
      </w:r>
    </w:p>
    <w:p w14:paraId="6FB4C640" w14:textId="77777777" w:rsidR="00436887" w:rsidRPr="001302AD" w:rsidRDefault="00436887" w:rsidP="00F04802">
      <w:pPr>
        <w:keepNext/>
        <w:spacing w:line="240" w:lineRule="auto"/>
        <w:jc w:val="both"/>
        <w:rPr>
          <w:rFonts w:ascii="Times New Roman" w:eastAsia="Calibri" w:hAnsi="Times New Roman" w:cs="Times New Roman"/>
          <w:b/>
          <w:bCs/>
          <w:sz w:val="20"/>
          <w:szCs w:val="20"/>
        </w:rPr>
      </w:pPr>
      <w:r w:rsidRPr="001302AD">
        <w:rPr>
          <w:rFonts w:ascii="Times New Roman" w:eastAsia="Calibri" w:hAnsi="Times New Roman" w:cs="Times New Roman"/>
          <w:b/>
          <w:bCs/>
          <w:sz w:val="20"/>
          <w:szCs w:val="20"/>
        </w:rPr>
        <w:t>Table 7.</w:t>
      </w:r>
      <w:r w:rsidRPr="001302AD">
        <w:rPr>
          <w:rFonts w:ascii="Times New Roman" w:eastAsia="Calibri" w:hAnsi="Times New Roman" w:cs="Times New Roman"/>
          <w:b/>
          <w:sz w:val="20"/>
          <w:szCs w:val="20"/>
        </w:rPr>
        <w:t xml:space="preserve"> Marginal rate of return and residual analysis of mulching rate</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1512"/>
        <w:gridCol w:w="1530"/>
        <w:gridCol w:w="1190"/>
        <w:gridCol w:w="250"/>
      </w:tblGrid>
      <w:tr w:rsidR="00436887" w:rsidRPr="001302AD" w14:paraId="145F77AE" w14:textId="77777777" w:rsidTr="00BC0A37">
        <w:trPr>
          <w:trHeight w:val="300"/>
        </w:trPr>
        <w:tc>
          <w:tcPr>
            <w:tcW w:w="2448" w:type="dxa"/>
            <w:tcBorders>
              <w:top w:val="single" w:sz="4" w:space="0" w:color="auto"/>
              <w:left w:val="nil"/>
              <w:bottom w:val="single" w:sz="4" w:space="0" w:color="auto"/>
              <w:right w:val="nil"/>
            </w:tcBorders>
            <w:noWrap/>
            <w:hideMark/>
          </w:tcPr>
          <w:p w14:paraId="05267B1E" w14:textId="77777777" w:rsidR="00436887" w:rsidRPr="001302AD" w:rsidRDefault="00436887" w:rsidP="00843265">
            <w:pPr>
              <w:rPr>
                <w:rFonts w:ascii="Times New Roman" w:eastAsia="Calibri" w:hAnsi="Times New Roman"/>
                <w:b/>
                <w:sz w:val="20"/>
                <w:szCs w:val="20"/>
              </w:rPr>
            </w:pPr>
            <w:r w:rsidRPr="001302AD">
              <w:rPr>
                <w:rFonts w:ascii="Times New Roman" w:eastAsia="Calibri" w:hAnsi="Times New Roman"/>
                <w:b/>
                <w:sz w:val="20"/>
                <w:szCs w:val="20"/>
              </w:rPr>
              <w:t>Treatments</w:t>
            </w:r>
          </w:p>
        </w:tc>
        <w:tc>
          <w:tcPr>
            <w:tcW w:w="1512" w:type="dxa"/>
            <w:tcBorders>
              <w:top w:val="single" w:sz="4" w:space="0" w:color="auto"/>
              <w:left w:val="nil"/>
              <w:bottom w:val="single" w:sz="4" w:space="0" w:color="auto"/>
              <w:right w:val="nil"/>
            </w:tcBorders>
            <w:noWrap/>
            <w:hideMark/>
          </w:tcPr>
          <w:p w14:paraId="304DD6BC" w14:textId="77777777" w:rsidR="00436887" w:rsidRPr="001302AD" w:rsidRDefault="00436887" w:rsidP="00843265">
            <w:pPr>
              <w:jc w:val="center"/>
              <w:rPr>
                <w:rFonts w:ascii="Times New Roman" w:eastAsia="Calibri" w:hAnsi="Times New Roman"/>
                <w:b/>
                <w:sz w:val="20"/>
                <w:szCs w:val="20"/>
              </w:rPr>
            </w:pPr>
            <w:r w:rsidRPr="001302AD">
              <w:rPr>
                <w:rFonts w:ascii="Times New Roman" w:eastAsia="Calibri" w:hAnsi="Times New Roman"/>
                <w:b/>
                <w:sz w:val="20"/>
                <w:szCs w:val="20"/>
              </w:rPr>
              <w:t>TVC(birr)</w:t>
            </w:r>
          </w:p>
        </w:tc>
        <w:tc>
          <w:tcPr>
            <w:tcW w:w="1530" w:type="dxa"/>
            <w:tcBorders>
              <w:top w:val="single" w:sz="4" w:space="0" w:color="auto"/>
              <w:left w:val="nil"/>
              <w:bottom w:val="single" w:sz="4" w:space="0" w:color="auto"/>
              <w:right w:val="nil"/>
            </w:tcBorders>
            <w:noWrap/>
            <w:hideMark/>
          </w:tcPr>
          <w:p w14:paraId="3533C3E9" w14:textId="77777777" w:rsidR="00436887" w:rsidRPr="001302AD" w:rsidRDefault="00436887" w:rsidP="00843265">
            <w:pPr>
              <w:jc w:val="center"/>
              <w:rPr>
                <w:rFonts w:ascii="Times New Roman" w:eastAsia="Calibri" w:hAnsi="Times New Roman"/>
                <w:b/>
                <w:sz w:val="20"/>
                <w:szCs w:val="20"/>
              </w:rPr>
            </w:pPr>
            <w:r w:rsidRPr="001302AD">
              <w:rPr>
                <w:rFonts w:ascii="Times New Roman" w:eastAsia="Calibri" w:hAnsi="Times New Roman"/>
                <w:b/>
                <w:sz w:val="20"/>
                <w:szCs w:val="20"/>
              </w:rPr>
              <w:t>NB(birr)</w:t>
            </w:r>
          </w:p>
        </w:tc>
        <w:tc>
          <w:tcPr>
            <w:tcW w:w="1190" w:type="dxa"/>
            <w:tcBorders>
              <w:top w:val="single" w:sz="4" w:space="0" w:color="auto"/>
              <w:left w:val="nil"/>
              <w:bottom w:val="single" w:sz="4" w:space="0" w:color="auto"/>
              <w:right w:val="nil"/>
            </w:tcBorders>
            <w:noWrap/>
            <w:hideMark/>
          </w:tcPr>
          <w:p w14:paraId="1DEFA4C7" w14:textId="77777777" w:rsidR="00436887" w:rsidRPr="001302AD" w:rsidRDefault="00436887" w:rsidP="00843265">
            <w:pPr>
              <w:jc w:val="center"/>
              <w:rPr>
                <w:rFonts w:ascii="Times New Roman" w:eastAsia="Calibri" w:hAnsi="Times New Roman"/>
                <w:b/>
                <w:sz w:val="20"/>
                <w:szCs w:val="20"/>
              </w:rPr>
            </w:pPr>
            <w:r w:rsidRPr="001302AD">
              <w:rPr>
                <w:rFonts w:ascii="Times New Roman" w:eastAsia="Calibri" w:hAnsi="Times New Roman"/>
                <w:b/>
                <w:sz w:val="20"/>
                <w:szCs w:val="20"/>
              </w:rPr>
              <w:t>MRR (%)</w:t>
            </w:r>
          </w:p>
        </w:tc>
        <w:tc>
          <w:tcPr>
            <w:tcW w:w="250" w:type="dxa"/>
            <w:tcBorders>
              <w:top w:val="single" w:sz="4" w:space="0" w:color="auto"/>
              <w:left w:val="nil"/>
              <w:bottom w:val="single" w:sz="4" w:space="0" w:color="auto"/>
              <w:right w:val="nil"/>
            </w:tcBorders>
          </w:tcPr>
          <w:p w14:paraId="0D9125B0" w14:textId="77777777" w:rsidR="00436887" w:rsidRPr="001302AD" w:rsidRDefault="00436887" w:rsidP="00843265">
            <w:pPr>
              <w:rPr>
                <w:rFonts w:ascii="Times New Roman" w:eastAsia="Calibri" w:hAnsi="Times New Roman"/>
                <w:b/>
                <w:sz w:val="20"/>
                <w:szCs w:val="20"/>
              </w:rPr>
            </w:pPr>
          </w:p>
        </w:tc>
      </w:tr>
      <w:tr w:rsidR="00436887" w:rsidRPr="001302AD" w14:paraId="28945046" w14:textId="77777777" w:rsidTr="00BC0A37">
        <w:trPr>
          <w:trHeight w:val="300"/>
        </w:trPr>
        <w:tc>
          <w:tcPr>
            <w:tcW w:w="2448" w:type="dxa"/>
            <w:tcBorders>
              <w:top w:val="single" w:sz="4" w:space="0" w:color="auto"/>
              <w:left w:val="nil"/>
              <w:bottom w:val="nil"/>
              <w:right w:val="nil"/>
            </w:tcBorders>
            <w:noWrap/>
            <w:hideMark/>
          </w:tcPr>
          <w:p w14:paraId="2D7EFE2B"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no mulch</w:t>
            </w:r>
          </w:p>
        </w:tc>
        <w:tc>
          <w:tcPr>
            <w:tcW w:w="1512" w:type="dxa"/>
            <w:tcBorders>
              <w:top w:val="single" w:sz="4" w:space="0" w:color="auto"/>
              <w:left w:val="nil"/>
              <w:bottom w:val="nil"/>
              <w:right w:val="nil"/>
            </w:tcBorders>
            <w:noWrap/>
            <w:hideMark/>
          </w:tcPr>
          <w:p w14:paraId="7BE974AF" w14:textId="77777777" w:rsidR="00436887" w:rsidRPr="001302AD" w:rsidRDefault="00436887" w:rsidP="00843265">
            <w:pPr>
              <w:jc w:val="center"/>
              <w:rPr>
                <w:rFonts w:ascii="Times New Roman" w:eastAsia="Calibri" w:hAnsi="Times New Roman"/>
                <w:sz w:val="20"/>
                <w:szCs w:val="20"/>
              </w:rPr>
            </w:pPr>
            <w:r w:rsidRPr="001302AD">
              <w:rPr>
                <w:rFonts w:ascii="Times New Roman" w:eastAsia="Calibri" w:hAnsi="Times New Roman"/>
                <w:sz w:val="20"/>
                <w:szCs w:val="20"/>
              </w:rPr>
              <w:t>5500</w:t>
            </w:r>
          </w:p>
        </w:tc>
        <w:tc>
          <w:tcPr>
            <w:tcW w:w="1530" w:type="dxa"/>
            <w:tcBorders>
              <w:top w:val="single" w:sz="4" w:space="0" w:color="auto"/>
              <w:left w:val="nil"/>
              <w:bottom w:val="nil"/>
              <w:right w:val="nil"/>
            </w:tcBorders>
            <w:noWrap/>
            <w:hideMark/>
          </w:tcPr>
          <w:p w14:paraId="462E5F33" w14:textId="77777777" w:rsidR="00436887" w:rsidRPr="001302AD" w:rsidRDefault="00436887" w:rsidP="00843265">
            <w:pPr>
              <w:jc w:val="center"/>
              <w:rPr>
                <w:rFonts w:ascii="Times New Roman" w:eastAsia="Calibri" w:hAnsi="Times New Roman"/>
                <w:sz w:val="20"/>
                <w:szCs w:val="20"/>
              </w:rPr>
            </w:pPr>
            <w:r w:rsidRPr="001302AD">
              <w:rPr>
                <w:rFonts w:ascii="Times New Roman" w:eastAsia="Calibri" w:hAnsi="Times New Roman"/>
                <w:sz w:val="20"/>
                <w:szCs w:val="20"/>
              </w:rPr>
              <w:t>11793.5</w:t>
            </w:r>
          </w:p>
        </w:tc>
        <w:tc>
          <w:tcPr>
            <w:tcW w:w="1190" w:type="dxa"/>
            <w:tcBorders>
              <w:top w:val="single" w:sz="4" w:space="0" w:color="auto"/>
              <w:left w:val="nil"/>
              <w:bottom w:val="nil"/>
              <w:right w:val="nil"/>
            </w:tcBorders>
            <w:noWrap/>
            <w:hideMark/>
          </w:tcPr>
          <w:p w14:paraId="7C070AA7" w14:textId="77777777" w:rsidR="00436887" w:rsidRPr="001302AD" w:rsidRDefault="00436887" w:rsidP="00843265">
            <w:pPr>
              <w:rPr>
                <w:rFonts w:ascii="Times New Roman" w:eastAsia="Calibri" w:hAnsi="Times New Roman"/>
                <w:sz w:val="20"/>
                <w:szCs w:val="20"/>
              </w:rPr>
            </w:pPr>
          </w:p>
        </w:tc>
        <w:tc>
          <w:tcPr>
            <w:tcW w:w="250" w:type="dxa"/>
            <w:tcBorders>
              <w:top w:val="single" w:sz="4" w:space="0" w:color="auto"/>
              <w:left w:val="nil"/>
              <w:bottom w:val="nil"/>
              <w:right w:val="nil"/>
            </w:tcBorders>
          </w:tcPr>
          <w:p w14:paraId="3530B4C9" w14:textId="77777777" w:rsidR="00436887" w:rsidRPr="001302AD" w:rsidRDefault="00436887" w:rsidP="00843265">
            <w:pPr>
              <w:rPr>
                <w:rFonts w:ascii="Times New Roman" w:eastAsia="Calibri" w:hAnsi="Times New Roman"/>
                <w:sz w:val="20"/>
                <w:szCs w:val="20"/>
              </w:rPr>
            </w:pPr>
          </w:p>
        </w:tc>
      </w:tr>
      <w:tr w:rsidR="00436887" w:rsidRPr="001302AD" w14:paraId="7670BFC7" w14:textId="77777777" w:rsidTr="00BC0A37">
        <w:trPr>
          <w:trHeight w:val="300"/>
        </w:trPr>
        <w:tc>
          <w:tcPr>
            <w:tcW w:w="2448" w:type="dxa"/>
            <w:tcBorders>
              <w:top w:val="nil"/>
              <w:left w:val="nil"/>
              <w:bottom w:val="nil"/>
              <w:right w:val="nil"/>
            </w:tcBorders>
            <w:noWrap/>
            <w:hideMark/>
          </w:tcPr>
          <w:p w14:paraId="5CD84B52"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 xml:space="preserve">10 </w:t>
            </w:r>
            <w:r w:rsidRPr="001302AD">
              <w:rPr>
                <w:rFonts w:ascii="Times New Roman" w:eastAsia="Calibri" w:hAnsi="Times New Roman"/>
                <w:color w:val="000000"/>
                <w:sz w:val="20"/>
                <w:szCs w:val="20"/>
              </w:rPr>
              <w:t>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sz w:val="20"/>
                <w:szCs w:val="20"/>
              </w:rPr>
              <w:t>mulch   cover</w:t>
            </w:r>
          </w:p>
        </w:tc>
        <w:tc>
          <w:tcPr>
            <w:tcW w:w="1512" w:type="dxa"/>
            <w:tcBorders>
              <w:top w:val="nil"/>
              <w:left w:val="nil"/>
              <w:bottom w:val="nil"/>
              <w:right w:val="nil"/>
            </w:tcBorders>
            <w:noWrap/>
            <w:hideMark/>
          </w:tcPr>
          <w:p w14:paraId="70CE63F9" w14:textId="77777777" w:rsidR="00436887" w:rsidRPr="001302AD" w:rsidRDefault="00436887" w:rsidP="00843265">
            <w:pPr>
              <w:jc w:val="center"/>
              <w:rPr>
                <w:rFonts w:ascii="Times New Roman" w:eastAsia="Calibri" w:hAnsi="Times New Roman"/>
                <w:sz w:val="20"/>
                <w:szCs w:val="20"/>
              </w:rPr>
            </w:pPr>
            <w:r w:rsidRPr="001302AD">
              <w:rPr>
                <w:rFonts w:ascii="Times New Roman" w:eastAsia="Calibri" w:hAnsi="Times New Roman"/>
                <w:sz w:val="20"/>
                <w:szCs w:val="20"/>
              </w:rPr>
              <w:t>6750</w:t>
            </w:r>
          </w:p>
        </w:tc>
        <w:tc>
          <w:tcPr>
            <w:tcW w:w="1530" w:type="dxa"/>
            <w:tcBorders>
              <w:top w:val="nil"/>
              <w:left w:val="nil"/>
              <w:bottom w:val="nil"/>
              <w:right w:val="nil"/>
            </w:tcBorders>
            <w:noWrap/>
            <w:hideMark/>
          </w:tcPr>
          <w:p w14:paraId="38DE49D5" w14:textId="77777777" w:rsidR="00436887" w:rsidRPr="001302AD" w:rsidRDefault="00436887" w:rsidP="00843265">
            <w:pPr>
              <w:jc w:val="center"/>
              <w:rPr>
                <w:rFonts w:ascii="Times New Roman" w:eastAsia="Calibri" w:hAnsi="Times New Roman"/>
                <w:sz w:val="20"/>
                <w:szCs w:val="20"/>
              </w:rPr>
            </w:pPr>
            <w:r w:rsidRPr="001302AD">
              <w:rPr>
                <w:rFonts w:ascii="Times New Roman" w:eastAsia="Calibri" w:hAnsi="Times New Roman"/>
                <w:sz w:val="20"/>
                <w:szCs w:val="20"/>
              </w:rPr>
              <w:t>20617.2</w:t>
            </w:r>
          </w:p>
        </w:tc>
        <w:tc>
          <w:tcPr>
            <w:tcW w:w="1190" w:type="dxa"/>
            <w:tcBorders>
              <w:top w:val="nil"/>
              <w:left w:val="nil"/>
              <w:bottom w:val="nil"/>
              <w:right w:val="nil"/>
            </w:tcBorders>
            <w:noWrap/>
            <w:hideMark/>
          </w:tcPr>
          <w:p w14:paraId="42C34C51" w14:textId="77777777" w:rsidR="00436887" w:rsidRPr="001302AD" w:rsidRDefault="00436887" w:rsidP="00843265">
            <w:pPr>
              <w:jc w:val="center"/>
              <w:rPr>
                <w:rFonts w:ascii="Times New Roman" w:eastAsia="Calibri" w:hAnsi="Times New Roman"/>
                <w:sz w:val="20"/>
                <w:szCs w:val="20"/>
              </w:rPr>
            </w:pPr>
            <w:r w:rsidRPr="001302AD">
              <w:rPr>
                <w:rFonts w:ascii="Times New Roman" w:eastAsia="Calibri" w:hAnsi="Times New Roman"/>
                <w:sz w:val="20"/>
                <w:szCs w:val="20"/>
              </w:rPr>
              <w:t>705.9</w:t>
            </w:r>
          </w:p>
        </w:tc>
        <w:tc>
          <w:tcPr>
            <w:tcW w:w="250" w:type="dxa"/>
            <w:tcBorders>
              <w:top w:val="nil"/>
              <w:left w:val="nil"/>
              <w:bottom w:val="nil"/>
              <w:right w:val="nil"/>
            </w:tcBorders>
          </w:tcPr>
          <w:p w14:paraId="59539465" w14:textId="77777777" w:rsidR="00436887" w:rsidRPr="001302AD" w:rsidRDefault="00436887" w:rsidP="00843265">
            <w:pPr>
              <w:rPr>
                <w:rFonts w:ascii="Times New Roman" w:eastAsia="Calibri" w:hAnsi="Times New Roman"/>
                <w:sz w:val="20"/>
                <w:szCs w:val="20"/>
              </w:rPr>
            </w:pPr>
          </w:p>
        </w:tc>
      </w:tr>
      <w:tr w:rsidR="00436887" w:rsidRPr="001302AD" w14:paraId="711CD3FB" w14:textId="77777777" w:rsidTr="00BC0A37">
        <w:trPr>
          <w:trHeight w:val="300"/>
        </w:trPr>
        <w:tc>
          <w:tcPr>
            <w:tcW w:w="2448" w:type="dxa"/>
            <w:tcBorders>
              <w:top w:val="nil"/>
              <w:left w:val="nil"/>
              <w:bottom w:val="single" w:sz="4" w:space="0" w:color="auto"/>
              <w:right w:val="nil"/>
            </w:tcBorders>
            <w:noWrap/>
            <w:hideMark/>
          </w:tcPr>
          <w:p w14:paraId="5E7A345F"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 xml:space="preserve">15 </w:t>
            </w:r>
            <w:r w:rsidRPr="001302AD">
              <w:rPr>
                <w:rFonts w:ascii="Times New Roman" w:eastAsia="Calibri" w:hAnsi="Times New Roman"/>
                <w:color w:val="000000"/>
                <w:sz w:val="20"/>
                <w:szCs w:val="20"/>
              </w:rPr>
              <w:t>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sz w:val="20"/>
                <w:szCs w:val="20"/>
              </w:rPr>
              <w:t>mulch cover</w:t>
            </w:r>
          </w:p>
        </w:tc>
        <w:tc>
          <w:tcPr>
            <w:tcW w:w="1512" w:type="dxa"/>
            <w:tcBorders>
              <w:top w:val="nil"/>
              <w:left w:val="nil"/>
              <w:bottom w:val="single" w:sz="4" w:space="0" w:color="auto"/>
              <w:right w:val="nil"/>
            </w:tcBorders>
            <w:noWrap/>
            <w:hideMark/>
          </w:tcPr>
          <w:p w14:paraId="1137FCC0" w14:textId="77777777" w:rsidR="00436887" w:rsidRPr="001302AD" w:rsidRDefault="00436887" w:rsidP="00843265">
            <w:pPr>
              <w:jc w:val="center"/>
              <w:rPr>
                <w:rFonts w:ascii="Times New Roman" w:eastAsia="Calibri" w:hAnsi="Times New Roman"/>
                <w:sz w:val="20"/>
                <w:szCs w:val="20"/>
              </w:rPr>
            </w:pPr>
            <w:r w:rsidRPr="001302AD">
              <w:rPr>
                <w:rFonts w:ascii="Times New Roman" w:eastAsia="Calibri" w:hAnsi="Times New Roman"/>
                <w:sz w:val="20"/>
                <w:szCs w:val="20"/>
              </w:rPr>
              <w:t>7383</w:t>
            </w:r>
          </w:p>
        </w:tc>
        <w:tc>
          <w:tcPr>
            <w:tcW w:w="1530" w:type="dxa"/>
            <w:tcBorders>
              <w:top w:val="nil"/>
              <w:left w:val="nil"/>
              <w:bottom w:val="single" w:sz="4" w:space="0" w:color="auto"/>
              <w:right w:val="nil"/>
            </w:tcBorders>
            <w:noWrap/>
            <w:hideMark/>
          </w:tcPr>
          <w:p w14:paraId="2BE81C3B" w14:textId="77777777" w:rsidR="00436887" w:rsidRPr="001302AD" w:rsidRDefault="00436887" w:rsidP="00843265">
            <w:pPr>
              <w:jc w:val="center"/>
              <w:rPr>
                <w:rFonts w:ascii="Times New Roman" w:eastAsia="Calibri" w:hAnsi="Times New Roman"/>
                <w:sz w:val="20"/>
                <w:szCs w:val="20"/>
              </w:rPr>
            </w:pPr>
            <w:r w:rsidRPr="001302AD">
              <w:rPr>
                <w:rFonts w:ascii="Times New Roman" w:eastAsia="Calibri" w:hAnsi="Times New Roman"/>
                <w:sz w:val="20"/>
                <w:szCs w:val="20"/>
              </w:rPr>
              <w:t>23064.9</w:t>
            </w:r>
          </w:p>
        </w:tc>
        <w:tc>
          <w:tcPr>
            <w:tcW w:w="1190" w:type="dxa"/>
            <w:tcBorders>
              <w:top w:val="nil"/>
              <w:left w:val="nil"/>
              <w:bottom w:val="single" w:sz="4" w:space="0" w:color="auto"/>
              <w:right w:val="nil"/>
            </w:tcBorders>
            <w:noWrap/>
            <w:hideMark/>
          </w:tcPr>
          <w:p w14:paraId="028FCC0B" w14:textId="77777777" w:rsidR="00436887" w:rsidRPr="001302AD" w:rsidRDefault="00436887" w:rsidP="00843265">
            <w:pPr>
              <w:jc w:val="center"/>
              <w:rPr>
                <w:rFonts w:ascii="Times New Roman" w:eastAsia="Calibri" w:hAnsi="Times New Roman"/>
                <w:sz w:val="20"/>
                <w:szCs w:val="20"/>
              </w:rPr>
            </w:pPr>
            <w:r w:rsidRPr="001302AD">
              <w:rPr>
                <w:rFonts w:ascii="Times New Roman" w:eastAsia="Calibri" w:hAnsi="Times New Roman"/>
                <w:sz w:val="20"/>
                <w:szCs w:val="20"/>
              </w:rPr>
              <w:t>386.7</w:t>
            </w:r>
          </w:p>
        </w:tc>
        <w:tc>
          <w:tcPr>
            <w:tcW w:w="250" w:type="dxa"/>
            <w:tcBorders>
              <w:top w:val="nil"/>
              <w:left w:val="nil"/>
              <w:bottom w:val="single" w:sz="4" w:space="0" w:color="auto"/>
              <w:right w:val="nil"/>
            </w:tcBorders>
          </w:tcPr>
          <w:p w14:paraId="619375D8" w14:textId="77777777" w:rsidR="00436887" w:rsidRPr="001302AD" w:rsidRDefault="00436887" w:rsidP="00843265">
            <w:pPr>
              <w:rPr>
                <w:rFonts w:ascii="Times New Roman" w:eastAsia="Calibri" w:hAnsi="Times New Roman"/>
                <w:sz w:val="20"/>
                <w:szCs w:val="20"/>
              </w:rPr>
            </w:pPr>
          </w:p>
        </w:tc>
      </w:tr>
    </w:tbl>
    <w:p w14:paraId="5514FEBF" w14:textId="217DB7F6" w:rsidR="001A0DB6" w:rsidRPr="001A0DB6" w:rsidRDefault="00436887" w:rsidP="00843265">
      <w:pPr>
        <w:spacing w:after="0" w:line="240" w:lineRule="auto"/>
        <w:jc w:val="both"/>
        <w:rPr>
          <w:rFonts w:ascii="Times New Roman" w:eastAsia="Calibri" w:hAnsi="Times New Roman" w:cs="Times New Roman"/>
          <w:color w:val="000000" w:themeColor="text1"/>
          <w:sz w:val="20"/>
          <w:szCs w:val="20"/>
        </w:rPr>
      </w:pPr>
      <w:bookmarkStart w:id="28" w:name="_Toc376354582"/>
      <w:bookmarkStart w:id="29" w:name="_Toc376331345"/>
      <w:r w:rsidRPr="001302AD">
        <w:rPr>
          <w:rFonts w:ascii="Times New Roman" w:eastAsia="Calibri" w:hAnsi="Times New Roman" w:cs="Times New Roman"/>
          <w:color w:val="000000" w:themeColor="text1"/>
          <w:sz w:val="20"/>
          <w:szCs w:val="20"/>
        </w:rPr>
        <w:t xml:space="preserve">Where, TCV = Total variable cost; NB = Net benefit; MRR = Marginal rate of </w:t>
      </w:r>
      <w:bookmarkEnd w:id="28"/>
      <w:bookmarkEnd w:id="29"/>
      <w:r w:rsidRPr="001302AD">
        <w:rPr>
          <w:rFonts w:ascii="Times New Roman" w:eastAsia="Calibri" w:hAnsi="Times New Roman" w:cs="Times New Roman"/>
          <w:color w:val="000000" w:themeColor="text1"/>
          <w:sz w:val="20"/>
          <w:szCs w:val="20"/>
        </w:rPr>
        <w:t>return</w:t>
      </w:r>
    </w:p>
    <w:p w14:paraId="0480185A" w14:textId="77777777" w:rsidR="00436887" w:rsidRPr="001302AD" w:rsidRDefault="00436887" w:rsidP="00F04802">
      <w:pPr>
        <w:spacing w:before="240" w:line="240" w:lineRule="auto"/>
        <w:rPr>
          <w:rFonts w:ascii="Times New Roman" w:eastAsia="Calibri" w:hAnsi="Times New Roman" w:cs="Times New Roman"/>
          <w:b/>
        </w:rPr>
      </w:pPr>
      <w:r w:rsidRPr="001302AD">
        <w:rPr>
          <w:rFonts w:ascii="Times New Roman" w:eastAsia="Calibri" w:hAnsi="Times New Roman" w:cs="Times New Roman"/>
          <w:b/>
        </w:rPr>
        <w:t xml:space="preserve">4. </w:t>
      </w:r>
      <w:r w:rsidR="001302AD" w:rsidRPr="001302AD">
        <w:rPr>
          <w:rFonts w:ascii="Times New Roman" w:eastAsia="Calibri" w:hAnsi="Times New Roman" w:cs="Times New Roman"/>
          <w:b/>
        </w:rPr>
        <w:t>Conclusion and Recommendation</w:t>
      </w:r>
    </w:p>
    <w:p w14:paraId="6F071249" w14:textId="77777777" w:rsidR="001A0DB6" w:rsidRDefault="00436887" w:rsidP="00843265">
      <w:pPr>
        <w:spacing w:after="0" w:line="240" w:lineRule="auto"/>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The results of this study indicated that the mulching rate had a significant effect on soil moisture conservation, crop phenology, and soybean yield and yield components. A high amount of soil moisture was conserved in plots mulched with 20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while the lowest soil moisture was conserved under control (no mulch) treatments at all soil depths (0-</w:t>
      </w:r>
      <w:smartTag w:uri="urn:schemas-microsoft-com:office:smarttags" w:element="metricconverter">
        <w:smartTagPr>
          <w:attr w:name="ProductID" w:val="0.2 m"/>
        </w:smartTagPr>
        <w:r w:rsidRPr="001302AD">
          <w:rPr>
            <w:rFonts w:ascii="Times New Roman" w:eastAsia="Calibri" w:hAnsi="Times New Roman" w:cs="Times New Roman"/>
            <w:sz w:val="20"/>
            <w:szCs w:val="20"/>
          </w:rPr>
          <w:t>0.2 m</w:t>
        </w:r>
      </w:smartTag>
      <w:r w:rsidRPr="001302AD">
        <w:rPr>
          <w:rFonts w:ascii="Times New Roman" w:eastAsia="Calibri" w:hAnsi="Times New Roman" w:cs="Times New Roman"/>
          <w:sz w:val="20"/>
          <w:szCs w:val="20"/>
        </w:rPr>
        <w:t>, 0.2.-</w:t>
      </w:r>
      <w:smartTag w:uri="urn:schemas-microsoft-com:office:smarttags" w:element="metricconverter">
        <w:smartTagPr>
          <w:attr w:name="ProductID" w:val="0.4 m"/>
        </w:smartTagPr>
        <w:r w:rsidRPr="001302AD">
          <w:rPr>
            <w:rFonts w:ascii="Times New Roman" w:eastAsia="Calibri" w:hAnsi="Times New Roman" w:cs="Times New Roman"/>
            <w:sz w:val="20"/>
            <w:szCs w:val="20"/>
          </w:rPr>
          <w:t>0.4 m</w:t>
        </w:r>
      </w:smartTag>
      <w:r w:rsidRPr="001302AD">
        <w:rPr>
          <w:rFonts w:ascii="Times New Roman" w:eastAsia="Calibri" w:hAnsi="Times New Roman" w:cs="Times New Roman"/>
          <w:sz w:val="20"/>
          <w:szCs w:val="20"/>
        </w:rPr>
        <w:t xml:space="preserve"> and 0.4-</w:t>
      </w:r>
      <w:smartTag w:uri="urn:schemas-microsoft-com:office:smarttags" w:element="metricconverter">
        <w:smartTagPr>
          <w:attr w:name="ProductID" w:val="0.6 m"/>
        </w:smartTagPr>
        <w:r w:rsidRPr="001302AD">
          <w:rPr>
            <w:rFonts w:ascii="Times New Roman" w:eastAsia="Calibri" w:hAnsi="Times New Roman" w:cs="Times New Roman"/>
            <w:sz w:val="20"/>
            <w:szCs w:val="20"/>
          </w:rPr>
          <w:t>0.6 m</w:t>
        </w:r>
      </w:smartTag>
      <w:r w:rsidRPr="001302AD">
        <w:rPr>
          <w:rFonts w:ascii="Times New Roman" w:eastAsia="Calibri" w:hAnsi="Times New Roman" w:cs="Times New Roman"/>
          <w:sz w:val="20"/>
          <w:szCs w:val="20"/>
        </w:rPr>
        <w:t>) during 15-90 days after sowing. Due to the effect of soil moisture conserved by mulching, the highest grain yield (</w:t>
      </w:r>
      <w:smartTag w:uri="urn:schemas-microsoft-com:office:smarttags" w:element="metricconverter">
        <w:smartTagPr>
          <w:attr w:name="ProductID" w:val="1611 kg"/>
        </w:smartTagPr>
        <w:r w:rsidRPr="001302AD">
          <w:rPr>
            <w:rFonts w:ascii="Times New Roman" w:eastAsia="Calibri" w:hAnsi="Times New Roman" w:cs="Times New Roman"/>
            <w:sz w:val="20"/>
            <w:szCs w:val="20"/>
          </w:rPr>
          <w:t>1611 kg</w:t>
        </w:r>
      </w:smartTag>
      <w:r w:rsidRPr="001302AD">
        <w:rPr>
          <w:rFonts w:ascii="Times New Roman" w:eastAsia="Calibri" w:hAnsi="Times New Roman" w:cs="Times New Roman"/>
          <w:sz w:val="20"/>
          <w:szCs w:val="20"/>
        </w:rPr>
        <w:t xml:space="preserve">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was observed in treatments mulched with 15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while the lowest grain yield (</w:t>
      </w:r>
      <w:smartTag w:uri="urn:schemas-microsoft-com:office:smarttags" w:element="metricconverter">
        <w:smartTagPr>
          <w:attr w:name="ProductID" w:val="915 kg"/>
        </w:smartTagPr>
        <w:r w:rsidRPr="001302AD">
          <w:rPr>
            <w:rFonts w:ascii="Times New Roman" w:eastAsia="Calibri" w:hAnsi="Times New Roman" w:cs="Times New Roman"/>
            <w:sz w:val="20"/>
            <w:szCs w:val="20"/>
          </w:rPr>
          <w:t>915 kg</w:t>
        </w:r>
      </w:smartTag>
      <w:r w:rsidRPr="001302AD">
        <w:rPr>
          <w:rFonts w:ascii="Times New Roman" w:eastAsia="Calibri" w:hAnsi="Times New Roman" w:cs="Times New Roman"/>
          <w:sz w:val="20"/>
          <w:szCs w:val="20"/>
        </w:rPr>
        <w:t xml:space="preserve">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was recorded in treatments with no mulch. However, the results of the economic analysis revealed that 10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mulch cover was the best treatment, offering an </w:t>
      </w:r>
      <w:smartTag w:uri="urn:schemas-microsoft-com:office:smarttags" w:element="stockticker">
        <w:r w:rsidRPr="001302AD">
          <w:rPr>
            <w:rFonts w:ascii="Times New Roman" w:eastAsia="Calibri" w:hAnsi="Times New Roman" w:cs="Times New Roman"/>
            <w:sz w:val="20"/>
            <w:szCs w:val="20"/>
          </w:rPr>
          <w:t>MRR</w:t>
        </w:r>
      </w:smartTag>
      <w:r w:rsidRPr="001302AD">
        <w:rPr>
          <w:rFonts w:ascii="Times New Roman" w:eastAsia="Calibri" w:hAnsi="Times New Roman" w:cs="Times New Roman"/>
          <w:sz w:val="20"/>
          <w:szCs w:val="20"/>
        </w:rPr>
        <w:t xml:space="preserve"> of 706 % as compared to 15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and no mulch cover. Therefore, among the </w:t>
      </w:r>
      <w:proofErr w:type="gramStart"/>
      <w:r w:rsidRPr="001302AD">
        <w:rPr>
          <w:rFonts w:ascii="Times New Roman" w:eastAsia="Calibri" w:hAnsi="Times New Roman" w:cs="Times New Roman"/>
          <w:sz w:val="20"/>
          <w:szCs w:val="20"/>
        </w:rPr>
        <w:t>in situ</w:t>
      </w:r>
      <w:proofErr w:type="gramEnd"/>
      <w:r w:rsidRPr="001302AD">
        <w:rPr>
          <w:rFonts w:ascii="Times New Roman" w:eastAsia="Calibri" w:hAnsi="Times New Roman" w:cs="Times New Roman"/>
          <w:sz w:val="20"/>
          <w:szCs w:val="20"/>
        </w:rPr>
        <w:t xml:space="preserve"> moisture conservation techniques, mulch application was the most important, and farmers that grow soybean should apply 10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mulch to increase their production and</w:t>
      </w:r>
      <w:r w:rsidRPr="001302AD">
        <w:rPr>
          <w:rFonts w:ascii="Times New Roman" w:eastAsia="Calibri" w:hAnsi="Times New Roman" w:cs="Times New Roman"/>
          <w:sz w:val="24"/>
          <w:szCs w:val="24"/>
        </w:rPr>
        <w:t xml:space="preserve"> </w:t>
      </w:r>
      <w:r w:rsidRPr="001302AD">
        <w:rPr>
          <w:rFonts w:ascii="Times New Roman" w:eastAsia="Calibri" w:hAnsi="Times New Roman" w:cs="Times New Roman"/>
          <w:sz w:val="20"/>
          <w:szCs w:val="20"/>
        </w:rPr>
        <w:t>profitability, which could be a potentially recommended approach in moisture-stressed soybean growing areas.</w:t>
      </w:r>
    </w:p>
    <w:p w14:paraId="4FEAE410" w14:textId="77777777" w:rsidR="001A0DB6" w:rsidRDefault="001A0DB6" w:rsidP="00843265">
      <w:pPr>
        <w:spacing w:after="0" w:line="240" w:lineRule="auto"/>
        <w:jc w:val="both"/>
        <w:rPr>
          <w:rFonts w:ascii="Times New Roman" w:eastAsia="Calibri" w:hAnsi="Times New Roman" w:cs="Times New Roman"/>
          <w:sz w:val="20"/>
          <w:szCs w:val="20"/>
        </w:rPr>
      </w:pPr>
    </w:p>
    <w:p w14:paraId="4132F6B5" w14:textId="221C14E7" w:rsidR="00436887" w:rsidRPr="001302AD" w:rsidRDefault="001A0DB6" w:rsidP="00843265">
      <w:pPr>
        <w:spacing w:after="0" w:line="240" w:lineRule="auto"/>
        <w:jc w:val="both"/>
        <w:rPr>
          <w:rFonts w:ascii="Times New Roman" w:eastAsia="Calibri" w:hAnsi="Times New Roman" w:cs="Times New Roman"/>
          <w:b/>
          <w:sz w:val="24"/>
          <w:szCs w:val="24"/>
        </w:rPr>
      </w:pPr>
      <w:r w:rsidRPr="001A0DB6">
        <w:rPr>
          <w:rStyle w:val="Strong"/>
          <w:rFonts w:ascii="Times New Roman" w:hAnsi="Times New Roman" w:cs="Times New Roman"/>
          <w:sz w:val="20"/>
          <w:szCs w:val="20"/>
        </w:rPr>
        <w:t>Limitations of the study:</w:t>
      </w:r>
      <w:r w:rsidRPr="001A0DB6">
        <w:rPr>
          <w:rFonts w:ascii="Times New Roman" w:hAnsi="Times New Roman" w:cs="Times New Roman"/>
          <w:sz w:val="20"/>
          <w:szCs w:val="20"/>
        </w:rPr>
        <w:t xml:space="preserve"> The findings of this study are based on data collected during a single growing season at one experimental site. Therefore, the results may be influenced by the specific environmental and climatic conditions of the study area. Further multi-location and multi-season studies are recommended to validate the effects of organic mulching on soybean productivity and soil moisture conservation under diverse agro</w:t>
      </w:r>
      <w:r>
        <w:rPr>
          <w:rFonts w:ascii="Times New Roman" w:hAnsi="Times New Roman" w:cs="Times New Roman"/>
          <w:sz w:val="20"/>
          <w:szCs w:val="20"/>
        </w:rPr>
        <w:t>-</w:t>
      </w:r>
      <w:r w:rsidRPr="001A0DB6">
        <w:rPr>
          <w:rFonts w:ascii="Times New Roman" w:hAnsi="Times New Roman" w:cs="Times New Roman"/>
          <w:sz w:val="20"/>
          <w:szCs w:val="20"/>
        </w:rPr>
        <w:t>ecological conditions</w:t>
      </w:r>
      <w:r>
        <w:t>.</w:t>
      </w:r>
    </w:p>
    <w:p w14:paraId="2A5AB17E" w14:textId="77777777" w:rsidR="001A0DB6" w:rsidRDefault="001A0DB6" w:rsidP="0060760D">
      <w:pPr>
        <w:spacing w:before="240" w:line="240" w:lineRule="auto"/>
        <w:jc w:val="both"/>
        <w:rPr>
          <w:rFonts w:ascii="Times New Roman" w:hAnsi="Times New Roman" w:cs="Times New Roman"/>
          <w:b/>
        </w:rPr>
      </w:pPr>
    </w:p>
    <w:p w14:paraId="5B2F5891" w14:textId="77777777" w:rsidR="0060760D" w:rsidRPr="001302AD" w:rsidRDefault="001302AD" w:rsidP="0060760D">
      <w:pPr>
        <w:spacing w:before="240" w:line="240" w:lineRule="auto"/>
        <w:jc w:val="both"/>
        <w:rPr>
          <w:rFonts w:ascii="Times New Roman" w:hAnsi="Times New Roman" w:cs="Times New Roman"/>
          <w:b/>
        </w:rPr>
      </w:pPr>
      <w:r w:rsidRPr="001302AD">
        <w:rPr>
          <w:rFonts w:ascii="Times New Roman" w:hAnsi="Times New Roman" w:cs="Times New Roman"/>
          <w:b/>
        </w:rPr>
        <w:t>Disclaimer (Artificial Intelligence)</w:t>
      </w:r>
    </w:p>
    <w:p w14:paraId="7308E7C4" w14:textId="2B673F82" w:rsidR="00EF5599" w:rsidRPr="00850244" w:rsidRDefault="0060760D" w:rsidP="00850244">
      <w:pPr>
        <w:spacing w:after="0" w:line="240" w:lineRule="auto"/>
        <w:jc w:val="both"/>
        <w:rPr>
          <w:rFonts w:ascii="Times New Roman" w:eastAsia="Calibri" w:hAnsi="Times New Roman" w:cs="Times New Roman"/>
          <w:b/>
          <w:sz w:val="20"/>
          <w:szCs w:val="20"/>
        </w:rPr>
      </w:pPr>
      <w:r w:rsidRPr="001302AD">
        <w:rPr>
          <w:rFonts w:ascii="Times New Roman" w:hAnsi="Times New Roman" w:cs="Times New Roman"/>
          <w:sz w:val="20"/>
          <w:szCs w:val="20"/>
        </w:rPr>
        <w:t xml:space="preserve">Author(s) hereby declare that NO generative AI technologies such as Large Language Models (ChatGPT, COPILOT, </w:t>
      </w:r>
      <w:r w:rsidR="0007302A" w:rsidRPr="001302AD">
        <w:rPr>
          <w:rFonts w:ascii="Times New Roman" w:hAnsi="Times New Roman" w:cs="Times New Roman"/>
          <w:sz w:val="20"/>
          <w:szCs w:val="20"/>
        </w:rPr>
        <w:t>etc.</w:t>
      </w:r>
      <w:r w:rsidRPr="001302AD">
        <w:rPr>
          <w:rFonts w:ascii="Times New Roman" w:hAnsi="Times New Roman" w:cs="Times New Roman"/>
          <w:sz w:val="20"/>
          <w:szCs w:val="20"/>
        </w:rPr>
        <w:t>) and text-to-image generators have been used during writing or editing of this manuscript.</w:t>
      </w:r>
    </w:p>
    <w:p w14:paraId="3F8F306E" w14:textId="2A93614F" w:rsidR="00436887" w:rsidRPr="001302AD" w:rsidRDefault="00F2654A" w:rsidP="0007302A">
      <w:pPr>
        <w:spacing w:before="240" w:line="240" w:lineRule="auto"/>
        <w:jc w:val="both"/>
        <w:rPr>
          <w:rFonts w:ascii="Times New Roman" w:hAnsi="Times New Roman" w:cs="Times New Roman"/>
        </w:rPr>
      </w:pPr>
      <w:r w:rsidRPr="001302AD">
        <w:rPr>
          <w:rFonts w:ascii="Times New Roman" w:eastAsia="Calibri" w:hAnsi="Times New Roman" w:cs="Times New Roman"/>
          <w:b/>
        </w:rPr>
        <w:t>Reference</w:t>
      </w:r>
      <w:r w:rsidRPr="001302AD">
        <w:rPr>
          <w:rFonts w:ascii="Times New Roman" w:hAnsi="Times New Roman" w:cs="Times New Roman"/>
        </w:rPr>
        <w:t xml:space="preserve"> </w:t>
      </w:r>
    </w:p>
    <w:p w14:paraId="7341CC04"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Abrha, H. (2018). Grain yield and economic returns of Sesame (Sesamum indicum L.) induced by in-situ moisture conservation and sulfur fertilization on </w:t>
      </w:r>
      <w:proofErr w:type="spellStart"/>
      <w:r w:rsidRPr="001302AD">
        <w:rPr>
          <w:rFonts w:ascii="Times New Roman" w:eastAsia="Calibri" w:hAnsi="Times New Roman" w:cs="Times New Roman"/>
          <w:sz w:val="20"/>
          <w:szCs w:val="20"/>
        </w:rPr>
        <w:t>vertisol</w:t>
      </w:r>
      <w:proofErr w:type="spellEnd"/>
      <w:r w:rsidRPr="001302AD">
        <w:rPr>
          <w:rFonts w:ascii="Times New Roman" w:eastAsia="Calibri" w:hAnsi="Times New Roman" w:cs="Times New Roman"/>
          <w:sz w:val="20"/>
          <w:szCs w:val="20"/>
        </w:rPr>
        <w:t xml:space="preserve"> of Western Tigray, Ethiopia. </w:t>
      </w:r>
      <w:r w:rsidRPr="001302AD">
        <w:rPr>
          <w:rFonts w:ascii="Times New Roman" w:eastAsia="Calibri" w:hAnsi="Times New Roman" w:cs="Times New Roman"/>
          <w:i/>
          <w:iCs/>
          <w:sz w:val="20"/>
          <w:szCs w:val="20"/>
        </w:rPr>
        <w:t>Asian Soil Research Journal</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Cs/>
          <w:sz w:val="20"/>
          <w:szCs w:val="20"/>
        </w:rPr>
        <w:t>1</w:t>
      </w:r>
      <w:r w:rsidRPr="001302AD">
        <w:rPr>
          <w:rFonts w:ascii="Times New Roman" w:eastAsia="Calibri" w:hAnsi="Times New Roman" w:cs="Times New Roman"/>
          <w:sz w:val="20"/>
          <w:szCs w:val="20"/>
        </w:rPr>
        <w:t>(2), 1-15.</w:t>
      </w:r>
    </w:p>
    <w:p w14:paraId="3E3CB069"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Achilli, A. L., </w:t>
      </w:r>
      <w:proofErr w:type="spellStart"/>
      <w:r w:rsidRPr="001302AD">
        <w:rPr>
          <w:rFonts w:ascii="Times New Roman" w:eastAsia="Calibri" w:hAnsi="Times New Roman" w:cs="Times New Roman"/>
          <w:sz w:val="20"/>
          <w:szCs w:val="20"/>
        </w:rPr>
        <w:t>Roncallo</w:t>
      </w:r>
      <w:proofErr w:type="spellEnd"/>
      <w:r w:rsidRPr="001302AD">
        <w:rPr>
          <w:rFonts w:ascii="Times New Roman" w:eastAsia="Calibri" w:hAnsi="Times New Roman" w:cs="Times New Roman"/>
          <w:sz w:val="20"/>
          <w:szCs w:val="20"/>
        </w:rPr>
        <w:t xml:space="preserve">, P. F., &amp; Echenique, V. (2022). Genetic gains in grain yield and agronomic traits of Argentinian durum wheat from 1934 to 2015. </w:t>
      </w:r>
      <w:r w:rsidRPr="001302AD">
        <w:rPr>
          <w:rFonts w:ascii="Times New Roman" w:eastAsia="Calibri" w:hAnsi="Times New Roman" w:cs="Times New Roman"/>
          <w:i/>
          <w:sz w:val="20"/>
          <w:szCs w:val="20"/>
        </w:rPr>
        <w:t>Agronomy</w:t>
      </w:r>
      <w:r w:rsidRPr="001302AD">
        <w:rPr>
          <w:rFonts w:ascii="Times New Roman" w:eastAsia="Calibri" w:hAnsi="Times New Roman" w:cs="Times New Roman"/>
          <w:sz w:val="20"/>
          <w:szCs w:val="20"/>
        </w:rPr>
        <w:t>, 12(9), 2151.</w:t>
      </w:r>
    </w:p>
    <w:p w14:paraId="394888D5"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u w:val="single"/>
        </w:rPr>
      </w:pPr>
      <w:r w:rsidRPr="001302AD">
        <w:rPr>
          <w:rFonts w:ascii="Times New Roman" w:eastAsia="Calibri" w:hAnsi="Times New Roman" w:cs="Times New Roman"/>
          <w:sz w:val="20"/>
          <w:szCs w:val="20"/>
        </w:rPr>
        <w:t xml:space="preserve">Akhtar, K., Wang, W., Khan, A., Ren, G., &amp; Afridi, M. Z. (2019). Wheat straw mulching offsets soil moisture deficiency and enhance growth and yield performance of soybean. </w:t>
      </w:r>
      <w:r w:rsidRPr="001302AD">
        <w:rPr>
          <w:rFonts w:ascii="Times New Roman" w:eastAsia="Calibri" w:hAnsi="Times New Roman" w:cs="Times New Roman"/>
          <w:i/>
          <w:sz w:val="20"/>
          <w:szCs w:val="20"/>
        </w:rPr>
        <w:t>Agricultural Water Management</w:t>
      </w:r>
      <w:r w:rsidRPr="001302AD">
        <w:rPr>
          <w:rFonts w:ascii="Times New Roman" w:eastAsia="Calibri" w:hAnsi="Times New Roman" w:cs="Times New Roman"/>
          <w:sz w:val="20"/>
          <w:szCs w:val="20"/>
        </w:rPr>
        <w:t xml:space="preserve">, 211, 16–25. </w:t>
      </w:r>
      <w:hyperlink r:id="rId16" w:history="1">
        <w:r w:rsidRPr="001302AD">
          <w:rPr>
            <w:rFonts w:ascii="Times New Roman" w:eastAsia="Calibri" w:hAnsi="Times New Roman" w:cs="Times New Roman"/>
            <w:sz w:val="20"/>
            <w:szCs w:val="20"/>
            <w:u w:val="single"/>
          </w:rPr>
          <w:t>https://doi.org/10.1016/j.agwat.2018.09.02</w:t>
        </w:r>
      </w:hyperlink>
      <w:r w:rsidRPr="001302AD">
        <w:rPr>
          <w:rFonts w:ascii="Times New Roman" w:eastAsia="Calibri" w:hAnsi="Times New Roman" w:cs="Times New Roman"/>
          <w:sz w:val="20"/>
          <w:szCs w:val="20"/>
          <w:u w:val="single"/>
        </w:rPr>
        <w:t>.</w:t>
      </w:r>
    </w:p>
    <w:p w14:paraId="2EB6214E"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Ayodeji, B., &amp; Samuel, A. (2024). Soil conservation benefits of mulching and effects on growth, yield and quality of tomato in a rainforest environment. </w:t>
      </w:r>
      <w:r w:rsidRPr="001302AD">
        <w:rPr>
          <w:rFonts w:ascii="Times New Roman" w:eastAsia="Calibri" w:hAnsi="Times New Roman" w:cs="Times New Roman"/>
          <w:i/>
          <w:iCs/>
          <w:sz w:val="20"/>
          <w:szCs w:val="20"/>
        </w:rPr>
        <w:t>Journal of Biotechnological Research</w:t>
      </w:r>
      <w:r w:rsidRPr="001302AD">
        <w:rPr>
          <w:rFonts w:ascii="Times New Roman" w:eastAsia="Calibri" w:hAnsi="Times New Roman" w:cs="Times New Roman"/>
          <w:iCs/>
          <w:sz w:val="20"/>
          <w:szCs w:val="20"/>
        </w:rPr>
        <w:t>: Online Science Publishing</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Cs/>
          <w:sz w:val="20"/>
          <w:szCs w:val="20"/>
        </w:rPr>
        <w:t>8</w:t>
      </w:r>
      <w:r w:rsidRPr="001302AD">
        <w:rPr>
          <w:rFonts w:ascii="Times New Roman" w:eastAsia="Calibri" w:hAnsi="Times New Roman" w:cs="Times New Roman"/>
          <w:sz w:val="20"/>
          <w:szCs w:val="20"/>
        </w:rPr>
        <w:t>(1), 1-21.</w:t>
      </w:r>
    </w:p>
    <w:p w14:paraId="1C288395"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Aziez, A. F., &amp; </w:t>
      </w:r>
      <w:proofErr w:type="spellStart"/>
      <w:r w:rsidRPr="001302AD">
        <w:rPr>
          <w:rFonts w:ascii="Times New Roman" w:eastAsia="Calibri" w:hAnsi="Times New Roman" w:cs="Times New Roman"/>
          <w:sz w:val="20"/>
          <w:szCs w:val="20"/>
        </w:rPr>
        <w:t>Prasetyo</w:t>
      </w:r>
      <w:proofErr w:type="spellEnd"/>
      <w:r w:rsidRPr="001302AD">
        <w:rPr>
          <w:rFonts w:ascii="Times New Roman" w:eastAsia="Calibri" w:hAnsi="Times New Roman" w:cs="Times New Roman"/>
          <w:sz w:val="20"/>
          <w:szCs w:val="20"/>
        </w:rPr>
        <w:t xml:space="preserve">, A. (2022). The effect of drought stress on the growth and yield of soybean (Glycine max L.). </w:t>
      </w:r>
      <w:r w:rsidRPr="001302AD">
        <w:rPr>
          <w:rFonts w:ascii="Times New Roman" w:eastAsia="Calibri" w:hAnsi="Times New Roman" w:cs="Times New Roman"/>
          <w:i/>
          <w:iCs/>
          <w:sz w:val="20"/>
          <w:szCs w:val="20"/>
        </w:rPr>
        <w:t>Applied Ecology &amp; Environmental Research</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Cs/>
          <w:sz w:val="20"/>
          <w:szCs w:val="20"/>
        </w:rPr>
        <w:t>20</w:t>
      </w:r>
      <w:r w:rsidRPr="001302AD">
        <w:rPr>
          <w:rFonts w:ascii="Times New Roman" w:eastAsia="Calibri" w:hAnsi="Times New Roman" w:cs="Times New Roman"/>
          <w:sz w:val="20"/>
          <w:szCs w:val="20"/>
        </w:rPr>
        <w:t>(4).</w:t>
      </w:r>
    </w:p>
    <w:p w14:paraId="594CA13A"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Central Statistical Agency (CSA). (2020). Agricultural production statistics. Central Statistical Agency of Ethiopia.</w:t>
      </w:r>
    </w:p>
    <w:p w14:paraId="6BD20D74"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proofErr w:type="spellStart"/>
      <w:r w:rsidRPr="001302AD">
        <w:rPr>
          <w:rFonts w:ascii="Times New Roman" w:eastAsia="Calibri" w:hAnsi="Times New Roman" w:cs="Times New Roman"/>
          <w:sz w:val="20"/>
          <w:szCs w:val="20"/>
        </w:rPr>
        <w:t>Cimmyt</w:t>
      </w:r>
      <w:proofErr w:type="spellEnd"/>
      <w:r w:rsidRPr="001302AD">
        <w:rPr>
          <w:rFonts w:ascii="Times New Roman" w:eastAsia="Calibri" w:hAnsi="Times New Roman" w:cs="Times New Roman"/>
          <w:sz w:val="20"/>
          <w:szCs w:val="20"/>
        </w:rPr>
        <w:t xml:space="preserve">, M., &amp; </w:t>
      </w:r>
      <w:proofErr w:type="spellStart"/>
      <w:r w:rsidRPr="001302AD">
        <w:rPr>
          <w:rFonts w:ascii="Times New Roman" w:eastAsia="Calibri" w:hAnsi="Times New Roman" w:cs="Times New Roman"/>
          <w:sz w:val="20"/>
          <w:szCs w:val="20"/>
        </w:rPr>
        <w:t>Cimmyt</w:t>
      </w:r>
      <w:proofErr w:type="spellEnd"/>
      <w:r w:rsidRPr="001302AD">
        <w:rPr>
          <w:rFonts w:ascii="Times New Roman" w:eastAsia="Calibri" w:hAnsi="Times New Roman" w:cs="Times New Roman"/>
          <w:sz w:val="20"/>
          <w:szCs w:val="20"/>
        </w:rPr>
        <w:t>, M. (1988). From agronomic data to farmer recommendations: An economics training manual. CIMMYT.</w:t>
      </w:r>
    </w:p>
    <w:p w14:paraId="745AFDBE"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El-</w:t>
      </w:r>
      <w:proofErr w:type="spellStart"/>
      <w:r w:rsidRPr="001302AD">
        <w:rPr>
          <w:rFonts w:ascii="Times New Roman" w:eastAsia="Calibri" w:hAnsi="Times New Roman" w:cs="Times New Roman"/>
          <w:sz w:val="20"/>
          <w:szCs w:val="20"/>
        </w:rPr>
        <w:t>Beltagi</w:t>
      </w:r>
      <w:proofErr w:type="spellEnd"/>
      <w:r w:rsidRPr="001302AD">
        <w:rPr>
          <w:rFonts w:ascii="Times New Roman" w:eastAsia="Calibri" w:hAnsi="Times New Roman" w:cs="Times New Roman"/>
          <w:sz w:val="20"/>
          <w:szCs w:val="20"/>
        </w:rPr>
        <w:t xml:space="preserve">, H. S., Basit, A., Mohamed, H. I., Ali, I., Ullah, S., Kamel, E. A. R., Shalaby, T. A., Ramadan, K. M. A., &amp; Alsharif, K. F. (2022). Mulching as a sustainable water and soil saving practice in agriculture: A review. </w:t>
      </w:r>
      <w:r w:rsidRPr="001302AD">
        <w:rPr>
          <w:rFonts w:ascii="Times New Roman" w:eastAsia="Calibri" w:hAnsi="Times New Roman" w:cs="Times New Roman"/>
          <w:i/>
          <w:sz w:val="20"/>
          <w:szCs w:val="20"/>
        </w:rPr>
        <w:t>Agronomy</w:t>
      </w:r>
      <w:r w:rsidRPr="001302AD">
        <w:rPr>
          <w:rFonts w:ascii="Times New Roman" w:eastAsia="Calibri" w:hAnsi="Times New Roman" w:cs="Times New Roman"/>
          <w:sz w:val="20"/>
          <w:szCs w:val="20"/>
        </w:rPr>
        <w:t>, 12(8), 1881.</w:t>
      </w:r>
    </w:p>
    <w:p w14:paraId="61C563B9"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proofErr w:type="spellStart"/>
      <w:r w:rsidRPr="001302AD">
        <w:rPr>
          <w:rFonts w:ascii="Times New Roman" w:eastAsia="Calibri" w:hAnsi="Times New Roman" w:cs="Times New Roman"/>
          <w:sz w:val="20"/>
          <w:szCs w:val="20"/>
        </w:rPr>
        <w:t>Fao</w:t>
      </w:r>
      <w:proofErr w:type="spellEnd"/>
      <w:r w:rsidRPr="001302AD">
        <w:rPr>
          <w:rFonts w:ascii="Times New Roman" w:eastAsia="Calibri" w:hAnsi="Times New Roman" w:cs="Times New Roman"/>
          <w:sz w:val="20"/>
          <w:szCs w:val="20"/>
        </w:rPr>
        <w:t xml:space="preserve">, F.A.O.S.T.A.T. (2018). Food and agriculture organization of the United Nations. Rome, URL: http://faostat. </w:t>
      </w:r>
      <w:proofErr w:type="spellStart"/>
      <w:r w:rsidRPr="001302AD">
        <w:rPr>
          <w:rFonts w:ascii="Times New Roman" w:eastAsia="Calibri" w:hAnsi="Times New Roman" w:cs="Times New Roman"/>
          <w:sz w:val="20"/>
          <w:szCs w:val="20"/>
        </w:rPr>
        <w:t>fao</w:t>
      </w:r>
      <w:proofErr w:type="spellEnd"/>
      <w:r w:rsidRPr="001302AD">
        <w:rPr>
          <w:rFonts w:ascii="Times New Roman" w:eastAsia="Calibri" w:hAnsi="Times New Roman" w:cs="Times New Roman"/>
          <w:sz w:val="20"/>
          <w:szCs w:val="20"/>
        </w:rPr>
        <w:t>. org, 403.</w:t>
      </w:r>
    </w:p>
    <w:p w14:paraId="6C8F9A3A"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Gajić, B., Kresović, B., </w:t>
      </w:r>
      <w:proofErr w:type="spellStart"/>
      <w:r w:rsidRPr="001302AD">
        <w:rPr>
          <w:rFonts w:ascii="Times New Roman" w:eastAsia="Calibri" w:hAnsi="Times New Roman" w:cs="Times New Roman"/>
          <w:sz w:val="20"/>
          <w:szCs w:val="20"/>
        </w:rPr>
        <w:t>Tapanarova</w:t>
      </w:r>
      <w:proofErr w:type="spellEnd"/>
      <w:r w:rsidRPr="001302AD">
        <w:rPr>
          <w:rFonts w:ascii="Times New Roman" w:eastAsia="Calibri" w:hAnsi="Times New Roman" w:cs="Times New Roman"/>
          <w:sz w:val="20"/>
          <w:szCs w:val="20"/>
        </w:rPr>
        <w:t xml:space="preserve">, A., Životić, L., &amp; Todorović, M. (2018). Effect of irrigation regime on yield, harvest index and water productivity of soybean grown under different precipitation conditions in a temperate environment. </w:t>
      </w:r>
      <w:r w:rsidRPr="001302AD">
        <w:rPr>
          <w:rFonts w:ascii="Times New Roman" w:eastAsia="Calibri" w:hAnsi="Times New Roman" w:cs="Times New Roman"/>
          <w:i/>
          <w:iCs/>
          <w:sz w:val="20"/>
          <w:szCs w:val="20"/>
        </w:rPr>
        <w:t>Agricultural water management</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Cs/>
          <w:sz w:val="20"/>
          <w:szCs w:val="20"/>
        </w:rPr>
        <w:t>210</w:t>
      </w:r>
      <w:r w:rsidRPr="001302AD">
        <w:rPr>
          <w:rFonts w:ascii="Times New Roman" w:eastAsia="Calibri" w:hAnsi="Times New Roman" w:cs="Times New Roman"/>
          <w:sz w:val="20"/>
          <w:szCs w:val="20"/>
        </w:rPr>
        <w:t>, 224-231.</w:t>
      </w:r>
    </w:p>
    <w:p w14:paraId="5C1CA418" w14:textId="77777777" w:rsidR="00436887"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Gomez, K. A., &amp; Gomez, A. A. (1984). </w:t>
      </w:r>
      <w:r w:rsidRPr="001302AD">
        <w:rPr>
          <w:rFonts w:ascii="Times New Roman" w:eastAsia="Calibri" w:hAnsi="Times New Roman" w:cs="Times New Roman"/>
          <w:iCs/>
          <w:sz w:val="20"/>
          <w:szCs w:val="20"/>
        </w:rPr>
        <w:t>Statistical procedures for agricultural research</w:t>
      </w:r>
      <w:r w:rsidRPr="001302AD">
        <w:rPr>
          <w:rFonts w:ascii="Times New Roman" w:eastAsia="Calibri" w:hAnsi="Times New Roman" w:cs="Times New Roman"/>
          <w:sz w:val="20"/>
          <w:szCs w:val="20"/>
        </w:rPr>
        <w:t xml:space="preserve">. John </w:t>
      </w:r>
      <w:proofErr w:type="spellStart"/>
      <w:r w:rsidRPr="001302AD">
        <w:rPr>
          <w:rFonts w:ascii="Times New Roman" w:eastAsia="Calibri" w:hAnsi="Times New Roman" w:cs="Times New Roman"/>
          <w:sz w:val="20"/>
          <w:szCs w:val="20"/>
        </w:rPr>
        <w:t>wiley</w:t>
      </w:r>
      <w:proofErr w:type="spellEnd"/>
      <w:r w:rsidRPr="001302AD">
        <w:rPr>
          <w:rFonts w:ascii="Times New Roman" w:eastAsia="Calibri" w:hAnsi="Times New Roman" w:cs="Times New Roman"/>
          <w:sz w:val="20"/>
          <w:szCs w:val="20"/>
        </w:rPr>
        <w:t xml:space="preserve"> &amp; sons.</w:t>
      </w:r>
    </w:p>
    <w:p w14:paraId="7553DADB" w14:textId="083B82A3" w:rsidR="00F613A8" w:rsidRPr="001302AD" w:rsidRDefault="00F613A8" w:rsidP="0007302A">
      <w:pPr>
        <w:spacing w:line="240" w:lineRule="auto"/>
        <w:ind w:left="1080" w:hanging="720"/>
        <w:contextualSpacing/>
        <w:jc w:val="both"/>
        <w:rPr>
          <w:rFonts w:ascii="Times New Roman" w:eastAsia="Calibri" w:hAnsi="Times New Roman" w:cs="Times New Roman"/>
          <w:sz w:val="20"/>
          <w:szCs w:val="20"/>
        </w:rPr>
      </w:pPr>
      <w:r w:rsidRPr="00554A81">
        <w:rPr>
          <w:rFonts w:ascii="Times New Roman" w:eastAsia="Calibri" w:hAnsi="Times New Roman" w:cs="Times New Roman"/>
          <w:sz w:val="20"/>
          <w:szCs w:val="20"/>
          <w:highlight w:val="yellow"/>
        </w:rPr>
        <w:t>Hailu Demo, A., and Bogale, G. A. (2024). Enhancing crop yield and conserving soil moisture through mulching in dryland agriculture. Frontiers in Agronomy, 6, Article 1361697, 1–15. https://doi.org/10.3389/fagro.2024.1361697</w:t>
      </w:r>
    </w:p>
    <w:p w14:paraId="51D024D4"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Hazelton, P., &amp; Murphy, B. (2025). </w:t>
      </w:r>
      <w:r w:rsidRPr="001302AD">
        <w:rPr>
          <w:rFonts w:ascii="Times New Roman" w:eastAsia="Calibri" w:hAnsi="Times New Roman" w:cs="Times New Roman"/>
          <w:iCs/>
          <w:sz w:val="20"/>
          <w:szCs w:val="20"/>
        </w:rPr>
        <w:t>Interpreting soil test results: What do all the numbers mean.</w:t>
      </w:r>
      <w:r w:rsidRPr="001302AD">
        <w:rPr>
          <w:rFonts w:ascii="Times New Roman" w:eastAsia="Calibri" w:hAnsi="Times New Roman" w:cs="Times New Roman"/>
          <w:sz w:val="20"/>
          <w:szCs w:val="20"/>
        </w:rPr>
        <w:t xml:space="preserve"> CSIRO publishing.</w:t>
      </w:r>
    </w:p>
    <w:p w14:paraId="3921B960"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Johnson, L.A., White, P.J., &amp; Galloway, R. eds. (2015). Soybeans: chemistry, production, processing, and utilization. Elsevier.</w:t>
      </w:r>
    </w:p>
    <w:p w14:paraId="5DD161FA"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proofErr w:type="spellStart"/>
      <w:r w:rsidRPr="001302AD">
        <w:rPr>
          <w:rFonts w:ascii="Times New Roman" w:eastAsia="Calibri" w:hAnsi="Times New Roman" w:cs="Times New Roman"/>
          <w:sz w:val="20"/>
          <w:szCs w:val="20"/>
        </w:rPr>
        <w:t>Jumrani</w:t>
      </w:r>
      <w:proofErr w:type="spellEnd"/>
      <w:r w:rsidRPr="001302AD">
        <w:rPr>
          <w:rFonts w:ascii="Times New Roman" w:eastAsia="Calibri" w:hAnsi="Times New Roman" w:cs="Times New Roman"/>
          <w:sz w:val="20"/>
          <w:szCs w:val="20"/>
        </w:rPr>
        <w:t xml:space="preserve">, K., &amp; Bhatia, A. (2018). Impact of Extreme Temperature and Soil Water Stress on the Growth and Yield of Soybean (Glycine max (L.) Merrill). </w:t>
      </w:r>
      <w:r w:rsidRPr="001302AD">
        <w:rPr>
          <w:rFonts w:ascii="Times New Roman" w:eastAsia="Calibri" w:hAnsi="Times New Roman" w:cs="Times New Roman"/>
          <w:i/>
          <w:sz w:val="20"/>
          <w:szCs w:val="20"/>
        </w:rPr>
        <w:t>Agriculture</w:t>
      </w:r>
      <w:r w:rsidRPr="001302AD">
        <w:rPr>
          <w:rFonts w:ascii="Times New Roman" w:eastAsia="Calibri" w:hAnsi="Times New Roman" w:cs="Times New Roman"/>
          <w:sz w:val="20"/>
          <w:szCs w:val="20"/>
        </w:rPr>
        <w:t>, 12(1), 43.</w:t>
      </w:r>
    </w:p>
    <w:p w14:paraId="44A8A650"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Kader, M. A., Singha, A., Begum, M. A., Jewel, A., Khan, F. H., &amp; Khan, N. I. (2019). Mulching as water-saving technique in dryland agriculture. </w:t>
      </w:r>
      <w:r w:rsidRPr="001302AD">
        <w:rPr>
          <w:rFonts w:ascii="Times New Roman" w:eastAsia="Calibri" w:hAnsi="Times New Roman" w:cs="Times New Roman"/>
          <w:i/>
          <w:iCs/>
          <w:sz w:val="20"/>
          <w:szCs w:val="20"/>
        </w:rPr>
        <w:t>Bulletin of the National Research Centre</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Cs/>
          <w:sz w:val="20"/>
          <w:szCs w:val="20"/>
        </w:rPr>
        <w:t>43</w:t>
      </w:r>
      <w:r w:rsidRPr="001302AD">
        <w:rPr>
          <w:rFonts w:ascii="Times New Roman" w:eastAsia="Calibri" w:hAnsi="Times New Roman" w:cs="Times New Roman"/>
          <w:sz w:val="20"/>
          <w:szCs w:val="20"/>
        </w:rPr>
        <w:t>(1), 147.</w:t>
      </w:r>
    </w:p>
    <w:p w14:paraId="15011385"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Kumari, S., Singh, R., &amp; Kumar, A. (2020). Nutritional importance and economic potential of soybean (Glycine max (L.) Merrill). </w:t>
      </w:r>
      <w:r w:rsidRPr="001302AD">
        <w:rPr>
          <w:rFonts w:ascii="Times New Roman" w:eastAsia="Calibri" w:hAnsi="Times New Roman" w:cs="Times New Roman"/>
          <w:i/>
          <w:sz w:val="20"/>
          <w:szCs w:val="20"/>
        </w:rPr>
        <w:t>Indian Journal of Agricultural Research</w:t>
      </w:r>
      <w:r w:rsidRPr="001302AD">
        <w:rPr>
          <w:rFonts w:ascii="Times New Roman" w:eastAsia="Calibri" w:hAnsi="Times New Roman" w:cs="Times New Roman"/>
          <w:sz w:val="20"/>
          <w:szCs w:val="20"/>
        </w:rPr>
        <w:t>, 56(4), 385–392.</w:t>
      </w:r>
    </w:p>
    <w:p w14:paraId="6556A197"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Lenga, F., </w:t>
      </w:r>
      <w:proofErr w:type="spellStart"/>
      <w:r w:rsidRPr="001302AD">
        <w:rPr>
          <w:rFonts w:ascii="Times New Roman" w:eastAsia="Calibri" w:hAnsi="Times New Roman" w:cs="Times New Roman"/>
          <w:sz w:val="20"/>
          <w:szCs w:val="20"/>
        </w:rPr>
        <w:t>Gicheha</w:t>
      </w:r>
      <w:proofErr w:type="spellEnd"/>
      <w:r w:rsidRPr="001302AD">
        <w:rPr>
          <w:rFonts w:ascii="Times New Roman" w:eastAsia="Calibri" w:hAnsi="Times New Roman" w:cs="Times New Roman"/>
          <w:sz w:val="20"/>
          <w:szCs w:val="20"/>
        </w:rPr>
        <w:t xml:space="preserve">, M., &amp; Ndegwa, G. (2024). Effect of tillage, mulching, herbicide application, intercropping and agroforestry on soil moisture maize yield and rainwater use efficiency in semi-arid Kenya: A case study of Laikipia East. </w:t>
      </w:r>
      <w:r w:rsidRPr="001302AD">
        <w:rPr>
          <w:rFonts w:ascii="Times New Roman" w:eastAsia="Calibri" w:hAnsi="Times New Roman" w:cs="Times New Roman"/>
          <w:i/>
          <w:iCs/>
          <w:sz w:val="20"/>
          <w:szCs w:val="20"/>
        </w:rPr>
        <w:t>Journal of Agriculture</w:t>
      </w:r>
      <w:r w:rsidRPr="001302AD">
        <w:rPr>
          <w:rFonts w:ascii="Times New Roman" w:eastAsia="Calibri" w:hAnsi="Times New Roman" w:cs="Times New Roman"/>
          <w:iCs/>
          <w:sz w:val="20"/>
          <w:szCs w:val="20"/>
        </w:rPr>
        <w:t>, Science and Technology</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Cs/>
          <w:sz w:val="20"/>
          <w:szCs w:val="20"/>
        </w:rPr>
        <w:t>23</w:t>
      </w:r>
      <w:r w:rsidRPr="001302AD">
        <w:rPr>
          <w:rFonts w:ascii="Times New Roman" w:eastAsia="Calibri" w:hAnsi="Times New Roman" w:cs="Times New Roman"/>
          <w:sz w:val="20"/>
          <w:szCs w:val="20"/>
        </w:rPr>
        <w:t>(1 (1)), 26-62.</w:t>
      </w:r>
    </w:p>
    <w:p w14:paraId="47821A9C"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Mishra, R., Tripathi, M. K., Sikarwar, R. S., Singh, Y., &amp; Tripathi, N. (2024). Soybean (Glycine max L. Merrill): A multipurpose legume shaping our world. </w:t>
      </w:r>
      <w:r w:rsidRPr="001302AD">
        <w:rPr>
          <w:rFonts w:ascii="Times New Roman" w:eastAsia="Calibri" w:hAnsi="Times New Roman" w:cs="Times New Roman"/>
          <w:i/>
          <w:iCs/>
          <w:sz w:val="20"/>
          <w:szCs w:val="20"/>
        </w:rPr>
        <w:t xml:space="preserve">Plant Cell </w:t>
      </w:r>
      <w:proofErr w:type="spellStart"/>
      <w:r w:rsidRPr="001302AD">
        <w:rPr>
          <w:rFonts w:ascii="Times New Roman" w:eastAsia="Calibri" w:hAnsi="Times New Roman" w:cs="Times New Roman"/>
          <w:i/>
          <w:iCs/>
          <w:sz w:val="20"/>
          <w:szCs w:val="20"/>
        </w:rPr>
        <w:t>Biotechnol</w:t>
      </w:r>
      <w:proofErr w:type="spellEnd"/>
      <w:r w:rsidRPr="001302AD">
        <w:rPr>
          <w:rFonts w:ascii="Times New Roman" w:eastAsia="Calibri" w:hAnsi="Times New Roman" w:cs="Times New Roman"/>
          <w:iCs/>
          <w:sz w:val="20"/>
          <w:szCs w:val="20"/>
        </w:rPr>
        <w:t>. Mol. Biol</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Cs/>
          <w:sz w:val="20"/>
          <w:szCs w:val="20"/>
        </w:rPr>
        <w:t>25</w:t>
      </w:r>
      <w:r w:rsidRPr="001302AD">
        <w:rPr>
          <w:rFonts w:ascii="Times New Roman" w:eastAsia="Calibri" w:hAnsi="Times New Roman" w:cs="Times New Roman"/>
          <w:sz w:val="20"/>
          <w:szCs w:val="20"/>
        </w:rPr>
        <w:t>(3-4), 17-37.</w:t>
      </w:r>
    </w:p>
    <w:p w14:paraId="6543BD11" w14:textId="77777777" w:rsidR="00436887" w:rsidRPr="001302AD" w:rsidRDefault="00436887" w:rsidP="0007302A">
      <w:pPr>
        <w:spacing w:line="240" w:lineRule="auto"/>
        <w:ind w:left="1080" w:hanging="720"/>
        <w:contextualSpacing/>
        <w:jc w:val="both"/>
        <w:rPr>
          <w:rFonts w:ascii="Times New Roman" w:hAnsi="Times New Roman" w:cs="Times New Roman"/>
          <w:sz w:val="20"/>
          <w:szCs w:val="20"/>
        </w:rPr>
      </w:pPr>
      <w:r w:rsidRPr="001302AD">
        <w:rPr>
          <w:rFonts w:ascii="Times New Roman" w:eastAsia="Calibri" w:hAnsi="Times New Roman" w:cs="Times New Roman"/>
          <w:sz w:val="20"/>
          <w:szCs w:val="20"/>
        </w:rPr>
        <w:t xml:space="preserve">Ramos, T. B., Darouich, H., &amp; Pereira, L. S. (2024). Mulching effects on soil evaporation, crop evapotranspiration and crop coefficients: A review aimed at improved irrigation management. </w:t>
      </w:r>
      <w:r w:rsidRPr="001302AD">
        <w:rPr>
          <w:rFonts w:ascii="Times New Roman" w:eastAsia="Calibri" w:hAnsi="Times New Roman" w:cs="Times New Roman"/>
          <w:i/>
          <w:iCs/>
          <w:sz w:val="20"/>
          <w:szCs w:val="20"/>
        </w:rPr>
        <w:t>Irrigation Science</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Cs/>
          <w:sz w:val="20"/>
          <w:szCs w:val="20"/>
        </w:rPr>
        <w:t>42</w:t>
      </w:r>
      <w:r w:rsidRPr="001302AD">
        <w:rPr>
          <w:rFonts w:ascii="Times New Roman" w:eastAsia="Calibri" w:hAnsi="Times New Roman" w:cs="Times New Roman"/>
          <w:sz w:val="20"/>
          <w:szCs w:val="20"/>
        </w:rPr>
        <w:t>(3), 525-539.</w:t>
      </w:r>
    </w:p>
    <w:p w14:paraId="72B932AE"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lastRenderedPageBreak/>
        <w:t xml:space="preserve">Selvakumar, S., &amp; Sivakumar, K. (2021). Conservation Agriculture: A Way for Soil Water Conservation. Agricultural reviews, 42(4).Kumagai, E., &amp; Sameshima, R. (2014). Genotypic differences in soybean yield responses to increasing temperature and drought stress during the reproductive stage. </w:t>
      </w:r>
      <w:r w:rsidRPr="001302AD">
        <w:rPr>
          <w:rFonts w:ascii="Times New Roman" w:eastAsia="Calibri" w:hAnsi="Times New Roman" w:cs="Times New Roman"/>
          <w:i/>
          <w:sz w:val="20"/>
          <w:szCs w:val="20"/>
        </w:rPr>
        <w:t>Plant Production Science</w:t>
      </w:r>
      <w:r w:rsidRPr="001302AD">
        <w:rPr>
          <w:rFonts w:ascii="Times New Roman" w:eastAsia="Calibri" w:hAnsi="Times New Roman" w:cs="Times New Roman"/>
          <w:sz w:val="20"/>
          <w:szCs w:val="20"/>
        </w:rPr>
        <w:t xml:space="preserve">, 17(2), 141–151. </w:t>
      </w:r>
      <w:hyperlink r:id="rId17" w:history="1">
        <w:r w:rsidRPr="001302AD">
          <w:rPr>
            <w:rFonts w:ascii="Times New Roman" w:eastAsia="Calibri" w:hAnsi="Times New Roman" w:cs="Times New Roman"/>
            <w:sz w:val="20"/>
            <w:szCs w:val="20"/>
            <w:shd w:val="clear" w:color="auto" w:fill="FFFFFF" w:themeFill="background1"/>
          </w:rPr>
          <w:t>https://doi.org/10.1626/pps.17.141</w:t>
        </w:r>
      </w:hyperlink>
      <w:r w:rsidRPr="001302AD">
        <w:rPr>
          <w:rFonts w:ascii="Times New Roman" w:eastAsia="Calibri" w:hAnsi="Times New Roman" w:cs="Times New Roman"/>
          <w:sz w:val="20"/>
          <w:szCs w:val="20"/>
        </w:rPr>
        <w:t>.</w:t>
      </w:r>
    </w:p>
    <w:p w14:paraId="45DA2091"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Singh, S. K., Barnaby, J. Y., Reddy, V. R., &amp; Sicher, R. C. (2016). Varying response of the concentration and yield of soybean seed mineral elements, carbohydrates, organic acids, amino acids, protein, and oil to phosphorus starvation and CO2 enrichment. </w:t>
      </w:r>
      <w:r w:rsidRPr="001302AD">
        <w:rPr>
          <w:rFonts w:ascii="Times New Roman" w:eastAsia="Calibri" w:hAnsi="Times New Roman" w:cs="Times New Roman"/>
          <w:i/>
          <w:iCs/>
          <w:sz w:val="20"/>
          <w:szCs w:val="20"/>
        </w:rPr>
        <w:t>Frontiers in Plant Science</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Cs/>
          <w:sz w:val="20"/>
          <w:szCs w:val="20"/>
        </w:rPr>
        <w:t>7</w:t>
      </w:r>
      <w:r w:rsidRPr="001302AD">
        <w:rPr>
          <w:rFonts w:ascii="Times New Roman" w:eastAsia="Calibri" w:hAnsi="Times New Roman" w:cs="Times New Roman"/>
          <w:sz w:val="20"/>
          <w:szCs w:val="20"/>
        </w:rPr>
        <w:t>, 1967.</w:t>
      </w:r>
    </w:p>
    <w:p w14:paraId="5C202F1E"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Tadesse, M., Asefa, A., Admasu, R., &amp; Tilahun, E. (2024). Optimization of deficit irrigation level and phosphorus fertilizer rate for soybean production in Jimma, Southwest Ethiopia. </w:t>
      </w:r>
      <w:r w:rsidRPr="001302AD">
        <w:rPr>
          <w:rFonts w:ascii="Times New Roman" w:eastAsia="Calibri" w:hAnsi="Times New Roman" w:cs="Times New Roman"/>
          <w:i/>
          <w:sz w:val="20"/>
          <w:szCs w:val="20"/>
        </w:rPr>
        <w:t>Agricultural Water Management</w:t>
      </w:r>
      <w:r w:rsidRPr="001302AD">
        <w:rPr>
          <w:rFonts w:ascii="Times New Roman" w:eastAsia="Calibri" w:hAnsi="Times New Roman" w:cs="Times New Roman"/>
          <w:sz w:val="20"/>
          <w:szCs w:val="20"/>
        </w:rPr>
        <w:t>, 306, 109189.</w:t>
      </w:r>
    </w:p>
    <w:p w14:paraId="59BC86EF"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Taye, T., Bekele, N., &amp; </w:t>
      </w:r>
      <w:proofErr w:type="spellStart"/>
      <w:r w:rsidRPr="001302AD">
        <w:rPr>
          <w:rFonts w:ascii="Times New Roman" w:eastAsia="Calibri" w:hAnsi="Times New Roman" w:cs="Times New Roman"/>
          <w:sz w:val="20"/>
          <w:szCs w:val="20"/>
        </w:rPr>
        <w:t>Shimalis</w:t>
      </w:r>
      <w:proofErr w:type="spellEnd"/>
      <w:r w:rsidRPr="001302AD">
        <w:rPr>
          <w:rFonts w:ascii="Times New Roman" w:eastAsia="Calibri" w:hAnsi="Times New Roman" w:cs="Times New Roman"/>
          <w:sz w:val="20"/>
          <w:szCs w:val="20"/>
        </w:rPr>
        <w:t xml:space="preserve">, Y. (2015). Response of maize to inter-row mulch application at different growth stages for small-scale agro-pastoralists. </w:t>
      </w:r>
      <w:r w:rsidRPr="001302AD">
        <w:rPr>
          <w:rFonts w:ascii="Times New Roman" w:eastAsia="Calibri" w:hAnsi="Times New Roman" w:cs="Times New Roman"/>
          <w:i/>
          <w:sz w:val="20"/>
          <w:szCs w:val="20"/>
        </w:rPr>
        <w:t>Global Journal of Food Science and Technology</w:t>
      </w:r>
      <w:r w:rsidRPr="001302AD">
        <w:rPr>
          <w:rFonts w:ascii="Times New Roman" w:eastAsia="Calibri" w:hAnsi="Times New Roman" w:cs="Times New Roman"/>
          <w:sz w:val="20"/>
          <w:szCs w:val="20"/>
        </w:rPr>
        <w:t>, 3(7), 204–206.</w:t>
      </w:r>
    </w:p>
    <w:p w14:paraId="30917463"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proofErr w:type="spellStart"/>
      <w:r w:rsidRPr="001302AD">
        <w:rPr>
          <w:rFonts w:ascii="Times New Roman" w:eastAsia="Calibri" w:hAnsi="Times New Roman" w:cs="Times New Roman"/>
          <w:sz w:val="20"/>
          <w:szCs w:val="20"/>
        </w:rPr>
        <w:t>Teame</w:t>
      </w:r>
      <w:proofErr w:type="spellEnd"/>
      <w:r w:rsidRPr="001302AD">
        <w:rPr>
          <w:rFonts w:ascii="Times New Roman" w:eastAsia="Calibri" w:hAnsi="Times New Roman" w:cs="Times New Roman"/>
          <w:sz w:val="20"/>
          <w:szCs w:val="20"/>
        </w:rPr>
        <w:t xml:space="preserve">, G., Tsegay, A., &amp; Abrha, B. (2017). Effect of organic mulching on soil moisture, yield, and yield contributing components of sesame (Sesamum indicum L.). </w:t>
      </w:r>
      <w:r w:rsidRPr="001302AD">
        <w:rPr>
          <w:rFonts w:ascii="Times New Roman" w:eastAsia="Calibri" w:hAnsi="Times New Roman" w:cs="Times New Roman"/>
          <w:i/>
          <w:sz w:val="20"/>
          <w:szCs w:val="20"/>
        </w:rPr>
        <w:t>International journal of agronomy</w:t>
      </w:r>
      <w:r w:rsidRPr="001302AD">
        <w:rPr>
          <w:rFonts w:ascii="Times New Roman" w:eastAsia="Calibri" w:hAnsi="Times New Roman" w:cs="Times New Roman"/>
          <w:sz w:val="20"/>
          <w:szCs w:val="20"/>
        </w:rPr>
        <w:t>, 2017(1), p.4767509.</w:t>
      </w:r>
    </w:p>
    <w:p w14:paraId="572AD394"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proofErr w:type="spellStart"/>
      <w:r w:rsidRPr="001302AD">
        <w:rPr>
          <w:rFonts w:ascii="Times New Roman" w:eastAsia="Calibri" w:hAnsi="Times New Roman" w:cs="Times New Roman"/>
          <w:sz w:val="20"/>
          <w:szCs w:val="20"/>
        </w:rPr>
        <w:t>Vennam</w:t>
      </w:r>
      <w:proofErr w:type="spellEnd"/>
      <w:r w:rsidRPr="001302AD">
        <w:rPr>
          <w:rFonts w:ascii="Times New Roman" w:eastAsia="Calibri" w:hAnsi="Times New Roman" w:cs="Times New Roman"/>
          <w:sz w:val="20"/>
          <w:szCs w:val="20"/>
        </w:rPr>
        <w:t xml:space="preserve">, R. R., Poudel, S., Ramamoorthy, P., </w:t>
      </w:r>
      <w:proofErr w:type="spellStart"/>
      <w:r w:rsidRPr="001302AD">
        <w:rPr>
          <w:rFonts w:ascii="Times New Roman" w:eastAsia="Calibri" w:hAnsi="Times New Roman" w:cs="Times New Roman"/>
          <w:sz w:val="20"/>
          <w:szCs w:val="20"/>
        </w:rPr>
        <w:t>Samiappan</w:t>
      </w:r>
      <w:proofErr w:type="spellEnd"/>
      <w:r w:rsidRPr="001302AD">
        <w:rPr>
          <w:rFonts w:ascii="Times New Roman" w:eastAsia="Calibri" w:hAnsi="Times New Roman" w:cs="Times New Roman"/>
          <w:sz w:val="20"/>
          <w:szCs w:val="20"/>
        </w:rPr>
        <w:t xml:space="preserve">, S., Reddy, K. R., &amp; </w:t>
      </w:r>
      <w:proofErr w:type="spellStart"/>
      <w:r w:rsidRPr="001302AD">
        <w:rPr>
          <w:rFonts w:ascii="Times New Roman" w:eastAsia="Calibri" w:hAnsi="Times New Roman" w:cs="Times New Roman"/>
          <w:sz w:val="20"/>
          <w:szCs w:val="20"/>
        </w:rPr>
        <w:t>Bheemanahalli</w:t>
      </w:r>
      <w:proofErr w:type="spellEnd"/>
      <w:r w:rsidRPr="001302AD">
        <w:rPr>
          <w:rFonts w:ascii="Times New Roman" w:eastAsia="Calibri" w:hAnsi="Times New Roman" w:cs="Times New Roman"/>
          <w:sz w:val="20"/>
          <w:szCs w:val="20"/>
        </w:rPr>
        <w:t xml:space="preserve">, R. (2023). Impact of soil moisture stress during the silk emergence and grain‐filling in maize. </w:t>
      </w:r>
      <w:proofErr w:type="spellStart"/>
      <w:r w:rsidRPr="001302AD">
        <w:rPr>
          <w:rFonts w:ascii="Times New Roman" w:eastAsia="Calibri" w:hAnsi="Times New Roman" w:cs="Times New Roman"/>
          <w:i/>
          <w:sz w:val="20"/>
          <w:szCs w:val="20"/>
        </w:rPr>
        <w:t>Physiologia</w:t>
      </w:r>
      <w:proofErr w:type="spellEnd"/>
      <w:r w:rsidRPr="001302AD">
        <w:rPr>
          <w:rFonts w:ascii="Times New Roman" w:eastAsia="Calibri" w:hAnsi="Times New Roman" w:cs="Times New Roman"/>
          <w:i/>
          <w:sz w:val="20"/>
          <w:szCs w:val="20"/>
        </w:rPr>
        <w:t xml:space="preserve"> Plantarum</w:t>
      </w:r>
      <w:r w:rsidRPr="001302AD">
        <w:rPr>
          <w:rFonts w:ascii="Times New Roman" w:eastAsia="Calibri" w:hAnsi="Times New Roman" w:cs="Times New Roman"/>
          <w:sz w:val="20"/>
          <w:szCs w:val="20"/>
        </w:rPr>
        <w:t>, 175(5), e14029.</w:t>
      </w:r>
    </w:p>
    <w:p w14:paraId="2103B7E6"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Wahyuni, A. Dwi, </w:t>
      </w:r>
      <w:proofErr w:type="spellStart"/>
      <w:r w:rsidRPr="001302AD">
        <w:rPr>
          <w:rFonts w:ascii="Times New Roman" w:eastAsia="Calibri" w:hAnsi="Times New Roman" w:cs="Times New Roman"/>
          <w:sz w:val="20"/>
          <w:szCs w:val="20"/>
        </w:rPr>
        <w:t>Hastuti</w:t>
      </w:r>
      <w:proofErr w:type="spellEnd"/>
      <w:r w:rsidRPr="001302AD">
        <w:rPr>
          <w:rFonts w:ascii="Times New Roman" w:eastAsia="Calibri" w:hAnsi="Times New Roman" w:cs="Times New Roman"/>
          <w:sz w:val="20"/>
          <w:szCs w:val="20"/>
        </w:rPr>
        <w:t xml:space="preserve">, D., &amp; Laila, A. (2022). </w:t>
      </w:r>
      <w:r w:rsidRPr="001302AD">
        <w:rPr>
          <w:rFonts w:ascii="Times New Roman" w:eastAsia="Calibri" w:hAnsi="Times New Roman" w:cs="Times New Roman"/>
          <w:iCs/>
          <w:sz w:val="20"/>
          <w:szCs w:val="20"/>
        </w:rPr>
        <w:t xml:space="preserve">Effect of various types of organic mulch on growth and yield of soybean (Glycine max L. Merril) </w:t>
      </w:r>
      <w:proofErr w:type="spellStart"/>
      <w:r w:rsidRPr="001302AD">
        <w:rPr>
          <w:rFonts w:ascii="Times New Roman" w:eastAsia="Calibri" w:hAnsi="Times New Roman" w:cs="Times New Roman"/>
          <w:iCs/>
          <w:sz w:val="20"/>
          <w:szCs w:val="20"/>
        </w:rPr>
        <w:t>Anjasmoro</w:t>
      </w:r>
      <w:proofErr w:type="spellEnd"/>
      <w:r w:rsidRPr="001302AD">
        <w:rPr>
          <w:rFonts w:ascii="Times New Roman" w:eastAsia="Calibri" w:hAnsi="Times New Roman" w:cs="Times New Roman"/>
          <w:iCs/>
          <w:sz w:val="20"/>
          <w:szCs w:val="20"/>
        </w:rPr>
        <w:t xml:space="preserve"> variety.</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bCs/>
          <w:i/>
          <w:sz w:val="20"/>
          <w:szCs w:val="20"/>
        </w:rPr>
        <w:t>Journal of Environmental and Agricultural Studies</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bCs/>
          <w:sz w:val="20"/>
          <w:szCs w:val="20"/>
        </w:rPr>
        <w:t>3</w:t>
      </w:r>
      <w:r w:rsidRPr="001302AD">
        <w:rPr>
          <w:rFonts w:ascii="Times New Roman" w:eastAsia="Calibri" w:hAnsi="Times New Roman" w:cs="Times New Roman"/>
          <w:sz w:val="20"/>
          <w:szCs w:val="20"/>
        </w:rPr>
        <w:t>(3), 50–57.</w:t>
      </w:r>
    </w:p>
    <w:p w14:paraId="26B2B1F2"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proofErr w:type="spellStart"/>
      <w:r w:rsidRPr="001302AD">
        <w:rPr>
          <w:rFonts w:ascii="Times New Roman" w:eastAsia="Calibri" w:hAnsi="Times New Roman" w:cs="Times New Roman"/>
          <w:sz w:val="20"/>
          <w:szCs w:val="20"/>
        </w:rPr>
        <w:t>Wijewardana</w:t>
      </w:r>
      <w:proofErr w:type="spellEnd"/>
      <w:r w:rsidRPr="001302AD">
        <w:rPr>
          <w:rFonts w:ascii="Times New Roman" w:eastAsia="Calibri" w:hAnsi="Times New Roman" w:cs="Times New Roman"/>
          <w:sz w:val="20"/>
          <w:szCs w:val="20"/>
        </w:rPr>
        <w:t xml:space="preserve">, C., Reddy, K. R., </w:t>
      </w:r>
      <w:proofErr w:type="spellStart"/>
      <w:r w:rsidRPr="001302AD">
        <w:rPr>
          <w:rFonts w:ascii="Times New Roman" w:eastAsia="Calibri" w:hAnsi="Times New Roman" w:cs="Times New Roman"/>
          <w:sz w:val="20"/>
          <w:szCs w:val="20"/>
        </w:rPr>
        <w:t>Alsajri</w:t>
      </w:r>
      <w:proofErr w:type="spellEnd"/>
      <w:r w:rsidRPr="001302AD">
        <w:rPr>
          <w:rFonts w:ascii="Times New Roman" w:eastAsia="Calibri" w:hAnsi="Times New Roman" w:cs="Times New Roman"/>
          <w:sz w:val="20"/>
          <w:szCs w:val="20"/>
        </w:rPr>
        <w:t xml:space="preserve">, F. A., Irby, J. T., Krutz, J., &amp; Golden, B. (2018). Quantifying soil moisture deficit effects on soybean yield and yield component distribution patterns. </w:t>
      </w:r>
      <w:r w:rsidRPr="001302AD">
        <w:rPr>
          <w:rFonts w:ascii="Times New Roman" w:eastAsia="Calibri" w:hAnsi="Times New Roman" w:cs="Times New Roman"/>
          <w:i/>
          <w:sz w:val="20"/>
          <w:szCs w:val="20"/>
        </w:rPr>
        <w:t>Irrigation Science</w:t>
      </w:r>
      <w:r w:rsidRPr="001302AD">
        <w:rPr>
          <w:rFonts w:ascii="Times New Roman" w:eastAsia="Calibri" w:hAnsi="Times New Roman" w:cs="Times New Roman"/>
          <w:sz w:val="20"/>
          <w:szCs w:val="20"/>
        </w:rPr>
        <w:t>, 36(4), 241-255.</w:t>
      </w:r>
    </w:p>
    <w:p w14:paraId="30615E04"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Yang, Y., Zou, J., Huang, W., Olesen, J. E., Li, W., Rees, R. M., &amp; Yin, X. (2024). Drivers of soybean-based rotations synergistically increase crop productivity and reduce GHG emissions. </w:t>
      </w:r>
      <w:r w:rsidRPr="001302AD">
        <w:rPr>
          <w:rFonts w:ascii="Times New Roman" w:eastAsia="Calibri" w:hAnsi="Times New Roman" w:cs="Times New Roman"/>
          <w:i/>
          <w:iCs/>
          <w:sz w:val="20"/>
          <w:szCs w:val="20"/>
        </w:rPr>
        <w:t>Agriculture, Ecosystems &amp; Environment</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Cs/>
          <w:sz w:val="20"/>
          <w:szCs w:val="20"/>
        </w:rPr>
        <w:t>372</w:t>
      </w:r>
      <w:r w:rsidRPr="001302AD">
        <w:rPr>
          <w:rFonts w:ascii="Times New Roman" w:eastAsia="Calibri" w:hAnsi="Times New Roman" w:cs="Times New Roman"/>
          <w:sz w:val="20"/>
          <w:szCs w:val="20"/>
        </w:rPr>
        <w:t>, 109094.</w:t>
      </w:r>
    </w:p>
    <w:p w14:paraId="226095C6"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Zhang, X., Wang, K., Duan, C., Li, G., Zhen, Q., &amp; Zheng, J. (2023). Evaporation effect of infiltration hole and its comparison with mulching. </w:t>
      </w:r>
      <w:r w:rsidRPr="001302AD">
        <w:rPr>
          <w:rFonts w:ascii="Times New Roman" w:eastAsia="Calibri" w:hAnsi="Times New Roman" w:cs="Times New Roman"/>
          <w:i/>
          <w:iCs/>
          <w:sz w:val="20"/>
          <w:szCs w:val="20"/>
        </w:rPr>
        <w:t>Agricultural Water Management</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
          <w:iCs/>
          <w:sz w:val="20"/>
          <w:szCs w:val="20"/>
        </w:rPr>
        <w:t>275</w:t>
      </w:r>
      <w:r w:rsidRPr="001302AD">
        <w:rPr>
          <w:rFonts w:ascii="Times New Roman" w:eastAsia="Calibri" w:hAnsi="Times New Roman" w:cs="Times New Roman"/>
          <w:sz w:val="20"/>
          <w:szCs w:val="20"/>
        </w:rPr>
        <w:t>, 108049.</w:t>
      </w:r>
    </w:p>
    <w:p w14:paraId="6E5E89FE" w14:textId="77777777" w:rsidR="00436887" w:rsidRPr="001302AD" w:rsidRDefault="00436887" w:rsidP="00436887">
      <w:pPr>
        <w:spacing w:line="360" w:lineRule="auto"/>
        <w:jc w:val="both"/>
        <w:rPr>
          <w:rFonts w:ascii="Times New Roman" w:hAnsi="Times New Roman" w:cs="Times New Roman"/>
          <w:sz w:val="24"/>
          <w:szCs w:val="24"/>
        </w:rPr>
      </w:pPr>
      <w:r w:rsidRPr="001302AD">
        <w:rPr>
          <w:rFonts w:ascii="Times New Roman" w:hAnsi="Times New Roman" w:cs="Times New Roman"/>
          <w:sz w:val="24"/>
          <w:szCs w:val="24"/>
        </w:rPr>
        <w:t>.</w:t>
      </w:r>
    </w:p>
    <w:sectPr w:rsidR="00436887" w:rsidRPr="001302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DC6B2" w14:textId="77777777" w:rsidR="00C6792F" w:rsidRDefault="00C6792F" w:rsidP="00106A63">
      <w:pPr>
        <w:spacing w:after="0" w:line="240" w:lineRule="auto"/>
      </w:pPr>
      <w:r>
        <w:separator/>
      </w:r>
    </w:p>
  </w:endnote>
  <w:endnote w:type="continuationSeparator" w:id="0">
    <w:p w14:paraId="078610AD" w14:textId="77777777" w:rsidR="00C6792F" w:rsidRDefault="00C6792F" w:rsidP="00106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AdvP8585">
    <w:altName w:val="Yu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DA50D" w14:textId="77777777" w:rsidR="00C24C9C" w:rsidRDefault="00C24C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AC366" w14:textId="77777777" w:rsidR="00C24C9C" w:rsidRDefault="00C24C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46C9" w14:textId="77777777" w:rsidR="00C24C9C" w:rsidRDefault="00C24C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540B0" w14:textId="77777777" w:rsidR="00C6792F" w:rsidRDefault="00C6792F" w:rsidP="00106A63">
      <w:pPr>
        <w:spacing w:after="0" w:line="240" w:lineRule="auto"/>
      </w:pPr>
      <w:r>
        <w:separator/>
      </w:r>
    </w:p>
  </w:footnote>
  <w:footnote w:type="continuationSeparator" w:id="0">
    <w:p w14:paraId="684C21C2" w14:textId="77777777" w:rsidR="00C6792F" w:rsidRDefault="00C6792F" w:rsidP="00106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26302" w14:textId="156F67C2" w:rsidR="00C24C9C" w:rsidRDefault="00000000">
    <w:pPr>
      <w:pStyle w:val="Header"/>
    </w:pPr>
    <w:r>
      <w:rPr>
        <w:noProof/>
      </w:rPr>
      <w:pict w14:anchorId="2E7D3B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983344" o:spid="_x0000_s1026"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BC881" w14:textId="359074FD" w:rsidR="00C24C9C" w:rsidRDefault="00000000">
    <w:pPr>
      <w:pStyle w:val="Header"/>
    </w:pPr>
    <w:r>
      <w:rPr>
        <w:noProof/>
      </w:rPr>
      <w:pict w14:anchorId="2A1CFF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983345" o:spid="_x0000_s1027"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403BF" w14:textId="3A32C639" w:rsidR="00C24C9C" w:rsidRDefault="00000000">
    <w:pPr>
      <w:pStyle w:val="Header"/>
    </w:pPr>
    <w:r>
      <w:rPr>
        <w:noProof/>
      </w:rPr>
      <w:pict w14:anchorId="5AE910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983343" o:spid="_x0000_s1025"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2E47"/>
    <w:multiLevelType w:val="multilevel"/>
    <w:tmpl w:val="F86868FA"/>
    <w:lvl w:ilvl="0">
      <w:start w:val="1"/>
      <w:numFmt w:val="decimal"/>
      <w:lvlText w:val="%1."/>
      <w:lvlJc w:val="left"/>
      <w:pPr>
        <w:ind w:left="360" w:hanging="360"/>
      </w:pPr>
    </w:lvl>
    <w:lvl w:ilvl="1">
      <w:start w:val="6"/>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4543350"/>
    <w:multiLevelType w:val="hybridMultilevel"/>
    <w:tmpl w:val="7BD87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2E3650"/>
    <w:multiLevelType w:val="hybridMultilevel"/>
    <w:tmpl w:val="6A6AFEC2"/>
    <w:lvl w:ilvl="0" w:tplc="6184788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13CD6481"/>
    <w:multiLevelType w:val="hybridMultilevel"/>
    <w:tmpl w:val="BF00E4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BB94C9A"/>
    <w:multiLevelType w:val="hybridMultilevel"/>
    <w:tmpl w:val="AC585156"/>
    <w:lvl w:ilvl="0" w:tplc="EAB4AC9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F9431A"/>
    <w:multiLevelType w:val="multilevel"/>
    <w:tmpl w:val="EDD23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5E2FC7"/>
    <w:multiLevelType w:val="hybridMultilevel"/>
    <w:tmpl w:val="480ED2DC"/>
    <w:lvl w:ilvl="0" w:tplc="04090019">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55864C60"/>
    <w:multiLevelType w:val="hybridMultilevel"/>
    <w:tmpl w:val="A3A20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C0D31"/>
    <w:multiLevelType w:val="hybridMultilevel"/>
    <w:tmpl w:val="8CCE3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D63B54"/>
    <w:multiLevelType w:val="hybridMultilevel"/>
    <w:tmpl w:val="FE9EB04E"/>
    <w:lvl w:ilvl="0" w:tplc="8EE0C82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6262222F"/>
    <w:multiLevelType w:val="hybridMultilevel"/>
    <w:tmpl w:val="5678D0EE"/>
    <w:lvl w:ilvl="0" w:tplc="1C0AF18E">
      <w:start w:val="1"/>
      <w:numFmt w:val="upp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6AD83B25"/>
    <w:multiLevelType w:val="hybridMultilevel"/>
    <w:tmpl w:val="82D0D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78218">
    <w:abstractNumId w:val="5"/>
  </w:num>
  <w:num w:numId="2" w16cid:durableId="144247310">
    <w:abstractNumId w:val="0"/>
  </w:num>
  <w:num w:numId="3" w16cid:durableId="800612784">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9987348">
    <w:abstractNumId w:val="3"/>
  </w:num>
  <w:num w:numId="5" w16cid:durableId="1438142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1825391">
    <w:abstractNumId w:val="10"/>
  </w:num>
  <w:num w:numId="7" w16cid:durableId="232357642">
    <w:abstractNumId w:val="9"/>
  </w:num>
  <w:num w:numId="8" w16cid:durableId="2023244910">
    <w:abstractNumId w:val="2"/>
  </w:num>
  <w:num w:numId="9" w16cid:durableId="840773817">
    <w:abstractNumId w:val="8"/>
  </w:num>
  <w:num w:numId="10" w16cid:durableId="553850237">
    <w:abstractNumId w:val="6"/>
  </w:num>
  <w:num w:numId="11" w16cid:durableId="1683818291">
    <w:abstractNumId w:val="4"/>
  </w:num>
  <w:num w:numId="12" w16cid:durableId="1790052318">
    <w:abstractNumId w:val="7"/>
  </w:num>
  <w:num w:numId="13" w16cid:durableId="1070080462">
    <w:abstractNumId w:val="1"/>
  </w:num>
  <w:num w:numId="14" w16cid:durableId="6739935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6887"/>
    <w:rsid w:val="0005105E"/>
    <w:rsid w:val="0007302A"/>
    <w:rsid w:val="00106A63"/>
    <w:rsid w:val="001302AD"/>
    <w:rsid w:val="00182961"/>
    <w:rsid w:val="001A0DB6"/>
    <w:rsid w:val="001A7183"/>
    <w:rsid w:val="00221F33"/>
    <w:rsid w:val="00243CB4"/>
    <w:rsid w:val="002D5892"/>
    <w:rsid w:val="00361F7E"/>
    <w:rsid w:val="003C3D53"/>
    <w:rsid w:val="00436887"/>
    <w:rsid w:val="00480E86"/>
    <w:rsid w:val="0052240C"/>
    <w:rsid w:val="00554A81"/>
    <w:rsid w:val="005D134C"/>
    <w:rsid w:val="0060760D"/>
    <w:rsid w:val="00613961"/>
    <w:rsid w:val="0063054E"/>
    <w:rsid w:val="00642641"/>
    <w:rsid w:val="00657D0E"/>
    <w:rsid w:val="00685111"/>
    <w:rsid w:val="006A4030"/>
    <w:rsid w:val="00714DFC"/>
    <w:rsid w:val="00775C9B"/>
    <w:rsid w:val="00775E77"/>
    <w:rsid w:val="007A0FA4"/>
    <w:rsid w:val="007F3469"/>
    <w:rsid w:val="00801673"/>
    <w:rsid w:val="008410CD"/>
    <w:rsid w:val="00843265"/>
    <w:rsid w:val="00850244"/>
    <w:rsid w:val="008D5C08"/>
    <w:rsid w:val="008E1578"/>
    <w:rsid w:val="0099388A"/>
    <w:rsid w:val="009A1440"/>
    <w:rsid w:val="00A54D11"/>
    <w:rsid w:val="00A826C6"/>
    <w:rsid w:val="00AC3D86"/>
    <w:rsid w:val="00B5676C"/>
    <w:rsid w:val="00B90852"/>
    <w:rsid w:val="00BC0A37"/>
    <w:rsid w:val="00BC62AF"/>
    <w:rsid w:val="00C1238F"/>
    <w:rsid w:val="00C24C9C"/>
    <w:rsid w:val="00C37F12"/>
    <w:rsid w:val="00C6792F"/>
    <w:rsid w:val="00C900DB"/>
    <w:rsid w:val="00CD40FD"/>
    <w:rsid w:val="00D546C3"/>
    <w:rsid w:val="00DA0F35"/>
    <w:rsid w:val="00EF5599"/>
    <w:rsid w:val="00F04802"/>
    <w:rsid w:val="00F2654A"/>
    <w:rsid w:val="00F613A8"/>
    <w:rsid w:val="00FB0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2050"/>
    <o:shapelayout v:ext="edit">
      <o:idmap v:ext="edit" data="2"/>
    </o:shapelayout>
  </w:shapeDefaults>
  <w:decimalSymbol w:val="."/>
  <w:listSeparator w:val=","/>
  <w14:docId w14:val="356EF9E0"/>
  <w15:docId w15:val="{B53A0B01-BF33-47F8-A64A-E264911AD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36887"/>
    <w:pPr>
      <w:keepNext/>
      <w:keepLines/>
      <w:spacing w:before="200" w:after="0" w:line="360" w:lineRule="auto"/>
      <w:outlineLvl w:val="1"/>
    </w:pPr>
    <w:rPr>
      <w:rFonts w:ascii="Times New Roman" w:eastAsia="Times New Roman" w:hAnsi="Times New Roman" w:cs="Times New Roman"/>
      <w:b/>
      <w:bCs/>
      <w:sz w:val="28"/>
      <w:szCs w:val="26"/>
    </w:rPr>
  </w:style>
  <w:style w:type="paragraph" w:styleId="Heading3">
    <w:name w:val="heading 3"/>
    <w:basedOn w:val="Normal"/>
    <w:next w:val="Normal"/>
    <w:link w:val="Heading3Char"/>
    <w:uiPriority w:val="9"/>
    <w:semiHidden/>
    <w:unhideWhenUsed/>
    <w:qFormat/>
    <w:rsid w:val="00436887"/>
    <w:pPr>
      <w:keepNext/>
      <w:keepLines/>
      <w:spacing w:before="200" w:after="0"/>
      <w:outlineLvl w:val="2"/>
    </w:pPr>
    <w:rPr>
      <w:rFonts w:ascii="Cambria" w:eastAsia="Times New Roman" w:hAnsi="Cambria" w:cs="Times New Roman"/>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436887"/>
    <w:rPr>
      <w:rFonts w:ascii="Times New Roman" w:eastAsia="Times New Roman" w:hAnsi="Times New Roman" w:cs="Times New Roman"/>
      <w:b/>
      <w:bCs/>
      <w:sz w:val="28"/>
      <w:szCs w:val="26"/>
    </w:rPr>
  </w:style>
  <w:style w:type="character" w:customStyle="1" w:styleId="Heading3Char">
    <w:name w:val="Heading 3 Char"/>
    <w:basedOn w:val="DefaultParagraphFont"/>
    <w:link w:val="Heading3"/>
    <w:uiPriority w:val="9"/>
    <w:semiHidden/>
    <w:rsid w:val="00436887"/>
    <w:rPr>
      <w:rFonts w:ascii="Cambria" w:eastAsia="Times New Roman" w:hAnsi="Cambria" w:cs="Times New Roman"/>
      <w:b/>
      <w:bCs/>
      <w:color w:val="4F81BD" w:themeColor="accent1"/>
    </w:rPr>
  </w:style>
  <w:style w:type="numbering" w:customStyle="1" w:styleId="NoList1">
    <w:name w:val="No List1"/>
    <w:next w:val="NoList"/>
    <w:uiPriority w:val="99"/>
    <w:semiHidden/>
    <w:unhideWhenUsed/>
    <w:rsid w:val="00436887"/>
  </w:style>
  <w:style w:type="character" w:styleId="Hyperlink">
    <w:name w:val="Hyperlink"/>
    <w:basedOn w:val="DefaultParagraphFont"/>
    <w:uiPriority w:val="99"/>
    <w:unhideWhenUsed/>
    <w:rsid w:val="00436887"/>
    <w:rPr>
      <w:color w:val="0000FF"/>
      <w:u w:val="single"/>
    </w:rPr>
  </w:style>
  <w:style w:type="character" w:styleId="FollowedHyperlink">
    <w:name w:val="FollowedHyperlink"/>
    <w:basedOn w:val="DefaultParagraphFont"/>
    <w:uiPriority w:val="99"/>
    <w:semiHidden/>
    <w:unhideWhenUsed/>
    <w:rsid w:val="00436887"/>
    <w:rPr>
      <w:color w:val="800080" w:themeColor="followedHyperlink"/>
      <w:u w:val="single"/>
    </w:rPr>
  </w:style>
  <w:style w:type="paragraph" w:styleId="NormalWeb">
    <w:name w:val="Normal (Web)"/>
    <w:basedOn w:val="Normal"/>
    <w:uiPriority w:val="99"/>
    <w:semiHidden/>
    <w:unhideWhenUsed/>
    <w:rsid w:val="00436887"/>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436887"/>
    <w:pPr>
      <w:spacing w:after="16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36887"/>
    <w:rPr>
      <w:rFonts w:ascii="Calibri" w:eastAsia="Calibri" w:hAnsi="Calibri" w:cs="Times New Roman"/>
      <w:sz w:val="20"/>
      <w:szCs w:val="20"/>
    </w:rPr>
  </w:style>
  <w:style w:type="paragraph" w:styleId="Header">
    <w:name w:val="header"/>
    <w:basedOn w:val="Normal"/>
    <w:link w:val="HeaderChar"/>
    <w:uiPriority w:val="99"/>
    <w:unhideWhenUsed/>
    <w:rsid w:val="00436887"/>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436887"/>
    <w:rPr>
      <w:rFonts w:ascii="Calibri" w:eastAsia="Calibri" w:hAnsi="Calibri" w:cs="Times New Roman"/>
    </w:rPr>
  </w:style>
  <w:style w:type="paragraph" w:styleId="Footer">
    <w:name w:val="footer"/>
    <w:basedOn w:val="Normal"/>
    <w:link w:val="FooterChar"/>
    <w:uiPriority w:val="99"/>
    <w:unhideWhenUsed/>
    <w:rsid w:val="00436887"/>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436887"/>
    <w:rPr>
      <w:rFonts w:ascii="Calibri" w:eastAsia="Calibri" w:hAnsi="Calibri" w:cs="Times New Roman"/>
    </w:rPr>
  </w:style>
  <w:style w:type="paragraph" w:styleId="Caption">
    <w:name w:val="caption"/>
    <w:basedOn w:val="Normal"/>
    <w:next w:val="Normal"/>
    <w:uiPriority w:val="35"/>
    <w:semiHidden/>
    <w:unhideWhenUsed/>
    <w:qFormat/>
    <w:rsid w:val="00436887"/>
    <w:pPr>
      <w:spacing w:line="240" w:lineRule="auto"/>
    </w:pPr>
    <w:rPr>
      <w:rFonts w:ascii="Calibri" w:eastAsia="Calibri" w:hAnsi="Calibri" w:cs="Times New Roman"/>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436887"/>
    <w:rPr>
      <w:b/>
      <w:bCs/>
    </w:rPr>
  </w:style>
  <w:style w:type="character" w:customStyle="1" w:styleId="CommentSubjectChar">
    <w:name w:val="Comment Subject Char"/>
    <w:basedOn w:val="CommentTextChar"/>
    <w:link w:val="CommentSubject"/>
    <w:uiPriority w:val="99"/>
    <w:semiHidden/>
    <w:rsid w:val="00436887"/>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43688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436887"/>
    <w:rPr>
      <w:rFonts w:ascii="Tahoma" w:eastAsia="Calibri" w:hAnsi="Tahoma" w:cs="Tahoma"/>
      <w:sz w:val="16"/>
      <w:szCs w:val="16"/>
    </w:rPr>
  </w:style>
  <w:style w:type="paragraph" w:styleId="NoSpacing">
    <w:name w:val="No Spacing"/>
    <w:uiPriority w:val="1"/>
    <w:qFormat/>
    <w:rsid w:val="00436887"/>
    <w:pPr>
      <w:spacing w:after="0" w:line="240" w:lineRule="auto"/>
    </w:pPr>
    <w:rPr>
      <w:rFonts w:ascii="Calibri" w:eastAsia="Calibri" w:hAnsi="Calibri" w:cs="Times New Roman"/>
    </w:rPr>
  </w:style>
  <w:style w:type="paragraph" w:styleId="Revision">
    <w:name w:val="Revision"/>
    <w:uiPriority w:val="99"/>
    <w:semiHidden/>
    <w:rsid w:val="00436887"/>
    <w:pPr>
      <w:spacing w:after="0" w:line="240" w:lineRule="auto"/>
    </w:pPr>
    <w:rPr>
      <w:rFonts w:ascii="Calibri" w:eastAsia="Calibri" w:hAnsi="Calibri" w:cs="Times New Roman"/>
    </w:rPr>
  </w:style>
  <w:style w:type="paragraph" w:styleId="ListParagraph">
    <w:name w:val="List Paragraph"/>
    <w:basedOn w:val="Normal"/>
    <w:uiPriority w:val="34"/>
    <w:qFormat/>
    <w:rsid w:val="00436887"/>
    <w:pPr>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436887"/>
    <w:rPr>
      <w:sz w:val="16"/>
      <w:szCs w:val="16"/>
    </w:rPr>
  </w:style>
  <w:style w:type="character" w:styleId="PlaceholderText">
    <w:name w:val="Placeholder Text"/>
    <w:basedOn w:val="DefaultParagraphFont"/>
    <w:uiPriority w:val="99"/>
    <w:semiHidden/>
    <w:rsid w:val="00436887"/>
    <w:rPr>
      <w:color w:val="666666"/>
    </w:rPr>
  </w:style>
  <w:style w:type="character" w:customStyle="1" w:styleId="A12">
    <w:name w:val="A12"/>
    <w:uiPriority w:val="99"/>
    <w:rsid w:val="00436887"/>
    <w:rPr>
      <w:rFonts w:ascii="Cambria" w:hAnsi="Cambria" w:cs="Cambria" w:hint="default"/>
      <w:color w:val="000000"/>
      <w:sz w:val="18"/>
      <w:szCs w:val="18"/>
    </w:rPr>
  </w:style>
  <w:style w:type="character" w:customStyle="1" w:styleId="A1">
    <w:name w:val="A1"/>
    <w:uiPriority w:val="99"/>
    <w:rsid w:val="00436887"/>
    <w:rPr>
      <w:rFonts w:ascii="Cambria" w:hAnsi="Cambria" w:cs="Cambria" w:hint="default"/>
      <w:b/>
      <w:bCs/>
      <w:color w:val="000000"/>
      <w:sz w:val="20"/>
      <w:szCs w:val="20"/>
    </w:rPr>
  </w:style>
  <w:style w:type="character" w:customStyle="1" w:styleId="ms-1">
    <w:name w:val="ms-1"/>
    <w:basedOn w:val="DefaultParagraphFont"/>
    <w:rsid w:val="00436887"/>
  </w:style>
  <w:style w:type="character" w:customStyle="1" w:styleId="max-w-15ch">
    <w:name w:val="max-w-[15ch]"/>
    <w:basedOn w:val="DefaultParagraphFont"/>
    <w:rsid w:val="00436887"/>
  </w:style>
  <w:style w:type="character" w:customStyle="1" w:styleId="whitespace-normal">
    <w:name w:val="whitespace-normal"/>
    <w:basedOn w:val="DefaultParagraphFont"/>
    <w:rsid w:val="00436887"/>
  </w:style>
  <w:style w:type="table" w:styleId="TableGrid">
    <w:name w:val="Table Grid"/>
    <w:basedOn w:val="TableNormal"/>
    <w:uiPriority w:val="39"/>
    <w:rsid w:val="00436887"/>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436887"/>
    <w:rPr>
      <w:i/>
      <w:iCs/>
    </w:rPr>
  </w:style>
  <w:style w:type="character" w:styleId="Strong">
    <w:name w:val="Strong"/>
    <w:basedOn w:val="DefaultParagraphFont"/>
    <w:uiPriority w:val="22"/>
    <w:qFormat/>
    <w:rsid w:val="00436887"/>
    <w:rPr>
      <w:b/>
      <w:bCs/>
    </w:rPr>
  </w:style>
  <w:style w:type="paragraph" w:customStyle="1" w:styleId="ReferHead">
    <w:name w:val="Refer Head"/>
    <w:basedOn w:val="Normal"/>
    <w:rsid w:val="00685111"/>
    <w:pPr>
      <w:keepNext/>
      <w:spacing w:after="240" w:line="240" w:lineRule="auto"/>
    </w:pPr>
    <w:rPr>
      <w:rFonts w:ascii="Helvetica" w:eastAsia="Times New Roman" w:hAnsi="Helvetica" w:cs="Times New Roman"/>
      <w:b/>
      <w:cap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626/pps.17.141" TargetMode="External"/><Relationship Id="rId2" Type="http://schemas.openxmlformats.org/officeDocument/2006/relationships/numbering" Target="numbering.xml"/><Relationship Id="rId16" Type="http://schemas.openxmlformats.org/officeDocument/2006/relationships/hyperlink" Target="https://doi.org/10.1016/j.agwat.2018.09.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890688365357112"/>
          <c:y val="2.2304531012570804E-2"/>
          <c:w val="0.79989413894324268"/>
          <c:h val="0.7514452240747852"/>
        </c:manualLayout>
      </c:layout>
      <c:barChart>
        <c:barDir val="col"/>
        <c:grouping val="clustered"/>
        <c:varyColors val="0"/>
        <c:ser>
          <c:idx val="0"/>
          <c:order val="0"/>
          <c:tx>
            <c:strRef>
              <c:f>Sheet3!$C$4</c:f>
              <c:strCache>
                <c:ptCount val="1"/>
                <c:pt idx="0">
                  <c:v>Rainfall</c:v>
                </c:pt>
              </c:strCache>
            </c:strRef>
          </c:tx>
          <c:invertIfNegative val="0"/>
          <c:cat>
            <c:strRef>
              <c:f>Sheet3!$D$3:$O$3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Sheet3!$D$4:$O$4</c:f>
              <c:numCache>
                <c:formatCode>General</c:formatCode>
                <c:ptCount val="12"/>
                <c:pt idx="0">
                  <c:v>0</c:v>
                </c:pt>
                <c:pt idx="1">
                  <c:v>0</c:v>
                </c:pt>
                <c:pt idx="2">
                  <c:v>9.8800000000000026</c:v>
                </c:pt>
                <c:pt idx="3">
                  <c:v>2.15</c:v>
                </c:pt>
                <c:pt idx="4">
                  <c:v>26.35</c:v>
                </c:pt>
                <c:pt idx="5">
                  <c:v>139.25</c:v>
                </c:pt>
                <c:pt idx="6">
                  <c:v>167.46</c:v>
                </c:pt>
                <c:pt idx="7">
                  <c:v>229.28999999999996</c:v>
                </c:pt>
                <c:pt idx="8">
                  <c:v>89.22999999999999</c:v>
                </c:pt>
                <c:pt idx="9">
                  <c:v>8.9400000000000013</c:v>
                </c:pt>
                <c:pt idx="10">
                  <c:v>0</c:v>
                </c:pt>
                <c:pt idx="11">
                  <c:v>0</c:v>
                </c:pt>
              </c:numCache>
            </c:numRef>
          </c:val>
          <c:extLst>
            <c:ext xmlns:c16="http://schemas.microsoft.com/office/drawing/2014/chart" uri="{C3380CC4-5D6E-409C-BE32-E72D297353CC}">
              <c16:uniqueId val="{00000000-52F8-423D-8D95-5F7ACF44AF3F}"/>
            </c:ext>
          </c:extLst>
        </c:ser>
        <c:dLbls>
          <c:showLegendKey val="0"/>
          <c:showVal val="0"/>
          <c:showCatName val="0"/>
          <c:showSerName val="0"/>
          <c:showPercent val="0"/>
          <c:showBubbleSize val="0"/>
        </c:dLbls>
        <c:gapWidth val="150"/>
        <c:axId val="259288064"/>
        <c:axId val="259314816"/>
      </c:barChart>
      <c:lineChart>
        <c:grouping val="standard"/>
        <c:varyColors val="0"/>
        <c:ser>
          <c:idx val="1"/>
          <c:order val="1"/>
          <c:tx>
            <c:strRef>
              <c:f>Sheet3!$C$5</c:f>
              <c:strCache>
                <c:ptCount val="1"/>
                <c:pt idx="0">
                  <c:v>Max.Temp.</c:v>
                </c:pt>
              </c:strCache>
            </c:strRef>
          </c:tx>
          <c:cat>
            <c:strRef>
              <c:f>Sheet3!$D$3:$O$3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Sheet3!$D$5:$O$5</c:f>
              <c:numCache>
                <c:formatCode>General</c:formatCode>
                <c:ptCount val="12"/>
                <c:pt idx="0">
                  <c:v>36.4</c:v>
                </c:pt>
                <c:pt idx="1">
                  <c:v>38.800000000000004</c:v>
                </c:pt>
                <c:pt idx="2">
                  <c:v>40.5</c:v>
                </c:pt>
                <c:pt idx="3">
                  <c:v>42</c:v>
                </c:pt>
                <c:pt idx="4">
                  <c:v>41</c:v>
                </c:pt>
                <c:pt idx="5">
                  <c:v>38</c:v>
                </c:pt>
                <c:pt idx="6">
                  <c:v>34.200000000000003</c:v>
                </c:pt>
                <c:pt idx="7">
                  <c:v>33.700000000000003</c:v>
                </c:pt>
                <c:pt idx="8">
                  <c:v>34.800000000000004</c:v>
                </c:pt>
                <c:pt idx="9">
                  <c:v>36.4</c:v>
                </c:pt>
                <c:pt idx="10">
                  <c:v>37.800000000000004</c:v>
                </c:pt>
                <c:pt idx="11">
                  <c:v>37.5</c:v>
                </c:pt>
              </c:numCache>
            </c:numRef>
          </c:val>
          <c:smooth val="0"/>
          <c:extLst>
            <c:ext xmlns:c16="http://schemas.microsoft.com/office/drawing/2014/chart" uri="{C3380CC4-5D6E-409C-BE32-E72D297353CC}">
              <c16:uniqueId val="{00000001-52F8-423D-8D95-5F7ACF44AF3F}"/>
            </c:ext>
          </c:extLst>
        </c:ser>
        <c:ser>
          <c:idx val="2"/>
          <c:order val="2"/>
          <c:tx>
            <c:strRef>
              <c:f>Sheet3!$C$6</c:f>
              <c:strCache>
                <c:ptCount val="1"/>
                <c:pt idx="0">
                  <c:v>Min.Temp.</c:v>
                </c:pt>
              </c:strCache>
            </c:strRef>
          </c:tx>
          <c:cat>
            <c:strRef>
              <c:f>Sheet3!$D$3:$O$3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Sheet3!$D$6:$O$6</c:f>
              <c:numCache>
                <c:formatCode>General</c:formatCode>
                <c:ptCount val="12"/>
                <c:pt idx="0">
                  <c:v>16.7</c:v>
                </c:pt>
                <c:pt idx="1">
                  <c:v>18.2</c:v>
                </c:pt>
                <c:pt idx="2">
                  <c:v>21.5</c:v>
                </c:pt>
                <c:pt idx="3">
                  <c:v>22.7</c:v>
                </c:pt>
                <c:pt idx="4">
                  <c:v>23.5</c:v>
                </c:pt>
                <c:pt idx="5">
                  <c:v>22.2</c:v>
                </c:pt>
                <c:pt idx="6">
                  <c:v>20.8</c:v>
                </c:pt>
                <c:pt idx="7">
                  <c:v>20.100000000000001</c:v>
                </c:pt>
                <c:pt idx="8">
                  <c:v>20.5</c:v>
                </c:pt>
                <c:pt idx="9">
                  <c:v>19.899999999999999</c:v>
                </c:pt>
                <c:pt idx="10">
                  <c:v>19.3</c:v>
                </c:pt>
                <c:pt idx="11">
                  <c:v>19.100000000000001</c:v>
                </c:pt>
              </c:numCache>
            </c:numRef>
          </c:val>
          <c:smooth val="0"/>
          <c:extLst>
            <c:ext xmlns:c16="http://schemas.microsoft.com/office/drawing/2014/chart" uri="{C3380CC4-5D6E-409C-BE32-E72D297353CC}">
              <c16:uniqueId val="{00000002-52F8-423D-8D95-5F7ACF44AF3F}"/>
            </c:ext>
          </c:extLst>
        </c:ser>
        <c:dLbls>
          <c:showLegendKey val="0"/>
          <c:showVal val="0"/>
          <c:showCatName val="0"/>
          <c:showSerName val="0"/>
          <c:showPercent val="0"/>
          <c:showBubbleSize val="0"/>
        </c:dLbls>
        <c:marker val="1"/>
        <c:smooth val="0"/>
        <c:axId val="160905088"/>
        <c:axId val="160903168"/>
      </c:lineChart>
      <c:catAx>
        <c:axId val="259288064"/>
        <c:scaling>
          <c:orientation val="minMax"/>
        </c:scaling>
        <c:delete val="0"/>
        <c:axPos val="b"/>
        <c:title>
          <c:tx>
            <c:rich>
              <a:bodyPr/>
              <a:lstStyle/>
              <a:p>
                <a:pPr>
                  <a:defRPr/>
                </a:pPr>
                <a:r>
                  <a:rPr lang="en-US"/>
                  <a:t>Months</a:t>
                </a:r>
              </a:p>
            </c:rich>
          </c:tx>
          <c:overlay val="0"/>
        </c:title>
        <c:numFmt formatCode="General" sourceLinked="0"/>
        <c:majorTickMark val="out"/>
        <c:minorTickMark val="none"/>
        <c:tickLblPos val="nextTo"/>
        <c:crossAx val="259314816"/>
        <c:crosses val="autoZero"/>
        <c:auto val="1"/>
        <c:lblAlgn val="ctr"/>
        <c:lblOffset val="100"/>
        <c:noMultiLvlLbl val="0"/>
      </c:catAx>
      <c:valAx>
        <c:axId val="259314816"/>
        <c:scaling>
          <c:orientation val="minMax"/>
        </c:scaling>
        <c:delete val="0"/>
        <c:axPos val="l"/>
        <c:title>
          <c:tx>
            <c:rich>
              <a:bodyPr rot="-5400000" vert="horz"/>
              <a:lstStyle/>
              <a:p>
                <a:pPr>
                  <a:defRPr/>
                </a:pPr>
                <a:r>
                  <a:rPr lang="en-US"/>
                  <a:t>Rainfall (mm)</a:t>
                </a:r>
              </a:p>
            </c:rich>
          </c:tx>
          <c:overlay val="0"/>
        </c:title>
        <c:numFmt formatCode="General" sourceLinked="1"/>
        <c:majorTickMark val="out"/>
        <c:minorTickMark val="none"/>
        <c:tickLblPos val="nextTo"/>
        <c:crossAx val="259288064"/>
        <c:crosses val="autoZero"/>
        <c:crossBetween val="between"/>
      </c:valAx>
      <c:valAx>
        <c:axId val="160903168"/>
        <c:scaling>
          <c:orientation val="minMax"/>
        </c:scaling>
        <c:delete val="0"/>
        <c:axPos val="r"/>
        <c:title>
          <c:tx>
            <c:rich>
              <a:bodyPr rot="-5400000" vert="horz"/>
              <a:lstStyle/>
              <a:p>
                <a:pPr>
                  <a:defRPr/>
                </a:pPr>
                <a:r>
                  <a:rPr lang="en-US"/>
                  <a:t>Temperature</a:t>
                </a:r>
              </a:p>
            </c:rich>
          </c:tx>
          <c:overlay val="0"/>
        </c:title>
        <c:numFmt formatCode="General" sourceLinked="1"/>
        <c:majorTickMark val="out"/>
        <c:minorTickMark val="none"/>
        <c:tickLblPos val="nextTo"/>
        <c:crossAx val="160905088"/>
        <c:crosses val="max"/>
        <c:crossBetween val="between"/>
      </c:valAx>
      <c:catAx>
        <c:axId val="160905088"/>
        <c:scaling>
          <c:orientation val="minMax"/>
        </c:scaling>
        <c:delete val="1"/>
        <c:axPos val="b"/>
        <c:numFmt formatCode="General" sourceLinked="1"/>
        <c:majorTickMark val="out"/>
        <c:minorTickMark val="none"/>
        <c:tickLblPos val="nextTo"/>
        <c:crossAx val="160903168"/>
        <c:crosses val="autoZero"/>
        <c:auto val="1"/>
        <c:lblAlgn val="ctr"/>
        <c:lblOffset val="100"/>
        <c:noMultiLvlLbl val="0"/>
      </c:catAx>
    </c:plotArea>
    <c:legend>
      <c:legendPos val="b"/>
      <c:overlay val="0"/>
    </c:legend>
    <c:plotVisOnly val="1"/>
    <c:dispBlanksAs val="gap"/>
    <c:showDLblsOverMax val="0"/>
  </c:chart>
  <c:txPr>
    <a:bodyPr/>
    <a:lstStyle/>
    <a:p>
      <a:pPr>
        <a:defRPr sz="1000"/>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B9CFB-DFDB-432B-BE49-D1FAE16B2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12</Pages>
  <Words>6162</Words>
  <Characters>35127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SDI 1022</cp:lastModifiedBy>
  <cp:revision>6</cp:revision>
  <dcterms:created xsi:type="dcterms:W3CDTF">2026-06-02T09:11:00Z</dcterms:created>
  <dcterms:modified xsi:type="dcterms:W3CDTF">2026-06-09T10:55:00Z</dcterms:modified>
</cp:coreProperties>
</file>