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59B89" w14:textId="77777777" w:rsidR="00307984" w:rsidRPr="00E0422C" w:rsidRDefault="009B06E7">
      <w:pPr>
        <w:spacing w:line="240" w:lineRule="auto"/>
        <w:jc w:val="both"/>
        <w:rPr>
          <w:rFonts w:ascii="Times New Roman" w:hAnsi="Times New Roman"/>
          <w:sz w:val="24"/>
          <w:szCs w:val="24"/>
        </w:rPr>
      </w:pPr>
      <w:proofErr w:type="spellStart"/>
      <w:r w:rsidRPr="00E0422C">
        <w:rPr>
          <w:rFonts w:ascii="Times New Roman" w:hAnsi="Times New Roman"/>
          <w:b/>
          <w:bCs/>
          <w:sz w:val="24"/>
          <w:szCs w:val="24"/>
        </w:rPr>
        <w:t>Histomorphological</w:t>
      </w:r>
      <w:proofErr w:type="spellEnd"/>
      <w:r w:rsidRPr="00E0422C">
        <w:rPr>
          <w:rFonts w:ascii="Times New Roman" w:hAnsi="Times New Roman"/>
          <w:b/>
          <w:bCs/>
          <w:sz w:val="24"/>
          <w:szCs w:val="24"/>
        </w:rPr>
        <w:t xml:space="preserve"> Demonstration of Stromal Components in Palpable Female Breast Tumors, Counterstained with Annatto Seed crude Extract</w:t>
      </w:r>
    </w:p>
    <w:p w14:paraId="28ECABAA" w14:textId="77777777" w:rsidR="00307984" w:rsidRPr="00E0422C" w:rsidRDefault="00307984">
      <w:pPr>
        <w:spacing w:line="240" w:lineRule="auto"/>
        <w:jc w:val="both"/>
        <w:rPr>
          <w:rFonts w:ascii="Times New Roman" w:hAnsi="Times New Roman"/>
          <w:sz w:val="24"/>
          <w:szCs w:val="24"/>
        </w:rPr>
      </w:pPr>
    </w:p>
    <w:p w14:paraId="1A826AE2" w14:textId="77777777" w:rsidR="00307984" w:rsidRPr="00E0422C" w:rsidRDefault="00307984">
      <w:pPr>
        <w:spacing w:line="240" w:lineRule="auto"/>
        <w:jc w:val="both"/>
        <w:rPr>
          <w:rFonts w:ascii="Times New Roman" w:hAnsi="Times New Roman"/>
          <w:smallCaps/>
          <w:sz w:val="24"/>
          <w:szCs w:val="24"/>
        </w:rPr>
      </w:pPr>
    </w:p>
    <w:p w14:paraId="184B1694" w14:textId="77777777" w:rsidR="00307984" w:rsidRPr="00E0422C" w:rsidRDefault="009B06E7">
      <w:pPr>
        <w:spacing w:before="100" w:beforeAutospacing="1" w:after="100" w:afterAutospacing="1" w:line="240" w:lineRule="auto"/>
        <w:rPr>
          <w:rFonts w:ascii="Times New Roman" w:eastAsia="Times New Roman" w:hAnsi="Times New Roman"/>
          <w:sz w:val="24"/>
          <w:szCs w:val="24"/>
          <w:lang w:eastAsia="en-GB"/>
        </w:rPr>
      </w:pPr>
      <w:r w:rsidRPr="00E0422C">
        <w:rPr>
          <w:rFonts w:ascii="Times New Roman" w:eastAsia="Times New Roman" w:hAnsi="Times New Roman"/>
          <w:b/>
          <w:bCs/>
          <w:sz w:val="24"/>
          <w:szCs w:val="24"/>
          <w:lang w:eastAsia="en-GB"/>
        </w:rPr>
        <w:t>Abstract</w:t>
      </w:r>
    </w:p>
    <w:p w14:paraId="4867CEB9" w14:textId="77777777" w:rsidR="00E71082" w:rsidRDefault="009B06E7">
      <w:pPr>
        <w:spacing w:before="100" w:beforeAutospacing="1" w:after="100" w:afterAutospacing="1" w:line="240" w:lineRule="auto"/>
      </w:pPr>
      <w:r w:rsidRPr="00E0422C">
        <w:rPr>
          <w:b/>
          <w:bCs/>
        </w:rPr>
        <w:t>Background</w:t>
      </w:r>
      <w:r w:rsidRPr="00E0422C">
        <w:t xml:space="preserve">: Annatto seed, obtained from </w:t>
      </w:r>
      <w:r w:rsidRPr="00E0422C">
        <w:rPr>
          <w:i/>
        </w:rPr>
        <w:t>Bixa orellana</w:t>
      </w:r>
      <w:r w:rsidRPr="00E0422C">
        <w:t xml:space="preserve">, contains natural yellow-orange pigments that may be useful as biological staining agents. </w:t>
      </w:r>
    </w:p>
    <w:p w14:paraId="13ADE144" w14:textId="3EDC4B69" w:rsidR="00307984" w:rsidRPr="00E0422C" w:rsidRDefault="00E71082">
      <w:pPr>
        <w:spacing w:before="100" w:beforeAutospacing="1" w:after="100" w:afterAutospacing="1" w:line="240" w:lineRule="auto"/>
        <w:rPr>
          <w:rFonts w:ascii="Times New Roman" w:eastAsia="Times New Roman" w:hAnsi="Times New Roman"/>
          <w:sz w:val="24"/>
          <w:szCs w:val="24"/>
          <w:lang w:eastAsia="en-GB"/>
        </w:rPr>
      </w:pPr>
      <w:r w:rsidRPr="00E71082">
        <w:rPr>
          <w:b/>
          <w:bCs/>
        </w:rPr>
        <w:t>Aims</w:t>
      </w:r>
      <w:r>
        <w:t xml:space="preserve">: </w:t>
      </w:r>
      <w:r w:rsidR="009B06E7" w:rsidRPr="00E0422C">
        <w:t xml:space="preserve">This study evaluated the </w:t>
      </w:r>
      <w:proofErr w:type="spellStart"/>
      <w:r w:rsidR="009B06E7" w:rsidRPr="00E0422C">
        <w:t>histomorphological</w:t>
      </w:r>
      <w:proofErr w:type="spellEnd"/>
      <w:r w:rsidR="009B06E7" w:rsidRPr="00E0422C">
        <w:t xml:space="preserve"> demonstration of stromal components in palpable female breast tumours using crude annatto seed extracts as counterstains to haematoxylin.</w:t>
      </w:r>
    </w:p>
    <w:p w14:paraId="10A7BBB5" w14:textId="77777777" w:rsidR="00307984" w:rsidRPr="00E0422C" w:rsidRDefault="009B06E7">
      <w:pPr>
        <w:spacing w:before="100" w:beforeAutospacing="1" w:after="100" w:afterAutospacing="1" w:line="240" w:lineRule="auto"/>
        <w:rPr>
          <w:rFonts w:ascii="Times New Roman" w:eastAsia="Times New Roman" w:hAnsi="Times New Roman"/>
          <w:sz w:val="24"/>
          <w:szCs w:val="24"/>
          <w:lang w:eastAsia="en-GB"/>
        </w:rPr>
      </w:pPr>
      <w:r w:rsidRPr="00E0422C">
        <w:rPr>
          <w:b/>
          <w:bCs/>
        </w:rPr>
        <w:t>Methods</w:t>
      </w:r>
      <w:r w:rsidRPr="00E0422C">
        <w:t>: A total of 100 female breast tissue blocks were examined, comprising fibroadenoma (40 blocks), fibrocystic change (30 blocks), and invasive ductal carcinoma (30 blocks). Dried annatto seeds were used for crude dye extraction. One hundred grams of seed material was extracted in 200 ml of each solvent, including 95% ethanol, 70% ethanol, distilled water, and acetone. Phytochemical assessment of the extract was performed. Tissue sections were stained using routine haematoxylin and eosin as the control method, while the annatto seed extracts were used as counterstains to Harris haematoxylin. Stained sections were evaluated photomicrographically for staining intensity, visibility of stromal components, and preservation of tissue architecture.</w:t>
      </w:r>
    </w:p>
    <w:p w14:paraId="0DD8C59B" w14:textId="77777777" w:rsidR="00307984" w:rsidRPr="00E0422C" w:rsidRDefault="009B06E7">
      <w:pPr>
        <w:spacing w:before="100" w:beforeAutospacing="1" w:after="100" w:afterAutospacing="1" w:line="240" w:lineRule="auto"/>
        <w:rPr>
          <w:rFonts w:ascii="Times New Roman" w:eastAsia="Times New Roman" w:hAnsi="Times New Roman"/>
          <w:sz w:val="24"/>
          <w:szCs w:val="24"/>
          <w:lang w:eastAsia="en-GB"/>
        </w:rPr>
      </w:pPr>
      <w:r w:rsidRPr="00E0422C">
        <w:rPr>
          <w:b/>
          <w:bCs/>
        </w:rPr>
        <w:t>Results</w:t>
      </w:r>
      <w:r w:rsidRPr="00E0422C">
        <w:t>: The extracts produced varying colour intensity and staining performance. Acetone produced the highest colour yield and volume, followed by 95% ethanol, 70% ethanol, and distilled water. However, sections stained with acetone showed a yellowish background that reduced cellular clarity. Sections counterstained with 95% ethanolic extract showed clearer stromal visualisation and better preservation of tissue morphology across fibroadenoma, fibrocystic change, and invasive ductal carcinoma when compared with the other crude extracts. The appearance was closer to that observed in routine haematoxylin and eosin-stained control sections.</w:t>
      </w:r>
    </w:p>
    <w:p w14:paraId="50217D49" w14:textId="77777777" w:rsidR="00307984" w:rsidRPr="00E0422C" w:rsidRDefault="009B06E7">
      <w:pPr>
        <w:spacing w:before="100" w:beforeAutospacing="1" w:after="100" w:afterAutospacing="1" w:line="240" w:lineRule="auto"/>
        <w:rPr>
          <w:rFonts w:ascii="Times New Roman" w:eastAsia="Times New Roman" w:hAnsi="Times New Roman"/>
          <w:sz w:val="24"/>
          <w:szCs w:val="24"/>
          <w:lang w:eastAsia="en-GB"/>
        </w:rPr>
      </w:pPr>
      <w:r w:rsidRPr="00E0422C">
        <w:rPr>
          <w:b/>
          <w:bCs/>
        </w:rPr>
        <w:t>Conclusion</w:t>
      </w:r>
      <w:r w:rsidRPr="00E0422C">
        <w:t>: Crude annatto seed extract, particularly the 95% ethanolic preparation, demonstrated potential as a counterstain for stromal components in selected palpable female breast tumours. Further optimisation and quantitative validation are required before routine diagnostic use can be recommended.</w:t>
      </w:r>
    </w:p>
    <w:p w14:paraId="623237E0" w14:textId="0572B2D3" w:rsidR="00307984" w:rsidRPr="00E0422C" w:rsidRDefault="009B06E7" w:rsidP="00A66E36">
      <w:pPr>
        <w:spacing w:after="0" w:line="240" w:lineRule="auto"/>
        <w:jc w:val="both"/>
        <w:rPr>
          <w:rFonts w:ascii="Times New Roman" w:hAnsi="Times New Roman"/>
          <w:sz w:val="24"/>
          <w:szCs w:val="24"/>
        </w:rPr>
      </w:pPr>
      <w:r w:rsidRPr="00E0422C">
        <w:rPr>
          <w:b/>
          <w:bCs/>
        </w:rPr>
        <w:t>Keywords</w:t>
      </w:r>
      <w:r w:rsidRPr="00E0422C">
        <w:t xml:space="preserve">: </w:t>
      </w:r>
      <w:r w:rsidR="00A66E36">
        <w:t xml:space="preserve">Annatto seed extract; </w:t>
      </w:r>
      <w:r w:rsidR="00A66E36">
        <w:rPr>
          <w:rStyle w:val="Emphasis"/>
        </w:rPr>
        <w:t xml:space="preserve">Bixa </w:t>
      </w:r>
      <w:proofErr w:type="spellStart"/>
      <w:r w:rsidR="00A66E36">
        <w:rPr>
          <w:rStyle w:val="Emphasis"/>
        </w:rPr>
        <w:t>orellana</w:t>
      </w:r>
      <w:proofErr w:type="spellEnd"/>
      <w:r w:rsidR="00A66E36">
        <w:t xml:space="preserve">; breast </w:t>
      </w:r>
      <w:proofErr w:type="spellStart"/>
      <w:r w:rsidR="00A66E36">
        <w:t>tumours</w:t>
      </w:r>
      <w:proofErr w:type="spellEnd"/>
      <w:r w:rsidR="00A66E36">
        <w:t xml:space="preserve">; stromal components; counterstaining; </w:t>
      </w:r>
      <w:proofErr w:type="spellStart"/>
      <w:r w:rsidR="00A66E36">
        <w:t>haematoxylin</w:t>
      </w:r>
      <w:proofErr w:type="spellEnd"/>
      <w:r w:rsidR="00A66E36">
        <w:t xml:space="preserve"> and eosin; fibroadenoma; fibrocystic change; invasive ductal carcinoma; histomorphology.</w:t>
      </w:r>
    </w:p>
    <w:p w14:paraId="3B967979" w14:textId="77777777" w:rsidR="00307984" w:rsidRPr="00E0422C" w:rsidRDefault="00307984">
      <w:pPr>
        <w:spacing w:line="240" w:lineRule="auto"/>
        <w:jc w:val="both"/>
        <w:rPr>
          <w:rFonts w:ascii="Times New Roman" w:hAnsi="Times New Roman"/>
          <w:sz w:val="24"/>
          <w:szCs w:val="24"/>
        </w:rPr>
      </w:pPr>
    </w:p>
    <w:p w14:paraId="16BEDC6B" w14:textId="77777777" w:rsidR="00307984" w:rsidRDefault="009B06E7">
      <w:pPr>
        <w:spacing w:line="240" w:lineRule="auto"/>
        <w:jc w:val="both"/>
        <w:rPr>
          <w:rFonts w:ascii="Times New Roman" w:hAnsi="Times New Roman"/>
          <w:b/>
          <w:bCs/>
          <w:sz w:val="24"/>
          <w:szCs w:val="24"/>
        </w:rPr>
      </w:pPr>
      <w:r w:rsidRPr="00E0422C">
        <w:rPr>
          <w:rFonts w:ascii="Times New Roman" w:hAnsi="Times New Roman"/>
          <w:sz w:val="24"/>
          <w:szCs w:val="24"/>
        </w:rPr>
        <w:cr/>
      </w:r>
      <w:r w:rsidRPr="003021E6">
        <w:rPr>
          <w:rFonts w:ascii="Times New Roman" w:hAnsi="Times New Roman"/>
          <w:b/>
          <w:bCs/>
          <w:sz w:val="24"/>
          <w:szCs w:val="24"/>
        </w:rPr>
        <w:t xml:space="preserve">INTRODUCTION </w:t>
      </w:r>
    </w:p>
    <w:p w14:paraId="0105D0BB" w14:textId="77777777" w:rsidR="000E30C3" w:rsidRDefault="000E30C3" w:rsidP="000E30C3">
      <w:pPr>
        <w:pStyle w:val="isselectedend"/>
      </w:pPr>
      <w:r>
        <w:t xml:space="preserve">Palpable breast abnormalities represent one of the most frequent clinical presentations encountered in breast practice. Although the majority of these lesions are benign, they also constitute one of the principal presenting features of breast cancer. Moreover, breast malignancies identified following the onset of symptoms are generally associated with less </w:t>
      </w:r>
      <w:proofErr w:type="spellStart"/>
      <w:r>
        <w:lastRenderedPageBreak/>
        <w:t>favourable</w:t>
      </w:r>
      <w:proofErr w:type="spellEnd"/>
      <w:r>
        <w:t xml:space="preserve"> prognostic outcomes than those detected through routine screening </w:t>
      </w:r>
      <w:proofErr w:type="spellStart"/>
      <w:r>
        <w:t>programmes</w:t>
      </w:r>
      <w:proofErr w:type="spellEnd"/>
      <w:r>
        <w:t xml:space="preserve"> (</w:t>
      </w:r>
      <w:proofErr w:type="spellStart"/>
      <w:r>
        <w:t>Dodelzon</w:t>
      </w:r>
      <w:proofErr w:type="spellEnd"/>
      <w:r>
        <w:t xml:space="preserve"> &amp; Katzen, 2019). Breast disorders affect more than one-quarter of women during their lifetime, with the development of a new breast lump being among the most common reasons for clinical consultation. While most newly detected breast masses are non-malignant, approximately 10% are ultimately diagnosed as breast cancer (Malherbe et al., 2022). The presence of a palpable breast lump frequently generates considerable patient anxiety and may necessitate repeated clinical examinations, radiological investigations, tissue biopsy, and, in some cases, surgical intervention. A palpable breast lesion is regarded as a dominant mass when it is three-dimensional, clearly distinguishable from the surrounding breast parenchyma, asymmetrical in comparison with the contralateral breast, and remains detectable throughout the menstrual cycle. Dominant masses that are smooth, well-circumscribed, and freely mobile are generally indicative of benign pathology. Contemporary breast imaging guidelines continue to </w:t>
      </w:r>
      <w:proofErr w:type="spellStart"/>
      <w:r>
        <w:t>recognise</w:t>
      </w:r>
      <w:proofErr w:type="spellEnd"/>
      <w:r>
        <w:t xml:space="preserve"> palpable breast masses as a common indication for diagnostic evaluation, recommending ultrasound as the primary imaging modality for women younger than 30 years, whereas diagnostic mammography or digital breast tomosynthesis is generally preferred for older women according to the clinical presentation (Klein et al., 2023).</w:t>
      </w:r>
    </w:p>
    <w:p w14:paraId="572543DD" w14:textId="77777777" w:rsidR="000E30C3" w:rsidRDefault="000E30C3" w:rsidP="000E30C3">
      <w:pPr>
        <w:pStyle w:val="isselectedend"/>
      </w:pPr>
      <w:r>
        <w:t xml:space="preserve">Annatto (E-160B) is a naturally occurring yellow–orange pigment derived from the seeds of </w:t>
      </w:r>
      <w:r>
        <w:rPr>
          <w:rStyle w:val="Emphasis"/>
        </w:rPr>
        <w:t xml:space="preserve">Bixa </w:t>
      </w:r>
      <w:proofErr w:type="spellStart"/>
      <w:r>
        <w:rPr>
          <w:rStyle w:val="Emphasis"/>
        </w:rPr>
        <w:t>orellana</w:t>
      </w:r>
      <w:proofErr w:type="spellEnd"/>
      <w:r>
        <w:t xml:space="preserve"> and is widely regarded as a safer alternative to many synthetic </w:t>
      </w:r>
      <w:proofErr w:type="spellStart"/>
      <w:r>
        <w:t>colourants</w:t>
      </w:r>
      <w:proofErr w:type="spellEnd"/>
      <w:r>
        <w:t xml:space="preserve"> because of its relatively low toxicity, superior biodegradability, and </w:t>
      </w:r>
      <w:proofErr w:type="spellStart"/>
      <w:r>
        <w:t>favourable</w:t>
      </w:r>
      <w:proofErr w:type="spellEnd"/>
      <w:r>
        <w:t xml:space="preserve"> environmental profile (Shahid-ul-Islam et al., 2016). The </w:t>
      </w:r>
      <w:proofErr w:type="spellStart"/>
      <w:r>
        <w:t>colourant</w:t>
      </w:r>
      <w:proofErr w:type="spellEnd"/>
      <w:r>
        <w:t xml:space="preserve"> is obtained from the resinous outer coating of the seeds of the tropical plant </w:t>
      </w:r>
      <w:r>
        <w:rPr>
          <w:rStyle w:val="Emphasis"/>
        </w:rPr>
        <w:t xml:space="preserve">Bixa </w:t>
      </w:r>
      <w:proofErr w:type="spellStart"/>
      <w:r>
        <w:rPr>
          <w:rStyle w:val="Emphasis"/>
        </w:rPr>
        <w:t>orellana</w:t>
      </w:r>
      <w:proofErr w:type="spellEnd"/>
      <w:r>
        <w:t xml:space="preserve"> L., where the principal pigment, cis-bixin, is concentrated. Conventional processing involves mechanical abrasion of the seed coating in an appropriate suspending medium to release native bixin (Raju et al., 2022). Alternatively, alkaline hydrolysis in an aqueous medium may be employed to convert bixin into norbixin during extraction. Water and vegetable oil have traditionally served as suspending agents; however, solvent extraction techniques are increasingly </w:t>
      </w:r>
      <w:proofErr w:type="spellStart"/>
      <w:r>
        <w:t>utilised</w:t>
      </w:r>
      <w:proofErr w:type="spellEnd"/>
      <w:r>
        <w:t xml:space="preserve"> to obtain annatto extracts of higher purity. In response to industrial demand for more concentrated products, microcrystalline bixin preparations with purities ranging from 80% to 97% have been developed. Bixin and norbixin remain the principal </w:t>
      </w:r>
      <w:proofErr w:type="spellStart"/>
      <w:r>
        <w:t>colouring</w:t>
      </w:r>
      <w:proofErr w:type="spellEnd"/>
      <w:r>
        <w:t xml:space="preserve"> constituents isolated from the external seed layer (</w:t>
      </w:r>
      <w:proofErr w:type="spellStart"/>
      <w:r>
        <w:t>Taham</w:t>
      </w:r>
      <w:proofErr w:type="spellEnd"/>
      <w:r>
        <w:t xml:space="preserve"> et al., 2015). More recent investigations have further </w:t>
      </w:r>
      <w:proofErr w:type="spellStart"/>
      <w:r>
        <w:t>characterised</w:t>
      </w:r>
      <w:proofErr w:type="spellEnd"/>
      <w:r>
        <w:t xml:space="preserve"> bixin as a commercially important apocarotenoid that accumulates predominantly within the seed aril of </w:t>
      </w:r>
      <w:r>
        <w:rPr>
          <w:rStyle w:val="Emphasis"/>
        </w:rPr>
        <w:t xml:space="preserve">Bixa </w:t>
      </w:r>
      <w:proofErr w:type="spellStart"/>
      <w:r>
        <w:rPr>
          <w:rStyle w:val="Emphasis"/>
        </w:rPr>
        <w:t>orellana</w:t>
      </w:r>
      <w:proofErr w:type="spellEnd"/>
      <w:r>
        <w:t>, reinforcing the significance of annatto seeds as an economically valuable natural source of pigment (Moreira et al., 2023).</w:t>
      </w:r>
    </w:p>
    <w:p w14:paraId="4BA95C63" w14:textId="77777777" w:rsidR="000E30C3" w:rsidRDefault="000E30C3" w:rsidP="000E30C3">
      <w:pPr>
        <w:pStyle w:val="isselectedend"/>
      </w:pPr>
      <w:r>
        <w:t xml:space="preserve">An investigation employing ethanol-based extraction successfully isolated and </w:t>
      </w:r>
      <w:proofErr w:type="spellStart"/>
      <w:r>
        <w:t>characterised</w:t>
      </w:r>
      <w:proofErr w:type="spellEnd"/>
      <w:r>
        <w:t xml:space="preserve"> both bixin and norbixin from </w:t>
      </w:r>
      <w:r>
        <w:rPr>
          <w:rStyle w:val="Emphasis"/>
        </w:rPr>
        <w:t xml:space="preserve">Bixa </w:t>
      </w:r>
      <w:proofErr w:type="spellStart"/>
      <w:r>
        <w:rPr>
          <w:rStyle w:val="Emphasis"/>
        </w:rPr>
        <w:t>orellana</w:t>
      </w:r>
      <w:proofErr w:type="spellEnd"/>
      <w:r>
        <w:t xml:space="preserve"> seed dye, </w:t>
      </w:r>
      <w:proofErr w:type="spellStart"/>
      <w:r>
        <w:t>emphasising</w:t>
      </w:r>
      <w:proofErr w:type="spellEnd"/>
      <w:r>
        <w:t xml:space="preserve"> the importance of extraction solvent selection in determining the chemical composition and properties of annatto-derived pigments (Aluko, 2024). More broadly, plant-derived carotenoids have been </w:t>
      </w:r>
      <w:proofErr w:type="spellStart"/>
      <w:r>
        <w:t>recognised</w:t>
      </w:r>
      <w:proofErr w:type="spellEnd"/>
      <w:r>
        <w:t xml:space="preserve"> as naturally occurring pigments responsible for yellow-to-red </w:t>
      </w:r>
      <w:proofErr w:type="spellStart"/>
      <w:r>
        <w:t>colouration</w:t>
      </w:r>
      <w:proofErr w:type="spellEnd"/>
      <w:r>
        <w:t xml:space="preserve">, thereby providing an important biochemical basis for the chromogenic characteristics exhibited by annatto seed extracts (Saikia &amp; Das, 2023). Plant-derived dyes have also attracted attention as potential low-toxicity alternatives to conventional histological stains for microscopic applications, although their effectiveness is influenced by factors including the target tissue, extraction methodology, and staining protocol employed (Adeyemo et al., 2018). Phytochemical investigations of crude aqueous extracts of </w:t>
      </w:r>
      <w:r>
        <w:rPr>
          <w:rStyle w:val="Emphasis"/>
        </w:rPr>
        <w:t xml:space="preserve">Bixa </w:t>
      </w:r>
      <w:proofErr w:type="spellStart"/>
      <w:r>
        <w:rPr>
          <w:rStyle w:val="Emphasis"/>
        </w:rPr>
        <w:t>orellana</w:t>
      </w:r>
      <w:proofErr w:type="spellEnd"/>
      <w:r>
        <w:t xml:space="preserve"> have demonstrated the presence of flavonoids, tannins, anthraquinones, saponins, and terpenoids. Furthermore, solvent-dependent variations in </w:t>
      </w:r>
      <w:r>
        <w:lastRenderedPageBreak/>
        <w:t>phytochemical composition have been reported, with acetone extracts containing terpenoids and glycosides, methanol extracts containing tannins and glycosides, ethanol extracts containing tannins, flavonoids, saponins, steroids, and terpenoids, and hexane extracts predominantly containing glycosides (Alcazar-Alay et al., 2017).</w:t>
      </w:r>
    </w:p>
    <w:p w14:paraId="739E5ADC" w14:textId="1BCA3FD7" w:rsidR="000E30C3" w:rsidRPr="000E30C3" w:rsidRDefault="000E30C3" w:rsidP="000E30C3">
      <w:pPr>
        <w:pStyle w:val="NormalWeb"/>
      </w:pPr>
      <w:r>
        <w:t xml:space="preserve">The </w:t>
      </w:r>
      <w:proofErr w:type="spellStart"/>
      <w:r>
        <w:t>histomorphological</w:t>
      </w:r>
      <w:proofErr w:type="spellEnd"/>
      <w:r>
        <w:t xml:space="preserve"> assessment of breast lesions depends substantially on the accurate </w:t>
      </w:r>
      <w:proofErr w:type="spellStart"/>
      <w:r>
        <w:t>visualisation</w:t>
      </w:r>
      <w:proofErr w:type="spellEnd"/>
      <w:r>
        <w:t xml:space="preserve"> of stromal architecture, given the integral role of stromal components and the extracellular matrix in regulating the </w:t>
      </w:r>
      <w:proofErr w:type="spellStart"/>
      <w:r>
        <w:t>tumour</w:t>
      </w:r>
      <w:proofErr w:type="spellEnd"/>
      <w:r>
        <w:t xml:space="preserve"> microenvironment (Zhao et al., 2023). Recent advances in spatial transcriptomics and single-cell analytical approaches have further demonstrated that dynamic interactions between </w:t>
      </w:r>
      <w:proofErr w:type="spellStart"/>
      <w:r>
        <w:t>tumour</w:t>
      </w:r>
      <w:proofErr w:type="spellEnd"/>
      <w:r>
        <w:t xml:space="preserve"> stroma and cancer-associated fibroblasts evolve during </w:t>
      </w:r>
      <w:proofErr w:type="spellStart"/>
      <w:r>
        <w:t>tumour</w:t>
      </w:r>
      <w:proofErr w:type="spellEnd"/>
      <w:r>
        <w:t xml:space="preserve"> invasion and progression. These findings highlight the importance of histological staining techniques capable of preserving stromal integrity and providing clear morphological detail to facilitate accurate pathological interpretation (Risom et al., 2022; Mayer et al., 2023).</w:t>
      </w:r>
    </w:p>
    <w:p w14:paraId="2EF79B63" w14:textId="77777777" w:rsidR="00A84AFB" w:rsidRPr="00E0422C" w:rsidRDefault="00470541">
      <w:pPr>
        <w:spacing w:line="240" w:lineRule="auto"/>
        <w:jc w:val="both"/>
        <w:rPr>
          <w:rFonts w:ascii="Times New Roman" w:hAnsi="Times New Roman"/>
          <w:sz w:val="24"/>
          <w:szCs w:val="24"/>
        </w:rPr>
      </w:pPr>
      <w:r w:rsidRPr="00E0422C">
        <w:rPr>
          <w:rFonts w:ascii="Times New Roman" w:hAnsi="Times New Roman"/>
          <w:b/>
          <w:sz w:val="24"/>
        </w:rPr>
        <w:t>Research Gap</w:t>
      </w:r>
    </w:p>
    <w:p w14:paraId="6C110206" w14:textId="77777777" w:rsidR="00A84AFB" w:rsidRPr="00E0422C" w:rsidRDefault="00470541">
      <w:pPr>
        <w:spacing w:line="240" w:lineRule="auto"/>
        <w:jc w:val="both"/>
        <w:rPr>
          <w:rFonts w:ascii="Times New Roman" w:hAnsi="Times New Roman"/>
          <w:bCs/>
          <w:sz w:val="24"/>
          <w:szCs w:val="24"/>
        </w:rPr>
      </w:pPr>
      <w:r w:rsidRPr="00E0422C">
        <w:t>Although the chemical and biological basis of annatto pigments has been described, limited evidence is available on the performance of crude annatto seed extracts as counterstains for stromal components in human breast tumour sections. Existing work on natural staining has largely addressed microorganisms, animal tissues, or general pigment characterisation rather than comparative stromal demonstration in fibroadenoma, fibrocystic change, and invasive ductal carcinoma.</w:t>
      </w:r>
    </w:p>
    <w:p w14:paraId="638790F2" w14:textId="77777777" w:rsidR="00A84AFB" w:rsidRPr="00E0422C" w:rsidRDefault="00470541">
      <w:pPr>
        <w:spacing w:line="240" w:lineRule="auto"/>
        <w:jc w:val="both"/>
        <w:rPr>
          <w:rFonts w:ascii="Times New Roman" w:hAnsi="Times New Roman"/>
          <w:sz w:val="24"/>
          <w:szCs w:val="24"/>
        </w:rPr>
      </w:pPr>
      <w:r w:rsidRPr="00E0422C">
        <w:rPr>
          <w:rFonts w:ascii="Times New Roman" w:hAnsi="Times New Roman"/>
          <w:b/>
          <w:sz w:val="24"/>
        </w:rPr>
        <w:t>Objective of the Study</w:t>
      </w:r>
    </w:p>
    <w:p w14:paraId="62D07BFD" w14:textId="77777777" w:rsidR="00A84AFB" w:rsidRPr="00E0422C" w:rsidRDefault="00470541">
      <w:pPr>
        <w:spacing w:line="240" w:lineRule="auto"/>
        <w:jc w:val="both"/>
        <w:rPr>
          <w:rFonts w:ascii="Times New Roman" w:hAnsi="Times New Roman"/>
          <w:bCs/>
          <w:sz w:val="24"/>
          <w:szCs w:val="24"/>
        </w:rPr>
      </w:pPr>
      <w:r w:rsidRPr="00E0422C">
        <w:t>This study aimed to evaluate the histomorphological demonstration of stromal components in palpable female breast tumour sections counterstained with crude annatto seed extract and to compare the staining performance of different solvent extracts with routine haematoxylin and eosin staining.</w:t>
      </w:r>
    </w:p>
    <w:p w14:paraId="0EB4AEF9" w14:textId="77777777" w:rsidR="00307984" w:rsidRPr="00E0422C" w:rsidRDefault="00307984">
      <w:pPr>
        <w:spacing w:line="240" w:lineRule="auto"/>
        <w:jc w:val="both"/>
        <w:rPr>
          <w:rFonts w:ascii="Times New Roman" w:hAnsi="Times New Roman"/>
          <w:smallCaps/>
          <w:sz w:val="24"/>
          <w:szCs w:val="24"/>
        </w:rPr>
      </w:pPr>
    </w:p>
    <w:p w14:paraId="44A9483E" w14:textId="77777777" w:rsidR="00307984" w:rsidRPr="003F2FA9" w:rsidRDefault="009B06E7">
      <w:pPr>
        <w:spacing w:line="240" w:lineRule="auto"/>
        <w:jc w:val="both"/>
        <w:rPr>
          <w:rFonts w:ascii="Times New Roman" w:hAnsi="Times New Roman"/>
          <w:b/>
          <w:bCs/>
          <w:sz w:val="28"/>
          <w:szCs w:val="28"/>
        </w:rPr>
      </w:pPr>
      <w:r w:rsidRPr="003F2FA9">
        <w:rPr>
          <w:rFonts w:ascii="Times New Roman" w:hAnsi="Times New Roman"/>
          <w:b/>
          <w:bCs/>
          <w:sz w:val="28"/>
          <w:szCs w:val="28"/>
        </w:rPr>
        <w:t xml:space="preserve">Materials and Methods </w:t>
      </w:r>
    </w:p>
    <w:p w14:paraId="2D455ECC" w14:textId="77777777" w:rsidR="00307984" w:rsidRPr="00E0422C" w:rsidRDefault="009B06E7">
      <w:pPr>
        <w:spacing w:line="240" w:lineRule="auto"/>
        <w:jc w:val="both"/>
        <w:rPr>
          <w:rFonts w:ascii="Times New Roman" w:hAnsi="Times New Roman"/>
          <w:b/>
          <w:sz w:val="24"/>
          <w:szCs w:val="24"/>
        </w:rPr>
      </w:pPr>
      <w:r w:rsidRPr="00E0422C">
        <w:rPr>
          <w:rFonts w:ascii="Times New Roman" w:hAnsi="Times New Roman"/>
          <w:b/>
          <w:sz w:val="24"/>
          <w:szCs w:val="24"/>
        </w:rPr>
        <w:t>Study Area</w:t>
      </w:r>
    </w:p>
    <w:p w14:paraId="59527DA4" w14:textId="77777777" w:rsidR="00307984" w:rsidRPr="00E0422C" w:rsidRDefault="009B06E7">
      <w:pPr>
        <w:spacing w:line="240" w:lineRule="auto"/>
        <w:jc w:val="both"/>
        <w:rPr>
          <w:rFonts w:ascii="Times New Roman" w:hAnsi="Times New Roman"/>
          <w:sz w:val="24"/>
          <w:szCs w:val="24"/>
        </w:rPr>
      </w:pPr>
      <w:r w:rsidRPr="00E0422C">
        <w:t>This study was carried out on female patients who visited the Rivers State University Teaching Hospital, 6-8 Harley Street, Old GRA, Port Harcourt. Written informed consent was obtained from all study subjects before inclusion in the study. A total of 100 patients presenting with palpable breast masses were included based on the inclusion and exclusion criteria. Only female patients aged 15-60 years with a clinical diagnosis of breast lump were included. Female patients with a history of previous breast trauma, recurrent malignancy, or chemotherapy or radiotherapy were excluded.</w:t>
      </w:r>
    </w:p>
    <w:p w14:paraId="4CAAEBFF" w14:textId="77777777" w:rsidR="00307984" w:rsidRPr="00E0422C" w:rsidRDefault="00307984">
      <w:pPr>
        <w:spacing w:line="240" w:lineRule="auto"/>
        <w:jc w:val="both"/>
        <w:rPr>
          <w:rFonts w:ascii="Times New Roman" w:hAnsi="Times New Roman"/>
          <w:sz w:val="24"/>
          <w:szCs w:val="24"/>
        </w:rPr>
      </w:pPr>
    </w:p>
    <w:p w14:paraId="542C734C" w14:textId="77777777" w:rsidR="00307984" w:rsidRPr="00E0422C" w:rsidRDefault="00307984">
      <w:pPr>
        <w:spacing w:line="240" w:lineRule="auto"/>
        <w:jc w:val="both"/>
        <w:rPr>
          <w:rFonts w:ascii="Times New Roman" w:hAnsi="Times New Roman"/>
          <w:sz w:val="24"/>
          <w:szCs w:val="24"/>
        </w:rPr>
      </w:pPr>
    </w:p>
    <w:p w14:paraId="48500665" w14:textId="77777777" w:rsidR="00307984" w:rsidRPr="00E0422C" w:rsidRDefault="009B06E7">
      <w:pPr>
        <w:spacing w:line="240" w:lineRule="auto"/>
        <w:jc w:val="both"/>
        <w:rPr>
          <w:rFonts w:ascii="Times New Roman" w:hAnsi="Times New Roman"/>
          <w:sz w:val="24"/>
          <w:szCs w:val="24"/>
        </w:rPr>
      </w:pPr>
      <w:r w:rsidRPr="00E0422C">
        <w:rPr>
          <w:rFonts w:ascii="Times New Roman" w:hAnsi="Times New Roman"/>
          <w:b/>
          <w:bCs/>
          <w:color w:val="000000"/>
          <w:sz w:val="24"/>
          <w:szCs w:val="24"/>
          <w:shd w:val="clear" w:color="FFFFFF" w:fill="FFFFFF"/>
        </w:rPr>
        <w:t>Plant Identification</w:t>
      </w:r>
    </w:p>
    <w:p w14:paraId="41123E16" w14:textId="77777777" w:rsidR="00307984" w:rsidRPr="00E0422C" w:rsidRDefault="009B06E7">
      <w:pPr>
        <w:spacing w:line="240" w:lineRule="auto"/>
        <w:jc w:val="both"/>
        <w:rPr>
          <w:rFonts w:ascii="Times New Roman" w:hAnsi="Times New Roman"/>
          <w:sz w:val="24"/>
          <w:szCs w:val="24"/>
        </w:rPr>
      </w:pPr>
      <w:r w:rsidRPr="00E0422C">
        <w:lastRenderedPageBreak/>
        <w:t>The plant was identified by the Herbarium of the Department of Plant Science and Biotechnology, Faculty of Science, Rivers State University, Nkpolu-Oroworukwo, and was assigned the identification number RSUPbH0196 by Dr M. G. Ajuru in August 2024.</w:t>
      </w:r>
    </w:p>
    <w:p w14:paraId="73E4B352" w14:textId="77777777" w:rsidR="00307984" w:rsidRPr="00E0422C" w:rsidRDefault="009B06E7">
      <w:pPr>
        <w:spacing w:line="240" w:lineRule="auto"/>
        <w:jc w:val="both"/>
        <w:rPr>
          <w:rFonts w:ascii="Times New Roman" w:hAnsi="Times New Roman"/>
          <w:sz w:val="24"/>
          <w:szCs w:val="24"/>
        </w:rPr>
      </w:pPr>
      <w:r w:rsidRPr="00E0422C">
        <w:rPr>
          <w:rFonts w:ascii="Times New Roman" w:hAnsi="Times New Roman"/>
          <w:b/>
          <w:bCs/>
          <w:color w:val="000000"/>
          <w:sz w:val="24"/>
          <w:szCs w:val="24"/>
          <w:shd w:val="clear" w:color="FFFFFF" w:fill="FFFFFF"/>
        </w:rPr>
        <w:t>Phytochemical Analysis of the Extract</w:t>
      </w:r>
    </w:p>
    <w:p w14:paraId="27C04F1F" w14:textId="77777777" w:rsidR="00307984" w:rsidRPr="00E0422C" w:rsidRDefault="009B06E7">
      <w:pPr>
        <w:spacing w:line="240" w:lineRule="auto"/>
        <w:jc w:val="both"/>
        <w:rPr>
          <w:rFonts w:ascii="Times New Roman" w:hAnsi="Times New Roman"/>
          <w:sz w:val="24"/>
          <w:szCs w:val="24"/>
        </w:rPr>
      </w:pPr>
      <w:r w:rsidRPr="00E0422C">
        <w:t>Phytochemicals in the extract were determined quantitatively and qualitatively using classical methods and spectrophotometric methods, respectively (Spectro UV-Vis UV-2500, LaboMed Inc., USA). This analysis was carried out in the Department of Biochemistry, Faculty of Science, Rivers State University, in accordance with ISO 17025.</w:t>
      </w:r>
    </w:p>
    <w:p w14:paraId="17A81555" w14:textId="77777777" w:rsidR="00307984" w:rsidRPr="00E0422C" w:rsidRDefault="009B06E7">
      <w:pPr>
        <w:spacing w:line="240" w:lineRule="auto"/>
        <w:jc w:val="both"/>
        <w:rPr>
          <w:rFonts w:ascii="Times New Roman" w:hAnsi="Times New Roman"/>
          <w:sz w:val="24"/>
          <w:szCs w:val="24"/>
        </w:rPr>
      </w:pPr>
      <w:r w:rsidRPr="00E0422C">
        <w:rPr>
          <w:rFonts w:ascii="Times New Roman" w:hAnsi="Times New Roman"/>
          <w:b/>
          <w:bCs/>
          <w:color w:val="000000"/>
          <w:sz w:val="24"/>
          <w:szCs w:val="24"/>
          <w:shd w:val="clear" w:color="FFFFFF" w:fill="FFFFFF"/>
        </w:rPr>
        <w:t>Dye Extraction/Preparation</w:t>
      </w:r>
    </w:p>
    <w:p w14:paraId="264712C8" w14:textId="77777777" w:rsidR="00307984" w:rsidRPr="00E0422C" w:rsidRDefault="009B06E7">
      <w:pPr>
        <w:spacing w:line="240" w:lineRule="auto"/>
        <w:jc w:val="both"/>
        <w:rPr>
          <w:rFonts w:ascii="Times New Roman" w:hAnsi="Times New Roman"/>
          <w:sz w:val="24"/>
          <w:szCs w:val="24"/>
        </w:rPr>
      </w:pPr>
      <w:r w:rsidRPr="00E0422C">
        <w:t>The seeds were commercially obtained from Ubima, a village in Ikwerre Local Government Area, Rivers State, Nigeria, and were sun-dried.</w:t>
      </w:r>
    </w:p>
    <w:p w14:paraId="0FA83F47" w14:textId="77777777" w:rsidR="00307984" w:rsidRPr="00E0422C" w:rsidRDefault="009B06E7">
      <w:pPr>
        <w:spacing w:line="240" w:lineRule="auto"/>
        <w:jc w:val="both"/>
        <w:rPr>
          <w:rFonts w:ascii="Times New Roman" w:hAnsi="Times New Roman"/>
          <w:sz w:val="24"/>
          <w:szCs w:val="24"/>
        </w:rPr>
      </w:pPr>
      <w:r w:rsidRPr="00E0422C">
        <w:rPr>
          <w:rFonts w:ascii="Times New Roman" w:hAnsi="Times New Roman"/>
          <w:b/>
          <w:bCs/>
          <w:color w:val="000000"/>
          <w:sz w:val="24"/>
          <w:szCs w:val="24"/>
          <w:shd w:val="clear" w:color="FFFFFF" w:fill="FFFFFF"/>
        </w:rPr>
        <w:t>Staining Protocol</w:t>
      </w:r>
      <w:r w:rsidRPr="00E0422C">
        <w:rPr>
          <w:rFonts w:ascii="Times New Roman" w:hAnsi="Times New Roman"/>
          <w:color w:val="000000"/>
          <w:sz w:val="24"/>
          <w:szCs w:val="24"/>
          <w:shd w:val="clear" w:color="FFFFFF" w:fill="FFFFFF"/>
        </w:rPr>
        <w:t xml:space="preserve"> </w:t>
      </w:r>
    </w:p>
    <w:p w14:paraId="4490383F" w14:textId="77777777" w:rsidR="00307984" w:rsidRPr="00E0422C" w:rsidRDefault="009B06E7">
      <w:pPr>
        <w:spacing w:line="240" w:lineRule="auto"/>
        <w:jc w:val="both"/>
        <w:rPr>
          <w:rFonts w:ascii="Times New Roman" w:hAnsi="Times New Roman"/>
          <w:b/>
          <w:bCs/>
          <w:sz w:val="24"/>
          <w:szCs w:val="24"/>
        </w:rPr>
      </w:pPr>
      <w:r w:rsidRPr="00E0422C">
        <w:t>95% ethanolic seed extract</w:t>
      </w:r>
    </w:p>
    <w:p w14:paraId="6BCA9E3A" w14:textId="77777777" w:rsidR="00307984" w:rsidRPr="00E0422C" w:rsidRDefault="009B06E7">
      <w:pPr>
        <w:spacing w:line="240" w:lineRule="auto"/>
        <w:jc w:val="both"/>
        <w:rPr>
          <w:rFonts w:ascii="Times New Roman" w:hAnsi="Times New Roman"/>
          <w:b/>
          <w:bCs/>
          <w:sz w:val="24"/>
          <w:szCs w:val="24"/>
        </w:rPr>
      </w:pPr>
      <w:r w:rsidRPr="00E0422C">
        <w:rPr>
          <w:rFonts w:ascii="Times New Roman" w:hAnsi="Times New Roman"/>
          <w:b/>
          <w:bCs/>
          <w:color w:val="000000"/>
          <w:sz w:val="24"/>
          <w:szCs w:val="24"/>
          <w:shd w:val="clear" w:color="FFFFFF" w:fill="FFFFFF"/>
        </w:rPr>
        <w:t xml:space="preserve">Materials and reagents </w:t>
      </w:r>
    </w:p>
    <w:p w14:paraId="57251300" w14:textId="77777777" w:rsidR="00307984" w:rsidRPr="00E0422C" w:rsidRDefault="009B06E7" w:rsidP="002B73C7">
      <w:pPr>
        <w:spacing w:line="240" w:lineRule="auto"/>
        <w:rPr>
          <w:rFonts w:ascii="Times New Roman" w:hAnsi="Times New Roman"/>
          <w:sz w:val="24"/>
          <w:szCs w:val="24"/>
        </w:rPr>
      </w:pPr>
      <w:r w:rsidRPr="00E0422C">
        <w:rPr>
          <w:rFonts w:ascii="Times New Roman" w:hAnsi="Times New Roman"/>
          <w:color w:val="000000"/>
          <w:sz w:val="24"/>
          <w:szCs w:val="24"/>
          <w:shd w:val="clear" w:color="FFFFFF" w:fill="FFFFFF"/>
        </w:rPr>
        <w:t>Paraffin-embedded tissue sections (4-5 µm thick)</w:t>
      </w:r>
      <w:r w:rsidRPr="00E0422C">
        <w:rPr>
          <w:rFonts w:ascii="Times New Roman" w:hAnsi="Times New Roman"/>
          <w:color w:val="000000"/>
          <w:sz w:val="24"/>
          <w:szCs w:val="24"/>
          <w:shd w:val="clear" w:color="FFFFFF" w:fill="FFFFFF"/>
        </w:rPr>
        <w:cr/>
        <w:t>Xylene</w:t>
      </w:r>
      <w:r w:rsidRPr="00E0422C">
        <w:rPr>
          <w:rFonts w:ascii="Times New Roman" w:hAnsi="Times New Roman"/>
          <w:color w:val="000000"/>
          <w:sz w:val="24"/>
          <w:szCs w:val="24"/>
          <w:shd w:val="clear" w:color="FFFFFF" w:fill="FFFFFF"/>
        </w:rPr>
        <w:cr/>
        <w:t>Absolute ethanol (100%)</w:t>
      </w:r>
      <w:r w:rsidRPr="00E0422C">
        <w:rPr>
          <w:rFonts w:ascii="Times New Roman" w:hAnsi="Times New Roman"/>
          <w:color w:val="000000"/>
          <w:sz w:val="24"/>
          <w:szCs w:val="24"/>
          <w:shd w:val="clear" w:color="FFFFFF" w:fill="FFFFFF"/>
        </w:rPr>
        <w:cr/>
        <w:t xml:space="preserve"> 95% ethanol</w:t>
      </w:r>
      <w:r w:rsidRPr="00E0422C">
        <w:rPr>
          <w:rFonts w:ascii="Times New Roman" w:hAnsi="Times New Roman"/>
          <w:color w:val="000000"/>
          <w:sz w:val="24"/>
          <w:szCs w:val="24"/>
          <w:shd w:val="clear" w:color="FFFFFF" w:fill="FFFFFF"/>
        </w:rPr>
        <w:cr/>
        <w:t>70% ethanol</w:t>
      </w:r>
      <w:r w:rsidRPr="00E0422C">
        <w:rPr>
          <w:rFonts w:ascii="Times New Roman" w:hAnsi="Times New Roman"/>
          <w:color w:val="000000"/>
          <w:sz w:val="24"/>
          <w:szCs w:val="24"/>
          <w:shd w:val="clear" w:color="FFFFFF" w:fill="FFFFFF"/>
        </w:rPr>
        <w:cr/>
        <w:t xml:space="preserve"> Distilled water</w:t>
      </w:r>
    </w:p>
    <w:p w14:paraId="4456D19F" w14:textId="77777777" w:rsidR="00307984" w:rsidRPr="00E0422C" w:rsidRDefault="009B06E7">
      <w:pPr>
        <w:spacing w:line="240" w:lineRule="auto"/>
        <w:jc w:val="both"/>
        <w:rPr>
          <w:rFonts w:ascii="Times New Roman" w:hAnsi="Times New Roman"/>
          <w:sz w:val="24"/>
          <w:szCs w:val="24"/>
        </w:rPr>
      </w:pPr>
      <w:r w:rsidRPr="00E0422C">
        <w:t xml:space="preserve">Haematoxylin solution </w:t>
      </w:r>
    </w:p>
    <w:p w14:paraId="51B4ACCF" w14:textId="77777777" w:rsidR="00307984" w:rsidRPr="00E0422C" w:rsidRDefault="009B06E7" w:rsidP="00993502">
      <w:pPr>
        <w:spacing w:line="240" w:lineRule="auto"/>
        <w:rPr>
          <w:rFonts w:ascii="Times New Roman" w:hAnsi="Times New Roman"/>
          <w:sz w:val="24"/>
          <w:szCs w:val="24"/>
        </w:rPr>
      </w:pPr>
      <w:r w:rsidRPr="00E0422C">
        <w:rPr>
          <w:rFonts w:ascii="Times New Roman" w:hAnsi="Times New Roman"/>
          <w:color w:val="000000"/>
          <w:sz w:val="24"/>
          <w:szCs w:val="24"/>
          <w:shd w:val="clear" w:color="FFFFFF" w:fill="FFFFFF"/>
        </w:rPr>
        <w:t>10% acid alcohol</w:t>
      </w:r>
      <w:r w:rsidRPr="00E0422C">
        <w:rPr>
          <w:rFonts w:ascii="Times New Roman" w:hAnsi="Times New Roman"/>
          <w:color w:val="000000"/>
          <w:sz w:val="24"/>
          <w:szCs w:val="24"/>
          <w:shd w:val="clear" w:color="FFFFFF" w:fill="FFFFFF"/>
        </w:rPr>
        <w:cr/>
        <w:t>Ammonia water (0.1% ammonium hydroxide)</w:t>
      </w:r>
      <w:r w:rsidRPr="00E0422C">
        <w:rPr>
          <w:rFonts w:ascii="Times New Roman" w:hAnsi="Times New Roman"/>
          <w:color w:val="000000"/>
          <w:sz w:val="24"/>
          <w:szCs w:val="24"/>
          <w:shd w:val="clear" w:color="FFFFFF" w:fill="FFFFFF"/>
        </w:rPr>
        <w:cr/>
        <w:t>Mounting medium (DPX)</w:t>
      </w:r>
      <w:r w:rsidRPr="00E0422C">
        <w:rPr>
          <w:rFonts w:ascii="Times New Roman" w:hAnsi="Times New Roman"/>
          <w:color w:val="000000"/>
          <w:sz w:val="24"/>
          <w:szCs w:val="24"/>
          <w:shd w:val="clear" w:color="FFFFFF" w:fill="FFFFFF"/>
        </w:rPr>
        <w:cr/>
        <w:t>Glass slides and coverslips</w:t>
      </w:r>
      <w:r w:rsidRPr="00E0422C">
        <w:rPr>
          <w:rFonts w:ascii="Times New Roman" w:hAnsi="Times New Roman"/>
          <w:color w:val="000000"/>
          <w:sz w:val="24"/>
          <w:szCs w:val="24"/>
          <w:shd w:val="clear" w:color="FFFFFF" w:fill="FFFFFF"/>
        </w:rPr>
        <w:cr/>
        <w:t>Slide rack and staining dishes</w:t>
      </w:r>
      <w:r w:rsidRPr="00E0422C">
        <w:rPr>
          <w:rFonts w:ascii="Times New Roman" w:hAnsi="Times New Roman"/>
          <w:color w:val="000000"/>
          <w:sz w:val="24"/>
          <w:szCs w:val="24"/>
          <w:shd w:val="clear" w:color="FFFFFF" w:fill="FFFFFF"/>
        </w:rPr>
        <w:cr/>
        <w:t>Timer</w:t>
      </w:r>
      <w:r w:rsidRPr="00E0422C">
        <w:rPr>
          <w:rFonts w:ascii="Times New Roman" w:hAnsi="Times New Roman"/>
          <w:color w:val="000000"/>
          <w:sz w:val="24"/>
          <w:szCs w:val="24"/>
          <w:shd w:val="clear" w:color="FFFFFF" w:fill="FFFFFF"/>
        </w:rPr>
        <w:cr/>
        <w:t xml:space="preserve">Incubator </w:t>
      </w:r>
    </w:p>
    <w:p w14:paraId="1B565832" w14:textId="77777777" w:rsidR="00307984" w:rsidRPr="00E0422C" w:rsidRDefault="009B06E7">
      <w:pPr>
        <w:spacing w:line="240" w:lineRule="auto"/>
        <w:jc w:val="both"/>
        <w:rPr>
          <w:rFonts w:ascii="Times New Roman" w:hAnsi="Times New Roman"/>
          <w:b/>
          <w:bCs/>
          <w:sz w:val="24"/>
          <w:szCs w:val="24"/>
        </w:rPr>
      </w:pPr>
      <w:r w:rsidRPr="00E0422C">
        <w:rPr>
          <w:rFonts w:ascii="Times New Roman" w:hAnsi="Times New Roman"/>
          <w:b/>
          <w:bCs/>
          <w:sz w:val="24"/>
          <w:szCs w:val="24"/>
        </w:rPr>
        <w:t>Procedure</w:t>
      </w:r>
    </w:p>
    <w:p w14:paraId="5A822538" w14:textId="77777777" w:rsidR="00307984" w:rsidRPr="00E0422C" w:rsidRDefault="009B06E7">
      <w:pPr>
        <w:spacing w:line="240" w:lineRule="auto"/>
        <w:jc w:val="both"/>
        <w:rPr>
          <w:rFonts w:ascii="Times New Roman" w:hAnsi="Times New Roman"/>
          <w:b/>
          <w:bCs/>
          <w:sz w:val="24"/>
          <w:szCs w:val="24"/>
        </w:rPr>
      </w:pPr>
      <w:r w:rsidRPr="00E0422C">
        <w:rPr>
          <w:rFonts w:ascii="Times New Roman" w:hAnsi="Times New Roman"/>
          <w:b/>
          <w:bCs/>
          <w:sz w:val="24"/>
          <w:szCs w:val="24"/>
        </w:rPr>
        <w:t xml:space="preserve">Dewaxing and rehydration </w:t>
      </w:r>
    </w:p>
    <w:p w14:paraId="4DDAB1E1" w14:textId="77777777" w:rsidR="00307984" w:rsidRPr="00E0422C" w:rsidRDefault="009B06E7">
      <w:pPr>
        <w:spacing w:line="240" w:lineRule="auto"/>
        <w:jc w:val="both"/>
        <w:rPr>
          <w:rFonts w:ascii="Times New Roman" w:hAnsi="Times New Roman"/>
          <w:sz w:val="24"/>
          <w:szCs w:val="24"/>
        </w:rPr>
      </w:pPr>
      <w:r w:rsidRPr="00E0422C">
        <w:t>1. Dewaxed in two changes of xylene for 20 minutes each.</w:t>
      </w:r>
    </w:p>
    <w:p w14:paraId="59E6EB17"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2. Transferred the slides to absolute ethanol for 1 minute in two changes.</w:t>
      </w:r>
    </w:p>
    <w:p w14:paraId="0AD5AFD8" w14:textId="77777777" w:rsidR="00307984" w:rsidRPr="00E0422C" w:rsidRDefault="009B06E7" w:rsidP="00397C63">
      <w:pPr>
        <w:spacing w:line="240" w:lineRule="auto"/>
        <w:rPr>
          <w:rFonts w:ascii="Times New Roman" w:hAnsi="Times New Roman"/>
          <w:sz w:val="24"/>
          <w:szCs w:val="24"/>
        </w:rPr>
      </w:pPr>
      <w:r w:rsidRPr="00E0422C">
        <w:t>The slides were sequentially rehydrated by placing them in 95% ethanol for 1 minute, 70% ethanol for 1 minute, and then rinsing them in distilled water for 1 minute.</w:t>
      </w:r>
    </w:p>
    <w:p w14:paraId="42C7A6D1" w14:textId="77777777" w:rsidR="00307984" w:rsidRPr="00E0422C" w:rsidRDefault="009B06E7" w:rsidP="0080278D">
      <w:pPr>
        <w:spacing w:line="240" w:lineRule="auto"/>
        <w:rPr>
          <w:rFonts w:ascii="Times New Roman" w:hAnsi="Times New Roman"/>
          <w:sz w:val="24"/>
          <w:szCs w:val="24"/>
        </w:rPr>
      </w:pPr>
      <w:r w:rsidRPr="00E0422C">
        <w:lastRenderedPageBreak/>
        <w:t>Haematoxylin staining: The slides were submerged in haematoxylin solution for 15 minutes, rinsed in tap water for 1 minute, differentiated in 10% acid alcohol for 3 minutes, rinsed quickly in tap water, blued by dipping in ammonia water for 10 seconds, and rinsed in tap water for 1 minute to remove excess bluing agent.</w:t>
      </w:r>
    </w:p>
    <w:p w14:paraId="0057865B" w14:textId="77777777" w:rsidR="00307984" w:rsidRPr="00E0422C" w:rsidRDefault="009B06E7">
      <w:pPr>
        <w:spacing w:line="240" w:lineRule="auto"/>
        <w:jc w:val="both"/>
        <w:rPr>
          <w:rFonts w:ascii="Times New Roman" w:hAnsi="Times New Roman"/>
          <w:sz w:val="24"/>
          <w:szCs w:val="24"/>
        </w:rPr>
      </w:pPr>
      <w:r w:rsidRPr="00E0422C">
        <w:rPr>
          <w:rFonts w:ascii="Times New Roman" w:hAnsi="Times New Roman"/>
          <w:b/>
          <w:bCs/>
          <w:color w:val="000000"/>
          <w:sz w:val="24"/>
          <w:szCs w:val="24"/>
          <w:shd w:val="clear" w:color="FFFFFF" w:fill="FFFFFF"/>
        </w:rPr>
        <w:t>Counterstaining</w:t>
      </w:r>
      <w:r w:rsidRPr="00E0422C">
        <w:rPr>
          <w:rFonts w:ascii="Times New Roman" w:hAnsi="Times New Roman"/>
          <w:color w:val="000000"/>
          <w:sz w:val="24"/>
          <w:szCs w:val="24"/>
          <w:shd w:val="clear" w:color="FFFFFF" w:fill="FFFFFF"/>
        </w:rPr>
        <w:t xml:space="preserve"> </w:t>
      </w:r>
    </w:p>
    <w:p w14:paraId="38CA1026" w14:textId="77777777" w:rsidR="00307984" w:rsidRPr="00E0422C" w:rsidRDefault="009B06E7">
      <w:pPr>
        <w:spacing w:line="240" w:lineRule="auto"/>
        <w:jc w:val="both"/>
        <w:rPr>
          <w:rFonts w:ascii="Times New Roman" w:hAnsi="Times New Roman"/>
          <w:sz w:val="24"/>
          <w:szCs w:val="24"/>
        </w:rPr>
      </w:pPr>
      <w:r w:rsidRPr="00E0422C">
        <w:t>The slides were submerged in 95% ethanolic annatto seed extract for 10 minutes.</w:t>
      </w:r>
    </w:p>
    <w:p w14:paraId="3ADA5966" w14:textId="77777777" w:rsidR="00307984" w:rsidRPr="00E0422C" w:rsidRDefault="009B06E7">
      <w:pPr>
        <w:spacing w:line="240" w:lineRule="auto"/>
        <w:jc w:val="both"/>
        <w:rPr>
          <w:rFonts w:ascii="Times New Roman" w:hAnsi="Times New Roman"/>
          <w:b/>
          <w:bCs/>
          <w:sz w:val="24"/>
          <w:szCs w:val="24"/>
        </w:rPr>
      </w:pPr>
      <w:r w:rsidRPr="00E0422C">
        <w:rPr>
          <w:rFonts w:ascii="Times New Roman" w:hAnsi="Times New Roman"/>
          <w:b/>
          <w:bCs/>
          <w:sz w:val="24"/>
          <w:szCs w:val="24"/>
        </w:rPr>
        <w:t>Dehydration and Clearing</w:t>
      </w:r>
    </w:p>
    <w:p w14:paraId="65A46CE1" w14:textId="77777777" w:rsidR="00307984" w:rsidRPr="00E0422C" w:rsidRDefault="009B06E7">
      <w:pPr>
        <w:spacing w:line="240" w:lineRule="auto"/>
        <w:jc w:val="both"/>
        <w:rPr>
          <w:rFonts w:ascii="Times New Roman" w:hAnsi="Times New Roman"/>
          <w:sz w:val="24"/>
          <w:szCs w:val="24"/>
        </w:rPr>
      </w:pPr>
      <w:r w:rsidRPr="00E0422C">
        <w:t>The slides were dehydrated by sequential immersion in 70% ethanol, 80% ethanol, 95% ethanol, and absolute ethanol for 30 seconds each. The slides were allowed to drain and were then cleared in xylene for 1 minute.</w:t>
      </w:r>
    </w:p>
    <w:p w14:paraId="6FF1D0DF" w14:textId="77777777" w:rsidR="00307984" w:rsidRPr="00E0422C" w:rsidRDefault="00307984">
      <w:pPr>
        <w:spacing w:line="240" w:lineRule="auto"/>
        <w:jc w:val="both"/>
        <w:rPr>
          <w:rFonts w:ascii="Times New Roman" w:hAnsi="Times New Roman"/>
          <w:sz w:val="24"/>
          <w:szCs w:val="24"/>
        </w:rPr>
      </w:pPr>
    </w:p>
    <w:p w14:paraId="2AE6F2C0" w14:textId="77777777" w:rsidR="00307984" w:rsidRPr="00C11017" w:rsidRDefault="009B06E7">
      <w:pPr>
        <w:spacing w:line="240" w:lineRule="auto"/>
        <w:jc w:val="both"/>
        <w:rPr>
          <w:rFonts w:ascii="Times New Roman" w:hAnsi="Times New Roman"/>
          <w:b/>
          <w:bCs/>
          <w:sz w:val="24"/>
          <w:szCs w:val="24"/>
        </w:rPr>
      </w:pPr>
      <w:r w:rsidRPr="00C11017">
        <w:rPr>
          <w:rFonts w:ascii="Times New Roman" w:hAnsi="Times New Roman"/>
          <w:b/>
          <w:bCs/>
          <w:sz w:val="24"/>
          <w:szCs w:val="24"/>
        </w:rPr>
        <w:t>Mounting</w:t>
      </w:r>
    </w:p>
    <w:p w14:paraId="78FB6D6A" w14:textId="77777777" w:rsidR="00307984" w:rsidRPr="00E0422C" w:rsidRDefault="009B06E7">
      <w:pPr>
        <w:spacing w:line="240" w:lineRule="auto"/>
        <w:jc w:val="both"/>
        <w:rPr>
          <w:rFonts w:ascii="Times New Roman" w:hAnsi="Times New Roman"/>
          <w:sz w:val="24"/>
          <w:szCs w:val="24"/>
        </w:rPr>
      </w:pPr>
      <w:r w:rsidRPr="00E0422C">
        <w:t>Slides were mounted using DPX mountant and covered with clean coverslips.</w:t>
      </w:r>
    </w:p>
    <w:p w14:paraId="60A16827" w14:textId="77777777" w:rsidR="00307984" w:rsidRPr="00E0422C" w:rsidRDefault="009B06E7">
      <w:pPr>
        <w:spacing w:line="240" w:lineRule="auto"/>
        <w:jc w:val="both"/>
        <w:rPr>
          <w:rFonts w:ascii="Times New Roman" w:hAnsi="Times New Roman"/>
          <w:b/>
          <w:color w:val="000000"/>
          <w:sz w:val="24"/>
          <w:szCs w:val="24"/>
          <w:shd w:val="clear" w:color="FFFFFF" w:fill="FFFFFF"/>
        </w:rPr>
      </w:pPr>
      <w:r w:rsidRPr="00E0422C">
        <w:rPr>
          <w:rFonts w:ascii="Times New Roman" w:hAnsi="Times New Roman"/>
          <w:b/>
          <w:color w:val="000000"/>
          <w:sz w:val="24"/>
          <w:szCs w:val="24"/>
          <w:shd w:val="clear" w:color="FFFFFF" w:fill="FFFFFF"/>
        </w:rPr>
        <w:t>Staining Protocol for acetone extract</w:t>
      </w:r>
    </w:p>
    <w:p w14:paraId="2B2588B2"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Paraffin-embedded tissue sections (4-5 µm thick)</w:t>
      </w:r>
    </w:p>
    <w:p w14:paraId="59F9D70D"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Xylene</w:t>
      </w:r>
    </w:p>
    <w:p w14:paraId="60BBE503"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Absolute ethanol (100%)</w:t>
      </w:r>
    </w:p>
    <w:p w14:paraId="234D9562"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 xml:space="preserve"> 95% ethanol</w:t>
      </w:r>
    </w:p>
    <w:p w14:paraId="72689CA7"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70% ethanol</w:t>
      </w:r>
    </w:p>
    <w:p w14:paraId="324E9A85"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 xml:space="preserve"> Distilled water</w:t>
      </w:r>
    </w:p>
    <w:p w14:paraId="0C8AB0DE"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 xml:space="preserve">Haematoxylin solution </w:t>
      </w:r>
    </w:p>
    <w:p w14:paraId="3FAFF23D"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10% acid alcohol</w:t>
      </w:r>
    </w:p>
    <w:p w14:paraId="5BECF3D6"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Ammonia water (0.1% ammonium hydroxide)</w:t>
      </w:r>
    </w:p>
    <w:p w14:paraId="2C53453D"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Acetone</w:t>
      </w:r>
    </w:p>
    <w:p w14:paraId="11940F9A"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Mounting medium (DPX)</w:t>
      </w:r>
    </w:p>
    <w:p w14:paraId="782743A2"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Glass slides and coverslips</w:t>
      </w:r>
    </w:p>
    <w:p w14:paraId="155AA301"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Slide rack and staining dishes</w:t>
      </w:r>
    </w:p>
    <w:p w14:paraId="512C084C"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Timer</w:t>
      </w:r>
    </w:p>
    <w:p w14:paraId="21472886"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color w:val="000000"/>
          <w:sz w:val="24"/>
          <w:szCs w:val="24"/>
          <w:shd w:val="clear" w:color="FFFFFF" w:fill="FFFFFF"/>
        </w:rPr>
        <w:t xml:space="preserve">Incubator </w:t>
      </w:r>
    </w:p>
    <w:p w14:paraId="41EA5926" w14:textId="77777777" w:rsidR="00307984" w:rsidRPr="00E0422C" w:rsidRDefault="009B06E7">
      <w:pPr>
        <w:spacing w:line="240" w:lineRule="auto"/>
        <w:jc w:val="both"/>
        <w:rPr>
          <w:rFonts w:ascii="Times New Roman" w:hAnsi="Times New Roman"/>
          <w:b/>
          <w:bCs/>
          <w:color w:val="000000"/>
          <w:sz w:val="24"/>
          <w:szCs w:val="24"/>
          <w:shd w:val="clear" w:color="FFFFFF" w:fill="FFFFFF"/>
        </w:rPr>
      </w:pPr>
      <w:r w:rsidRPr="00E0422C">
        <w:rPr>
          <w:rFonts w:ascii="Times New Roman" w:hAnsi="Times New Roman"/>
          <w:b/>
          <w:bCs/>
          <w:color w:val="000000"/>
          <w:sz w:val="24"/>
          <w:szCs w:val="24"/>
          <w:shd w:val="clear" w:color="FFFFFF" w:fill="FFFFFF"/>
        </w:rPr>
        <w:lastRenderedPageBreak/>
        <w:t xml:space="preserve">Procedure </w:t>
      </w:r>
    </w:p>
    <w:p w14:paraId="566AD0AF" w14:textId="77777777" w:rsidR="00307984" w:rsidRPr="00E0422C" w:rsidRDefault="009B06E7">
      <w:pPr>
        <w:spacing w:line="240" w:lineRule="auto"/>
        <w:jc w:val="both"/>
        <w:rPr>
          <w:rFonts w:ascii="Times New Roman" w:hAnsi="Times New Roman"/>
          <w:b/>
          <w:bCs/>
          <w:color w:val="000000"/>
          <w:sz w:val="24"/>
          <w:szCs w:val="24"/>
          <w:shd w:val="clear" w:color="FFFFFF" w:fill="FFFFFF"/>
        </w:rPr>
      </w:pPr>
      <w:r w:rsidRPr="00E0422C">
        <w:rPr>
          <w:rFonts w:ascii="Times New Roman" w:hAnsi="Times New Roman"/>
          <w:b/>
          <w:bCs/>
          <w:color w:val="000000"/>
          <w:sz w:val="24"/>
          <w:szCs w:val="24"/>
          <w:shd w:val="clear" w:color="FFFFFF" w:fill="FFFFFF"/>
        </w:rPr>
        <w:t xml:space="preserve">Dewaxing and rehydration </w:t>
      </w:r>
    </w:p>
    <w:p w14:paraId="5AD4A729"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Dewaxed in two changes of xylene for 20 minutes each.</w:t>
      </w:r>
    </w:p>
    <w:p w14:paraId="2B1DA4B7"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The slides were transferred to absolute ethanol for 1 minute in two changes.</w:t>
      </w:r>
    </w:p>
    <w:p w14:paraId="2B44CBA3"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The slides were sequentially rehydrated by placing them in 95% ethanol for 1 minute and 80% ethanol for 1 minute.</w:t>
      </w:r>
    </w:p>
    <w:p w14:paraId="0944E6D0"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The slides were then placed in 70% ethanol for 1 minute and rinsed in distilled water for 1 minute.</w:t>
      </w:r>
    </w:p>
    <w:p w14:paraId="33576EB0" w14:textId="77777777" w:rsidR="00307984" w:rsidRPr="00E0422C" w:rsidRDefault="009B06E7">
      <w:pPr>
        <w:spacing w:line="240" w:lineRule="auto"/>
        <w:jc w:val="both"/>
        <w:rPr>
          <w:rFonts w:ascii="Times New Roman" w:hAnsi="Times New Roman"/>
          <w:b/>
          <w:bCs/>
          <w:color w:val="000000"/>
          <w:sz w:val="24"/>
          <w:szCs w:val="24"/>
          <w:shd w:val="clear" w:color="FFFFFF" w:fill="FFFFFF"/>
        </w:rPr>
      </w:pPr>
      <w:r w:rsidRPr="00E0422C">
        <w:t>Haematoxylin staining</w:t>
      </w:r>
    </w:p>
    <w:p w14:paraId="3C3E2776"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The slides were submerged in haematoxylin solution for 15 minutes.</w:t>
      </w:r>
    </w:p>
    <w:p w14:paraId="377CA552"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The slides were rinsed in tap water for 1 minute.</w:t>
      </w:r>
    </w:p>
    <w:p w14:paraId="43DF1142"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The slides were differentiated in 10% acid alcohol for 3 minutes.</w:t>
      </w:r>
    </w:p>
    <w:p w14:paraId="5FA5DBFA"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The slides were rinsed quickly in tap water.</w:t>
      </w:r>
    </w:p>
    <w:p w14:paraId="78F4FF33"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The slides were blued by dipping them in ammonia water for 10 seconds.</w:t>
      </w:r>
    </w:p>
    <w:p w14:paraId="69EF519E"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The slides were rinsed in tap water for 1 minute to remove excess bluing agent.</w:t>
      </w:r>
    </w:p>
    <w:p w14:paraId="1D1B119D"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rPr>
          <w:rFonts w:ascii="Times New Roman" w:hAnsi="Times New Roman"/>
          <w:b/>
          <w:bCs/>
          <w:color w:val="000000"/>
          <w:sz w:val="24"/>
          <w:szCs w:val="24"/>
          <w:shd w:val="clear" w:color="FFFFFF" w:fill="FFFFFF"/>
        </w:rPr>
        <w:t>Counterstaining</w:t>
      </w:r>
      <w:r w:rsidRPr="00E0422C">
        <w:rPr>
          <w:rFonts w:ascii="Times New Roman" w:hAnsi="Times New Roman"/>
          <w:color w:val="000000"/>
          <w:sz w:val="24"/>
          <w:szCs w:val="24"/>
          <w:shd w:val="clear" w:color="FFFFFF" w:fill="FFFFFF"/>
        </w:rPr>
        <w:t xml:space="preserve"> </w:t>
      </w:r>
    </w:p>
    <w:p w14:paraId="327F6723"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The slides were submerged in acetone annatto seed extract for 10 minutes.</w:t>
      </w:r>
    </w:p>
    <w:p w14:paraId="5CA47EE8" w14:textId="77777777" w:rsidR="00307984" w:rsidRPr="00E0422C" w:rsidRDefault="009B06E7">
      <w:pPr>
        <w:spacing w:line="240" w:lineRule="auto"/>
        <w:jc w:val="both"/>
        <w:rPr>
          <w:rFonts w:ascii="Times New Roman" w:hAnsi="Times New Roman"/>
          <w:b/>
          <w:bCs/>
          <w:color w:val="000000"/>
          <w:sz w:val="24"/>
          <w:szCs w:val="24"/>
          <w:shd w:val="clear" w:color="FFFFFF" w:fill="FFFFFF"/>
        </w:rPr>
      </w:pPr>
      <w:r w:rsidRPr="00E0422C">
        <w:rPr>
          <w:rFonts w:ascii="Times New Roman" w:hAnsi="Times New Roman"/>
          <w:b/>
          <w:bCs/>
          <w:color w:val="000000"/>
          <w:sz w:val="24"/>
          <w:szCs w:val="24"/>
          <w:shd w:val="clear" w:color="FFFFFF" w:fill="FFFFFF"/>
        </w:rPr>
        <w:t>Dehydration and Clearing</w:t>
      </w:r>
    </w:p>
    <w:p w14:paraId="2DA57847"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The slides were dehydrated by sequential immersion in 70% ethanol, 80% ethanol, 95% ethanol, and absolute ethanol for 30 seconds each.</w:t>
      </w:r>
    </w:p>
    <w:p w14:paraId="40040825"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The slides were allowed to drain and were then cleared in acetone for 2 minutes before transfer to xylene for 1 minute.</w:t>
      </w:r>
    </w:p>
    <w:p w14:paraId="75B950CD" w14:textId="77777777" w:rsidR="00307984" w:rsidRPr="00E0422C" w:rsidRDefault="00307984">
      <w:pPr>
        <w:spacing w:line="240" w:lineRule="auto"/>
        <w:jc w:val="both"/>
        <w:rPr>
          <w:rFonts w:ascii="Times New Roman" w:hAnsi="Times New Roman"/>
          <w:color w:val="000000"/>
          <w:sz w:val="24"/>
          <w:szCs w:val="24"/>
          <w:shd w:val="clear" w:color="FFFFFF" w:fill="FFFFFF"/>
        </w:rPr>
      </w:pPr>
    </w:p>
    <w:p w14:paraId="615DAEC0" w14:textId="77777777" w:rsidR="00307984" w:rsidRPr="00E0422C" w:rsidRDefault="009B06E7">
      <w:pPr>
        <w:spacing w:line="240" w:lineRule="auto"/>
        <w:jc w:val="both"/>
        <w:rPr>
          <w:rFonts w:ascii="Times New Roman" w:hAnsi="Times New Roman"/>
          <w:b/>
          <w:bCs/>
          <w:color w:val="000000"/>
          <w:sz w:val="24"/>
          <w:szCs w:val="24"/>
          <w:shd w:val="clear" w:color="FFFFFF" w:fill="FFFFFF"/>
        </w:rPr>
      </w:pPr>
      <w:r w:rsidRPr="00E0422C">
        <w:rPr>
          <w:rFonts w:ascii="Times New Roman" w:hAnsi="Times New Roman"/>
          <w:b/>
          <w:bCs/>
          <w:color w:val="000000"/>
          <w:sz w:val="24"/>
          <w:szCs w:val="24"/>
          <w:shd w:val="clear" w:color="FFFFFF" w:fill="FFFFFF"/>
        </w:rPr>
        <w:t>Mounting</w:t>
      </w:r>
    </w:p>
    <w:p w14:paraId="6205D357" w14:textId="77777777" w:rsidR="00307984" w:rsidRPr="00E0422C" w:rsidRDefault="009B06E7">
      <w:pPr>
        <w:spacing w:line="240" w:lineRule="auto"/>
        <w:jc w:val="both"/>
        <w:rPr>
          <w:rFonts w:ascii="Times New Roman" w:hAnsi="Times New Roman"/>
          <w:color w:val="000000"/>
          <w:sz w:val="24"/>
          <w:szCs w:val="24"/>
          <w:shd w:val="clear" w:color="FFFFFF" w:fill="FFFFFF"/>
        </w:rPr>
      </w:pPr>
      <w:r w:rsidRPr="00E0422C">
        <w:t>Slides were mounted using DPX mountant and covered with clean coverslips.</w:t>
      </w:r>
    </w:p>
    <w:p w14:paraId="14899769" w14:textId="77777777" w:rsidR="00307984" w:rsidRPr="00E0422C" w:rsidRDefault="009B06E7">
      <w:pPr>
        <w:spacing w:line="240" w:lineRule="auto"/>
        <w:jc w:val="both"/>
        <w:rPr>
          <w:rFonts w:ascii="Times New Roman" w:hAnsi="Times New Roman"/>
          <w:b/>
          <w:sz w:val="24"/>
          <w:szCs w:val="24"/>
        </w:rPr>
      </w:pPr>
      <w:r w:rsidRPr="00E0422C">
        <w:rPr>
          <w:rFonts w:ascii="Times New Roman" w:hAnsi="Times New Roman"/>
          <w:b/>
          <w:color w:val="000000"/>
          <w:sz w:val="24"/>
          <w:szCs w:val="24"/>
          <w:shd w:val="clear" w:color="FFFFFF" w:fill="FFFFFF"/>
        </w:rPr>
        <w:t>Data Analysis</w:t>
      </w:r>
      <w:r w:rsidRPr="00E0422C">
        <w:rPr>
          <w:rFonts w:ascii="Times New Roman" w:hAnsi="Times New Roman"/>
          <w:b/>
          <w:color w:val="000000"/>
          <w:sz w:val="24"/>
          <w:szCs w:val="24"/>
          <w:shd w:val="clear" w:color="FFFFFF" w:fill="FFFFFF"/>
        </w:rPr>
        <w:tab/>
      </w:r>
    </w:p>
    <w:p w14:paraId="7D8252B6" w14:textId="77777777" w:rsidR="00307984" w:rsidRPr="00E0422C" w:rsidRDefault="009B06E7">
      <w:pPr>
        <w:spacing w:line="240" w:lineRule="auto"/>
        <w:jc w:val="both"/>
        <w:rPr>
          <w:rFonts w:ascii="Times New Roman" w:hAnsi="Times New Roman"/>
          <w:sz w:val="24"/>
          <w:szCs w:val="24"/>
        </w:rPr>
      </w:pPr>
      <w:r w:rsidRPr="00E0422C">
        <w:t xml:space="preserve">The results obtained from the staining reaction of </w:t>
      </w:r>
      <w:r w:rsidRPr="00E0422C">
        <w:rPr>
          <w:i/>
        </w:rPr>
        <w:t>B. orellana</w:t>
      </w:r>
      <w:r w:rsidRPr="00E0422C">
        <w:t xml:space="preserve"> seed extract were presented photomicrographically and analysed after photomicrographs of sections from all staining interventions were taken and compared with haematoxylin and eosin staining techniques.</w:t>
      </w:r>
    </w:p>
    <w:p w14:paraId="0BABF978" w14:textId="77777777" w:rsidR="00307984" w:rsidRPr="00E0422C" w:rsidRDefault="00307984">
      <w:pPr>
        <w:spacing w:line="240" w:lineRule="auto"/>
        <w:jc w:val="both"/>
        <w:rPr>
          <w:rFonts w:ascii="Times New Roman" w:hAnsi="Times New Roman"/>
          <w:sz w:val="24"/>
          <w:szCs w:val="24"/>
        </w:rPr>
      </w:pPr>
    </w:p>
    <w:p w14:paraId="5F8E330E"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rPr>
          <w:rFonts w:ascii="Times New Roman" w:hAnsi="Times New Roman"/>
          <w:b/>
          <w:bCs/>
          <w:color w:val="000000"/>
          <w:sz w:val="24"/>
          <w:szCs w:val="24"/>
        </w:rPr>
        <w:t>RESULTS</w:t>
      </w:r>
    </w:p>
    <w:p w14:paraId="6D497E58" w14:textId="77777777" w:rsidR="00307984" w:rsidRPr="00E0422C" w:rsidRDefault="009B06E7">
      <w:pPr>
        <w:spacing w:line="240" w:lineRule="auto"/>
        <w:jc w:val="both"/>
        <w:rPr>
          <w:rFonts w:ascii="Times New Roman" w:hAnsi="Times New Roman"/>
          <w:sz w:val="24"/>
          <w:szCs w:val="24"/>
        </w:rPr>
      </w:pPr>
      <w:r w:rsidRPr="00E0422C">
        <w:rPr>
          <w:rFonts w:ascii="Times New Roman" w:hAnsi="Times New Roman"/>
          <w:b/>
          <w:bCs/>
          <w:color w:val="000000"/>
          <w:sz w:val="24"/>
          <w:szCs w:val="24"/>
        </w:rPr>
        <w:lastRenderedPageBreak/>
        <w:t xml:space="preserve">4.1 </w:t>
      </w:r>
      <w:r w:rsidRPr="00E0422C">
        <w:rPr>
          <w:rFonts w:ascii="Times New Roman" w:hAnsi="Times New Roman"/>
          <w:sz w:val="24"/>
          <w:szCs w:val="24"/>
        </w:rPr>
        <w:tab/>
      </w:r>
      <w:r w:rsidRPr="00E0422C">
        <w:rPr>
          <w:rFonts w:ascii="Times New Roman" w:hAnsi="Times New Roman"/>
          <w:b/>
          <w:bCs/>
          <w:color w:val="000000"/>
          <w:sz w:val="24"/>
          <w:szCs w:val="24"/>
        </w:rPr>
        <w:t>Crude Extract of Annatto Seed</w:t>
      </w:r>
    </w:p>
    <w:p w14:paraId="3780E324"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t>Varying degrees of colour intensity were observed from the solvents used to extract dye from the dried annatto seeds. The extract volumes also differed. Acetone gave the highest extract volume and deepest colour. The 95% ethanolic extract gave a lower volume than acetone, followed by the 70% ethanolic extract, while distilled water produced the least colour and volume.</w:t>
      </w:r>
    </w:p>
    <w:p w14:paraId="6696A894" w14:textId="77777777" w:rsidR="00307984" w:rsidRPr="00250F8B" w:rsidRDefault="009B06E7">
      <w:pPr>
        <w:shd w:val="clear" w:color="FFFFFF" w:fill="FFFFFF"/>
        <w:spacing w:line="240" w:lineRule="auto"/>
        <w:jc w:val="both"/>
        <w:textAlignment w:val="baseline"/>
        <w:rPr>
          <w:rFonts w:ascii="Times New Roman" w:hAnsi="Times New Roman"/>
          <w:b/>
          <w:bCs/>
          <w:sz w:val="24"/>
          <w:szCs w:val="24"/>
        </w:rPr>
      </w:pPr>
      <w:r w:rsidRPr="00250F8B">
        <w:rPr>
          <w:rFonts w:ascii="Times New Roman" w:hAnsi="Times New Roman"/>
          <w:b/>
          <w:bCs/>
          <w:color w:val="000000"/>
          <w:sz w:val="24"/>
          <w:szCs w:val="24"/>
        </w:rPr>
        <w:t xml:space="preserve">Histological Analysis </w:t>
      </w:r>
    </w:p>
    <w:p w14:paraId="3CCE2110" w14:textId="77777777" w:rsidR="00307984" w:rsidRPr="00250F8B" w:rsidRDefault="009B06E7">
      <w:pPr>
        <w:shd w:val="clear" w:color="FFFFFF" w:fill="FFFFFF"/>
        <w:spacing w:line="240" w:lineRule="auto"/>
        <w:jc w:val="both"/>
        <w:textAlignment w:val="baseline"/>
        <w:rPr>
          <w:rFonts w:ascii="Times New Roman" w:hAnsi="Times New Roman"/>
          <w:b/>
          <w:bCs/>
          <w:sz w:val="24"/>
          <w:szCs w:val="24"/>
        </w:rPr>
      </w:pPr>
      <w:r w:rsidRPr="00250F8B">
        <w:rPr>
          <w:rFonts w:ascii="Times New Roman" w:hAnsi="Times New Roman"/>
          <w:b/>
          <w:bCs/>
          <w:color w:val="000000"/>
          <w:sz w:val="24"/>
          <w:szCs w:val="24"/>
        </w:rPr>
        <w:t>Fibrocystic Change</w:t>
      </w:r>
    </w:p>
    <w:p w14:paraId="4AD740D9"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t>The photomicrographs obtained from breast tissue stained with haematoxylin and eosin showed proliferative ducts and stroma. The ducts were lined by a double layer of benign cells.</w:t>
      </w:r>
    </w:p>
    <w:p w14:paraId="3EDF9D19"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t>Photomicrographs obtained from sections stained with acetone appeared poorly stained and were not well differentiated, with an obvious yellowish background.</w:t>
      </w:r>
    </w:p>
    <w:p w14:paraId="239AA0E0"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t>Sections stained with 70% extract also appeared poorly stained and were not well differentiated, with an obvious yellowish background.</w:t>
      </w:r>
    </w:p>
    <w:p w14:paraId="7E1A6E37"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t>In contrast, photomicrographs obtained from the 95% extract showed clearer staining with visible stromal components and no obvious yellowish background.</w:t>
      </w:r>
    </w:p>
    <w:p w14:paraId="570320B3" w14:textId="77777777" w:rsidR="00307984" w:rsidRPr="00E0422C" w:rsidRDefault="00307984">
      <w:pPr>
        <w:shd w:val="clear" w:color="FFFFFF" w:fill="FFFFFF"/>
        <w:spacing w:line="240" w:lineRule="auto"/>
        <w:jc w:val="both"/>
        <w:textAlignment w:val="baseline"/>
        <w:rPr>
          <w:rFonts w:ascii="Times New Roman" w:hAnsi="Times New Roman"/>
          <w:sz w:val="24"/>
          <w:szCs w:val="24"/>
        </w:rPr>
      </w:pPr>
    </w:p>
    <w:p w14:paraId="2E0A6272" w14:textId="77777777" w:rsidR="00307984" w:rsidRPr="00250F8B" w:rsidRDefault="00307984">
      <w:pPr>
        <w:shd w:val="clear" w:color="FFFFFF" w:fill="FFFFFF"/>
        <w:spacing w:line="240" w:lineRule="auto"/>
        <w:jc w:val="both"/>
        <w:textAlignment w:val="baseline"/>
        <w:rPr>
          <w:rFonts w:ascii="Times New Roman" w:hAnsi="Times New Roman"/>
          <w:b/>
          <w:bCs/>
          <w:sz w:val="24"/>
          <w:szCs w:val="24"/>
        </w:rPr>
      </w:pPr>
    </w:p>
    <w:p w14:paraId="5F6F8D13" w14:textId="77777777" w:rsidR="00307984" w:rsidRPr="00250F8B" w:rsidRDefault="009B06E7">
      <w:pPr>
        <w:shd w:val="clear" w:color="FFFFFF" w:fill="FFFFFF"/>
        <w:spacing w:line="240" w:lineRule="auto"/>
        <w:jc w:val="both"/>
        <w:textAlignment w:val="baseline"/>
        <w:rPr>
          <w:rFonts w:ascii="Times New Roman" w:hAnsi="Times New Roman"/>
          <w:b/>
          <w:bCs/>
          <w:sz w:val="24"/>
          <w:szCs w:val="24"/>
        </w:rPr>
      </w:pPr>
      <w:r w:rsidRPr="00250F8B">
        <w:rPr>
          <w:rFonts w:ascii="Times New Roman" w:hAnsi="Times New Roman"/>
          <w:b/>
          <w:bCs/>
          <w:color w:val="000000"/>
          <w:sz w:val="24"/>
          <w:szCs w:val="24"/>
        </w:rPr>
        <w:t>Fibroadenoma</w:t>
      </w:r>
    </w:p>
    <w:p w14:paraId="5583EDB0"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t>The photomicrographs obtained from breast tissue stained with haematoxylin and eosin showed an encapsulated benign biphasic neoplasm composed of glands lined by both luminal and myoepithelial cells.</w:t>
      </w:r>
    </w:p>
    <w:p w14:paraId="41426655"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t>Photomicrographs obtained from sections stained with acetone appeared poorly stained and were not well differentiated, with an obvious yellowish background, although the tissue architecture was retained.</w:t>
      </w:r>
    </w:p>
    <w:p w14:paraId="2B5CAC36"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t>Sections stained with 70% extract also appeared poorly stained and were not well differentiated, with an obvious yellowish background.</w:t>
      </w:r>
    </w:p>
    <w:p w14:paraId="1D476B96"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t>In contrast, photomicrographs obtained from the 95% extract showed clearer staining with visible stromal components, no obvious yellowish background, and clearer tissue architecture and morphology.</w:t>
      </w:r>
    </w:p>
    <w:p w14:paraId="57F71668" w14:textId="77777777" w:rsidR="00307984" w:rsidRPr="00250F8B" w:rsidRDefault="009B06E7">
      <w:pPr>
        <w:shd w:val="clear" w:color="FFFFFF" w:fill="FFFFFF"/>
        <w:spacing w:line="240" w:lineRule="auto"/>
        <w:jc w:val="both"/>
        <w:textAlignment w:val="baseline"/>
        <w:rPr>
          <w:rFonts w:ascii="Times New Roman" w:hAnsi="Times New Roman"/>
          <w:b/>
          <w:bCs/>
          <w:sz w:val="24"/>
          <w:szCs w:val="24"/>
        </w:rPr>
      </w:pPr>
      <w:r w:rsidRPr="00250F8B">
        <w:rPr>
          <w:b/>
          <w:bCs/>
        </w:rPr>
        <w:t>Invasive ductal carcinoma</w:t>
      </w:r>
    </w:p>
    <w:p w14:paraId="3D238779"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t>The photomicrographs obtained from breast tissue stained with haematoxylin and eosin showed desmoplastic stroma with an intense infiltrate of lymphocytes and plasma cells and a moderate mitotic rate.</w:t>
      </w:r>
    </w:p>
    <w:p w14:paraId="1710F1D2"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t>Photomicrographs obtained from sections stained with acetone appeared poorly stained and were not well differentiated, with an obvious yellowish background, although the tissue architecture was retained.</w:t>
      </w:r>
    </w:p>
    <w:p w14:paraId="0019B5FF"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t>Sections stained with 70% extract also appeared poorly stained and were not well differentiated, with an obvious yellowish background.</w:t>
      </w:r>
    </w:p>
    <w:p w14:paraId="7567ADA8" w14:textId="77777777" w:rsidR="00307984" w:rsidRPr="00E0422C" w:rsidRDefault="009B06E7">
      <w:pPr>
        <w:shd w:val="clear" w:color="FFFFFF" w:fill="FFFFFF"/>
        <w:spacing w:line="240" w:lineRule="auto"/>
        <w:jc w:val="both"/>
        <w:textAlignment w:val="baseline"/>
        <w:rPr>
          <w:rFonts w:ascii="Times New Roman" w:hAnsi="Times New Roman"/>
          <w:sz w:val="24"/>
          <w:szCs w:val="24"/>
        </w:rPr>
      </w:pPr>
      <w:r w:rsidRPr="00E0422C">
        <w:lastRenderedPageBreak/>
        <w:t>In contrast, photomicrographs obtained from the 95% extract showed clearer staining with visible stromal components, no obvious yellowish background, and clearer tissue architecture and morphology.</w:t>
      </w:r>
    </w:p>
    <w:p w14:paraId="257E04D0" w14:textId="77777777" w:rsidR="00307984" w:rsidRPr="00E0422C" w:rsidRDefault="00307984">
      <w:pPr>
        <w:shd w:val="clear" w:color="FFFFFF" w:fill="FFFFFF"/>
        <w:spacing w:line="240" w:lineRule="auto"/>
        <w:jc w:val="both"/>
        <w:textAlignment w:val="baseline"/>
        <w:rPr>
          <w:rFonts w:ascii="Times New Roman" w:hAnsi="Times New Roman"/>
          <w:sz w:val="24"/>
          <w:szCs w:val="24"/>
        </w:rPr>
      </w:pPr>
    </w:p>
    <w:p w14:paraId="6E8B6DB6" w14:textId="77777777" w:rsidR="00307984" w:rsidRPr="00E0422C" w:rsidRDefault="00307984">
      <w:pPr>
        <w:shd w:val="clear" w:color="FFFFFF" w:fill="FFFFFF"/>
        <w:spacing w:line="240" w:lineRule="auto"/>
        <w:jc w:val="both"/>
        <w:textAlignment w:val="baseline"/>
        <w:rPr>
          <w:rFonts w:ascii="Times New Roman" w:hAnsi="Times New Roman"/>
          <w:sz w:val="24"/>
          <w:szCs w:val="24"/>
        </w:rPr>
      </w:pPr>
    </w:p>
    <w:p w14:paraId="75FCCA43" w14:textId="77777777" w:rsidR="00307984" w:rsidRPr="00E0422C" w:rsidRDefault="00307984">
      <w:pPr>
        <w:spacing w:line="240" w:lineRule="auto"/>
        <w:jc w:val="both"/>
        <w:rPr>
          <w:rFonts w:ascii="Times New Roman" w:hAnsi="Times New Roman"/>
          <w:sz w:val="24"/>
          <w:szCs w:val="24"/>
        </w:rPr>
      </w:pPr>
    </w:p>
    <w:p w14:paraId="7DE862F3"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smallCaps/>
          <w:noProof/>
          <w:sz w:val="24"/>
          <w:szCs w:val="24"/>
          <w:lang w:eastAsia="en-US"/>
        </w:rPr>
        <mc:AlternateContent>
          <mc:Choice Requires="wps">
            <w:drawing>
              <wp:anchor distT="0" distB="0" distL="0" distR="0" simplePos="0" relativeHeight="11" behindDoc="0" locked="0" layoutInCell="1" allowOverlap="1" wp14:anchorId="33DAE969" wp14:editId="70391EE2">
                <wp:simplePos x="0" y="0"/>
                <wp:positionH relativeFrom="column">
                  <wp:posOffset>0</wp:posOffset>
                </wp:positionH>
                <wp:positionV relativeFrom="paragraph">
                  <wp:posOffset>0</wp:posOffset>
                </wp:positionV>
                <wp:extent cx="635000" cy="635000"/>
                <wp:effectExtent l="9525" t="9525" r="12700" b="12700"/>
                <wp:wrapNone/>
                <wp:docPr id="102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00" cy="63500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shapetype id="_x0000_t32" coordsize="21600,21600" o:spt="32" o:oned="t" path="m,l21600,21600e">
                <v:path arrowok="t" fillok="f" o:connecttype="none"/>
                <o:lock v:ext="edit" shapetype="t"/>
              </v:shapetype>
              <v:shape id="1026" type="#_x0000_t32" filled="f" style="position:absolute;margin-left:0.0pt;margin-top:0.0pt;width:50.0pt;height:50.0pt;z-index:11;mso-position-horizontal-relative:text;mso-position-vertical-relative:text;mso-width-percent:0;mso-height-percent:0;mso-width-relative:page;mso-height-relative:page;mso-wrap-distance-left:0.0pt;mso-wrap-distance-right:0.0pt;visibility:visible;">
                <v:fill/>
              </v:shape>
            </w:pict>
          </mc:Fallback>
        </mc:AlternateContent>
      </w:r>
      <w:r w:rsidRPr="00E0422C">
        <w:rPr>
          <w:rFonts w:ascii="Times New Roman" w:hAnsi="Times New Roman"/>
          <w:noProof/>
          <w:color w:val="000000"/>
          <w:sz w:val="24"/>
          <w:szCs w:val="24"/>
          <w:lang w:eastAsia="en-US"/>
        </w:rPr>
        <mc:AlternateContent>
          <mc:Choice Requires="wpg">
            <w:drawing>
              <wp:anchor distT="0" distB="0" distL="0" distR="0" simplePos="0" relativeHeight="2" behindDoc="0" locked="0" layoutInCell="1" allowOverlap="1" wp14:anchorId="5A62B7B7" wp14:editId="182ECBD0">
                <wp:simplePos x="0" y="0"/>
                <wp:positionH relativeFrom="column">
                  <wp:posOffset>1364615</wp:posOffset>
                </wp:positionH>
                <wp:positionV relativeFrom="paragraph">
                  <wp:posOffset>3475990</wp:posOffset>
                </wp:positionV>
                <wp:extent cx="2113915" cy="621029"/>
                <wp:effectExtent l="2540" t="66040" r="55245" b="0"/>
                <wp:wrapNone/>
                <wp:docPr id="1027" name="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3915" cy="621029"/>
                          <a:chOff x="-404037" y="0"/>
                          <a:chExt cx="2113663" cy="621079"/>
                        </a:xfrm>
                      </wpg:grpSpPr>
                      <wps:wsp>
                        <wps:cNvPr id="941756385" name="Straight Arrow Connector 941756385"/>
                        <wps:cNvCnPr/>
                        <wps:spPr>
                          <a:xfrm flipV="1">
                            <a:off x="997245" y="0"/>
                            <a:ext cx="712381" cy="425302"/>
                          </a:xfrm>
                          <a:prstGeom prst="straightConnector1">
                            <a:avLst/>
                          </a:prstGeom>
                          <a:ln w="28575" cap="flat" cmpd="sng">
                            <a:solidFill>
                              <a:srgbClr val="000000"/>
                            </a:solidFill>
                            <a:prstDash val="solid"/>
                            <a:round/>
                            <a:headEnd type="none" w="med" len="med"/>
                            <a:tailEnd type="triangle" w="med" len="med"/>
                          </a:ln>
                        </wps:spPr>
                        <wps:bodyPr/>
                      </wps:wsp>
                      <wps:wsp>
                        <wps:cNvPr id="2091231621" name="Rectangle 2091231621"/>
                        <wps:cNvSpPr/>
                        <wps:spPr>
                          <a:xfrm>
                            <a:off x="-404037" y="280837"/>
                            <a:ext cx="1530775" cy="340242"/>
                          </a:xfrm>
                          <a:prstGeom prst="rect">
                            <a:avLst/>
                          </a:prstGeom>
                          <a:ln>
                            <a:noFill/>
                          </a:ln>
                        </wps:spPr>
                        <wps:bodyPr>
                          <a:prstTxWarp prst="textNoShape">
                            <a:avLst/>
                          </a:prstTxWarp>
                        </wps:bodyPr>
                      </wps:wsp>
                    </wpg:wgp>
                  </a:graphicData>
                </a:graphic>
                <wp14:sizeRelH relativeFrom="margin">
                  <wp14:pctWidth>0</wp14:pctWidth>
                </wp14:sizeRelH>
                <wp14:sizeRelV relativeFrom="page">
                  <wp14:pctHeight>0</wp14:pctHeight>
                </wp14:sizeRelV>
              </wp:anchor>
            </w:drawing>
          </mc:Choice>
          <mc:Fallback xmlns:wpsCustomData="http://www.wps.cn/officeDocument/2013/wpsCustomData">
            <w:pict>
              <v:group id="1027" filled="f" stroked="f" style="position:absolute;margin-left:107.45pt;margin-top:273.7pt;width:166.45pt;height:48.9pt;z-index:2;mso-position-horizontal-relative:text;mso-position-vertical-relative:text;mso-width-percent:0;mso-height-percent:0;mso-width-relative:margin;mso-height-relative:page;mso-wrap-distance-left:0.0pt;mso-wrap-distance-right:0.0pt;visibility:visible;" coordsize="2113663,621079" coordorigin="-404037,0">
                <v:shape id="1028" type="#_x0000_t32" filled="f" style="position:absolute;left:997245;top:0;width:712381;height:425302;z-index:2;mso-position-horizontal-relative:page;mso-position-vertical-relative:page;mso-width-relative:page;mso-height-relative:page;visibility:visible;flip:y;">
                  <v:stroke endarrow="block" weight="2.25pt"/>
                  <v:fill/>
                </v:shape>
                <v:rect id="1029" filled="f" stroked="f" style="position:absolute;left:-404037;top:280837;width:1530775;height:340242;z-index:3;mso-position-horizontal-relative:page;mso-position-vertical-relative:page;mso-width-relative:page;mso-height-relative:page;visibility:visible;">
                  <v:stroke on="f"/>
                  <v:fill/>
                </v:rect>
                <v:fill/>
              </v:group>
            </w:pict>
          </mc:Fallback>
        </mc:AlternateContent>
      </w:r>
      <w:r w:rsidRPr="00E0422C">
        <w:rPr>
          <w:rFonts w:ascii="Times New Roman" w:hAnsi="Times New Roman"/>
          <w:noProof/>
          <w:color w:val="000000"/>
          <w:sz w:val="24"/>
          <w:szCs w:val="24"/>
          <w:lang w:eastAsia="en-US"/>
        </w:rPr>
        <w:drawing>
          <wp:inline distT="0" distB="0" distL="0" distR="0" wp14:anchorId="564DA65B" wp14:editId="7BF3C8F2">
            <wp:extent cx="5943600" cy="4460240"/>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37" cstate="print"/>
                    <a:srcRect/>
                    <a:stretch/>
                  </pic:blipFill>
                  <pic:spPr>
                    <a:xfrm>
                      <a:off x="0" y="0"/>
                      <a:ext cx="5943600" cy="4460240"/>
                    </a:xfrm>
                    <a:prstGeom prst="rect">
                      <a:avLst/>
                    </a:prstGeom>
                    <a:ln>
                      <a:noFill/>
                    </a:ln>
                  </pic:spPr>
                </pic:pic>
              </a:graphicData>
            </a:graphic>
          </wp:inline>
        </w:drawing>
      </w:r>
    </w:p>
    <w:p w14:paraId="5728F2CC"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b/>
          <w:bCs/>
          <w:color w:val="000000"/>
          <w:sz w:val="24"/>
          <w:szCs w:val="24"/>
        </w:rPr>
        <w:t xml:space="preserve">Figure 1: Breast Tissues showing Collagenous Fibrous Band Staining Light Yellow and Inflammatory Cells (95% Ethanolic Extract, x 40) (Fibroadenoma)  </w:t>
      </w:r>
    </w:p>
    <w:p w14:paraId="58F752F3" w14:textId="77777777" w:rsidR="00307984" w:rsidRPr="00E0422C" w:rsidRDefault="00307984">
      <w:pPr>
        <w:spacing w:line="240" w:lineRule="auto"/>
        <w:jc w:val="both"/>
        <w:rPr>
          <w:rFonts w:ascii="Times New Roman" w:hAnsi="Times New Roman"/>
          <w:smallCaps/>
          <w:sz w:val="24"/>
          <w:szCs w:val="24"/>
        </w:rPr>
      </w:pPr>
    </w:p>
    <w:p w14:paraId="23362220"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noProof/>
          <w:color w:val="000000"/>
          <w:sz w:val="24"/>
          <w:szCs w:val="24"/>
          <w:lang w:eastAsia="en-US"/>
        </w:rPr>
        <w:lastRenderedPageBreak/>
        <mc:AlternateContent>
          <mc:Choice Requires="wpg">
            <w:drawing>
              <wp:anchor distT="0" distB="0" distL="0" distR="0" simplePos="0" relativeHeight="3" behindDoc="0" locked="0" layoutInCell="1" allowOverlap="1" wp14:anchorId="5270EE97" wp14:editId="517DE84D">
                <wp:simplePos x="0" y="0"/>
                <wp:positionH relativeFrom="column">
                  <wp:posOffset>1821815</wp:posOffset>
                </wp:positionH>
                <wp:positionV relativeFrom="paragraph">
                  <wp:posOffset>3816350</wp:posOffset>
                </wp:positionV>
                <wp:extent cx="1709419" cy="621029"/>
                <wp:effectExtent l="2540" t="73025" r="50165" b="1270"/>
                <wp:wrapNone/>
                <wp:docPr id="1031" name="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9419" cy="621029"/>
                          <a:chOff x="0" y="0"/>
                          <a:chExt cx="1709626" cy="621119"/>
                        </a:xfrm>
                      </wpg:grpSpPr>
                      <wps:wsp>
                        <wps:cNvPr id="1761124359" name="Straight Arrow Connector 1761124359"/>
                        <wps:cNvCnPr/>
                        <wps:spPr>
                          <a:xfrm flipV="1">
                            <a:off x="997245" y="0"/>
                            <a:ext cx="712381" cy="425302"/>
                          </a:xfrm>
                          <a:prstGeom prst="straightConnector1">
                            <a:avLst/>
                          </a:prstGeom>
                          <a:ln w="28575" cap="flat" cmpd="sng">
                            <a:solidFill>
                              <a:srgbClr val="000000"/>
                            </a:solidFill>
                            <a:prstDash val="solid"/>
                            <a:round/>
                            <a:headEnd type="none" w="med" len="med"/>
                            <a:tailEnd type="triangle" w="med" len="med"/>
                          </a:ln>
                        </wps:spPr>
                        <wps:bodyPr/>
                      </wps:wsp>
                      <wps:wsp>
                        <wps:cNvPr id="505997145" name="Rectangle 505997145"/>
                        <wps:cNvSpPr/>
                        <wps:spPr>
                          <a:xfrm>
                            <a:off x="0" y="280877"/>
                            <a:ext cx="1126874" cy="340242"/>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31" filled="f" stroked="f" style="position:absolute;margin-left:143.45pt;margin-top:300.5pt;width:134.6pt;height:48.9pt;z-index:3;mso-position-horizontal-relative:text;mso-position-vertical-relative:text;mso-width-percent:0;mso-height-percent:0;mso-width-relative:page;mso-height-relative:page;mso-wrap-distance-left:0.0pt;mso-wrap-distance-right:0.0pt;visibility:visible;" coordsize="1709626,621119">
                <v:shape id="1032" type="#_x0000_t32" filled="f" style="position:absolute;left:997245;top:0;width:712381;height:425302;z-index:2;mso-position-horizontal-relative:page;mso-position-vertical-relative:page;mso-width-relative:page;mso-height-relative:page;visibility:visible;flip:y;">
                  <v:stroke endarrow="block" weight="2.25pt"/>
                  <v:fill/>
                </v:shape>
                <v:rect id="1033" filled="f" stroked="f" style="position:absolute;left:0;top:280877;width:1126874;height:340242;z-index:3;mso-position-horizontal-relative:page;mso-position-vertical-relative:page;mso-width-relative:page;mso-height-relative:page;visibility:visible;">
                  <v:stroke on="f"/>
                  <v:fill/>
                </v:rect>
                <v:fill/>
              </v:group>
            </w:pict>
          </mc:Fallback>
        </mc:AlternateContent>
      </w:r>
      <w:r w:rsidRPr="00E0422C">
        <w:rPr>
          <w:rFonts w:ascii="Times New Roman" w:hAnsi="Times New Roman"/>
          <w:noProof/>
          <w:color w:val="000000"/>
          <w:sz w:val="24"/>
          <w:szCs w:val="24"/>
          <w:lang w:eastAsia="en-US"/>
        </w:rPr>
        <w:drawing>
          <wp:inline distT="0" distB="0" distL="0" distR="0" wp14:anchorId="6645BCD2" wp14:editId="1C699EE1">
            <wp:extent cx="5943600" cy="4460240"/>
            <wp:effectExtent l="0" t="0" r="0" b="0"/>
            <wp:docPr id="103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38" cstate="print"/>
                    <a:srcRect/>
                    <a:stretch/>
                  </pic:blipFill>
                  <pic:spPr>
                    <a:xfrm>
                      <a:off x="0" y="0"/>
                      <a:ext cx="5943600" cy="4460240"/>
                    </a:xfrm>
                    <a:prstGeom prst="rect">
                      <a:avLst/>
                    </a:prstGeom>
                    <a:ln>
                      <a:noFill/>
                    </a:ln>
                  </pic:spPr>
                </pic:pic>
              </a:graphicData>
            </a:graphic>
          </wp:inline>
        </w:drawing>
      </w:r>
    </w:p>
    <w:p w14:paraId="6EC7E40A"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b/>
          <w:bCs/>
          <w:color w:val="000000"/>
          <w:sz w:val="24"/>
          <w:szCs w:val="24"/>
        </w:rPr>
        <w:t xml:space="preserve">Figure 2. Breast Tissues showing Collagenous Fibrous Band Staining Light Yellow and Inflammatory Cells (Acetone Extract, x 40) (Fibroadenoma)  </w:t>
      </w:r>
    </w:p>
    <w:p w14:paraId="0584393D" w14:textId="77777777" w:rsidR="00307984" w:rsidRPr="00E0422C" w:rsidRDefault="00307984">
      <w:pPr>
        <w:spacing w:line="240" w:lineRule="auto"/>
        <w:jc w:val="both"/>
        <w:rPr>
          <w:rFonts w:ascii="Times New Roman" w:hAnsi="Times New Roman"/>
          <w:smallCaps/>
          <w:sz w:val="24"/>
          <w:szCs w:val="24"/>
        </w:rPr>
      </w:pPr>
    </w:p>
    <w:p w14:paraId="3C949853"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noProof/>
          <w:color w:val="000000"/>
          <w:sz w:val="24"/>
          <w:szCs w:val="24"/>
          <w:lang w:eastAsia="en-US"/>
        </w:rPr>
        <w:lastRenderedPageBreak/>
        <mc:AlternateContent>
          <mc:Choice Requires="wpg">
            <w:drawing>
              <wp:anchor distT="0" distB="0" distL="0" distR="0" simplePos="0" relativeHeight="4" behindDoc="0" locked="0" layoutInCell="1" allowOverlap="1" wp14:anchorId="1B00E85F" wp14:editId="0CDF34B2">
                <wp:simplePos x="0" y="0"/>
                <wp:positionH relativeFrom="column">
                  <wp:posOffset>3054985</wp:posOffset>
                </wp:positionH>
                <wp:positionV relativeFrom="paragraph">
                  <wp:posOffset>3550284</wp:posOffset>
                </wp:positionV>
                <wp:extent cx="1135380" cy="918845"/>
                <wp:effectExtent l="0" t="64134" r="67310" b="0"/>
                <wp:wrapNone/>
                <wp:docPr id="1035" name="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5380" cy="918845"/>
                          <a:chOff x="0" y="0"/>
                          <a:chExt cx="1135469" cy="918830"/>
                        </a:xfrm>
                      </wpg:grpSpPr>
                      <wps:wsp>
                        <wps:cNvPr id="1203109092" name="Straight Arrow Connector 1203109092"/>
                        <wps:cNvCnPr/>
                        <wps:spPr>
                          <a:xfrm flipV="1">
                            <a:off x="742064" y="0"/>
                            <a:ext cx="393405" cy="467832"/>
                          </a:xfrm>
                          <a:prstGeom prst="straightConnector1">
                            <a:avLst/>
                          </a:prstGeom>
                          <a:ln w="28575" cap="flat" cmpd="sng">
                            <a:solidFill>
                              <a:srgbClr val="000000"/>
                            </a:solidFill>
                            <a:prstDash val="solid"/>
                            <a:round/>
                            <a:headEnd type="none" w="med" len="med"/>
                            <a:tailEnd type="triangle" w="med" len="med"/>
                          </a:ln>
                        </wps:spPr>
                        <wps:bodyPr/>
                      </wps:wsp>
                      <wps:wsp>
                        <wps:cNvPr id="2040935374" name="Rectangle 2040935374"/>
                        <wps:cNvSpPr/>
                        <wps:spPr>
                          <a:xfrm>
                            <a:off x="0" y="493528"/>
                            <a:ext cx="1084329" cy="425302"/>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35" filled="f" stroked="f" style="position:absolute;margin-left:240.55pt;margin-top:279.55pt;width:89.4pt;height:72.35pt;z-index:4;mso-position-horizontal-relative:text;mso-position-vertical-relative:text;mso-width-percent:0;mso-height-percent:0;mso-width-relative:page;mso-height-relative:page;mso-wrap-distance-left:0.0pt;mso-wrap-distance-right:0.0pt;visibility:visible;" coordsize="1135469,918830">
                <v:shape id="1036" type="#_x0000_t32" filled="f" style="position:absolute;left:742064;top:0;width:393405;height:467832;z-index:2;mso-position-horizontal-relative:page;mso-position-vertical-relative:page;mso-width-relative:page;mso-height-relative:page;visibility:visible;flip:y;">
                  <v:stroke endarrow="block" weight="2.25pt"/>
                  <v:fill/>
                </v:shape>
                <v:rect id="1037" filled="f" stroked="f" style="position:absolute;left:0;top:493528;width:1084329;height:425302;z-index:3;mso-position-horizontal-relative:page;mso-position-vertical-relative:page;mso-width-relative:page;mso-height-relative:page;visibility:visible;">
                  <v:stroke on="f"/>
                  <v:fill/>
                </v:rect>
                <v:fill/>
              </v:group>
            </w:pict>
          </mc:Fallback>
        </mc:AlternateContent>
      </w:r>
      <w:r w:rsidRPr="00E0422C">
        <w:rPr>
          <w:rFonts w:ascii="Times New Roman" w:hAnsi="Times New Roman"/>
          <w:noProof/>
          <w:color w:val="000000"/>
          <w:sz w:val="24"/>
          <w:szCs w:val="24"/>
          <w:lang w:eastAsia="en-US"/>
        </w:rPr>
        <w:drawing>
          <wp:inline distT="0" distB="0" distL="0" distR="0" wp14:anchorId="69F53C45" wp14:editId="00161855">
            <wp:extent cx="5943600" cy="4460240"/>
            <wp:effectExtent l="0" t="0" r="0" b="0"/>
            <wp:docPr id="103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39" cstate="print"/>
                    <a:srcRect/>
                    <a:stretch/>
                  </pic:blipFill>
                  <pic:spPr>
                    <a:xfrm>
                      <a:off x="0" y="0"/>
                      <a:ext cx="5943600" cy="4460240"/>
                    </a:xfrm>
                    <a:prstGeom prst="rect">
                      <a:avLst/>
                    </a:prstGeom>
                    <a:ln>
                      <a:noFill/>
                    </a:ln>
                  </pic:spPr>
                </pic:pic>
              </a:graphicData>
            </a:graphic>
          </wp:inline>
        </w:drawing>
      </w:r>
    </w:p>
    <w:p w14:paraId="2BA486B7"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b/>
          <w:bCs/>
          <w:color w:val="000000"/>
          <w:sz w:val="24"/>
          <w:szCs w:val="24"/>
        </w:rPr>
        <w:t xml:space="preserve">Figure 3: Breast Tissues showing Collagenous Fibrous Band Staining Light Yellow and Inflammatory Cells (H&amp;E x 40) (Fibroadenoma)  </w:t>
      </w:r>
    </w:p>
    <w:p w14:paraId="61D0D6CC"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color w:val="000000"/>
          <w:sz w:val="24"/>
          <w:szCs w:val="24"/>
        </w:rPr>
        <w:br w:type="page"/>
      </w:r>
    </w:p>
    <w:p w14:paraId="23CD326B"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noProof/>
          <w:color w:val="000000"/>
          <w:sz w:val="24"/>
          <w:szCs w:val="24"/>
          <w:lang w:eastAsia="en-US"/>
        </w:rPr>
        <w:lastRenderedPageBreak/>
        <mc:AlternateContent>
          <mc:Choice Requires="wpg">
            <w:drawing>
              <wp:anchor distT="0" distB="0" distL="0" distR="0" simplePos="0" relativeHeight="5" behindDoc="0" locked="0" layoutInCell="1" allowOverlap="1" wp14:anchorId="6AB0329E" wp14:editId="0492CB05">
                <wp:simplePos x="0" y="0"/>
                <wp:positionH relativeFrom="column">
                  <wp:posOffset>439420</wp:posOffset>
                </wp:positionH>
                <wp:positionV relativeFrom="paragraph">
                  <wp:posOffset>2306320</wp:posOffset>
                </wp:positionV>
                <wp:extent cx="1223006" cy="1067435"/>
                <wp:effectExtent l="1270" t="55880" r="4445" b="635"/>
                <wp:wrapNone/>
                <wp:docPr id="1039" name="1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3006" cy="1067435"/>
                          <a:chOff x="0" y="0"/>
                          <a:chExt cx="1222744" cy="1067686"/>
                        </a:xfrm>
                      </wpg:grpSpPr>
                      <wps:wsp>
                        <wps:cNvPr id="1981575215" name="Straight Arrow Connector 1981575215"/>
                        <wps:cNvCnPr/>
                        <wps:spPr>
                          <a:xfrm flipV="1">
                            <a:off x="136008" y="0"/>
                            <a:ext cx="308344" cy="808075"/>
                          </a:xfrm>
                          <a:prstGeom prst="straightConnector1">
                            <a:avLst/>
                          </a:prstGeom>
                          <a:ln w="38100" cap="flat" cmpd="sng">
                            <a:solidFill>
                              <a:srgbClr val="000000"/>
                            </a:solidFill>
                            <a:prstDash val="solid"/>
                            <a:round/>
                            <a:headEnd type="none" w="med" len="med"/>
                            <a:tailEnd type="triangle" w="med" len="med"/>
                          </a:ln>
                        </wps:spPr>
                        <wps:bodyPr/>
                      </wps:wsp>
                      <wps:wsp>
                        <wps:cNvPr id="1421311490" name="Rectangle 1421311490"/>
                        <wps:cNvSpPr/>
                        <wps:spPr>
                          <a:xfrm>
                            <a:off x="0" y="748709"/>
                            <a:ext cx="1222744" cy="318977"/>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39" filled="f" stroked="f" style="position:absolute;margin-left:34.6pt;margin-top:181.6pt;width:96.3pt;height:84.05pt;z-index:5;mso-position-horizontal-relative:text;mso-position-vertical-relative:text;mso-width-percent:0;mso-height-percent:0;mso-width-relative:page;mso-height-relative:page;mso-wrap-distance-left:0.0pt;mso-wrap-distance-right:0.0pt;visibility:visible;" coordsize="1222744,1067686">
                <v:shape id="1040" type="#_x0000_t32" filled="f" style="position:absolute;left:136008;top:0;width:308344;height:808075;z-index:2;mso-position-horizontal-relative:page;mso-position-vertical-relative:page;mso-width-relative:page;mso-height-relative:page;visibility:visible;flip:y;">
                  <v:stroke endarrow="block" weight="3.0pt"/>
                  <v:fill/>
                </v:shape>
                <v:rect id="1041" filled="f" stroked="f" style="position:absolute;left:0;top:748709;width:1222744;height:318977;z-index:3;mso-position-horizontal-relative:page;mso-position-vertical-relative:page;mso-width-relative:page;mso-height-relative:page;visibility:visible;">
                  <v:stroke on="f"/>
                  <v:fill/>
                </v:rect>
                <v:fill/>
              </v:group>
            </w:pict>
          </mc:Fallback>
        </mc:AlternateContent>
      </w:r>
      <w:r w:rsidRPr="00E0422C">
        <w:rPr>
          <w:rFonts w:ascii="Times New Roman" w:hAnsi="Times New Roman"/>
          <w:noProof/>
          <w:color w:val="000000"/>
          <w:sz w:val="24"/>
          <w:szCs w:val="24"/>
          <w:lang w:eastAsia="en-US"/>
        </w:rPr>
        <w:drawing>
          <wp:inline distT="0" distB="0" distL="0" distR="0" wp14:anchorId="0E8323FC" wp14:editId="5808319E">
            <wp:extent cx="5943600" cy="4460240"/>
            <wp:effectExtent l="0" t="0" r="0" b="0"/>
            <wp:docPr id="104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40" cstate="print"/>
                    <a:srcRect/>
                    <a:stretch/>
                  </pic:blipFill>
                  <pic:spPr>
                    <a:xfrm>
                      <a:off x="0" y="0"/>
                      <a:ext cx="5943600" cy="4460240"/>
                    </a:xfrm>
                    <a:prstGeom prst="rect">
                      <a:avLst/>
                    </a:prstGeom>
                    <a:ln>
                      <a:noFill/>
                    </a:ln>
                  </pic:spPr>
                </pic:pic>
              </a:graphicData>
            </a:graphic>
          </wp:inline>
        </w:drawing>
      </w:r>
    </w:p>
    <w:p w14:paraId="1213F257"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b/>
          <w:bCs/>
          <w:color w:val="000000"/>
          <w:sz w:val="24"/>
          <w:szCs w:val="24"/>
        </w:rPr>
        <w:t xml:space="preserve">Figure 4: Breast Tissues showing Bands of Cancer Cells invading the Stroma (95% Ethanolic Extract, x 40) (Invasive Ductal Carcinoma IDC)  </w:t>
      </w:r>
    </w:p>
    <w:p w14:paraId="2244A150" w14:textId="77777777" w:rsidR="00307984" w:rsidRPr="00E0422C" w:rsidRDefault="00307984">
      <w:pPr>
        <w:spacing w:line="240" w:lineRule="auto"/>
        <w:jc w:val="both"/>
        <w:rPr>
          <w:rFonts w:ascii="Times New Roman" w:hAnsi="Times New Roman"/>
          <w:smallCaps/>
          <w:sz w:val="24"/>
          <w:szCs w:val="24"/>
        </w:rPr>
      </w:pPr>
    </w:p>
    <w:p w14:paraId="3DED4C42"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noProof/>
          <w:color w:val="000000"/>
          <w:sz w:val="24"/>
          <w:szCs w:val="24"/>
          <w:lang w:eastAsia="en-US"/>
        </w:rPr>
        <w:lastRenderedPageBreak/>
        <mc:AlternateContent>
          <mc:Choice Requires="wpg">
            <w:drawing>
              <wp:anchor distT="0" distB="0" distL="0" distR="0" simplePos="0" relativeHeight="6" behindDoc="0" locked="0" layoutInCell="1" allowOverlap="1" wp14:anchorId="4D6467A5" wp14:editId="1FE8F857">
                <wp:simplePos x="0" y="0"/>
                <wp:positionH relativeFrom="column">
                  <wp:posOffset>535305</wp:posOffset>
                </wp:positionH>
                <wp:positionV relativeFrom="paragraph">
                  <wp:posOffset>2327910</wp:posOffset>
                </wp:positionV>
                <wp:extent cx="1297305" cy="844550"/>
                <wp:effectExtent l="1905" t="70485" r="5715" b="0"/>
                <wp:wrapNone/>
                <wp:docPr id="1043" name="1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305" cy="844550"/>
                          <a:chOff x="0" y="0"/>
                          <a:chExt cx="1297172" cy="844402"/>
                        </a:xfrm>
                      </wpg:grpSpPr>
                      <wps:wsp>
                        <wps:cNvPr id="1057688319" name="Straight Arrow Connector 1057688319"/>
                        <wps:cNvCnPr/>
                        <wps:spPr>
                          <a:xfrm flipV="1">
                            <a:off x="805859" y="0"/>
                            <a:ext cx="414123" cy="546691"/>
                          </a:xfrm>
                          <a:prstGeom prst="straightConnector1">
                            <a:avLst/>
                          </a:prstGeom>
                          <a:ln w="38100" cap="flat" cmpd="sng">
                            <a:solidFill>
                              <a:srgbClr val="000000"/>
                            </a:solidFill>
                            <a:prstDash val="solid"/>
                            <a:round/>
                            <a:headEnd type="none" w="med" len="med"/>
                            <a:tailEnd type="triangle" w="med" len="med"/>
                          </a:ln>
                        </wps:spPr>
                        <wps:bodyPr/>
                      </wps:wsp>
                      <wps:wsp>
                        <wps:cNvPr id="307593698" name="Rectangle 307593698"/>
                        <wps:cNvSpPr/>
                        <wps:spPr>
                          <a:xfrm>
                            <a:off x="0" y="525426"/>
                            <a:ext cx="1297172" cy="318976"/>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43" filled="f" stroked="f" style="position:absolute;margin-left:42.15pt;margin-top:183.3pt;width:102.15pt;height:66.5pt;z-index:6;mso-position-horizontal-relative:text;mso-position-vertical-relative:text;mso-width-percent:0;mso-height-percent:0;mso-width-relative:page;mso-height-relative:page;mso-wrap-distance-left:0.0pt;mso-wrap-distance-right:0.0pt;visibility:visible;" coordsize="1297172,844402">
                <v:shape id="1044" type="#_x0000_t32" filled="f" style="position:absolute;left:805859;top:0;width:414123;height:546691;z-index:2;mso-position-horizontal-relative:page;mso-position-vertical-relative:page;mso-width-relative:page;mso-height-relative:page;visibility:visible;flip:y;">
                  <v:stroke endarrow="block" weight="3.0pt"/>
                  <v:fill/>
                </v:shape>
                <v:rect id="1045" filled="f" stroked="f" style="position:absolute;left:0;top:525426;width:1297172;height:318976;z-index:3;mso-position-horizontal-relative:page;mso-position-vertical-relative:page;mso-width-relative:page;mso-height-relative:page;visibility:visible;">
                  <v:stroke on="f"/>
                  <v:fill/>
                </v:rect>
                <v:fill/>
              </v:group>
            </w:pict>
          </mc:Fallback>
        </mc:AlternateContent>
      </w:r>
      <w:r w:rsidRPr="00E0422C">
        <w:rPr>
          <w:rFonts w:ascii="Times New Roman" w:hAnsi="Times New Roman"/>
          <w:noProof/>
          <w:color w:val="000000"/>
          <w:sz w:val="24"/>
          <w:szCs w:val="24"/>
          <w:lang w:eastAsia="en-US"/>
        </w:rPr>
        <w:drawing>
          <wp:inline distT="0" distB="0" distL="0" distR="0" wp14:anchorId="478BDB73" wp14:editId="5B6EAD4F">
            <wp:extent cx="5943600" cy="4460240"/>
            <wp:effectExtent l="0" t="0" r="0" b="0"/>
            <wp:docPr id="104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41" cstate="print"/>
                    <a:srcRect/>
                    <a:stretch/>
                  </pic:blipFill>
                  <pic:spPr>
                    <a:xfrm>
                      <a:off x="0" y="0"/>
                      <a:ext cx="5943600" cy="4460240"/>
                    </a:xfrm>
                    <a:prstGeom prst="rect">
                      <a:avLst/>
                    </a:prstGeom>
                    <a:ln>
                      <a:noFill/>
                    </a:ln>
                  </pic:spPr>
                </pic:pic>
              </a:graphicData>
            </a:graphic>
          </wp:inline>
        </w:drawing>
      </w:r>
    </w:p>
    <w:p w14:paraId="539363C8"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b/>
          <w:bCs/>
          <w:color w:val="000000"/>
          <w:sz w:val="24"/>
          <w:szCs w:val="24"/>
        </w:rPr>
        <w:t xml:space="preserve">Figure 5: Breast Tissues showing Bands of Cancer Cells invading the Stroma (Acetone Extract, x 40) (Invasive Ductal Carcinoma IDC)  </w:t>
      </w:r>
    </w:p>
    <w:p w14:paraId="5867C765" w14:textId="77777777" w:rsidR="00307984" w:rsidRPr="00E0422C" w:rsidRDefault="00307984">
      <w:pPr>
        <w:spacing w:line="240" w:lineRule="auto"/>
        <w:jc w:val="both"/>
        <w:rPr>
          <w:rFonts w:ascii="Times New Roman" w:hAnsi="Times New Roman"/>
          <w:smallCaps/>
          <w:sz w:val="24"/>
          <w:szCs w:val="24"/>
        </w:rPr>
      </w:pPr>
    </w:p>
    <w:p w14:paraId="2059626F"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noProof/>
          <w:color w:val="000000"/>
          <w:sz w:val="24"/>
          <w:szCs w:val="24"/>
          <w:lang w:eastAsia="en-US"/>
        </w:rPr>
        <w:lastRenderedPageBreak/>
        <mc:AlternateContent>
          <mc:Choice Requires="wpg">
            <w:drawing>
              <wp:anchor distT="0" distB="0" distL="0" distR="0" simplePos="0" relativeHeight="7" behindDoc="0" locked="0" layoutInCell="1" allowOverlap="1" wp14:anchorId="3FFB8412" wp14:editId="2F066E3F">
                <wp:simplePos x="0" y="0"/>
                <wp:positionH relativeFrom="column">
                  <wp:posOffset>1364615</wp:posOffset>
                </wp:positionH>
                <wp:positionV relativeFrom="paragraph">
                  <wp:posOffset>2242820</wp:posOffset>
                </wp:positionV>
                <wp:extent cx="1530985" cy="1227454"/>
                <wp:effectExtent l="2540" t="52070" r="0" b="0"/>
                <wp:wrapNone/>
                <wp:docPr id="1047" name="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0985" cy="1227454"/>
                          <a:chOff x="0" y="0"/>
                          <a:chExt cx="1531088" cy="1227174"/>
                        </a:xfrm>
                      </wpg:grpSpPr>
                      <wps:wsp>
                        <wps:cNvPr id="116311720" name="Straight Arrow Connector 116311720"/>
                        <wps:cNvCnPr/>
                        <wps:spPr>
                          <a:xfrm flipH="1" flipV="1">
                            <a:off x="629093" y="0"/>
                            <a:ext cx="189170" cy="812504"/>
                          </a:xfrm>
                          <a:prstGeom prst="straightConnector1">
                            <a:avLst/>
                          </a:prstGeom>
                          <a:ln w="38100" cap="flat" cmpd="sng">
                            <a:solidFill>
                              <a:srgbClr val="000000"/>
                            </a:solidFill>
                            <a:prstDash val="solid"/>
                            <a:round/>
                            <a:headEnd type="none" w="med" len="med"/>
                            <a:tailEnd type="triangle" w="med" len="med"/>
                          </a:ln>
                        </wps:spPr>
                        <wps:bodyPr/>
                      </wps:wsp>
                      <wps:wsp>
                        <wps:cNvPr id="644069711" name="Rectangle 644069711"/>
                        <wps:cNvSpPr/>
                        <wps:spPr>
                          <a:xfrm>
                            <a:off x="0" y="823137"/>
                            <a:ext cx="1531088" cy="404037"/>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47" filled="f" stroked="f" style="position:absolute;margin-left:107.45pt;margin-top:176.6pt;width:120.55pt;height:96.65pt;z-index:7;mso-position-horizontal-relative:text;mso-position-vertical-relative:text;mso-width-percent:0;mso-height-percent:0;mso-width-relative:page;mso-height-relative:page;mso-wrap-distance-left:0.0pt;mso-wrap-distance-right:0.0pt;visibility:visible;" coordsize="1531088,1227174">
                <v:shape id="1048" type="#_x0000_t32" filled="f" style="position:absolute;left:629093;top:0;width:189170;height:812504;z-index:2;mso-position-horizontal-relative:page;mso-position-vertical-relative:page;mso-width-relative:page;mso-height-relative:page;visibility:visible;flip:x y;">
                  <v:stroke endarrow="block" weight="3.0pt"/>
                  <v:fill/>
                </v:shape>
                <v:rect id="1049" filled="f" stroked="f" style="position:absolute;left:0;top:823137;width:1531088;height:404037;z-index:3;mso-position-horizontal-relative:page;mso-position-vertical-relative:page;mso-width-relative:page;mso-height-relative:page;visibility:visible;">
                  <v:stroke on="f"/>
                  <v:fill/>
                </v:rect>
                <v:fill/>
              </v:group>
            </w:pict>
          </mc:Fallback>
        </mc:AlternateContent>
      </w:r>
      <w:r w:rsidRPr="00E0422C">
        <w:rPr>
          <w:rFonts w:ascii="Times New Roman" w:hAnsi="Times New Roman"/>
          <w:noProof/>
          <w:color w:val="000000"/>
          <w:sz w:val="24"/>
          <w:szCs w:val="24"/>
          <w:lang w:eastAsia="en-US"/>
        </w:rPr>
        <w:drawing>
          <wp:inline distT="0" distB="0" distL="0" distR="0" wp14:anchorId="24C03A35" wp14:editId="7D85DC7D">
            <wp:extent cx="5943600" cy="4460240"/>
            <wp:effectExtent l="0" t="0" r="0" b="0"/>
            <wp:docPr id="105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42" cstate="print"/>
                    <a:srcRect/>
                    <a:stretch/>
                  </pic:blipFill>
                  <pic:spPr>
                    <a:xfrm>
                      <a:off x="0" y="0"/>
                      <a:ext cx="5943600" cy="4460240"/>
                    </a:xfrm>
                    <a:prstGeom prst="rect">
                      <a:avLst/>
                    </a:prstGeom>
                    <a:ln>
                      <a:noFill/>
                    </a:ln>
                  </pic:spPr>
                </pic:pic>
              </a:graphicData>
            </a:graphic>
          </wp:inline>
        </w:drawing>
      </w:r>
    </w:p>
    <w:p w14:paraId="2021EFA7"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b/>
          <w:bCs/>
          <w:color w:val="000000"/>
          <w:sz w:val="24"/>
          <w:szCs w:val="24"/>
        </w:rPr>
        <w:t xml:space="preserve">Figure 6: Breast Tissues showing Bands of Cancer Cells invading the Stroma (H&amp;E x 40) (Invasive Ductal Carcinoma IDC)  </w:t>
      </w:r>
    </w:p>
    <w:p w14:paraId="50F39D67"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color w:val="000000"/>
          <w:sz w:val="24"/>
          <w:szCs w:val="24"/>
        </w:rPr>
        <w:br w:type="page"/>
      </w:r>
    </w:p>
    <w:p w14:paraId="2CEA5A0D"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noProof/>
          <w:color w:val="000000"/>
          <w:sz w:val="24"/>
          <w:szCs w:val="24"/>
          <w:lang w:eastAsia="en-US"/>
        </w:rPr>
        <w:lastRenderedPageBreak/>
        <mc:AlternateContent>
          <mc:Choice Requires="wpg">
            <w:drawing>
              <wp:anchor distT="0" distB="0" distL="0" distR="0" simplePos="0" relativeHeight="8" behindDoc="0" locked="0" layoutInCell="1" allowOverlap="1" wp14:anchorId="1368B46E" wp14:editId="32DE8DBE">
                <wp:simplePos x="0" y="0"/>
                <wp:positionH relativeFrom="column">
                  <wp:posOffset>3331845</wp:posOffset>
                </wp:positionH>
                <wp:positionV relativeFrom="paragraph">
                  <wp:posOffset>2710180</wp:posOffset>
                </wp:positionV>
                <wp:extent cx="1275714" cy="1163320"/>
                <wp:effectExtent l="0" t="40640" r="2540" b="0"/>
                <wp:wrapNone/>
                <wp:docPr id="1051" name="1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5714" cy="1163320"/>
                          <a:chOff x="0" y="0"/>
                          <a:chExt cx="1275907" cy="1163379"/>
                        </a:xfrm>
                      </wpg:grpSpPr>
                      <wps:wsp>
                        <wps:cNvPr id="821337050" name="Straight Arrow Connector 821337050"/>
                        <wps:cNvCnPr/>
                        <wps:spPr>
                          <a:xfrm flipV="1">
                            <a:off x="199804" y="0"/>
                            <a:ext cx="118699" cy="652790"/>
                          </a:xfrm>
                          <a:prstGeom prst="straightConnector1">
                            <a:avLst/>
                          </a:prstGeom>
                          <a:ln w="38100" cap="flat" cmpd="sng">
                            <a:solidFill>
                              <a:srgbClr val="000000"/>
                            </a:solidFill>
                            <a:prstDash val="solid"/>
                            <a:round/>
                            <a:headEnd type="none" w="med" len="med"/>
                            <a:tailEnd type="triangle" w="med" len="med"/>
                          </a:ln>
                        </wps:spPr>
                        <wps:bodyPr/>
                      </wps:wsp>
                      <wps:wsp>
                        <wps:cNvPr id="524698076" name="Rectangle 524698076"/>
                        <wps:cNvSpPr/>
                        <wps:spPr>
                          <a:xfrm>
                            <a:off x="0" y="642384"/>
                            <a:ext cx="1275907" cy="520995"/>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51" filled="f" stroked="f" style="position:absolute;margin-left:262.35pt;margin-top:213.4pt;width:100.45pt;height:91.6pt;z-index:8;mso-position-horizontal-relative:text;mso-position-vertical-relative:text;mso-width-percent:0;mso-height-percent:0;mso-width-relative:page;mso-height-relative:page;mso-wrap-distance-left:0.0pt;mso-wrap-distance-right:0.0pt;visibility:visible;" coordsize="1275907,1163379">
                <v:shape id="1052" type="#_x0000_t32" filled="f" style="position:absolute;left:199804;top:0;width:118699;height:652790;z-index:2;mso-position-horizontal-relative:page;mso-position-vertical-relative:page;mso-width-relative:page;mso-height-relative:page;visibility:visible;flip:y;">
                  <v:stroke endarrow="block" weight="3.0pt"/>
                  <v:fill/>
                </v:shape>
                <v:rect id="1053" filled="f" stroked="f" style="position:absolute;left:0;top:642384;width:1275907;height:520995;z-index:3;mso-position-horizontal-relative:page;mso-position-vertical-relative:page;mso-width-relative:page;mso-height-relative:page;visibility:visible;">
                  <v:stroke on="f"/>
                  <v:fill/>
                </v:rect>
                <v:fill/>
              </v:group>
            </w:pict>
          </mc:Fallback>
        </mc:AlternateContent>
      </w:r>
      <w:r w:rsidRPr="00E0422C">
        <w:rPr>
          <w:rFonts w:ascii="Times New Roman" w:hAnsi="Times New Roman"/>
          <w:noProof/>
          <w:color w:val="000000"/>
          <w:sz w:val="24"/>
          <w:szCs w:val="24"/>
          <w:lang w:eastAsia="en-US"/>
        </w:rPr>
        <w:drawing>
          <wp:inline distT="0" distB="0" distL="0" distR="0" wp14:anchorId="1EF08B31" wp14:editId="0D189020">
            <wp:extent cx="5943600" cy="4460240"/>
            <wp:effectExtent l="0" t="0" r="0" b="0"/>
            <wp:docPr id="105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1"/>
                    <pic:cNvPicPr/>
                  </pic:nvPicPr>
                  <pic:blipFill>
                    <a:blip r:embed="rId43" cstate="print"/>
                    <a:srcRect/>
                    <a:stretch/>
                  </pic:blipFill>
                  <pic:spPr>
                    <a:xfrm>
                      <a:off x="0" y="0"/>
                      <a:ext cx="5943600" cy="4460240"/>
                    </a:xfrm>
                    <a:prstGeom prst="rect">
                      <a:avLst/>
                    </a:prstGeom>
                    <a:ln>
                      <a:noFill/>
                    </a:ln>
                  </pic:spPr>
                </pic:pic>
              </a:graphicData>
            </a:graphic>
          </wp:inline>
        </w:drawing>
      </w:r>
    </w:p>
    <w:p w14:paraId="358D7233"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b/>
          <w:bCs/>
          <w:color w:val="000000"/>
          <w:sz w:val="24"/>
          <w:szCs w:val="24"/>
        </w:rPr>
        <w:t xml:space="preserve">Figure 7: Breast Tissues showing Collagenous Fibrous Band Staining Light Yellow embedded in cyst of various sizes and shapes (95% Ethanolic Extract x 40) (Fibrocystic change)  </w:t>
      </w:r>
    </w:p>
    <w:p w14:paraId="0E62E154"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noProof/>
          <w:color w:val="000000"/>
          <w:sz w:val="24"/>
          <w:szCs w:val="24"/>
          <w:lang w:eastAsia="en-US"/>
        </w:rPr>
        <w:lastRenderedPageBreak/>
        <w:drawing>
          <wp:inline distT="0" distB="0" distL="0" distR="0" wp14:anchorId="025DCD62" wp14:editId="639CCD17">
            <wp:extent cx="5943600" cy="4460240"/>
            <wp:effectExtent l="0" t="0" r="0" b="0"/>
            <wp:docPr id="105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1"/>
                    <pic:cNvPicPr/>
                  </pic:nvPicPr>
                  <pic:blipFill>
                    <a:blip r:embed="rId44" cstate="print"/>
                    <a:srcRect/>
                    <a:stretch/>
                  </pic:blipFill>
                  <pic:spPr>
                    <a:xfrm>
                      <a:off x="0" y="0"/>
                      <a:ext cx="5943600" cy="4460240"/>
                    </a:xfrm>
                    <a:prstGeom prst="rect">
                      <a:avLst/>
                    </a:prstGeom>
                    <a:ln>
                      <a:noFill/>
                    </a:ln>
                  </pic:spPr>
                </pic:pic>
              </a:graphicData>
            </a:graphic>
          </wp:inline>
        </w:drawing>
      </w:r>
    </w:p>
    <w:p w14:paraId="026AFBFB"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noProof/>
          <w:color w:val="000000"/>
          <w:sz w:val="24"/>
          <w:szCs w:val="24"/>
          <w:lang w:eastAsia="en-US"/>
        </w:rPr>
        <mc:AlternateContent>
          <mc:Choice Requires="wpg">
            <w:drawing>
              <wp:anchor distT="0" distB="0" distL="0" distR="0" simplePos="0" relativeHeight="9" behindDoc="0" locked="0" layoutInCell="1" allowOverlap="1" wp14:anchorId="1174D6CF" wp14:editId="4A617972">
                <wp:simplePos x="0" y="0"/>
                <wp:positionH relativeFrom="column">
                  <wp:posOffset>2523490</wp:posOffset>
                </wp:positionH>
                <wp:positionV relativeFrom="paragraph">
                  <wp:posOffset>2540000</wp:posOffset>
                </wp:positionV>
                <wp:extent cx="1275715" cy="1163320"/>
                <wp:effectExtent l="0" t="40640" r="1270" b="0"/>
                <wp:wrapNone/>
                <wp:docPr id="1056" name="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5715" cy="1163320"/>
                          <a:chOff x="0" y="0"/>
                          <a:chExt cx="1275907" cy="1163379"/>
                        </a:xfrm>
                      </wpg:grpSpPr>
                      <wps:wsp>
                        <wps:cNvPr id="1884808944" name="Straight Arrow Connector 1884808944"/>
                        <wps:cNvCnPr/>
                        <wps:spPr>
                          <a:xfrm flipV="1">
                            <a:off x="199804" y="0"/>
                            <a:ext cx="118699" cy="652790"/>
                          </a:xfrm>
                          <a:prstGeom prst="straightConnector1">
                            <a:avLst/>
                          </a:prstGeom>
                          <a:ln w="38100" cap="flat" cmpd="sng">
                            <a:solidFill>
                              <a:srgbClr val="000000"/>
                            </a:solidFill>
                            <a:prstDash val="solid"/>
                            <a:round/>
                            <a:headEnd type="none" w="med" len="med"/>
                            <a:tailEnd type="triangle" w="med" len="med"/>
                          </a:ln>
                        </wps:spPr>
                        <wps:bodyPr/>
                      </wps:wsp>
                      <wps:wsp>
                        <wps:cNvPr id="1744128826" name="Rectangle 1744128826"/>
                        <wps:cNvSpPr/>
                        <wps:spPr>
                          <a:xfrm>
                            <a:off x="0" y="642384"/>
                            <a:ext cx="1275907" cy="520995"/>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56" filled="f" stroked="f" style="position:absolute;margin-left:198.7pt;margin-top:200.0pt;width:100.45pt;height:91.6pt;z-index:9;mso-position-horizontal-relative:text;mso-position-vertical-relative:text;mso-width-percent:0;mso-height-percent:0;mso-width-relative:page;mso-height-relative:page;mso-wrap-distance-left:0.0pt;mso-wrap-distance-right:0.0pt;visibility:visible;" coordsize="1275907,1163379">
                <v:shape id="1057" type="#_x0000_t32" filled="f" style="position:absolute;left:199804;top:0;width:118699;height:652790;z-index:2;mso-position-horizontal-relative:page;mso-position-vertical-relative:page;mso-width-relative:page;mso-height-relative:page;visibility:visible;flip:y;">
                  <v:stroke endarrow="block" weight="3.0pt"/>
                  <v:fill/>
                </v:shape>
                <v:rect id="1058" filled="f" stroked="f" style="position:absolute;left:0;top:642384;width:1275907;height:520995;z-index:3;mso-position-horizontal-relative:page;mso-position-vertical-relative:page;mso-width-relative:page;mso-height-relative:page;visibility:visible;">
                  <v:stroke on="f"/>
                  <v:fill/>
                </v:rect>
                <v:fill/>
              </v:group>
            </w:pict>
          </mc:Fallback>
        </mc:AlternateContent>
      </w:r>
    </w:p>
    <w:p w14:paraId="5D5182F4"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b/>
          <w:bCs/>
          <w:color w:val="000000"/>
          <w:sz w:val="24"/>
          <w:szCs w:val="24"/>
        </w:rPr>
        <w:t xml:space="preserve">Figure 8: Breast Tissues showing Collagenous Fibrous Band Staining Light Yellow embedded in cyst of various sizes and shapes H&amp;E x 40) (Fibrocystic change)  </w:t>
      </w:r>
    </w:p>
    <w:p w14:paraId="1B19C262" w14:textId="77777777" w:rsidR="00307984" w:rsidRPr="00E0422C" w:rsidRDefault="00307984">
      <w:pPr>
        <w:spacing w:line="240" w:lineRule="auto"/>
        <w:jc w:val="both"/>
        <w:rPr>
          <w:rFonts w:ascii="Times New Roman" w:hAnsi="Times New Roman"/>
          <w:smallCaps/>
          <w:sz w:val="24"/>
          <w:szCs w:val="24"/>
        </w:rPr>
      </w:pPr>
    </w:p>
    <w:p w14:paraId="4642D7C2"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noProof/>
          <w:color w:val="000000"/>
          <w:sz w:val="24"/>
          <w:szCs w:val="24"/>
          <w:lang w:eastAsia="en-US"/>
        </w:rPr>
        <w:lastRenderedPageBreak/>
        <mc:AlternateContent>
          <mc:Choice Requires="wpg">
            <w:drawing>
              <wp:anchor distT="0" distB="0" distL="0" distR="0" simplePos="0" relativeHeight="10" behindDoc="0" locked="0" layoutInCell="1" allowOverlap="1" wp14:anchorId="187CF7BD" wp14:editId="0D38C1AA">
                <wp:simplePos x="0" y="0"/>
                <wp:positionH relativeFrom="column">
                  <wp:posOffset>3895090</wp:posOffset>
                </wp:positionH>
                <wp:positionV relativeFrom="paragraph">
                  <wp:posOffset>3167380</wp:posOffset>
                </wp:positionV>
                <wp:extent cx="1308100" cy="897254"/>
                <wp:effectExtent l="0" t="43180" r="0" b="2540"/>
                <wp:wrapNone/>
                <wp:docPr id="1059" name="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8100" cy="897254"/>
                          <a:chOff x="0" y="0"/>
                          <a:chExt cx="1307804" cy="897565"/>
                        </a:xfrm>
                      </wpg:grpSpPr>
                      <wps:wsp>
                        <wps:cNvPr id="216189449" name="Straight Arrow Connector 216189449"/>
                        <wps:cNvCnPr/>
                        <wps:spPr>
                          <a:xfrm flipV="1">
                            <a:off x="454985" y="0"/>
                            <a:ext cx="118730" cy="653016"/>
                          </a:xfrm>
                          <a:prstGeom prst="straightConnector1">
                            <a:avLst/>
                          </a:prstGeom>
                          <a:ln w="38100" cap="flat" cmpd="sng">
                            <a:solidFill>
                              <a:srgbClr val="000000"/>
                            </a:solidFill>
                            <a:prstDash val="solid"/>
                            <a:round/>
                            <a:headEnd type="none" w="med" len="med"/>
                            <a:tailEnd type="triangle" w="med" len="med"/>
                          </a:ln>
                        </wps:spPr>
                        <wps:bodyPr/>
                      </wps:wsp>
                      <wps:wsp>
                        <wps:cNvPr id="264656708" name="Rectangle 264656708"/>
                        <wps:cNvSpPr/>
                        <wps:spPr>
                          <a:xfrm>
                            <a:off x="0" y="631751"/>
                            <a:ext cx="1307804" cy="265814"/>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59" filled="f" stroked="f" style="position:absolute;margin-left:306.7pt;margin-top:249.4pt;width:103.0pt;height:70.65pt;z-index:10;mso-position-horizontal-relative:text;mso-position-vertical-relative:text;mso-width-percent:0;mso-height-percent:0;mso-width-relative:page;mso-height-relative:page;mso-wrap-distance-left:0.0pt;mso-wrap-distance-right:0.0pt;visibility:visible;" coordsize="1307804,897565">
                <v:shape id="1060" type="#_x0000_t32" filled="f" style="position:absolute;left:454985;top:0;width:118730;height:653016;z-index:2;mso-position-horizontal-relative:page;mso-position-vertical-relative:page;mso-width-relative:page;mso-height-relative:page;visibility:visible;flip:y;">
                  <v:stroke endarrow="block" weight="3.0pt"/>
                  <v:fill/>
                </v:shape>
                <v:rect id="1061" filled="f" stroked="f" style="position:absolute;left:0;top:631751;width:1307804;height:265814;z-index:3;mso-position-horizontal-relative:page;mso-position-vertical-relative:page;mso-width-relative:page;mso-height-relative:page;visibility:visible;">
                  <v:stroke on="f"/>
                  <v:fill/>
                </v:rect>
                <v:fill/>
              </v:group>
            </w:pict>
          </mc:Fallback>
        </mc:AlternateContent>
      </w:r>
      <w:r w:rsidRPr="00E0422C">
        <w:rPr>
          <w:rFonts w:ascii="Times New Roman" w:hAnsi="Times New Roman"/>
          <w:noProof/>
          <w:color w:val="000000"/>
          <w:sz w:val="24"/>
          <w:szCs w:val="24"/>
          <w:lang w:eastAsia="en-US"/>
        </w:rPr>
        <w:drawing>
          <wp:inline distT="0" distB="0" distL="0" distR="0" wp14:anchorId="556A4C7B" wp14:editId="6A04ED96">
            <wp:extent cx="5943600" cy="4460240"/>
            <wp:effectExtent l="0" t="0" r="0" b="0"/>
            <wp:docPr id="106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1"/>
                    <pic:cNvPicPr/>
                  </pic:nvPicPr>
                  <pic:blipFill>
                    <a:blip r:embed="rId45" cstate="print"/>
                    <a:srcRect/>
                    <a:stretch/>
                  </pic:blipFill>
                  <pic:spPr>
                    <a:xfrm>
                      <a:off x="0" y="0"/>
                      <a:ext cx="5943600" cy="4460240"/>
                    </a:xfrm>
                    <a:prstGeom prst="rect">
                      <a:avLst/>
                    </a:prstGeom>
                    <a:ln>
                      <a:noFill/>
                    </a:ln>
                  </pic:spPr>
                </pic:pic>
              </a:graphicData>
            </a:graphic>
          </wp:inline>
        </w:drawing>
      </w:r>
    </w:p>
    <w:p w14:paraId="0D5C031F" w14:textId="77777777" w:rsidR="00307984" w:rsidRPr="00E0422C" w:rsidRDefault="009B06E7">
      <w:pPr>
        <w:spacing w:line="240" w:lineRule="auto"/>
        <w:jc w:val="both"/>
        <w:rPr>
          <w:rFonts w:ascii="Times New Roman" w:hAnsi="Times New Roman"/>
          <w:smallCaps/>
          <w:sz w:val="24"/>
          <w:szCs w:val="24"/>
        </w:rPr>
      </w:pPr>
      <w:r w:rsidRPr="00E0422C">
        <w:rPr>
          <w:rFonts w:ascii="Times New Roman" w:hAnsi="Times New Roman"/>
          <w:b/>
          <w:bCs/>
          <w:color w:val="000000"/>
          <w:sz w:val="24"/>
          <w:szCs w:val="24"/>
        </w:rPr>
        <w:t xml:space="preserve">Figure 9: Breast Tissues showing Collagenous Fibrous Band Staining Light Yellow embedded in cyst of various sizes and shapes (Acetone Extract x 40) (Fibrocystic change)  </w:t>
      </w:r>
    </w:p>
    <w:p w14:paraId="1DF08758" w14:textId="77777777" w:rsidR="00307984" w:rsidRPr="00E0422C" w:rsidRDefault="00307984">
      <w:pPr>
        <w:spacing w:line="240" w:lineRule="auto"/>
        <w:jc w:val="both"/>
        <w:rPr>
          <w:rFonts w:ascii="Times New Roman" w:hAnsi="Times New Roman"/>
          <w:smallCaps/>
          <w:sz w:val="24"/>
          <w:szCs w:val="24"/>
        </w:rPr>
      </w:pPr>
    </w:p>
    <w:p w14:paraId="2F84EE98" w14:textId="77777777" w:rsidR="00307984" w:rsidRPr="00E0422C" w:rsidRDefault="009B06E7">
      <w:pPr>
        <w:spacing w:line="240" w:lineRule="auto"/>
        <w:jc w:val="both"/>
        <w:rPr>
          <w:rFonts w:ascii="Times New Roman" w:hAnsi="Times New Roman"/>
          <w:b/>
          <w:smallCaps/>
          <w:sz w:val="24"/>
          <w:szCs w:val="24"/>
        </w:rPr>
      </w:pPr>
      <w:r w:rsidRPr="00E0422C">
        <w:rPr>
          <w:rFonts w:ascii="Times New Roman" w:hAnsi="Times New Roman"/>
          <w:b/>
          <w:smallCaps/>
          <w:sz w:val="24"/>
          <w:szCs w:val="24"/>
        </w:rPr>
        <w:t xml:space="preserve">Discussion </w:t>
      </w:r>
    </w:p>
    <w:p w14:paraId="19C21CD4" w14:textId="77777777" w:rsidR="00307984" w:rsidRPr="00E0422C" w:rsidRDefault="00307984">
      <w:pPr>
        <w:spacing w:line="240" w:lineRule="auto"/>
        <w:jc w:val="both"/>
        <w:rPr>
          <w:rFonts w:ascii="Times New Roman" w:hAnsi="Times New Roman"/>
          <w:sz w:val="24"/>
          <w:szCs w:val="24"/>
        </w:rPr>
      </w:pPr>
    </w:p>
    <w:p w14:paraId="46D8C22A" w14:textId="77777777" w:rsidR="00307984" w:rsidRPr="00E0422C" w:rsidRDefault="009B06E7">
      <w:pPr>
        <w:spacing w:line="240" w:lineRule="auto"/>
        <w:jc w:val="both"/>
        <w:rPr>
          <w:rFonts w:ascii="Times New Roman" w:hAnsi="Times New Roman"/>
          <w:sz w:val="24"/>
          <w:szCs w:val="24"/>
        </w:rPr>
      </w:pPr>
      <w:r w:rsidRPr="00E0422C">
        <w:t>This study centred on the histomorphological demonstration of stromal components in palpable tumours of the female breast counterstained with crude annatto seed extract. Phytochemical analysis of the plant extract indicated the presence of carotenoids and polyphenols.</w:t>
      </w:r>
    </w:p>
    <w:p w14:paraId="049D943C" w14:textId="77777777" w:rsidR="00307984" w:rsidRPr="00E0422C" w:rsidRDefault="009B06E7">
      <w:pPr>
        <w:spacing w:line="240" w:lineRule="auto"/>
        <w:jc w:val="both"/>
        <w:rPr>
          <w:rFonts w:ascii="Times New Roman" w:hAnsi="Times New Roman"/>
          <w:sz w:val="24"/>
          <w:szCs w:val="24"/>
        </w:rPr>
      </w:pPr>
      <w:r w:rsidRPr="00E0422C">
        <w:t xml:space="preserve">Extracts obtained from the different solvents showed brown to orange-coloured liquids. Acetone gave a very dark brown-orange colour, 95% alcohol gave a clear brown colour, 70% alcohol gave a light and clear brown colour, and distilled water gave a lighter brown colour than the other solvents. The varying colour intensity shows that </w:t>
      </w:r>
      <w:r w:rsidRPr="00E0422C">
        <w:rPr>
          <w:i/>
        </w:rPr>
        <w:t>B. orellana</w:t>
      </w:r>
      <w:r w:rsidRPr="00E0422C">
        <w:t xml:space="preserve"> seed has appreciable extractive value in different solvents, which agrees with the results of Okorie et al. (2019).</w:t>
      </w:r>
    </w:p>
    <w:p w14:paraId="2C4C8682" w14:textId="77777777" w:rsidR="00307984" w:rsidRPr="00E0422C" w:rsidRDefault="009B06E7">
      <w:pPr>
        <w:spacing w:line="240" w:lineRule="auto"/>
        <w:jc w:val="both"/>
        <w:rPr>
          <w:rFonts w:ascii="Times New Roman" w:hAnsi="Times New Roman"/>
          <w:sz w:val="24"/>
          <w:szCs w:val="24"/>
        </w:rPr>
      </w:pPr>
      <w:r w:rsidRPr="00E0422C">
        <w:t xml:space="preserve">The staining reactions of </w:t>
      </w:r>
      <w:r w:rsidRPr="00E0422C">
        <w:rPr>
          <w:i/>
        </w:rPr>
        <w:t>B. orellana</w:t>
      </w:r>
      <w:r w:rsidRPr="00E0422C">
        <w:t xml:space="preserve"> extracts from different solvents showed varying degrees of staining, with the 95% alcoholic extract staining most clearly, followed by the 70% alcoholic extract, while acetone showed the least clear staining.</w:t>
      </w:r>
    </w:p>
    <w:p w14:paraId="0ED0F25C" w14:textId="77777777" w:rsidR="00307984" w:rsidRPr="00E0422C" w:rsidRDefault="009B06E7">
      <w:pPr>
        <w:spacing w:line="240" w:lineRule="auto"/>
        <w:jc w:val="both"/>
        <w:rPr>
          <w:rFonts w:ascii="Times New Roman" w:hAnsi="Times New Roman"/>
          <w:sz w:val="24"/>
          <w:szCs w:val="24"/>
        </w:rPr>
      </w:pPr>
      <w:r w:rsidRPr="00E0422C">
        <w:lastRenderedPageBreak/>
        <w:t>These staining reactions were observed at a pH range of 5.5-6.5. This agrees with the chemical theory of staining described by Avwioro (2010), which indicates that staining reactions in tissue depend on pH in relation to the isoelectric points of dye molecules.</w:t>
      </w:r>
    </w:p>
    <w:p w14:paraId="00EE71B1" w14:textId="77777777" w:rsidR="00307984" w:rsidRPr="00E0422C" w:rsidRDefault="009B06E7">
      <w:pPr>
        <w:spacing w:line="240" w:lineRule="auto"/>
        <w:jc w:val="both"/>
        <w:rPr>
          <w:rFonts w:ascii="Times New Roman" w:hAnsi="Times New Roman"/>
          <w:sz w:val="24"/>
          <w:szCs w:val="24"/>
        </w:rPr>
      </w:pPr>
      <w:r w:rsidRPr="00E0422C">
        <w:rPr>
          <w:i/>
        </w:rPr>
        <w:t>Bixa orellana</w:t>
      </w:r>
      <w:r w:rsidRPr="00E0422C">
        <w:t xml:space="preserve"> may be considered a compound dye or neutral dye because it stains both the nucleus and cytoplasm of the cell.</w:t>
      </w:r>
    </w:p>
    <w:p w14:paraId="568C449A" w14:textId="77777777" w:rsidR="00307984" w:rsidRPr="00250F8B" w:rsidRDefault="009B06E7">
      <w:pPr>
        <w:spacing w:line="240" w:lineRule="auto"/>
        <w:jc w:val="both"/>
        <w:rPr>
          <w:rFonts w:ascii="Times New Roman" w:hAnsi="Times New Roman"/>
          <w:b/>
          <w:bCs/>
          <w:sz w:val="24"/>
          <w:szCs w:val="24"/>
        </w:rPr>
      </w:pPr>
      <w:r w:rsidRPr="00250F8B">
        <w:rPr>
          <w:b/>
          <w:bCs/>
        </w:rPr>
        <w:t>Staining Effect on Palpable Tumours of the Breast</w:t>
      </w:r>
    </w:p>
    <w:p w14:paraId="5E30B5B7" w14:textId="77777777" w:rsidR="00307984" w:rsidRPr="00E0422C" w:rsidRDefault="00307984">
      <w:pPr>
        <w:spacing w:line="240" w:lineRule="auto"/>
        <w:jc w:val="both"/>
        <w:rPr>
          <w:rFonts w:ascii="Times New Roman" w:hAnsi="Times New Roman"/>
          <w:sz w:val="24"/>
          <w:szCs w:val="24"/>
        </w:rPr>
      </w:pPr>
    </w:p>
    <w:p w14:paraId="0DB816C2" w14:textId="77777777" w:rsidR="00307984" w:rsidRPr="00E0422C" w:rsidRDefault="009B06E7">
      <w:pPr>
        <w:spacing w:line="240" w:lineRule="auto"/>
        <w:jc w:val="both"/>
        <w:rPr>
          <w:rFonts w:ascii="Times New Roman" w:hAnsi="Times New Roman"/>
          <w:b/>
          <w:bCs/>
          <w:sz w:val="24"/>
          <w:szCs w:val="24"/>
        </w:rPr>
      </w:pPr>
      <w:r w:rsidRPr="00E0422C">
        <w:rPr>
          <w:rFonts w:ascii="Times New Roman" w:hAnsi="Times New Roman"/>
          <w:b/>
          <w:bCs/>
          <w:sz w:val="24"/>
          <w:szCs w:val="24"/>
        </w:rPr>
        <w:t>Inflammatory Changes (fibrocystic change)</w:t>
      </w:r>
    </w:p>
    <w:p w14:paraId="6A4DCBD1" w14:textId="77777777" w:rsidR="00307984" w:rsidRPr="00E0422C" w:rsidRDefault="009B06E7">
      <w:pPr>
        <w:spacing w:line="240" w:lineRule="auto"/>
        <w:jc w:val="both"/>
        <w:rPr>
          <w:rFonts w:ascii="Times New Roman" w:hAnsi="Times New Roman"/>
          <w:sz w:val="24"/>
          <w:szCs w:val="24"/>
        </w:rPr>
      </w:pPr>
      <w:r w:rsidRPr="00E0422C">
        <w:t>The H&amp;E stain, as seen in Figure 8, served as the control baseline. The section revealed preserved lobular architecture and cystically dilated ducts, some of which were lined by columnar cells with apocrine metaplasia. Areas of mild periductal lymphocytic infiltrate were also present, and the stroma appeared densely desmoplastic, indicating increased fibrous stromal tissue surrounding the ducts and lobules, which may contribute to the tumour-like feeling (Apeksha et al., 2022).</w:t>
      </w:r>
    </w:p>
    <w:p w14:paraId="45910BBC" w14:textId="77777777" w:rsidR="00307984" w:rsidRPr="00E0422C" w:rsidRDefault="009B06E7">
      <w:pPr>
        <w:spacing w:line="240" w:lineRule="auto"/>
        <w:jc w:val="both"/>
        <w:rPr>
          <w:rFonts w:ascii="Times New Roman" w:hAnsi="Times New Roman"/>
          <w:sz w:val="24"/>
          <w:szCs w:val="24"/>
        </w:rPr>
      </w:pPr>
      <w:r w:rsidRPr="00E0422C">
        <w:t>The section stained with 95% ethanol extract showed a well-stained slide with preserved tissue architecture and visible diagnostic features. The cytoplasmic and nuclear components were well differentiated, with little to negligible yellow colouration. Therefore, the staining result was diagnostically useful. Sections stained with acetone also showed preservation of tissue architecture and visible diagnostic details similar to those seen in the H&amp;E-stained slide; however, yellow colouration tended to obscure proper visibility of cellular details, making the slide appear blurry and translucent.</w:t>
      </w:r>
    </w:p>
    <w:p w14:paraId="687BF9F8" w14:textId="77777777" w:rsidR="00307984" w:rsidRPr="00250F8B" w:rsidRDefault="009B06E7">
      <w:pPr>
        <w:spacing w:line="240" w:lineRule="auto"/>
        <w:jc w:val="both"/>
        <w:rPr>
          <w:rFonts w:ascii="Times New Roman" w:hAnsi="Times New Roman"/>
          <w:b/>
          <w:bCs/>
          <w:sz w:val="24"/>
          <w:szCs w:val="24"/>
        </w:rPr>
      </w:pPr>
      <w:r w:rsidRPr="00250F8B">
        <w:rPr>
          <w:b/>
          <w:bCs/>
        </w:rPr>
        <w:t>Benign breast tumour (fibroadenoma)</w:t>
      </w:r>
    </w:p>
    <w:p w14:paraId="773194A7" w14:textId="77777777" w:rsidR="00307984" w:rsidRPr="00E0422C" w:rsidRDefault="009B06E7">
      <w:pPr>
        <w:spacing w:line="240" w:lineRule="auto"/>
        <w:jc w:val="both"/>
        <w:rPr>
          <w:rFonts w:ascii="Times New Roman" w:hAnsi="Times New Roman"/>
          <w:sz w:val="24"/>
          <w:szCs w:val="24"/>
        </w:rPr>
      </w:pPr>
      <w:r w:rsidRPr="00E0422C">
        <w:t>Sections from the H&amp;E-stained slide revealed an encapsulated biphasic neoplasm with proliferating acini lined by luminal and myoepithelial cells. In the slides stained with 95% ethanolic extract, the histological diagnostic features seen in the standard slide were well visualised and identified, with no distortion of tissue architecture. Stromal components were also observed, with the extract imparting a yellow-coloured background that contrasted with haematoxylin.</w:t>
      </w:r>
    </w:p>
    <w:p w14:paraId="4420CAA5" w14:textId="77777777" w:rsidR="00307984" w:rsidRPr="00250F8B" w:rsidRDefault="009B06E7">
      <w:pPr>
        <w:spacing w:line="240" w:lineRule="auto"/>
        <w:jc w:val="both"/>
        <w:rPr>
          <w:rFonts w:ascii="Times New Roman" w:hAnsi="Times New Roman"/>
          <w:b/>
          <w:bCs/>
          <w:sz w:val="24"/>
          <w:szCs w:val="24"/>
        </w:rPr>
      </w:pPr>
      <w:r w:rsidRPr="00250F8B">
        <w:rPr>
          <w:b/>
          <w:bCs/>
        </w:rPr>
        <w:t>Malignant breast tumour (invasive breast carcinoma)</w:t>
      </w:r>
    </w:p>
    <w:p w14:paraId="390AFF13" w14:textId="77777777" w:rsidR="00307984" w:rsidRPr="00E0422C" w:rsidRDefault="009B06E7">
      <w:pPr>
        <w:spacing w:line="240" w:lineRule="auto"/>
        <w:jc w:val="both"/>
        <w:rPr>
          <w:rFonts w:ascii="Times New Roman" w:hAnsi="Times New Roman"/>
          <w:sz w:val="24"/>
          <w:szCs w:val="24"/>
        </w:rPr>
      </w:pPr>
      <w:r w:rsidRPr="00E0422C">
        <w:t>The haematoxylin and eosin-stained slide, which served as the standard for this lesion, showed well-differentiated staining with clear stromal components. The slide showed a wide area of haemorrhagic necrosis, no lymphovascular invasion, stroma marked by desmoplasia, and moderate lymphoplasmacytic infiltrate. The slide also showed a moderate mitotic rate, with about 20-30% glandular differentiation. These findings are features of invasive breast carcinoma of no special type.</w:t>
      </w:r>
    </w:p>
    <w:p w14:paraId="75E83B4A" w14:textId="77777777" w:rsidR="00307984" w:rsidRPr="00E0422C" w:rsidRDefault="009B06E7">
      <w:pPr>
        <w:spacing w:line="240" w:lineRule="auto"/>
        <w:jc w:val="both"/>
        <w:rPr>
          <w:rFonts w:ascii="Times New Roman" w:hAnsi="Times New Roman"/>
          <w:sz w:val="24"/>
          <w:szCs w:val="24"/>
        </w:rPr>
      </w:pPr>
      <w:r w:rsidRPr="00E0422C">
        <w:t>The slides stained with 95% ethanol extract revealed diagnostic stromal features similar to those seen in haematoxylin and eosin-stained slides. Proper cellular and cytoplasmic differentiation and visualisation were observed, with no interfering colour. In contrast, the acetone-stained slide showed cellular differentiation and identification of diagnostic features, although interfering colouration was observed.</w:t>
      </w:r>
    </w:p>
    <w:p w14:paraId="666BDB1B" w14:textId="77777777" w:rsidR="008D7C0F" w:rsidRDefault="008D7C0F">
      <w:pPr>
        <w:spacing w:before="100" w:beforeAutospacing="1" w:after="100" w:afterAutospacing="1" w:line="240" w:lineRule="auto"/>
        <w:rPr>
          <w:rFonts w:ascii="Times New Roman" w:eastAsia="Times New Roman" w:hAnsi="Times New Roman"/>
          <w:b/>
          <w:bCs/>
          <w:sz w:val="24"/>
          <w:szCs w:val="24"/>
          <w:lang w:eastAsia="en-GB"/>
        </w:rPr>
      </w:pPr>
    </w:p>
    <w:p w14:paraId="66B84707" w14:textId="77777777" w:rsidR="008D7C0F" w:rsidRDefault="008D7C0F">
      <w:pPr>
        <w:spacing w:before="100" w:beforeAutospacing="1" w:after="100" w:afterAutospacing="1" w:line="240" w:lineRule="auto"/>
        <w:rPr>
          <w:rFonts w:ascii="Times New Roman" w:eastAsia="Times New Roman" w:hAnsi="Times New Roman"/>
          <w:b/>
          <w:bCs/>
          <w:sz w:val="24"/>
          <w:szCs w:val="24"/>
          <w:lang w:eastAsia="en-GB"/>
        </w:rPr>
      </w:pPr>
    </w:p>
    <w:p w14:paraId="311DEC73" w14:textId="77777777" w:rsidR="008D7C0F" w:rsidRDefault="008D7C0F">
      <w:pPr>
        <w:spacing w:before="100" w:beforeAutospacing="1" w:after="100" w:afterAutospacing="1" w:line="240" w:lineRule="auto"/>
        <w:rPr>
          <w:rFonts w:ascii="Times New Roman" w:eastAsia="Times New Roman" w:hAnsi="Times New Roman"/>
          <w:b/>
          <w:bCs/>
          <w:sz w:val="24"/>
          <w:szCs w:val="24"/>
          <w:lang w:eastAsia="en-GB"/>
        </w:rPr>
      </w:pPr>
    </w:p>
    <w:p w14:paraId="69377958" w14:textId="4689D785" w:rsidR="00307984" w:rsidRPr="00E0422C" w:rsidRDefault="009B06E7">
      <w:pPr>
        <w:spacing w:before="100" w:beforeAutospacing="1" w:after="100" w:afterAutospacing="1" w:line="240" w:lineRule="auto"/>
        <w:rPr>
          <w:rFonts w:ascii="Times New Roman" w:eastAsia="Times New Roman" w:hAnsi="Times New Roman"/>
          <w:sz w:val="24"/>
          <w:szCs w:val="24"/>
          <w:lang w:eastAsia="en-GB"/>
        </w:rPr>
      </w:pPr>
      <w:r w:rsidRPr="00E0422C">
        <w:rPr>
          <w:rFonts w:ascii="Times New Roman" w:eastAsia="Times New Roman" w:hAnsi="Times New Roman"/>
          <w:b/>
          <w:bCs/>
          <w:sz w:val="24"/>
          <w:szCs w:val="24"/>
          <w:lang w:eastAsia="en-GB"/>
        </w:rPr>
        <w:t>Conclusion</w:t>
      </w:r>
    </w:p>
    <w:p w14:paraId="103721BA" w14:textId="77777777" w:rsidR="00307984" w:rsidRPr="00E0422C" w:rsidRDefault="009B06E7">
      <w:pPr>
        <w:spacing w:before="100" w:beforeAutospacing="1" w:after="100" w:afterAutospacing="1" w:line="240" w:lineRule="auto"/>
        <w:rPr>
          <w:rFonts w:ascii="Times New Roman" w:eastAsia="Times New Roman" w:hAnsi="Times New Roman"/>
          <w:sz w:val="24"/>
          <w:szCs w:val="24"/>
          <w:lang w:eastAsia="en-GB"/>
        </w:rPr>
      </w:pPr>
      <w:r w:rsidRPr="00E0422C">
        <w:t>This study evaluated crude annatto seed extracts as counterstains for demonstrating stromal components in palpable female breast tumour sections. The examined tissue blocks included fibroadenoma, fibrocystic change, and invasive ductal carcinoma. Among the solvents used for extraction, acetone produced a strong colour yield, but its staining performance was limited by a yellowish background that reduced cellular clarity. The 95% ethanolic extract showed comparatively better staining quality, with clearer visualisation of stromal components and better preservation of tissue architecture across the examined breast lesions. Its staining pattern was closer to the routine haematoxylin and eosin control than the other crude extracts assessed in the study.</w:t>
      </w:r>
    </w:p>
    <w:p w14:paraId="2E15A09B" w14:textId="77777777" w:rsidR="00307984" w:rsidRPr="00E0422C" w:rsidRDefault="009B06E7">
      <w:pPr>
        <w:spacing w:before="100" w:beforeAutospacing="1" w:after="100" w:afterAutospacing="1" w:line="240" w:lineRule="auto"/>
        <w:rPr>
          <w:rFonts w:ascii="Times New Roman" w:eastAsia="Times New Roman" w:hAnsi="Times New Roman"/>
          <w:sz w:val="24"/>
          <w:szCs w:val="24"/>
          <w:lang w:eastAsia="en-GB"/>
        </w:rPr>
      </w:pPr>
      <w:r w:rsidRPr="00E0422C">
        <w:t>The findings suggest that 95% ethanolic annatto seed extract may have potential as a natural counterstain in the histological demonstration of breast stromal components. However, the observations remain primarily descriptive. Further work is required to standardise extraction conditions, staining duration, pH, concentration, and storage stability. Quantitative scoring, statistical analysis, interobserver assessment, and comparison with established counterstains are also necessary to confirm reproducibility and diagnostic usefulness.</w:t>
      </w:r>
    </w:p>
    <w:p w14:paraId="0EBF3174" w14:textId="77777777" w:rsidR="00307984" w:rsidRPr="00E0422C" w:rsidRDefault="009B06E7">
      <w:pPr>
        <w:spacing w:before="100" w:beforeAutospacing="1" w:after="100" w:afterAutospacing="1" w:line="240" w:lineRule="auto"/>
        <w:rPr>
          <w:rFonts w:ascii="Times New Roman" w:eastAsia="Times New Roman" w:hAnsi="Times New Roman"/>
          <w:sz w:val="24"/>
          <w:szCs w:val="24"/>
          <w:lang w:eastAsia="en-GB"/>
        </w:rPr>
      </w:pPr>
      <w:r w:rsidRPr="00E0422C">
        <w:rPr>
          <w:rFonts w:ascii="Times New Roman" w:eastAsia="Times New Roman" w:hAnsi="Times New Roman"/>
          <w:b/>
          <w:bCs/>
          <w:sz w:val="24"/>
          <w:szCs w:val="24"/>
          <w:lang w:eastAsia="en-GB"/>
        </w:rPr>
        <w:t>Limitations</w:t>
      </w:r>
    </w:p>
    <w:p w14:paraId="57D8EC22" w14:textId="77777777" w:rsidR="00307984" w:rsidRPr="00E0422C" w:rsidRDefault="009B06E7">
      <w:pPr>
        <w:spacing w:before="100" w:beforeAutospacing="1" w:after="100" w:afterAutospacing="1" w:line="240" w:lineRule="auto"/>
        <w:rPr>
          <w:rFonts w:ascii="Times New Roman" w:eastAsia="Times New Roman" w:hAnsi="Times New Roman"/>
          <w:sz w:val="24"/>
          <w:szCs w:val="24"/>
          <w:lang w:eastAsia="en-GB"/>
        </w:rPr>
      </w:pPr>
      <w:r w:rsidRPr="00E0422C">
        <w:t>This study has some limitations. Staining outcomes were mainly assessed descriptively, without quantitative scoring or statistical comparison of staining intensity, stromal visibility, or tissue architecture preservation. The extraction and staining procedures were not fully detailed for extraction duration, filtration, concentration, staining time, and pH adjustment. The number of sections prepared from each block and the slide evaluation method were not clearly stated. Observer blinding, interobserver agreement, and long-term extract stability were not reported. The study also focused only on selected breast lesions.</w:t>
      </w:r>
    </w:p>
    <w:p w14:paraId="37E7A8A6" w14:textId="77777777" w:rsidR="005C330A" w:rsidRPr="00E0422C" w:rsidRDefault="005C330A" w:rsidP="005C330A">
      <w:pPr>
        <w:rPr>
          <w:b/>
          <w:bCs/>
        </w:rPr>
      </w:pPr>
      <w:r w:rsidRPr="00E0422C">
        <w:rPr>
          <w:b/>
          <w:bCs/>
        </w:rPr>
        <w:t xml:space="preserve"> Ethical Approval </w:t>
      </w:r>
    </w:p>
    <w:p w14:paraId="4D3DA90B" w14:textId="77777777" w:rsidR="00307984" w:rsidRPr="00E0422C" w:rsidRDefault="005C330A" w:rsidP="005C330A">
      <w:r w:rsidRPr="00E0422C">
        <w:t>Ethical approval for the study was obtained from the ethical committee of the Rivers State University Teaching Hospital.</w:t>
      </w:r>
    </w:p>
    <w:p w14:paraId="518AE270" w14:textId="77777777" w:rsidR="00476E81" w:rsidRPr="00E0422C" w:rsidRDefault="00476E81" w:rsidP="005C330A">
      <w:pPr>
        <w:rPr>
          <w:b/>
          <w:bCs/>
        </w:rPr>
      </w:pPr>
    </w:p>
    <w:p w14:paraId="581DBB8D" w14:textId="77777777" w:rsidR="00476E81" w:rsidRPr="00E0422C" w:rsidRDefault="00476E81" w:rsidP="00476E81">
      <w:pPr>
        <w:rPr>
          <w:b/>
          <w:bCs/>
        </w:rPr>
      </w:pPr>
      <w:r w:rsidRPr="00E0422C">
        <w:rPr>
          <w:b/>
          <w:bCs/>
        </w:rPr>
        <w:t xml:space="preserve">Consent </w:t>
      </w:r>
    </w:p>
    <w:p w14:paraId="07B0FA66" w14:textId="77777777" w:rsidR="00476E81" w:rsidRPr="00E0422C" w:rsidRDefault="00476E81" w:rsidP="00476E81">
      <w:r w:rsidRPr="00E0422C">
        <w:t>As per international standards or university standards, patient(s) written consent has been collected and preserved by the author(s).</w:t>
      </w:r>
    </w:p>
    <w:p w14:paraId="2B82DD4B" w14:textId="77777777" w:rsidR="00307984" w:rsidRPr="00E0422C" w:rsidRDefault="009B06E7">
      <w:pPr>
        <w:spacing w:after="0" w:line="240" w:lineRule="auto"/>
        <w:rPr>
          <w:rFonts w:ascii="Times New Roman" w:hAnsi="Times New Roman"/>
          <w:b/>
        </w:rPr>
      </w:pPr>
      <w:r w:rsidRPr="00E0422C">
        <w:rPr>
          <w:rFonts w:ascii="Times New Roman" w:hAnsi="Times New Roman"/>
          <w:b/>
        </w:rPr>
        <w:t>Declaration of AI Use</w:t>
      </w:r>
    </w:p>
    <w:p w14:paraId="56704F9A" w14:textId="77777777" w:rsidR="00307984" w:rsidRPr="00E0422C" w:rsidRDefault="00307984">
      <w:pPr>
        <w:spacing w:after="0" w:line="240" w:lineRule="auto"/>
        <w:rPr>
          <w:rFonts w:ascii="Times New Roman" w:hAnsi="Times New Roman"/>
        </w:rPr>
      </w:pPr>
    </w:p>
    <w:p w14:paraId="2DAA9A1E" w14:textId="77777777" w:rsidR="00307984" w:rsidRPr="00E0422C" w:rsidRDefault="009B06E7">
      <w:pPr>
        <w:spacing w:after="0" w:line="240" w:lineRule="auto"/>
        <w:jc w:val="both"/>
        <w:rPr>
          <w:rFonts w:ascii="Times New Roman" w:hAnsi="Times New Roman"/>
        </w:rPr>
      </w:pPr>
      <w:r w:rsidRPr="00E0422C">
        <w:rPr>
          <w:rFonts w:ascii="Times New Roman" w:hAnsi="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w:t>
      </w:r>
      <w:r w:rsidRPr="00E0422C">
        <w:rPr>
          <w:rFonts w:ascii="Times New Roman" w:hAnsi="Times New Roman"/>
        </w:rPr>
        <w:lastRenderedPageBreak/>
        <w:t>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4E73C35" w14:textId="77777777" w:rsidR="00307984" w:rsidRPr="00E0422C" w:rsidRDefault="00307984">
      <w:pPr>
        <w:spacing w:line="240" w:lineRule="auto"/>
        <w:jc w:val="both"/>
        <w:rPr>
          <w:rFonts w:ascii="Times New Roman" w:hAnsi="Times New Roman"/>
          <w:sz w:val="24"/>
          <w:szCs w:val="24"/>
        </w:rPr>
      </w:pPr>
    </w:p>
    <w:p w14:paraId="35FD5F6C" w14:textId="77777777" w:rsidR="00307984" w:rsidRPr="00E0422C" w:rsidRDefault="00307984">
      <w:pPr>
        <w:spacing w:line="240" w:lineRule="auto"/>
        <w:jc w:val="both"/>
        <w:rPr>
          <w:rFonts w:ascii="Times New Roman" w:hAnsi="Times New Roman"/>
          <w:sz w:val="24"/>
          <w:szCs w:val="24"/>
        </w:rPr>
      </w:pPr>
    </w:p>
    <w:p w14:paraId="5442857B" w14:textId="77777777" w:rsidR="00307984" w:rsidRPr="00E0422C" w:rsidRDefault="00307984">
      <w:pPr>
        <w:spacing w:line="240" w:lineRule="auto"/>
        <w:jc w:val="both"/>
        <w:rPr>
          <w:rFonts w:ascii="Times New Roman" w:hAnsi="Times New Roman"/>
          <w:sz w:val="24"/>
          <w:szCs w:val="24"/>
        </w:rPr>
      </w:pPr>
    </w:p>
    <w:p w14:paraId="170791F5" w14:textId="213E8B0D" w:rsidR="00307984" w:rsidRPr="00E0422C" w:rsidRDefault="009B06E7">
      <w:pPr>
        <w:spacing w:line="240" w:lineRule="auto"/>
        <w:jc w:val="both"/>
        <w:rPr>
          <w:rFonts w:ascii="Times New Roman" w:hAnsi="Times New Roman"/>
          <w:sz w:val="24"/>
          <w:szCs w:val="24"/>
        </w:rPr>
      </w:pPr>
      <w:r w:rsidRPr="00E0422C">
        <w:rPr>
          <w:rFonts w:ascii="Times New Roman" w:hAnsi="Times New Roman"/>
          <w:sz w:val="24"/>
          <w:szCs w:val="24"/>
        </w:rPr>
        <w:t>REFERENCE</w:t>
      </w:r>
      <w:r w:rsidR="00AF0F73">
        <w:rPr>
          <w:rFonts w:ascii="Times New Roman" w:hAnsi="Times New Roman"/>
          <w:sz w:val="24"/>
          <w:szCs w:val="24"/>
        </w:rPr>
        <w:t>s</w:t>
      </w:r>
    </w:p>
    <w:p w14:paraId="5C1E5ECE"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r w:rsidRPr="00F8527A">
        <w:rPr>
          <w:rFonts w:eastAsia="Times New Roman"/>
          <w:sz w:val="24"/>
          <w:szCs w:val="24"/>
        </w:rPr>
        <w:t xml:space="preserve">Adeyemo, S. M., </w:t>
      </w:r>
      <w:proofErr w:type="spellStart"/>
      <w:r w:rsidRPr="00F8527A">
        <w:rPr>
          <w:rFonts w:eastAsia="Times New Roman"/>
          <w:sz w:val="24"/>
          <w:szCs w:val="24"/>
        </w:rPr>
        <w:t>Akinloye</w:t>
      </w:r>
      <w:proofErr w:type="spellEnd"/>
      <w:r w:rsidRPr="00F8527A">
        <w:rPr>
          <w:rFonts w:eastAsia="Times New Roman"/>
          <w:sz w:val="24"/>
          <w:szCs w:val="24"/>
        </w:rPr>
        <w:t xml:space="preserve">, A. J., &amp; Adekanmi, G. B. (2018). The use of plant dyes for microbial staining and identification: An eco-friendly and non-toxic alternative method. </w:t>
      </w:r>
      <w:r w:rsidRPr="00F8527A">
        <w:rPr>
          <w:rFonts w:eastAsia="Times New Roman"/>
          <w:i/>
          <w:iCs/>
          <w:sz w:val="24"/>
          <w:szCs w:val="24"/>
        </w:rPr>
        <w:t>Journal of Advances in Biology &amp; Biotechnology, 16</w:t>
      </w:r>
      <w:r w:rsidRPr="00F8527A">
        <w:rPr>
          <w:rFonts w:eastAsia="Times New Roman"/>
          <w:sz w:val="24"/>
          <w:szCs w:val="24"/>
        </w:rPr>
        <w:t xml:space="preserve">(4), 1–10. </w:t>
      </w:r>
      <w:hyperlink r:id="rId46" w:tgtFrame="_new" w:history="1">
        <w:r w:rsidRPr="00F8527A">
          <w:rPr>
            <w:rFonts w:eastAsia="Times New Roman"/>
            <w:color w:val="0000FF"/>
            <w:sz w:val="24"/>
            <w:szCs w:val="24"/>
            <w:u w:val="single"/>
          </w:rPr>
          <w:t>https://doi.org/10.9734/JABB/2017/35014</w:t>
        </w:r>
      </w:hyperlink>
      <w:r w:rsidRPr="00F8527A">
        <w:rPr>
          <w:rFonts w:eastAsia="Times New Roman"/>
          <w:sz w:val="24"/>
          <w:szCs w:val="24"/>
        </w:rPr>
        <w:t xml:space="preserve"> </w:t>
      </w:r>
    </w:p>
    <w:p w14:paraId="1427F801"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proofErr w:type="spellStart"/>
      <w:r w:rsidRPr="00F8527A">
        <w:rPr>
          <w:rFonts w:eastAsia="Times New Roman"/>
          <w:sz w:val="24"/>
          <w:szCs w:val="24"/>
        </w:rPr>
        <w:t>Alcázar</w:t>
      </w:r>
      <w:proofErr w:type="spellEnd"/>
      <w:r w:rsidRPr="00F8527A">
        <w:rPr>
          <w:rFonts w:eastAsia="Times New Roman"/>
          <w:sz w:val="24"/>
          <w:szCs w:val="24"/>
        </w:rPr>
        <w:t>-Alay, S. C., Osorio-</w:t>
      </w:r>
      <w:proofErr w:type="spellStart"/>
      <w:r w:rsidRPr="00F8527A">
        <w:rPr>
          <w:rFonts w:eastAsia="Times New Roman"/>
          <w:sz w:val="24"/>
          <w:szCs w:val="24"/>
        </w:rPr>
        <w:t>Tobón</w:t>
      </w:r>
      <w:proofErr w:type="spellEnd"/>
      <w:r w:rsidRPr="00F8527A">
        <w:rPr>
          <w:rFonts w:eastAsia="Times New Roman"/>
          <w:sz w:val="24"/>
          <w:szCs w:val="24"/>
        </w:rPr>
        <w:t xml:space="preserve">, J. F., Forster-Carneiro, T., Steel, C. J., &amp; Meireles, M. A. A. (2017). Polymer modification from semi-defatted annatto seeds using hot pressurized water and supercritical CO2. </w:t>
      </w:r>
      <w:r w:rsidRPr="00F8527A">
        <w:rPr>
          <w:rFonts w:eastAsia="Times New Roman"/>
          <w:i/>
          <w:iCs/>
          <w:sz w:val="24"/>
          <w:szCs w:val="24"/>
        </w:rPr>
        <w:t>The Journal of Supercritical Fluids, 129</w:t>
      </w:r>
      <w:r w:rsidRPr="00F8527A">
        <w:rPr>
          <w:rFonts w:eastAsia="Times New Roman"/>
          <w:sz w:val="24"/>
          <w:szCs w:val="24"/>
        </w:rPr>
        <w:t xml:space="preserve">, 48–55. </w:t>
      </w:r>
      <w:hyperlink r:id="rId47" w:tgtFrame="_new" w:history="1">
        <w:r w:rsidRPr="00F8527A">
          <w:rPr>
            <w:rFonts w:eastAsia="Times New Roman"/>
            <w:color w:val="0000FF"/>
            <w:sz w:val="24"/>
            <w:szCs w:val="24"/>
            <w:u w:val="single"/>
          </w:rPr>
          <w:t>https://doi.org/10.1016/j.supflu.2016.12.011</w:t>
        </w:r>
      </w:hyperlink>
      <w:r w:rsidRPr="00F8527A">
        <w:rPr>
          <w:rFonts w:eastAsia="Times New Roman"/>
          <w:sz w:val="24"/>
          <w:szCs w:val="24"/>
        </w:rPr>
        <w:t xml:space="preserve"> </w:t>
      </w:r>
    </w:p>
    <w:p w14:paraId="5C61F8CE"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r w:rsidRPr="00F8527A">
        <w:rPr>
          <w:rFonts w:eastAsia="Times New Roman"/>
          <w:sz w:val="24"/>
          <w:szCs w:val="24"/>
        </w:rPr>
        <w:t>Aluko, E. (2024). Ethanol-based extraction of annatto (</w:t>
      </w:r>
      <w:r w:rsidRPr="00F8527A">
        <w:rPr>
          <w:rFonts w:eastAsia="Times New Roman"/>
          <w:i/>
          <w:iCs/>
          <w:sz w:val="24"/>
          <w:szCs w:val="24"/>
        </w:rPr>
        <w:t xml:space="preserve">Bixa </w:t>
      </w:r>
      <w:proofErr w:type="spellStart"/>
      <w:r w:rsidRPr="00F8527A">
        <w:rPr>
          <w:rFonts w:eastAsia="Times New Roman"/>
          <w:i/>
          <w:iCs/>
          <w:sz w:val="24"/>
          <w:szCs w:val="24"/>
        </w:rPr>
        <w:t>orellana</w:t>
      </w:r>
      <w:proofErr w:type="spellEnd"/>
      <w:r w:rsidRPr="00F8527A">
        <w:rPr>
          <w:rFonts w:eastAsia="Times New Roman"/>
          <w:sz w:val="24"/>
          <w:szCs w:val="24"/>
        </w:rPr>
        <w:t xml:space="preserve"> L.) and characterization of the bixin and norbixin. </w:t>
      </w:r>
      <w:r w:rsidRPr="00F8527A">
        <w:rPr>
          <w:rFonts w:eastAsia="Times New Roman"/>
          <w:i/>
          <w:iCs/>
          <w:sz w:val="24"/>
          <w:szCs w:val="24"/>
        </w:rPr>
        <w:t>ACS Omega, 9</w:t>
      </w:r>
      <w:r w:rsidRPr="00F8527A">
        <w:rPr>
          <w:rFonts w:eastAsia="Times New Roman"/>
          <w:sz w:val="24"/>
          <w:szCs w:val="24"/>
        </w:rPr>
        <w:t xml:space="preserve">(16), 18273–18277. </w:t>
      </w:r>
      <w:hyperlink r:id="rId48" w:tgtFrame="_new" w:history="1">
        <w:r w:rsidRPr="00F8527A">
          <w:rPr>
            <w:rFonts w:eastAsia="Times New Roman"/>
            <w:color w:val="0000FF"/>
            <w:sz w:val="24"/>
            <w:szCs w:val="24"/>
            <w:u w:val="single"/>
          </w:rPr>
          <w:t>https://doi.org/10.1021/acsomega.3c10120</w:t>
        </w:r>
      </w:hyperlink>
      <w:r w:rsidRPr="00F8527A">
        <w:rPr>
          <w:rFonts w:eastAsia="Times New Roman"/>
          <w:sz w:val="24"/>
          <w:szCs w:val="24"/>
        </w:rPr>
        <w:t xml:space="preserve"> </w:t>
      </w:r>
    </w:p>
    <w:p w14:paraId="3592EAC0"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r w:rsidRPr="00F8527A">
        <w:rPr>
          <w:rFonts w:eastAsia="Times New Roman"/>
          <w:sz w:val="24"/>
          <w:szCs w:val="24"/>
          <w:lang w:val="fr-FR"/>
        </w:rPr>
        <w:t xml:space="preserve">Apeksha, N., Agarwal, D. D., &amp; Mais, A. D. (2022). </w:t>
      </w:r>
      <w:r w:rsidRPr="00F8527A">
        <w:rPr>
          <w:rFonts w:eastAsia="Times New Roman"/>
          <w:sz w:val="24"/>
          <w:szCs w:val="24"/>
        </w:rPr>
        <w:t xml:space="preserve">Fibrocystic changes: </w:t>
      </w:r>
      <w:proofErr w:type="spellStart"/>
      <w:r w:rsidRPr="00F8527A">
        <w:rPr>
          <w:rFonts w:eastAsia="Times New Roman"/>
          <w:sz w:val="24"/>
          <w:szCs w:val="24"/>
        </w:rPr>
        <w:t>Nonproliferative</w:t>
      </w:r>
      <w:proofErr w:type="spellEnd"/>
      <w:r w:rsidRPr="00F8527A">
        <w:rPr>
          <w:rFonts w:eastAsia="Times New Roman"/>
          <w:sz w:val="24"/>
          <w:szCs w:val="24"/>
        </w:rPr>
        <w:t xml:space="preserve"> fibrocystic changes. </w:t>
      </w:r>
      <w:hyperlink r:id="rId49" w:history="1">
        <w:r w:rsidRPr="00775B40">
          <w:rPr>
            <w:rStyle w:val="Hyperlink"/>
            <w:rFonts w:eastAsia="Times New Roman"/>
            <w:sz w:val="24"/>
            <w:szCs w:val="24"/>
          </w:rPr>
          <w:t>https://www.pathologyoutlines.com/topic/breastfcc.html</w:t>
        </w:r>
      </w:hyperlink>
      <w:r>
        <w:rPr>
          <w:rFonts w:eastAsia="Times New Roman"/>
          <w:sz w:val="24"/>
          <w:szCs w:val="24"/>
        </w:rPr>
        <w:t xml:space="preserve"> </w:t>
      </w:r>
    </w:p>
    <w:p w14:paraId="6044A183"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proofErr w:type="spellStart"/>
      <w:r w:rsidRPr="00F8527A">
        <w:rPr>
          <w:rFonts w:eastAsia="Times New Roman"/>
          <w:sz w:val="24"/>
          <w:szCs w:val="24"/>
        </w:rPr>
        <w:t>Avwioro</w:t>
      </w:r>
      <w:proofErr w:type="spellEnd"/>
      <w:r w:rsidRPr="00F8527A">
        <w:rPr>
          <w:rFonts w:eastAsia="Times New Roman"/>
          <w:sz w:val="24"/>
          <w:szCs w:val="24"/>
        </w:rPr>
        <w:t xml:space="preserve">, O. G. (2010). </w:t>
      </w:r>
      <w:r w:rsidRPr="00F8527A">
        <w:rPr>
          <w:rFonts w:eastAsia="Times New Roman"/>
          <w:i/>
          <w:iCs/>
          <w:sz w:val="24"/>
          <w:szCs w:val="24"/>
        </w:rPr>
        <w:t>Histochemistry and tissue pathology: Principles and techniques</w:t>
      </w:r>
      <w:r w:rsidRPr="00F8527A">
        <w:rPr>
          <w:rFonts w:eastAsia="Times New Roman"/>
          <w:sz w:val="24"/>
          <w:szCs w:val="24"/>
        </w:rPr>
        <w:t xml:space="preserve"> (2nd ed.). </w:t>
      </w:r>
      <w:proofErr w:type="spellStart"/>
      <w:r w:rsidRPr="00F8527A">
        <w:rPr>
          <w:rFonts w:eastAsia="Times New Roman"/>
          <w:sz w:val="24"/>
          <w:szCs w:val="24"/>
        </w:rPr>
        <w:t>Claverianum</w:t>
      </w:r>
      <w:proofErr w:type="spellEnd"/>
      <w:r w:rsidRPr="00F8527A">
        <w:rPr>
          <w:rFonts w:eastAsia="Times New Roman"/>
          <w:sz w:val="24"/>
          <w:szCs w:val="24"/>
        </w:rPr>
        <w:t xml:space="preserve"> Press. </w:t>
      </w:r>
    </w:p>
    <w:p w14:paraId="43F50FA8"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proofErr w:type="spellStart"/>
      <w:r w:rsidRPr="00F8527A">
        <w:rPr>
          <w:rFonts w:eastAsia="Times New Roman"/>
          <w:sz w:val="24"/>
          <w:szCs w:val="24"/>
        </w:rPr>
        <w:t>Dodelzon</w:t>
      </w:r>
      <w:proofErr w:type="spellEnd"/>
      <w:r w:rsidRPr="00F8527A">
        <w:rPr>
          <w:rFonts w:eastAsia="Times New Roman"/>
          <w:sz w:val="24"/>
          <w:szCs w:val="24"/>
        </w:rPr>
        <w:t xml:space="preserve">, K., &amp; Katzen, J. T. (2019). Evaluation of palpable breast abnormalities. </w:t>
      </w:r>
      <w:r w:rsidRPr="00F8527A">
        <w:rPr>
          <w:rFonts w:eastAsia="Times New Roman"/>
          <w:i/>
          <w:iCs/>
          <w:sz w:val="24"/>
          <w:szCs w:val="24"/>
        </w:rPr>
        <w:t>Journal of Breast Imaging, 1</w:t>
      </w:r>
      <w:r w:rsidRPr="00F8527A">
        <w:rPr>
          <w:rFonts w:eastAsia="Times New Roman"/>
          <w:sz w:val="24"/>
          <w:szCs w:val="24"/>
        </w:rPr>
        <w:t xml:space="preserve">(3), 253–263. </w:t>
      </w:r>
      <w:hyperlink r:id="rId50" w:tgtFrame="_new" w:history="1">
        <w:r w:rsidRPr="00F8527A">
          <w:rPr>
            <w:rFonts w:eastAsia="Times New Roman"/>
            <w:color w:val="0000FF"/>
            <w:sz w:val="24"/>
            <w:szCs w:val="24"/>
            <w:u w:val="single"/>
          </w:rPr>
          <w:t>https://doi.org/10.1093/jbi/wbz040</w:t>
        </w:r>
      </w:hyperlink>
      <w:r w:rsidRPr="00F8527A">
        <w:rPr>
          <w:rFonts w:eastAsia="Times New Roman"/>
          <w:sz w:val="24"/>
          <w:szCs w:val="24"/>
        </w:rPr>
        <w:t xml:space="preserve"> </w:t>
      </w:r>
    </w:p>
    <w:p w14:paraId="2B667D8B"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r w:rsidRPr="00F8527A">
        <w:rPr>
          <w:rFonts w:eastAsia="Times New Roman"/>
          <w:sz w:val="24"/>
          <w:szCs w:val="24"/>
        </w:rPr>
        <w:t xml:space="preserve">Klein, K. A., Kocher, M., Lourenco, A. P., Niell, B. L., Bennett, D. L., </w:t>
      </w:r>
      <w:proofErr w:type="spellStart"/>
      <w:r w:rsidRPr="00F8527A">
        <w:rPr>
          <w:rFonts w:eastAsia="Times New Roman"/>
          <w:sz w:val="24"/>
          <w:szCs w:val="24"/>
        </w:rPr>
        <w:t>Chetlen</w:t>
      </w:r>
      <w:proofErr w:type="spellEnd"/>
      <w:r w:rsidRPr="00F8527A">
        <w:rPr>
          <w:rFonts w:eastAsia="Times New Roman"/>
          <w:sz w:val="24"/>
          <w:szCs w:val="24"/>
        </w:rPr>
        <w:t xml:space="preserve">, A., Freer, P. E., </w:t>
      </w:r>
      <w:proofErr w:type="spellStart"/>
      <w:r w:rsidRPr="00F8527A">
        <w:rPr>
          <w:rFonts w:eastAsia="Times New Roman"/>
          <w:sz w:val="24"/>
          <w:szCs w:val="24"/>
        </w:rPr>
        <w:t>Ivansco</w:t>
      </w:r>
      <w:proofErr w:type="spellEnd"/>
      <w:r w:rsidRPr="00F8527A">
        <w:rPr>
          <w:rFonts w:eastAsia="Times New Roman"/>
          <w:sz w:val="24"/>
          <w:szCs w:val="24"/>
        </w:rPr>
        <w:t xml:space="preserve">, L. K., Jochelson, M. S., Kremer, M. E., Malak, S. F., McCrary, M., Mehta, T. S., Neal, C. H., Porpiglia, A., </w:t>
      </w:r>
      <w:proofErr w:type="spellStart"/>
      <w:r w:rsidRPr="00F8527A">
        <w:rPr>
          <w:rFonts w:eastAsia="Times New Roman"/>
          <w:sz w:val="24"/>
          <w:szCs w:val="24"/>
        </w:rPr>
        <w:t>Ulaner</w:t>
      </w:r>
      <w:proofErr w:type="spellEnd"/>
      <w:r w:rsidRPr="00F8527A">
        <w:rPr>
          <w:rFonts w:eastAsia="Times New Roman"/>
          <w:sz w:val="24"/>
          <w:szCs w:val="24"/>
        </w:rPr>
        <w:t xml:space="preserve">, G. A., &amp; Moy, L. (2023). ACR Appropriateness Criteria palpable breast masses: 2022 update. </w:t>
      </w:r>
      <w:r w:rsidRPr="00F8527A">
        <w:rPr>
          <w:rFonts w:eastAsia="Times New Roman"/>
          <w:i/>
          <w:iCs/>
          <w:sz w:val="24"/>
          <w:szCs w:val="24"/>
        </w:rPr>
        <w:t>Journal of the American College of Radiology, 20</w:t>
      </w:r>
      <w:r w:rsidRPr="00F8527A">
        <w:rPr>
          <w:rFonts w:eastAsia="Times New Roman"/>
          <w:sz w:val="24"/>
          <w:szCs w:val="24"/>
        </w:rPr>
        <w:t xml:space="preserve">(5 Suppl.), S146–S163. </w:t>
      </w:r>
      <w:hyperlink r:id="rId51" w:tgtFrame="_new" w:history="1">
        <w:r w:rsidRPr="00F8527A">
          <w:rPr>
            <w:rFonts w:eastAsia="Times New Roman"/>
            <w:color w:val="0000FF"/>
            <w:sz w:val="24"/>
            <w:szCs w:val="24"/>
            <w:u w:val="single"/>
          </w:rPr>
          <w:t>https://doi.org/10.1016/j.jacr.2023.02.013</w:t>
        </w:r>
      </w:hyperlink>
      <w:r w:rsidRPr="00F8527A">
        <w:rPr>
          <w:rFonts w:eastAsia="Times New Roman"/>
          <w:sz w:val="24"/>
          <w:szCs w:val="24"/>
        </w:rPr>
        <w:t xml:space="preserve"> </w:t>
      </w:r>
    </w:p>
    <w:p w14:paraId="15EB0B59"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r w:rsidRPr="00F8527A">
        <w:rPr>
          <w:rFonts w:eastAsia="Times New Roman"/>
          <w:sz w:val="24"/>
          <w:szCs w:val="24"/>
        </w:rPr>
        <w:t xml:space="preserve">Malherbe, F., Nel, D., </w:t>
      </w:r>
      <w:proofErr w:type="spellStart"/>
      <w:r w:rsidRPr="00F8527A">
        <w:rPr>
          <w:rFonts w:eastAsia="Times New Roman"/>
          <w:sz w:val="24"/>
          <w:szCs w:val="24"/>
        </w:rPr>
        <w:t>Molabe</w:t>
      </w:r>
      <w:proofErr w:type="spellEnd"/>
      <w:r w:rsidRPr="00F8527A">
        <w:rPr>
          <w:rFonts w:eastAsia="Times New Roman"/>
          <w:sz w:val="24"/>
          <w:szCs w:val="24"/>
        </w:rPr>
        <w:t xml:space="preserve">, H., Cairncross, L., &amp; Roodt, L. (2022). Palpable breast lumps: An age-based approach to evaluation and diagnosis. </w:t>
      </w:r>
      <w:r w:rsidRPr="00F8527A">
        <w:rPr>
          <w:rFonts w:eastAsia="Times New Roman"/>
          <w:i/>
          <w:iCs/>
          <w:sz w:val="24"/>
          <w:szCs w:val="24"/>
        </w:rPr>
        <w:t>South African Family Practice, 64</w:t>
      </w:r>
      <w:r w:rsidRPr="00F8527A">
        <w:rPr>
          <w:rFonts w:eastAsia="Times New Roman"/>
          <w:sz w:val="24"/>
          <w:szCs w:val="24"/>
        </w:rPr>
        <w:t xml:space="preserve">(1), a5571. </w:t>
      </w:r>
      <w:hyperlink r:id="rId52" w:tgtFrame="_new" w:history="1">
        <w:r w:rsidRPr="00F8527A">
          <w:rPr>
            <w:rFonts w:eastAsia="Times New Roman"/>
            <w:color w:val="0000FF"/>
            <w:sz w:val="24"/>
            <w:szCs w:val="24"/>
            <w:u w:val="single"/>
          </w:rPr>
          <w:t>https://doi.org/10.4102/safp.v64i1.5571</w:t>
        </w:r>
      </w:hyperlink>
      <w:r w:rsidRPr="00F8527A">
        <w:rPr>
          <w:rFonts w:eastAsia="Times New Roman"/>
          <w:sz w:val="24"/>
          <w:szCs w:val="24"/>
        </w:rPr>
        <w:t xml:space="preserve"> </w:t>
      </w:r>
    </w:p>
    <w:p w14:paraId="751F249A"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r w:rsidRPr="00F8527A">
        <w:rPr>
          <w:rFonts w:eastAsia="Times New Roman"/>
          <w:sz w:val="24"/>
          <w:szCs w:val="24"/>
        </w:rPr>
        <w:t>Mayer, S., Milo, T., Isaacson, A., Halperin, C., Miyara, S., Stein, Y., Lior, C., Pevsner-Fischer, M., Tzahor, E., Mayo, A., Alon, U., &amp; Scherz-</w:t>
      </w:r>
      <w:proofErr w:type="spellStart"/>
      <w:r w:rsidRPr="00F8527A">
        <w:rPr>
          <w:rFonts w:eastAsia="Times New Roman"/>
          <w:sz w:val="24"/>
          <w:szCs w:val="24"/>
        </w:rPr>
        <w:t>Shouval</w:t>
      </w:r>
      <w:proofErr w:type="spellEnd"/>
      <w:r w:rsidRPr="00F8527A">
        <w:rPr>
          <w:rFonts w:eastAsia="Times New Roman"/>
          <w:sz w:val="24"/>
          <w:szCs w:val="24"/>
        </w:rPr>
        <w:t xml:space="preserve">, R. (2023). The tumor microenvironment shows a hierarchy of cell-cell interactions dominated by fibroblasts. </w:t>
      </w:r>
      <w:r w:rsidRPr="00F8527A">
        <w:rPr>
          <w:rFonts w:eastAsia="Times New Roman"/>
          <w:i/>
          <w:iCs/>
          <w:sz w:val="24"/>
          <w:szCs w:val="24"/>
        </w:rPr>
        <w:t>Nature Communications, 14</w:t>
      </w:r>
      <w:r w:rsidRPr="00F8527A">
        <w:rPr>
          <w:rFonts w:eastAsia="Times New Roman"/>
          <w:sz w:val="24"/>
          <w:szCs w:val="24"/>
        </w:rPr>
        <w:t xml:space="preserve">, 5810. </w:t>
      </w:r>
      <w:hyperlink r:id="rId53" w:tgtFrame="_new" w:history="1">
        <w:r w:rsidRPr="00F8527A">
          <w:rPr>
            <w:rFonts w:eastAsia="Times New Roman"/>
            <w:color w:val="0000FF"/>
            <w:sz w:val="24"/>
            <w:szCs w:val="24"/>
            <w:u w:val="single"/>
          </w:rPr>
          <w:t>https://doi.org/10.1038/s41467-023-41518-w</w:t>
        </w:r>
      </w:hyperlink>
      <w:r w:rsidRPr="00F8527A">
        <w:rPr>
          <w:rFonts w:eastAsia="Times New Roman"/>
          <w:sz w:val="24"/>
          <w:szCs w:val="24"/>
        </w:rPr>
        <w:t xml:space="preserve"> </w:t>
      </w:r>
    </w:p>
    <w:p w14:paraId="46CC2EE4"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r w:rsidRPr="00F8527A">
        <w:rPr>
          <w:rFonts w:eastAsia="Times New Roman"/>
          <w:sz w:val="24"/>
          <w:szCs w:val="24"/>
          <w:lang w:val="fr-FR"/>
        </w:rPr>
        <w:t xml:space="preserve">Moreira, V. S., de Souza, V. C., Soares, V. L. F., Sousa, A. O., de Souza de Nascimento, K. T., de Santana, M. R., Rebouças, T. N. H., Leitão, C. A. E., </w:t>
      </w:r>
      <w:proofErr w:type="spellStart"/>
      <w:r w:rsidRPr="00F8527A">
        <w:rPr>
          <w:rFonts w:eastAsia="Times New Roman"/>
          <w:sz w:val="24"/>
          <w:szCs w:val="24"/>
          <w:lang w:val="fr-FR"/>
        </w:rPr>
        <w:t>Goliatt</w:t>
      </w:r>
      <w:proofErr w:type="spellEnd"/>
      <w:r w:rsidRPr="00F8527A">
        <w:rPr>
          <w:rFonts w:eastAsia="Times New Roman"/>
          <w:sz w:val="24"/>
          <w:szCs w:val="24"/>
          <w:lang w:val="fr-FR"/>
        </w:rPr>
        <w:t xml:space="preserve">, P. V. Z. C., Faria, D. V., </w:t>
      </w:r>
      <w:proofErr w:type="spellStart"/>
      <w:r w:rsidRPr="00F8527A">
        <w:rPr>
          <w:rFonts w:eastAsia="Times New Roman"/>
          <w:sz w:val="24"/>
          <w:szCs w:val="24"/>
          <w:lang w:val="fr-FR"/>
        </w:rPr>
        <w:t>Otoni</w:t>
      </w:r>
      <w:proofErr w:type="spellEnd"/>
      <w:r w:rsidRPr="00F8527A">
        <w:rPr>
          <w:rFonts w:eastAsia="Times New Roman"/>
          <w:sz w:val="24"/>
          <w:szCs w:val="24"/>
          <w:lang w:val="fr-FR"/>
        </w:rPr>
        <w:t xml:space="preserve">, W. C., &amp; Costa, M. G. C. (2023). </w:t>
      </w:r>
      <w:r w:rsidRPr="00F8527A">
        <w:rPr>
          <w:rFonts w:eastAsia="Times New Roman"/>
          <w:sz w:val="24"/>
          <w:szCs w:val="24"/>
        </w:rPr>
        <w:t xml:space="preserve">Dynamics of annatto pigment synthesis and accumulation in seeds of </w:t>
      </w:r>
      <w:r w:rsidRPr="00F8527A">
        <w:rPr>
          <w:rFonts w:eastAsia="Times New Roman"/>
          <w:i/>
          <w:iCs/>
          <w:sz w:val="24"/>
          <w:szCs w:val="24"/>
        </w:rPr>
        <w:t xml:space="preserve">Bixa </w:t>
      </w:r>
      <w:proofErr w:type="spellStart"/>
      <w:r w:rsidRPr="00F8527A">
        <w:rPr>
          <w:rFonts w:eastAsia="Times New Roman"/>
          <w:i/>
          <w:iCs/>
          <w:sz w:val="24"/>
          <w:szCs w:val="24"/>
        </w:rPr>
        <w:t>orellana</w:t>
      </w:r>
      <w:proofErr w:type="spellEnd"/>
      <w:r w:rsidRPr="00F8527A">
        <w:rPr>
          <w:rFonts w:eastAsia="Times New Roman"/>
          <w:sz w:val="24"/>
          <w:szCs w:val="24"/>
        </w:rPr>
        <w:t xml:space="preserve"> L. revealed by integrated chemical, anatomical, and RNA-Seq analyses. </w:t>
      </w:r>
      <w:proofErr w:type="spellStart"/>
      <w:r w:rsidRPr="00F8527A">
        <w:rPr>
          <w:rFonts w:eastAsia="Times New Roman"/>
          <w:i/>
          <w:iCs/>
          <w:sz w:val="24"/>
          <w:szCs w:val="24"/>
        </w:rPr>
        <w:t>Protoplasma</w:t>
      </w:r>
      <w:proofErr w:type="spellEnd"/>
      <w:r w:rsidRPr="00F8527A">
        <w:rPr>
          <w:rFonts w:eastAsia="Times New Roman"/>
          <w:i/>
          <w:iCs/>
          <w:sz w:val="24"/>
          <w:szCs w:val="24"/>
        </w:rPr>
        <w:t>, 260</w:t>
      </w:r>
      <w:r w:rsidRPr="00F8527A">
        <w:rPr>
          <w:rFonts w:eastAsia="Times New Roman"/>
          <w:sz w:val="24"/>
          <w:szCs w:val="24"/>
        </w:rPr>
        <w:t xml:space="preserve">, 1207–1219. </w:t>
      </w:r>
      <w:hyperlink r:id="rId54" w:tgtFrame="_new" w:history="1">
        <w:r w:rsidRPr="00F8527A">
          <w:rPr>
            <w:rFonts w:eastAsia="Times New Roman"/>
            <w:color w:val="0000FF"/>
            <w:sz w:val="24"/>
            <w:szCs w:val="24"/>
            <w:u w:val="single"/>
          </w:rPr>
          <w:t>https://doi.org/10.1007/s00709-023-01842-w</w:t>
        </w:r>
      </w:hyperlink>
      <w:r w:rsidRPr="00F8527A">
        <w:rPr>
          <w:rFonts w:eastAsia="Times New Roman"/>
          <w:sz w:val="24"/>
          <w:szCs w:val="24"/>
        </w:rPr>
        <w:t xml:space="preserve"> </w:t>
      </w:r>
    </w:p>
    <w:p w14:paraId="222FBFEA"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r w:rsidRPr="00F8527A">
        <w:rPr>
          <w:rFonts w:eastAsia="Times New Roman"/>
          <w:sz w:val="24"/>
          <w:szCs w:val="24"/>
        </w:rPr>
        <w:lastRenderedPageBreak/>
        <w:t xml:space="preserve">Okorie, N., </w:t>
      </w:r>
      <w:proofErr w:type="spellStart"/>
      <w:r w:rsidRPr="00F8527A">
        <w:rPr>
          <w:rFonts w:eastAsia="Times New Roman"/>
          <w:sz w:val="24"/>
          <w:szCs w:val="24"/>
        </w:rPr>
        <w:t>Avwioro</w:t>
      </w:r>
      <w:proofErr w:type="spellEnd"/>
      <w:r w:rsidRPr="00F8527A">
        <w:rPr>
          <w:rFonts w:eastAsia="Times New Roman"/>
          <w:sz w:val="24"/>
          <w:szCs w:val="24"/>
        </w:rPr>
        <w:t xml:space="preserve">, O. G., </w:t>
      </w:r>
      <w:proofErr w:type="spellStart"/>
      <w:r w:rsidRPr="00F8527A">
        <w:rPr>
          <w:rFonts w:eastAsia="Times New Roman"/>
          <w:sz w:val="24"/>
          <w:szCs w:val="24"/>
        </w:rPr>
        <w:t>Fasogbon</w:t>
      </w:r>
      <w:proofErr w:type="spellEnd"/>
      <w:r w:rsidRPr="00F8527A">
        <w:rPr>
          <w:rFonts w:eastAsia="Times New Roman"/>
          <w:sz w:val="24"/>
          <w:szCs w:val="24"/>
        </w:rPr>
        <w:t xml:space="preserve">, S. A., Abubakar, U., </w:t>
      </w:r>
      <w:proofErr w:type="spellStart"/>
      <w:r w:rsidRPr="00F8527A">
        <w:rPr>
          <w:rFonts w:eastAsia="Times New Roman"/>
          <w:sz w:val="24"/>
          <w:szCs w:val="24"/>
        </w:rPr>
        <w:t>Adeluwoye</w:t>
      </w:r>
      <w:proofErr w:type="spellEnd"/>
      <w:r w:rsidRPr="00F8527A">
        <w:rPr>
          <w:rFonts w:eastAsia="Times New Roman"/>
          <w:sz w:val="24"/>
          <w:szCs w:val="24"/>
        </w:rPr>
        <w:t xml:space="preserve">, A. O., Agada, U. N., &amp; Okoro, G. O. (2019). Staining interactions of </w:t>
      </w:r>
      <w:r w:rsidRPr="00F8527A">
        <w:rPr>
          <w:rFonts w:eastAsia="Times New Roman"/>
          <w:i/>
          <w:iCs/>
          <w:sz w:val="24"/>
          <w:szCs w:val="24"/>
        </w:rPr>
        <w:t xml:space="preserve">Bixa </w:t>
      </w:r>
      <w:proofErr w:type="spellStart"/>
      <w:r w:rsidRPr="00F8527A">
        <w:rPr>
          <w:rFonts w:eastAsia="Times New Roman"/>
          <w:i/>
          <w:iCs/>
          <w:sz w:val="24"/>
          <w:szCs w:val="24"/>
        </w:rPr>
        <w:t>orellana</w:t>
      </w:r>
      <w:proofErr w:type="spellEnd"/>
      <w:r w:rsidRPr="00F8527A">
        <w:rPr>
          <w:rFonts w:eastAsia="Times New Roman"/>
          <w:sz w:val="24"/>
          <w:szCs w:val="24"/>
        </w:rPr>
        <w:t xml:space="preserve"> (annatto) seed extracts with tissues of Wistar rats. </w:t>
      </w:r>
      <w:r w:rsidRPr="00F8527A">
        <w:rPr>
          <w:rFonts w:eastAsia="Times New Roman"/>
          <w:i/>
          <w:iCs/>
          <w:sz w:val="24"/>
          <w:szCs w:val="24"/>
        </w:rPr>
        <w:t>Annals of Advanced Biomedical Sciences, 2</w:t>
      </w:r>
      <w:r w:rsidRPr="00F8527A">
        <w:rPr>
          <w:rFonts w:eastAsia="Times New Roman"/>
          <w:sz w:val="24"/>
          <w:szCs w:val="24"/>
        </w:rPr>
        <w:t xml:space="preserve">(2), 1–14. </w:t>
      </w:r>
      <w:hyperlink r:id="rId55" w:tgtFrame="_new" w:history="1">
        <w:r w:rsidRPr="00F8527A">
          <w:rPr>
            <w:rFonts w:eastAsia="Times New Roman"/>
            <w:color w:val="0000FF"/>
            <w:sz w:val="24"/>
            <w:szCs w:val="24"/>
            <w:u w:val="single"/>
          </w:rPr>
          <w:t>https://doi.org/10.23880/aabsc-16000144</w:t>
        </w:r>
      </w:hyperlink>
      <w:r w:rsidRPr="00F8527A">
        <w:rPr>
          <w:rFonts w:eastAsia="Times New Roman"/>
          <w:sz w:val="24"/>
          <w:szCs w:val="24"/>
        </w:rPr>
        <w:t xml:space="preserve"> </w:t>
      </w:r>
    </w:p>
    <w:p w14:paraId="1CE23ABE"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r w:rsidRPr="00F8527A">
        <w:rPr>
          <w:rFonts w:eastAsia="Times New Roman"/>
          <w:sz w:val="24"/>
          <w:szCs w:val="24"/>
        </w:rPr>
        <w:t xml:space="preserve">Raju, S. K., Chandrasekar, S., </w:t>
      </w:r>
      <w:proofErr w:type="spellStart"/>
      <w:r w:rsidRPr="00F8527A">
        <w:rPr>
          <w:rFonts w:eastAsia="Times New Roman"/>
          <w:sz w:val="24"/>
          <w:szCs w:val="24"/>
        </w:rPr>
        <w:t>Vengadhajalapathy</w:t>
      </w:r>
      <w:proofErr w:type="spellEnd"/>
      <w:r w:rsidRPr="00F8527A">
        <w:rPr>
          <w:rFonts w:eastAsia="Times New Roman"/>
          <w:sz w:val="24"/>
          <w:szCs w:val="24"/>
        </w:rPr>
        <w:t xml:space="preserve">, P., Sundaram, R., Periyasamy, S., Chinnaraj, T., Sekar, P., &amp; Kumar, S. (2022). Review on phytochemical composition and pharmacological activities of </w:t>
      </w:r>
      <w:r w:rsidRPr="00F8527A">
        <w:rPr>
          <w:rFonts w:eastAsia="Times New Roman"/>
          <w:i/>
          <w:iCs/>
          <w:sz w:val="24"/>
          <w:szCs w:val="24"/>
        </w:rPr>
        <w:t xml:space="preserve">Bixa </w:t>
      </w:r>
      <w:proofErr w:type="spellStart"/>
      <w:r w:rsidRPr="00F8527A">
        <w:rPr>
          <w:rFonts w:eastAsia="Times New Roman"/>
          <w:i/>
          <w:iCs/>
          <w:sz w:val="24"/>
          <w:szCs w:val="24"/>
        </w:rPr>
        <w:t>orellana</w:t>
      </w:r>
      <w:proofErr w:type="spellEnd"/>
      <w:r w:rsidRPr="00F8527A">
        <w:rPr>
          <w:rFonts w:eastAsia="Times New Roman"/>
          <w:sz w:val="24"/>
          <w:szCs w:val="24"/>
        </w:rPr>
        <w:t xml:space="preserve"> L. </w:t>
      </w:r>
      <w:r w:rsidRPr="00F8527A">
        <w:rPr>
          <w:rFonts w:eastAsia="Times New Roman"/>
          <w:i/>
          <w:iCs/>
          <w:sz w:val="24"/>
          <w:szCs w:val="24"/>
        </w:rPr>
        <w:t>Journal of Pharmaceutical and Biological Sciences, 10</w:t>
      </w:r>
      <w:r w:rsidRPr="00F8527A">
        <w:rPr>
          <w:rFonts w:eastAsia="Times New Roman"/>
          <w:sz w:val="24"/>
          <w:szCs w:val="24"/>
        </w:rPr>
        <w:t xml:space="preserve">(2), 57–67. </w:t>
      </w:r>
      <w:hyperlink r:id="rId56" w:tgtFrame="_new" w:history="1">
        <w:r w:rsidRPr="00F8527A">
          <w:rPr>
            <w:rFonts w:eastAsia="Times New Roman"/>
            <w:color w:val="0000FF"/>
            <w:sz w:val="24"/>
            <w:szCs w:val="24"/>
            <w:u w:val="single"/>
          </w:rPr>
          <w:t>https://doi.org/10.18231/j.jpbs.2022.012</w:t>
        </w:r>
      </w:hyperlink>
      <w:r w:rsidRPr="00F8527A">
        <w:rPr>
          <w:rFonts w:eastAsia="Times New Roman"/>
          <w:sz w:val="24"/>
          <w:szCs w:val="24"/>
        </w:rPr>
        <w:t xml:space="preserve"> </w:t>
      </w:r>
    </w:p>
    <w:p w14:paraId="2DF4507C"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r w:rsidRPr="00F8527A">
        <w:rPr>
          <w:rFonts w:eastAsia="Times New Roman"/>
          <w:sz w:val="24"/>
          <w:szCs w:val="24"/>
        </w:rPr>
        <w:t xml:space="preserve">Risom, T., Glass, D. R., Averbukh, I., Liu, C. C., Baranski, A., Kagel, A., McCaffrey, E. F., Greenwald, N. F., Rivero-Gutiérrez, B., Strand, S. H., Varma, S., Kong, A., Keren, L., Srivastava, S., Zhu, C., Khair, Z., Veis, D. J., Deschryver, K., </w:t>
      </w:r>
      <w:proofErr w:type="spellStart"/>
      <w:r w:rsidRPr="00F8527A">
        <w:rPr>
          <w:rFonts w:eastAsia="Times New Roman"/>
          <w:sz w:val="24"/>
          <w:szCs w:val="24"/>
        </w:rPr>
        <w:t>Vennam</w:t>
      </w:r>
      <w:proofErr w:type="spellEnd"/>
      <w:r w:rsidRPr="00F8527A">
        <w:rPr>
          <w:rFonts w:eastAsia="Times New Roman"/>
          <w:sz w:val="24"/>
          <w:szCs w:val="24"/>
        </w:rPr>
        <w:t xml:space="preserve">, S., ... Angelo, M. (2022). Transition to invasive breast cancer is associated with progressive changes in the structure and composition of tumor stroma. </w:t>
      </w:r>
      <w:r w:rsidRPr="00F8527A">
        <w:rPr>
          <w:rFonts w:eastAsia="Times New Roman"/>
          <w:i/>
          <w:iCs/>
          <w:sz w:val="24"/>
          <w:szCs w:val="24"/>
        </w:rPr>
        <w:t>Cell, 185</w:t>
      </w:r>
      <w:r w:rsidRPr="00F8527A">
        <w:rPr>
          <w:rFonts w:eastAsia="Times New Roman"/>
          <w:sz w:val="24"/>
          <w:szCs w:val="24"/>
        </w:rPr>
        <w:t xml:space="preserve">(2), 299–310.e18. </w:t>
      </w:r>
      <w:hyperlink r:id="rId57" w:tgtFrame="_new" w:history="1">
        <w:r w:rsidRPr="00F8527A">
          <w:rPr>
            <w:rFonts w:eastAsia="Times New Roman"/>
            <w:color w:val="0000FF"/>
            <w:sz w:val="24"/>
            <w:szCs w:val="24"/>
            <w:u w:val="single"/>
          </w:rPr>
          <w:t>https://doi.org/10.1016/j.cell.2021.12.023</w:t>
        </w:r>
      </w:hyperlink>
      <w:r w:rsidRPr="00F8527A">
        <w:rPr>
          <w:rFonts w:eastAsia="Times New Roman"/>
          <w:sz w:val="24"/>
          <w:szCs w:val="24"/>
        </w:rPr>
        <w:t xml:space="preserve"> </w:t>
      </w:r>
    </w:p>
    <w:p w14:paraId="10C06723"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r w:rsidRPr="00F8527A">
        <w:rPr>
          <w:rFonts w:eastAsia="Times New Roman"/>
          <w:sz w:val="24"/>
          <w:szCs w:val="24"/>
        </w:rPr>
        <w:t xml:space="preserve">Saikia, S., &amp; Das, J. N. (2023). Carotenoids as a dietary supplement for enhancing pigmentation and </w:t>
      </w:r>
      <w:proofErr w:type="spellStart"/>
      <w:r w:rsidRPr="00F8527A">
        <w:rPr>
          <w:rFonts w:eastAsia="Times New Roman"/>
          <w:sz w:val="24"/>
          <w:szCs w:val="24"/>
        </w:rPr>
        <w:t>colouration</w:t>
      </w:r>
      <w:proofErr w:type="spellEnd"/>
      <w:r w:rsidRPr="00F8527A">
        <w:rPr>
          <w:rFonts w:eastAsia="Times New Roman"/>
          <w:sz w:val="24"/>
          <w:szCs w:val="24"/>
        </w:rPr>
        <w:t xml:space="preserve"> in ornamental fishes: A review. </w:t>
      </w:r>
      <w:r w:rsidRPr="00F8527A">
        <w:rPr>
          <w:rFonts w:eastAsia="Times New Roman"/>
          <w:i/>
          <w:iCs/>
          <w:sz w:val="24"/>
          <w:szCs w:val="24"/>
        </w:rPr>
        <w:t>Uttar Pradesh Journal of Zoology, 44</w:t>
      </w:r>
      <w:r w:rsidRPr="00F8527A">
        <w:rPr>
          <w:rFonts w:eastAsia="Times New Roman"/>
          <w:sz w:val="24"/>
          <w:szCs w:val="24"/>
        </w:rPr>
        <w:t xml:space="preserve">(13), 1–16. </w:t>
      </w:r>
      <w:hyperlink r:id="rId58" w:tgtFrame="_new" w:history="1">
        <w:r w:rsidRPr="00F8527A">
          <w:rPr>
            <w:rFonts w:eastAsia="Times New Roman"/>
            <w:color w:val="0000FF"/>
            <w:sz w:val="24"/>
            <w:szCs w:val="24"/>
            <w:u w:val="single"/>
          </w:rPr>
          <w:t>https://doi.org/10.56557/upjoz/2023/v44i133541</w:t>
        </w:r>
      </w:hyperlink>
      <w:r w:rsidRPr="00F8527A">
        <w:rPr>
          <w:rFonts w:eastAsia="Times New Roman"/>
          <w:sz w:val="24"/>
          <w:szCs w:val="24"/>
        </w:rPr>
        <w:t xml:space="preserve"> </w:t>
      </w:r>
    </w:p>
    <w:p w14:paraId="40416522"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r w:rsidRPr="00F8527A">
        <w:rPr>
          <w:rFonts w:eastAsia="Times New Roman"/>
          <w:sz w:val="24"/>
          <w:szCs w:val="24"/>
        </w:rPr>
        <w:t xml:space="preserve">Shahid-ul-Islam, Rather, L. J., &amp; Mohammad, F. (2016). Phytochemistry, biological activities and potential of annatto in natural colorant production for industrial applications: A review. </w:t>
      </w:r>
      <w:r w:rsidRPr="00F8527A">
        <w:rPr>
          <w:rFonts w:eastAsia="Times New Roman"/>
          <w:i/>
          <w:iCs/>
          <w:sz w:val="24"/>
          <w:szCs w:val="24"/>
        </w:rPr>
        <w:t>Journal of Advanced Research, 7</w:t>
      </w:r>
      <w:r w:rsidRPr="00F8527A">
        <w:rPr>
          <w:rFonts w:eastAsia="Times New Roman"/>
          <w:sz w:val="24"/>
          <w:szCs w:val="24"/>
        </w:rPr>
        <w:t xml:space="preserve">(3), 499–514. </w:t>
      </w:r>
      <w:hyperlink r:id="rId59" w:tgtFrame="_new" w:history="1">
        <w:r w:rsidRPr="00F8527A">
          <w:rPr>
            <w:rFonts w:eastAsia="Times New Roman"/>
            <w:color w:val="0000FF"/>
            <w:sz w:val="24"/>
            <w:szCs w:val="24"/>
            <w:u w:val="single"/>
          </w:rPr>
          <w:t>https://doi.org/10.1016/j.jare.2015.11.002</w:t>
        </w:r>
      </w:hyperlink>
      <w:r w:rsidRPr="00F8527A">
        <w:rPr>
          <w:rFonts w:eastAsia="Times New Roman"/>
          <w:sz w:val="24"/>
          <w:szCs w:val="24"/>
        </w:rPr>
        <w:t xml:space="preserve"> </w:t>
      </w:r>
    </w:p>
    <w:p w14:paraId="27D1A4C4" w14:textId="77777777" w:rsidR="00AF0F73" w:rsidRPr="00F8527A" w:rsidRDefault="00AF0F73" w:rsidP="00AF0F73">
      <w:pPr>
        <w:pStyle w:val="ListParagraph"/>
        <w:numPr>
          <w:ilvl w:val="0"/>
          <w:numId w:val="5"/>
        </w:numPr>
        <w:spacing w:after="0" w:line="240" w:lineRule="auto"/>
        <w:contextualSpacing/>
        <w:rPr>
          <w:rFonts w:eastAsia="Times New Roman"/>
          <w:sz w:val="24"/>
          <w:szCs w:val="24"/>
        </w:rPr>
      </w:pPr>
      <w:proofErr w:type="spellStart"/>
      <w:r w:rsidRPr="00F8527A">
        <w:rPr>
          <w:rFonts w:eastAsia="Times New Roman"/>
          <w:sz w:val="24"/>
          <w:szCs w:val="24"/>
        </w:rPr>
        <w:t>Taham</w:t>
      </w:r>
      <w:proofErr w:type="spellEnd"/>
      <w:r w:rsidRPr="00F8527A">
        <w:rPr>
          <w:rFonts w:eastAsia="Times New Roman"/>
          <w:sz w:val="24"/>
          <w:szCs w:val="24"/>
        </w:rPr>
        <w:t xml:space="preserve">, T., Cabral, F. A., &amp; Barrozo, M. A. S. (2015). Extraction of bixin from annatto seeds using combined technologies. </w:t>
      </w:r>
      <w:r w:rsidRPr="00F8527A">
        <w:rPr>
          <w:rFonts w:eastAsia="Times New Roman"/>
          <w:i/>
          <w:iCs/>
          <w:sz w:val="24"/>
          <w:szCs w:val="24"/>
        </w:rPr>
        <w:t>The Journal of Supercritical Fluids, 100</w:t>
      </w:r>
      <w:r w:rsidRPr="00F8527A">
        <w:rPr>
          <w:rFonts w:eastAsia="Times New Roman"/>
          <w:sz w:val="24"/>
          <w:szCs w:val="24"/>
        </w:rPr>
        <w:t xml:space="preserve">, 175–183. </w:t>
      </w:r>
      <w:hyperlink r:id="rId60" w:tgtFrame="_new" w:history="1">
        <w:r w:rsidRPr="00F8527A">
          <w:rPr>
            <w:rFonts w:eastAsia="Times New Roman"/>
            <w:color w:val="0000FF"/>
            <w:sz w:val="24"/>
            <w:szCs w:val="24"/>
            <w:u w:val="single"/>
          </w:rPr>
          <w:t>https://doi.org/10.1016/j.supflu.2015.02.006</w:t>
        </w:r>
      </w:hyperlink>
      <w:r w:rsidRPr="00F8527A">
        <w:rPr>
          <w:rFonts w:eastAsia="Times New Roman"/>
          <w:sz w:val="24"/>
          <w:szCs w:val="24"/>
        </w:rPr>
        <w:t xml:space="preserve"> </w:t>
      </w:r>
    </w:p>
    <w:p w14:paraId="30AABDC2" w14:textId="77777777" w:rsidR="00AF0F73" w:rsidRPr="00F8527A" w:rsidRDefault="00AF0F73" w:rsidP="00AF0F73">
      <w:pPr>
        <w:pStyle w:val="ListParagraph"/>
        <w:numPr>
          <w:ilvl w:val="0"/>
          <w:numId w:val="5"/>
        </w:numPr>
        <w:spacing w:after="160" w:line="259" w:lineRule="auto"/>
        <w:contextualSpacing/>
        <w:rPr>
          <w:b/>
        </w:rPr>
      </w:pPr>
      <w:r w:rsidRPr="00F8527A">
        <w:rPr>
          <w:rFonts w:eastAsia="Times New Roman"/>
          <w:sz w:val="24"/>
          <w:szCs w:val="24"/>
        </w:rPr>
        <w:t xml:space="preserve">Zhao, Y., Shen, M., Wu, L., Yang, H., Yao, Y., Yang, Q., Du, J., Liu, L., Li, Y., &amp; Bai, Y. (2023). Stromal cells in the tumor microenvironment: Accomplices of tumor progression? </w:t>
      </w:r>
      <w:r w:rsidRPr="00F8527A">
        <w:rPr>
          <w:rFonts w:eastAsia="Times New Roman"/>
          <w:i/>
          <w:iCs/>
          <w:sz w:val="24"/>
          <w:szCs w:val="24"/>
        </w:rPr>
        <w:t>Cell Death &amp; Disease, 14</w:t>
      </w:r>
      <w:r w:rsidRPr="00F8527A">
        <w:rPr>
          <w:rFonts w:eastAsia="Times New Roman"/>
          <w:sz w:val="24"/>
          <w:szCs w:val="24"/>
        </w:rPr>
        <w:t xml:space="preserve">, 587. </w:t>
      </w:r>
      <w:hyperlink r:id="rId61" w:tgtFrame="_new" w:history="1">
        <w:r w:rsidRPr="00F8527A">
          <w:rPr>
            <w:rFonts w:eastAsia="Times New Roman"/>
            <w:color w:val="0000FF"/>
            <w:sz w:val="24"/>
            <w:szCs w:val="24"/>
            <w:u w:val="single"/>
          </w:rPr>
          <w:t>https://doi.org/10.1038/s41419-023-06110-6</w:t>
        </w:r>
      </w:hyperlink>
      <w:r w:rsidRPr="00F8527A">
        <w:rPr>
          <w:rFonts w:eastAsia="Times New Roman"/>
          <w:sz w:val="24"/>
          <w:szCs w:val="24"/>
        </w:rPr>
        <w:t xml:space="preserve"> </w:t>
      </w:r>
    </w:p>
    <w:p w14:paraId="7DAE66A3" w14:textId="3DE02CAB" w:rsidR="00FC5B4E" w:rsidRPr="00E0422C" w:rsidRDefault="00FC5B4E" w:rsidP="00AF0F73"/>
    <w:sectPr w:rsidR="00FC5B4E" w:rsidRPr="00E0422C">
      <w:headerReference w:type="even" r:id="rId62"/>
      <w:headerReference w:type="default" r:id="rId63"/>
      <w:footerReference w:type="even" r:id="rId64"/>
      <w:footerReference w:type="default" r:id="rId65"/>
      <w:headerReference w:type="firs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B309A" w14:textId="77777777" w:rsidR="00FC46ED" w:rsidRDefault="00FC46ED">
      <w:pPr>
        <w:spacing w:after="0" w:line="240" w:lineRule="auto"/>
      </w:pPr>
      <w:r>
        <w:separator/>
      </w:r>
    </w:p>
  </w:endnote>
  <w:endnote w:type="continuationSeparator" w:id="0">
    <w:p w14:paraId="2C92074A" w14:textId="77777777" w:rsidR="00FC46ED" w:rsidRDefault="00FC4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7F1D9" w14:textId="77777777" w:rsidR="00307984" w:rsidRDefault="00307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7264" w14:textId="77777777" w:rsidR="00307984" w:rsidRDefault="00307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E23E8" w14:textId="77777777" w:rsidR="00FC46ED" w:rsidRDefault="00FC46ED">
      <w:pPr>
        <w:spacing w:after="0" w:line="240" w:lineRule="auto"/>
      </w:pPr>
      <w:r>
        <w:separator/>
      </w:r>
    </w:p>
  </w:footnote>
  <w:footnote w:type="continuationSeparator" w:id="0">
    <w:p w14:paraId="5149F462" w14:textId="77777777" w:rsidR="00FC46ED" w:rsidRDefault="00FC4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D509" w14:textId="77777777" w:rsidR="00307984" w:rsidRDefault="00000000">
    <w:pPr>
      <w:pStyle w:val="Header"/>
    </w:pPr>
    <w:r>
      <w:rPr>
        <w:noProof/>
      </w:rPr>
      <w:pict w14:anchorId="0392D8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098" o:spid="_x0000_s1027" type="#_x0000_t136" style="position:absolute;margin-left:0;margin-top:0;width:555.6pt;height:104.15pt;rotation:-45;z-index:-251658752;visibility:visible;mso-wrap-distance-left:0;mso-wrap-distance-right:0;mso-position-horizontal:center;mso-position-horizontal-relative:margin;mso-position-vertical:center;mso-position-vertical-relative:margin;mso-width-relative:page;mso-height-relative:page"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494A" w14:textId="77777777" w:rsidR="00307984" w:rsidRDefault="00000000">
    <w:pPr>
      <w:pStyle w:val="Header"/>
    </w:pPr>
    <w:r>
      <w:rPr>
        <w:noProof/>
      </w:rPr>
      <w:pict w14:anchorId="2D9842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099" o:spid="_x0000_s1026" type="#_x0000_t136" style="position:absolute;margin-left:0;margin-top:0;width:555.6pt;height:104.15pt;rotation:-45;z-index:-251657728;visibility:visible;mso-wrap-distance-left:0;mso-wrap-distance-right:0;mso-position-horizontal:center;mso-position-horizontal-relative:margin;mso-position-vertical:center;mso-position-vertical-relative:margin;mso-width-relative:page;mso-height-relative:page"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B919" w14:textId="77777777" w:rsidR="00307984" w:rsidRDefault="00000000">
    <w:pPr>
      <w:pStyle w:val="Header"/>
    </w:pPr>
    <w:r>
      <w:rPr>
        <w:noProof/>
      </w:rPr>
      <w:pict w14:anchorId="7753F7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100" o:spid="_x0000_s1025" type="#_x0000_t136" style="position:absolute;margin-left:0;margin-top:0;width:555.6pt;height:104.15pt;rotation:-45;z-index:-251659776;visibility:visible;mso-wrap-distance-left:0;mso-wrap-distance-right:0;mso-position-horizontal:center;mso-position-horizontal-relative:margin;mso-position-vertical:center;mso-position-vertical-relative:margin;mso-width-relative:page;mso-height-relative:page"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6907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DEE6B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C922C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45FE5"/>
    <w:multiLevelType w:val="hybridMultilevel"/>
    <w:tmpl w:val="CB52A1E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0462AA"/>
    <w:multiLevelType w:val="hybridMultilevel"/>
    <w:tmpl w:val="E3F00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173154">
    <w:abstractNumId w:val="0"/>
  </w:num>
  <w:num w:numId="2" w16cid:durableId="816336759">
    <w:abstractNumId w:val="2"/>
  </w:num>
  <w:num w:numId="3" w16cid:durableId="1384988174">
    <w:abstractNumId w:val="3"/>
  </w:num>
  <w:num w:numId="4" w16cid:durableId="101803925">
    <w:abstractNumId w:val="1"/>
  </w:num>
  <w:num w:numId="5" w16cid:durableId="1531994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984"/>
    <w:rsid w:val="000C088C"/>
    <w:rsid w:val="000E30C3"/>
    <w:rsid w:val="0010390C"/>
    <w:rsid w:val="001649D5"/>
    <w:rsid w:val="00183C09"/>
    <w:rsid w:val="001E47C2"/>
    <w:rsid w:val="00250F8B"/>
    <w:rsid w:val="002B73C7"/>
    <w:rsid w:val="003021E6"/>
    <w:rsid w:val="00307984"/>
    <w:rsid w:val="00331997"/>
    <w:rsid w:val="00387167"/>
    <w:rsid w:val="00391D85"/>
    <w:rsid w:val="00397C63"/>
    <w:rsid w:val="003F2FA9"/>
    <w:rsid w:val="00470541"/>
    <w:rsid w:val="00476E81"/>
    <w:rsid w:val="005C330A"/>
    <w:rsid w:val="005C5D99"/>
    <w:rsid w:val="0080278D"/>
    <w:rsid w:val="0089159E"/>
    <w:rsid w:val="00896D6A"/>
    <w:rsid w:val="008D7C0F"/>
    <w:rsid w:val="00993502"/>
    <w:rsid w:val="009B06E7"/>
    <w:rsid w:val="009C6A87"/>
    <w:rsid w:val="00A66E36"/>
    <w:rsid w:val="00A84AFB"/>
    <w:rsid w:val="00AF0F73"/>
    <w:rsid w:val="00C11017"/>
    <w:rsid w:val="00E0422C"/>
    <w:rsid w:val="00E71082"/>
    <w:rsid w:val="00FC46ED"/>
    <w:rsid w:val="00FC5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CDB008"/>
  <w15:docId w15:val="{76908039-3CBA-43C4-AF23-888DE627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uiPriority w:val="9"/>
    <w:qFormat/>
    <w:pPr>
      <w:keepNext/>
      <w:spacing w:before="240" w:after="60"/>
      <w:outlineLvl w:val="0"/>
    </w:pPr>
    <w:rPr>
      <w:rFonts w:ascii="Cambria" w:hAnsi="Cambria" w:cs="Cambria"/>
      <w:b/>
      <w:kern w:val="32"/>
      <w:sz w:val="32"/>
      <w:szCs w:val="32"/>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New Roman" w:eastAsia="Times New Roman" w:hAnsi="Times New Roman"/>
      <w:b/>
      <w:sz w:val="27"/>
      <w:szCs w:val="27"/>
      <w:lang w:eastAsia="en-US"/>
    </w:rPr>
  </w:style>
  <w:style w:type="paragraph" w:styleId="Heading4">
    <w:name w:val="heading 4"/>
    <w:basedOn w:val="Normal"/>
    <w:uiPriority w:val="9"/>
    <w:semiHidden/>
    <w:unhideWhenUsed/>
    <w:qFormat/>
    <w:pPr>
      <w:keepNext/>
      <w:spacing w:before="240" w:after="60"/>
      <w:outlineLvl w:val="3"/>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pPr>
    <w:rPr>
      <w:rFonts w:ascii="Times New Roman" w:hAnsi="Times New Roman"/>
    </w:rPr>
  </w:style>
  <w:style w:type="paragraph" w:customStyle="1" w:styleId="chapter-para">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en-US"/>
    </w:rPr>
  </w:style>
  <w:style w:type="character" w:styleId="Strong">
    <w:name w:val="Strong"/>
    <w:qFormat/>
    <w:rPr>
      <w:rFonts w:ascii="Times New Roman" w:eastAsia="SimSun" w:hAnsi="Times New Roman" w:cs="Times New Roman"/>
      <w:b/>
      <w:sz w:val="21"/>
    </w:rPr>
  </w:style>
  <w:style w:type="paragraph" w:styleId="ListParagraph">
    <w:name w:val="List Paragraph"/>
    <w:basedOn w:val="Normal"/>
    <w:uiPriority w:val="34"/>
    <w:qFormat/>
    <w:pPr>
      <w:ind w:left="720"/>
    </w:pPr>
    <w:rPr>
      <w:rFonts w:ascii="Times New Roman" w:hAnsi="Times New Roman"/>
    </w:rPr>
  </w:style>
  <w:style w:type="paragraph" w:customStyle="1" w:styleId="chapter-para0">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1">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2">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3">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4">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5">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sz w:val="22"/>
      <w:szCs w:val="22"/>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
    <w:name w:val="Medium Grid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styleId="Emphasis">
    <w:name w:val="Emphasis"/>
    <w:basedOn w:val="DefaultParagraphFont"/>
    <w:uiPriority w:val="20"/>
    <w:qFormat/>
    <w:rsid w:val="00A66E36"/>
    <w:rPr>
      <w:i/>
      <w:iCs/>
    </w:rPr>
  </w:style>
  <w:style w:type="paragraph" w:customStyle="1" w:styleId="isselectedend">
    <w:name w:val="isselectedend"/>
    <w:basedOn w:val="Normal"/>
    <w:rsid w:val="000E30C3"/>
    <w:pPr>
      <w:spacing w:before="100" w:beforeAutospacing="1" w:after="100" w:afterAutospacing="1" w:line="240" w:lineRule="auto"/>
    </w:pPr>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34" Type="http://schemas.openxmlformats.org/officeDocument/2006/relationships/webSettings" Target="webSettings.xml"/><Relationship Id="rId42" Type="http://schemas.openxmlformats.org/officeDocument/2006/relationships/image" Target="media/image6.jpeg"/><Relationship Id="rId47" Type="http://schemas.openxmlformats.org/officeDocument/2006/relationships/hyperlink" Target="https://doi.org/10.1016/j.supflu.2016.12.011" TargetMode="External"/><Relationship Id="rId50" Type="http://schemas.openxmlformats.org/officeDocument/2006/relationships/hyperlink" Target="https://doi.org/10.1093/jbi/wbz040" TargetMode="External"/><Relationship Id="rId55" Type="http://schemas.openxmlformats.org/officeDocument/2006/relationships/hyperlink" Target="https://doi.org/10.23880/aabsc-16000144" TargetMode="External"/><Relationship Id="rId63" Type="http://schemas.openxmlformats.org/officeDocument/2006/relationships/header" Target="header2.xml"/><Relationship Id="rId68"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styles" Target="styles.xml"/><Relationship Id="rId37" Type="http://schemas.openxmlformats.org/officeDocument/2006/relationships/image" Target="media/image1.jpeg"/><Relationship Id="rId40" Type="http://schemas.openxmlformats.org/officeDocument/2006/relationships/image" Target="media/image4.jpeg"/><Relationship Id="rId45" Type="http://schemas.openxmlformats.org/officeDocument/2006/relationships/image" Target="media/image9.jpeg"/><Relationship Id="rId53" Type="http://schemas.openxmlformats.org/officeDocument/2006/relationships/hyperlink" Target="https://doi.org/10.1038/s41467-023-41518-w" TargetMode="External"/><Relationship Id="rId58" Type="http://schemas.openxmlformats.org/officeDocument/2006/relationships/hyperlink" Target="https://doi.org/10.56557/upjoz/2023/v44i133541" TargetMode="External"/><Relationship Id="rId66"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hyperlink" Target="https://doi.org/10.1038/s41419-023-06110-6"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footnotes" Target="footnotes.xml"/><Relationship Id="rId43" Type="http://schemas.openxmlformats.org/officeDocument/2006/relationships/image" Target="media/image7.jpeg"/><Relationship Id="rId48" Type="http://schemas.openxmlformats.org/officeDocument/2006/relationships/hyperlink" Target="https://doi.org/10.1021/acsomega.3c10120" TargetMode="External"/><Relationship Id="rId56" Type="http://schemas.openxmlformats.org/officeDocument/2006/relationships/hyperlink" Target="https://doi.org/10.18231/j.jpbs.2022.012" TargetMode="External"/><Relationship Id="rId64" Type="http://schemas.openxmlformats.org/officeDocument/2006/relationships/footer" Target="footer1.xml"/><Relationship Id="rId8" Type="http://schemas.openxmlformats.org/officeDocument/2006/relationships/customXml" Target="../customXml/item8.xml"/><Relationship Id="rId51" Type="http://schemas.openxmlformats.org/officeDocument/2006/relationships/hyperlink" Target="https://doi.org/10.1016/j.jacr.2023.02.013"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settings" Target="settings.xml"/><Relationship Id="rId38" Type="http://schemas.openxmlformats.org/officeDocument/2006/relationships/image" Target="media/image2.jpeg"/><Relationship Id="rId46" Type="http://schemas.openxmlformats.org/officeDocument/2006/relationships/hyperlink" Target="https://doi.org/10.9734/JABB/2017/35014" TargetMode="External"/><Relationship Id="rId59" Type="http://schemas.openxmlformats.org/officeDocument/2006/relationships/hyperlink" Target="https://doi.org/10.1016/j.jare.2015.11.002" TargetMode="External"/><Relationship Id="rId67" Type="http://schemas.openxmlformats.org/officeDocument/2006/relationships/fontTable" Target="fontTable.xml"/><Relationship Id="rId20" Type="http://schemas.openxmlformats.org/officeDocument/2006/relationships/customXml" Target="../customXml/item20.xml"/><Relationship Id="rId41" Type="http://schemas.openxmlformats.org/officeDocument/2006/relationships/image" Target="media/image5.jpeg"/><Relationship Id="rId54" Type="http://schemas.openxmlformats.org/officeDocument/2006/relationships/hyperlink" Target="https://doi.org/10.1007/s00709-023-01842-w"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endnotes" Target="endnotes.xml"/><Relationship Id="rId49" Type="http://schemas.openxmlformats.org/officeDocument/2006/relationships/hyperlink" Target="https://www.pathologyoutlines.com/topic/breastfcc.html" TargetMode="External"/><Relationship Id="rId57" Type="http://schemas.openxmlformats.org/officeDocument/2006/relationships/hyperlink" Target="https://doi.org/10.1016/j.cell.2021.12.023" TargetMode="External"/><Relationship Id="rId10" Type="http://schemas.openxmlformats.org/officeDocument/2006/relationships/customXml" Target="../customXml/item10.xml"/><Relationship Id="rId31" Type="http://schemas.openxmlformats.org/officeDocument/2006/relationships/numbering" Target="numbering.xml"/><Relationship Id="rId44" Type="http://schemas.openxmlformats.org/officeDocument/2006/relationships/image" Target="media/image8.jpeg"/><Relationship Id="rId52" Type="http://schemas.openxmlformats.org/officeDocument/2006/relationships/hyperlink" Target="https://doi.org/10.4102/safp.v64i1.5571" TargetMode="External"/><Relationship Id="rId60" Type="http://schemas.openxmlformats.org/officeDocument/2006/relationships/hyperlink" Target="https://doi.org/10.1016/j.supflu.2015.02.006"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21.xml><?xml version="1.0" encoding="utf-8"?>
<mcd:customData xmlns="http://www.wps.cn/android/officeDocument/2013/mofficeCustomData" xmlns:mcd="http://www.wps.cn/android/officeDocument/2013/mofficeCustomData" version="2">
  <mcd:comments/>
</mcd:customData>
</file>

<file path=customXml/item22.xml><?xml version="1.0" encoding="utf-8"?>
<mcd:customData xmlns="http://www.wps.cn/android/officeDocument/2013/mofficeCustomData" xmlns:mcd="http://www.wps.cn/android/officeDocument/2013/mofficeCustomData" version="2">
  <mcd:comments/>
</mcd:customData>
</file>

<file path=customXml/item23.xml><?xml version="1.0" encoding="utf-8"?>
<mcd:customData xmlns="http://www.wps.cn/android/officeDocument/2013/mofficeCustomData" xmlns:mcd="http://www.wps.cn/android/officeDocument/2013/mofficeCustomData" version="2">
  <mcd:comments/>
</mcd:customData>
</file>

<file path=customXml/item24.xml><?xml version="1.0" encoding="utf-8"?>
<mcd:customData xmlns="http://www.wps.cn/android/officeDocument/2013/mofficeCustomData" xmlns:mcd="http://www.wps.cn/android/officeDocument/2013/mofficeCustomData" version="2">
  <mcd:comments/>
</mcd:customData>
</file>

<file path=customXml/item25.xml><?xml version="1.0" encoding="utf-8"?>
<mcd:customData xmlns="http://www.wps.cn/android/officeDocument/2013/mofficeCustomData" xmlns:mcd="http://www.wps.cn/android/officeDocument/2013/mofficeCustomData" version="2">
  <mcd:comments/>
</mcd:customData>
</file>

<file path=customXml/item26.xml><?xml version="1.0" encoding="utf-8"?>
<mcd:customData xmlns="http://www.wps.cn/android/officeDocument/2013/mofficeCustomData" xmlns:mcd="http://www.wps.cn/android/officeDocument/2013/mofficeCustomData" version="2">
  <mcd:comments/>
</mcd:customData>
</file>

<file path=customXml/item27.xml><?xml version="1.0" encoding="utf-8"?>
<mcd:customData xmlns="http://www.wps.cn/android/officeDocument/2013/mofficeCustomData" xmlns:mcd="http://www.wps.cn/android/officeDocument/2013/mofficeCustomData" version="2">
  <mcd:comments/>
</mcd:customData>
</file>

<file path=customXml/item28.xml><?xml version="1.0" encoding="utf-8"?>
<mcd:customData xmlns="http://www.wps.cn/android/officeDocument/2013/mofficeCustomData" xmlns:mcd="http://www.wps.cn/android/officeDocument/2013/mofficeCustomData" version="2">
  <mcd:comments/>
</mcd:customData>
</file>

<file path=customXml/item29.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30.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FFBD980E-CD80-4F59-A4F7-76B55801559A}">
  <ds:schemaRefs>
    <ds:schemaRef ds:uri="http://www.wps.cn/android/officeDocument/2013/mofficeCustomData"/>
  </ds:schemaRefs>
</ds:datastoreItem>
</file>

<file path=customXml/itemProps10.xml><?xml version="1.0" encoding="utf-8"?>
<ds:datastoreItem xmlns:ds="http://schemas.openxmlformats.org/officeDocument/2006/customXml" ds:itemID="{43671FBF-9576-45C3-B5E4-75DA28890C44}">
  <ds:schemaRefs>
    <ds:schemaRef ds:uri="http://www.wps.cn/android/officeDocument/2013/mofficeCustomData"/>
  </ds:schemaRefs>
</ds:datastoreItem>
</file>

<file path=customXml/itemProps11.xml><?xml version="1.0" encoding="utf-8"?>
<ds:datastoreItem xmlns:ds="http://schemas.openxmlformats.org/officeDocument/2006/customXml" ds:itemID="{38F363D4-68C9-41D6-97DA-410BDE6DE3D4}">
  <ds:schemaRefs>
    <ds:schemaRef ds:uri="http://www.wps.cn/android/officeDocument/2013/mofficeCustomData"/>
  </ds:schemaRefs>
</ds:datastoreItem>
</file>

<file path=customXml/itemProps12.xml><?xml version="1.0" encoding="utf-8"?>
<ds:datastoreItem xmlns:ds="http://schemas.openxmlformats.org/officeDocument/2006/customXml" ds:itemID="{0731C044-4644-4A4C-920D-82F6EA40D468}">
  <ds:schemaRefs>
    <ds:schemaRef ds:uri="http://schemas.openxmlformats.org/officeDocument/2006/bibliography"/>
  </ds:schemaRefs>
</ds:datastoreItem>
</file>

<file path=customXml/itemProps13.xml><?xml version="1.0" encoding="utf-8"?>
<ds:datastoreItem xmlns:ds="http://schemas.openxmlformats.org/officeDocument/2006/customXml" ds:itemID="{B3B33B74-2D8F-48E8-BEAE-C439B3599F46}">
  <ds:schemaRefs>
    <ds:schemaRef ds:uri="http://www.wps.cn/android/officeDocument/2013/mofficeCustomData"/>
  </ds:schemaRefs>
</ds:datastoreItem>
</file>

<file path=customXml/itemProps14.xml><?xml version="1.0" encoding="utf-8"?>
<ds:datastoreItem xmlns:ds="http://schemas.openxmlformats.org/officeDocument/2006/customXml" ds:itemID="{2214F3E6-9040-42C4-8CAA-2F2173C6424B}">
  <ds:schemaRefs>
    <ds:schemaRef ds:uri="http://www.wps.cn/android/officeDocument/2013/mofficeCustomData"/>
  </ds:schemaRefs>
</ds:datastoreItem>
</file>

<file path=customXml/itemProps15.xml><?xml version="1.0" encoding="utf-8"?>
<ds:datastoreItem xmlns:ds="http://schemas.openxmlformats.org/officeDocument/2006/customXml" ds:itemID="{4DBB9A79-4BB4-4B46-9F96-C3A76FE81BE9}">
  <ds:schemaRefs>
    <ds:schemaRef ds:uri="http://www.wps.cn/android/officeDocument/2013/mofficeCustomData"/>
  </ds:schemaRefs>
</ds:datastoreItem>
</file>

<file path=customXml/itemProps16.xml><?xml version="1.0" encoding="utf-8"?>
<ds:datastoreItem xmlns:ds="http://schemas.openxmlformats.org/officeDocument/2006/customXml" ds:itemID="{D658D6FD-D467-4E2E-AC4C-6DE0D5336204}">
  <ds:schemaRefs>
    <ds:schemaRef ds:uri="http://www.wps.cn/android/officeDocument/2013/mofficeCustomData"/>
  </ds:schemaRefs>
</ds:datastoreItem>
</file>

<file path=customXml/itemProps17.xml><?xml version="1.0" encoding="utf-8"?>
<ds:datastoreItem xmlns:ds="http://schemas.openxmlformats.org/officeDocument/2006/customXml" ds:itemID="{CDF7FD93-87F3-42D3-98D8-D8932AD12F1B}">
  <ds:schemaRefs>
    <ds:schemaRef ds:uri="http://www.wps.cn/android/officeDocument/2013/mofficeCustomData"/>
  </ds:schemaRefs>
</ds:datastoreItem>
</file>

<file path=customXml/itemProps18.xml><?xml version="1.0" encoding="utf-8"?>
<ds:datastoreItem xmlns:ds="http://schemas.openxmlformats.org/officeDocument/2006/customXml" ds:itemID="{4CB55F0E-DF81-46E7-9A60-8F869E74E520}">
  <ds:schemaRefs>
    <ds:schemaRef ds:uri="http://www.wps.cn/android/officeDocument/2013/mofficeCustomData"/>
  </ds:schemaRefs>
</ds:datastoreItem>
</file>

<file path=customXml/itemProps19.xml><?xml version="1.0" encoding="utf-8"?>
<ds:datastoreItem xmlns:ds="http://schemas.openxmlformats.org/officeDocument/2006/customXml" ds:itemID="{BCA7F7DE-93A4-4C56-AEEC-5B2F7C57D657}">
  <ds:schemaRefs>
    <ds:schemaRef ds:uri="http://www.wps.cn/android/officeDocument/2013/mofficeCustomData"/>
  </ds:schemaRefs>
</ds:datastoreItem>
</file>

<file path=customXml/itemProps2.xml><?xml version="1.0" encoding="utf-8"?>
<ds:datastoreItem xmlns:ds="http://schemas.openxmlformats.org/officeDocument/2006/customXml" ds:itemID="{700BB01E-6926-4896-9F67-880799CB2E86}">
  <ds:schemaRefs>
    <ds:schemaRef ds:uri="http://www.wps.cn/android/officeDocument/2013/mofficeCustomData"/>
  </ds:schemaRefs>
</ds:datastoreItem>
</file>

<file path=customXml/itemProps20.xml><?xml version="1.0" encoding="utf-8"?>
<ds:datastoreItem xmlns:ds="http://schemas.openxmlformats.org/officeDocument/2006/customXml" ds:itemID="{319248D5-3BBA-40C9-A7E3-E4DB4FB57CB2}">
  <ds:schemaRefs>
    <ds:schemaRef ds:uri="http://www.wps.cn/android/officeDocument/2013/mofficeCustomData"/>
  </ds:schemaRefs>
</ds:datastoreItem>
</file>

<file path=customXml/itemProps21.xml><?xml version="1.0" encoding="utf-8"?>
<ds:datastoreItem xmlns:ds="http://schemas.openxmlformats.org/officeDocument/2006/customXml" ds:itemID="{0666F647-0FD3-48A0-B4B0-87B3468D754E}">
  <ds:schemaRefs>
    <ds:schemaRef ds:uri="http://www.wps.cn/android/officeDocument/2013/mofficeCustomData"/>
  </ds:schemaRefs>
</ds:datastoreItem>
</file>

<file path=customXml/itemProps22.xml><?xml version="1.0" encoding="utf-8"?>
<ds:datastoreItem xmlns:ds="http://schemas.openxmlformats.org/officeDocument/2006/customXml" ds:itemID="{DF45722A-34C0-4E3A-A4BA-4F32B56C97FC}">
  <ds:schemaRefs>
    <ds:schemaRef ds:uri="http://www.wps.cn/android/officeDocument/2013/mofficeCustomData"/>
  </ds:schemaRefs>
</ds:datastoreItem>
</file>

<file path=customXml/itemProps23.xml><?xml version="1.0" encoding="utf-8"?>
<ds:datastoreItem xmlns:ds="http://schemas.openxmlformats.org/officeDocument/2006/customXml" ds:itemID="{CED13A48-1643-4A8F-9197-EC861DAAF8EC}">
  <ds:schemaRefs>
    <ds:schemaRef ds:uri="http://www.wps.cn/android/officeDocument/2013/mofficeCustomData"/>
  </ds:schemaRefs>
</ds:datastoreItem>
</file>

<file path=customXml/itemProps24.xml><?xml version="1.0" encoding="utf-8"?>
<ds:datastoreItem xmlns:ds="http://schemas.openxmlformats.org/officeDocument/2006/customXml" ds:itemID="{8153172E-0659-452F-9455-956B8E342D54}">
  <ds:schemaRefs>
    <ds:schemaRef ds:uri="http://www.wps.cn/android/officeDocument/2013/mofficeCustomData"/>
  </ds:schemaRefs>
</ds:datastoreItem>
</file>

<file path=customXml/itemProps25.xml><?xml version="1.0" encoding="utf-8"?>
<ds:datastoreItem xmlns:ds="http://schemas.openxmlformats.org/officeDocument/2006/customXml" ds:itemID="{B04D4D85-BD49-4E14-9B1A-5949E41EF57D}">
  <ds:schemaRefs>
    <ds:schemaRef ds:uri="http://www.wps.cn/android/officeDocument/2013/mofficeCustomData"/>
  </ds:schemaRefs>
</ds:datastoreItem>
</file>

<file path=customXml/itemProps26.xml><?xml version="1.0" encoding="utf-8"?>
<ds:datastoreItem xmlns:ds="http://schemas.openxmlformats.org/officeDocument/2006/customXml" ds:itemID="{7384B88F-ABF1-48CD-B467-B2EEF61C55D9}">
  <ds:schemaRefs>
    <ds:schemaRef ds:uri="http://www.wps.cn/android/officeDocument/2013/mofficeCustomData"/>
  </ds:schemaRefs>
</ds:datastoreItem>
</file>

<file path=customXml/itemProps27.xml><?xml version="1.0" encoding="utf-8"?>
<ds:datastoreItem xmlns:ds="http://schemas.openxmlformats.org/officeDocument/2006/customXml" ds:itemID="{7A598FC0-DB2D-4511-BC4B-2BABE4605D44}">
  <ds:schemaRefs>
    <ds:schemaRef ds:uri="http://www.wps.cn/android/officeDocument/2013/mofficeCustomData"/>
  </ds:schemaRefs>
</ds:datastoreItem>
</file>

<file path=customXml/itemProps28.xml><?xml version="1.0" encoding="utf-8"?>
<ds:datastoreItem xmlns:ds="http://schemas.openxmlformats.org/officeDocument/2006/customXml" ds:itemID="{AC425505-DF21-4009-A830-BD50CA95921F}">
  <ds:schemaRefs>
    <ds:schemaRef ds:uri="http://www.wps.cn/android/officeDocument/2013/mofficeCustomData"/>
  </ds:schemaRefs>
</ds:datastoreItem>
</file>

<file path=customXml/itemProps29.xml><?xml version="1.0" encoding="utf-8"?>
<ds:datastoreItem xmlns:ds="http://schemas.openxmlformats.org/officeDocument/2006/customXml" ds:itemID="{F792CF8E-4F3F-434F-8462-F781BE4F5D73}">
  <ds:schemaRefs>
    <ds:schemaRef ds:uri="http://www.wps.cn/android/officeDocument/2013/mofficeCustomData"/>
  </ds:schemaRefs>
</ds:datastoreItem>
</file>

<file path=customXml/itemProps3.xml><?xml version="1.0" encoding="utf-8"?>
<ds:datastoreItem xmlns:ds="http://schemas.openxmlformats.org/officeDocument/2006/customXml" ds:itemID="{3B17AFC4-A39E-40AF-A879-DA75620195C5}">
  <ds:schemaRefs>
    <ds:schemaRef ds:uri="http://www.wps.cn/android/officeDocument/2013/mofficeCustomData"/>
  </ds:schemaRefs>
</ds:datastoreItem>
</file>

<file path=customXml/itemProps30.xml><?xml version="1.0" encoding="utf-8"?>
<ds:datastoreItem xmlns:ds="http://schemas.openxmlformats.org/officeDocument/2006/customXml" ds:itemID="{A02AE502-A852-4D66-B2FE-F6587768D87F}">
  <ds:schemaRefs>
    <ds:schemaRef ds:uri="http://www.wps.cn/android/officeDocument/2013/mofficeCustomData"/>
  </ds:schemaRefs>
</ds:datastoreItem>
</file>

<file path=customXml/itemProps4.xml><?xml version="1.0" encoding="utf-8"?>
<ds:datastoreItem xmlns:ds="http://schemas.openxmlformats.org/officeDocument/2006/customXml" ds:itemID="{05EC79E5-33F8-482F-8E94-C22273968F76}">
  <ds:schemaRefs>
    <ds:schemaRef ds:uri="http://www.wps.cn/android/officeDocument/2013/mofficeCustomData"/>
  </ds:schemaRefs>
</ds:datastoreItem>
</file>

<file path=customXml/itemProps5.xml><?xml version="1.0" encoding="utf-8"?>
<ds:datastoreItem xmlns:ds="http://schemas.openxmlformats.org/officeDocument/2006/customXml" ds:itemID="{F00E9A84-7F43-44E5-BC72-6107D41D9A09}">
  <ds:schemaRefs>
    <ds:schemaRef ds:uri="http://www.wps.cn/android/officeDocument/2013/mofficeCustomData"/>
  </ds:schemaRefs>
</ds:datastoreItem>
</file>

<file path=customXml/itemProps6.xml><?xml version="1.0" encoding="utf-8"?>
<ds:datastoreItem xmlns:ds="http://schemas.openxmlformats.org/officeDocument/2006/customXml" ds:itemID="{7D2DFEEB-A562-47CA-A426-FF8FFCA6A151}">
  <ds:schemaRefs>
    <ds:schemaRef ds:uri="http://www.wps.cn/android/officeDocument/2013/mofficeCustomData"/>
  </ds:schemaRefs>
</ds:datastoreItem>
</file>

<file path=customXml/itemProps7.xml><?xml version="1.0" encoding="utf-8"?>
<ds:datastoreItem xmlns:ds="http://schemas.openxmlformats.org/officeDocument/2006/customXml" ds:itemID="{441E20D4-4900-4F2D-821A-EE29297D3BF3}">
  <ds:schemaRefs>
    <ds:schemaRef ds:uri="http://www.wps.cn/android/officeDocument/2013/mofficeCustomData"/>
  </ds:schemaRefs>
</ds:datastoreItem>
</file>

<file path=customXml/itemProps8.xml><?xml version="1.0" encoding="utf-8"?>
<ds:datastoreItem xmlns:ds="http://schemas.openxmlformats.org/officeDocument/2006/customXml" ds:itemID="{C3921863-70CE-4104-B2AE-98D47EAE98B0}">
  <ds:schemaRefs>
    <ds:schemaRef ds:uri="http://www.wps.cn/android/officeDocument/2013/mofficeCustomData"/>
  </ds:schemaRefs>
</ds:datastoreItem>
</file>

<file path=customXml/itemProps9.xml><?xml version="1.0" encoding="utf-8"?>
<ds:datastoreItem xmlns:ds="http://schemas.openxmlformats.org/officeDocument/2006/customXml" ds:itemID="{E8693878-F2F7-43D4-B664-9A48208A0520}">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20</Pages>
  <Words>4519</Words>
  <Characters>25760</Characters>
  <Application>Microsoft Office Word</Application>
  <DocSecurity>0</DocSecurity>
  <Lines>214</Lines>
  <Paragraphs>60</Paragraphs>
  <ScaleCrop>false</ScaleCrop>
  <Company/>
  <LinksUpToDate>false</LinksUpToDate>
  <CharactersWithSpaces>30219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23053RN02A</dc:creator>
  <cp:lastModifiedBy>SDI CPU 1117</cp:lastModifiedBy>
  <cp:revision>41</cp:revision>
  <dcterms:created xsi:type="dcterms:W3CDTF">2026-06-18T06:52:00Z</dcterms:created>
  <dcterms:modified xsi:type="dcterms:W3CDTF">2026-07-06T06:24:00Z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30a836296b674f7c8fa62d03d07c6388</vt:lpwstr>
  </property>
</Properties>
</file>