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F30A6" w14:textId="77777777" w:rsidR="00085B06" w:rsidRDefault="00085B06" w:rsidP="00F41F94">
      <w:pPr>
        <w:bidi w:val="0"/>
        <w:spacing w:after="200" w:line="276" w:lineRule="auto"/>
        <w:rPr>
          <w:rFonts w:ascii="Times New Roman" w:eastAsia="Times New Roman" w:hAnsi="Times New Roman" w:cs="Times New Roman"/>
          <w:b/>
          <w:bCs/>
          <w:sz w:val="36"/>
          <w:szCs w:val="36"/>
          <w:lang w:val="en-US"/>
        </w:rPr>
      </w:pPr>
      <w:r w:rsidRPr="00BC39AE">
        <w:rPr>
          <w:rFonts w:ascii="Times New Roman" w:eastAsia="Times New Roman" w:hAnsi="Times New Roman" w:cs="Times New Roman"/>
          <w:b/>
          <w:bCs/>
          <w:sz w:val="36"/>
          <w:szCs w:val="36"/>
          <w:lang w:val="en-US"/>
        </w:rPr>
        <w:t xml:space="preserve">Giant High-Risk Cutaneous Squamous Cell Carcinoma of the Lower Abdominal Wall with </w:t>
      </w:r>
      <w:proofErr w:type="spellStart"/>
      <w:r w:rsidRPr="00BC39AE">
        <w:rPr>
          <w:rFonts w:ascii="Times New Roman" w:eastAsia="Times New Roman" w:hAnsi="Times New Roman" w:cs="Times New Roman"/>
          <w:b/>
          <w:bCs/>
          <w:sz w:val="36"/>
          <w:szCs w:val="36"/>
          <w:lang w:val="en-US"/>
        </w:rPr>
        <w:t>Lymphovascular</w:t>
      </w:r>
      <w:proofErr w:type="spellEnd"/>
      <w:r w:rsidRPr="00BC39AE">
        <w:rPr>
          <w:rFonts w:ascii="Times New Roman" w:eastAsia="Times New Roman" w:hAnsi="Times New Roman" w:cs="Times New Roman"/>
          <w:b/>
          <w:bCs/>
          <w:sz w:val="36"/>
          <w:szCs w:val="36"/>
          <w:lang w:val="en-US"/>
        </w:rPr>
        <w:t xml:space="preserve"> Invasion Managed by Wide Excision and Modified Abdominoplasty-like Reconstruction: A Case Report</w:t>
      </w:r>
    </w:p>
    <w:p w14:paraId="27273A59" w14:textId="77777777" w:rsidR="00E13801" w:rsidRPr="00BC39AE" w:rsidRDefault="00E13801" w:rsidP="00E13801">
      <w:pPr>
        <w:bidi w:val="0"/>
        <w:spacing w:after="200" w:line="276" w:lineRule="auto"/>
        <w:rPr>
          <w:rFonts w:asciiTheme="majorBidi" w:hAnsiTheme="majorBidi" w:cstheme="majorBidi"/>
          <w:kern w:val="0"/>
          <w:sz w:val="28"/>
          <w:szCs w:val="28"/>
          <w:lang w:val="en-US"/>
        </w:rPr>
      </w:pPr>
    </w:p>
    <w:p w14:paraId="2D7A33BC" w14:textId="77777777" w:rsidR="00075B0B" w:rsidRPr="00BC39AE" w:rsidRDefault="00000000">
      <w:pPr>
        <w:bidi w:val="0"/>
        <w:spacing w:before="100" w:after="100" w:line="240" w:lineRule="auto"/>
        <w:outlineLvl w:val="1"/>
        <w:rPr>
          <w:rFonts w:ascii="Times New Roman" w:eastAsia="Times New Roman" w:hAnsi="Times New Roman" w:cs="Times New Roman"/>
          <w:b/>
          <w:bCs/>
          <w:kern w:val="0"/>
          <w:sz w:val="32"/>
          <w:szCs w:val="32"/>
        </w:rPr>
      </w:pPr>
      <w:r w:rsidRPr="00BC39AE">
        <w:rPr>
          <w:rFonts w:ascii="Times New Roman" w:eastAsia="Times New Roman" w:hAnsi="Times New Roman" w:cs="Times New Roman"/>
          <w:b/>
          <w:bCs/>
          <w:kern w:val="0"/>
          <w:sz w:val="32"/>
          <w:szCs w:val="32"/>
        </w:rPr>
        <w:t>Abstract</w:t>
      </w:r>
    </w:p>
    <w:p w14:paraId="5049E42C" w14:textId="4D90EA16" w:rsidR="00E13801" w:rsidRDefault="00E13801" w:rsidP="00E13801">
      <w:pPr>
        <w:bidi w:val="0"/>
        <w:spacing w:before="100" w:after="100" w:line="240" w:lineRule="auto"/>
      </w:pPr>
      <w:proofErr w:type="spellStart"/>
      <w:r>
        <w:t>Cutaneous</w:t>
      </w:r>
      <w:proofErr w:type="spellEnd"/>
      <w:r>
        <w:t xml:space="preserve"> </w:t>
      </w:r>
      <w:proofErr w:type="spellStart"/>
      <w:r>
        <w:t>squamous</w:t>
      </w:r>
      <w:proofErr w:type="spellEnd"/>
      <w:r>
        <w:t xml:space="preserve"> </w:t>
      </w:r>
      <w:proofErr w:type="spellStart"/>
      <w:r>
        <w:t>cell</w:t>
      </w:r>
      <w:proofErr w:type="spellEnd"/>
      <w:r>
        <w:t xml:space="preserve"> </w:t>
      </w:r>
      <w:proofErr w:type="spellStart"/>
      <w:r>
        <w:t>carcinoma</w:t>
      </w:r>
      <w:proofErr w:type="spellEnd"/>
      <w:r>
        <w:t xml:space="preserve"> (</w:t>
      </w:r>
      <w:proofErr w:type="spellStart"/>
      <w:r>
        <w:t>cSCC</w:t>
      </w:r>
      <w:proofErr w:type="spellEnd"/>
      <w:r>
        <w:t xml:space="preserve">) </w:t>
      </w:r>
      <w:proofErr w:type="spellStart"/>
      <w:r>
        <w:t>is</w:t>
      </w:r>
      <w:proofErr w:type="spellEnd"/>
      <w:r>
        <w:t xml:space="preserve"> a </w:t>
      </w:r>
      <w:proofErr w:type="spellStart"/>
      <w:r>
        <w:t>common</w:t>
      </w:r>
      <w:proofErr w:type="spellEnd"/>
      <w:r>
        <w:t xml:space="preserve"> non-</w:t>
      </w:r>
      <w:proofErr w:type="spellStart"/>
      <w:r>
        <w:t>melanoma</w:t>
      </w:r>
      <w:proofErr w:type="spellEnd"/>
      <w:r>
        <w:t xml:space="preserve"> skin cancer </w:t>
      </w:r>
      <w:proofErr w:type="spellStart"/>
      <w:r>
        <w:t>that</w:t>
      </w:r>
      <w:proofErr w:type="spellEnd"/>
      <w:r>
        <w:t xml:space="preserve"> </w:t>
      </w:r>
      <w:proofErr w:type="spellStart"/>
      <w:r>
        <w:t>usually</w:t>
      </w:r>
      <w:proofErr w:type="spellEnd"/>
      <w:r>
        <w:t xml:space="preserve"> </w:t>
      </w:r>
      <w:proofErr w:type="spellStart"/>
      <w:r>
        <w:t>develops</w:t>
      </w:r>
      <w:proofErr w:type="spellEnd"/>
      <w:r>
        <w:t xml:space="preserve"> in </w:t>
      </w:r>
      <w:proofErr w:type="spellStart"/>
      <w:r>
        <w:t>chronically</w:t>
      </w:r>
      <w:proofErr w:type="spellEnd"/>
      <w:r>
        <w:t xml:space="preserve"> </w:t>
      </w:r>
      <w:proofErr w:type="spellStart"/>
      <w:r>
        <w:t>sun-exposed</w:t>
      </w:r>
      <w:proofErr w:type="spellEnd"/>
      <w:r>
        <w:t xml:space="preserve"> areas. Giant </w:t>
      </w:r>
      <w:proofErr w:type="spellStart"/>
      <w:r>
        <w:t>cSCC</w:t>
      </w:r>
      <w:proofErr w:type="spellEnd"/>
      <w:r>
        <w:t xml:space="preserve"> of the </w:t>
      </w:r>
      <w:proofErr w:type="spellStart"/>
      <w:r>
        <w:t>lower</w:t>
      </w:r>
      <w:proofErr w:type="spellEnd"/>
      <w:r>
        <w:t xml:space="preserve"> abdominal </w:t>
      </w:r>
      <w:proofErr w:type="spellStart"/>
      <w:r>
        <w:t>wall</w:t>
      </w:r>
      <w:proofErr w:type="spellEnd"/>
      <w:r>
        <w:t xml:space="preserve"> </w:t>
      </w:r>
      <w:proofErr w:type="spellStart"/>
      <w:r>
        <w:t>is</w:t>
      </w:r>
      <w:proofErr w:type="spellEnd"/>
      <w:r>
        <w:t xml:space="preserve"> rare and </w:t>
      </w:r>
      <w:proofErr w:type="spellStart"/>
      <w:r>
        <w:t>presents</w:t>
      </w:r>
      <w:proofErr w:type="spellEnd"/>
      <w:r>
        <w:t xml:space="preserve"> distinct </w:t>
      </w:r>
      <w:proofErr w:type="spellStart"/>
      <w:r>
        <w:t>oncological</w:t>
      </w:r>
      <w:proofErr w:type="spellEnd"/>
      <w:r>
        <w:t xml:space="preserve"> and reconstructive challenges, </w:t>
      </w:r>
      <w:proofErr w:type="spellStart"/>
      <w:r>
        <w:t>particularly</w:t>
      </w:r>
      <w:proofErr w:type="spellEnd"/>
      <w:r>
        <w:t xml:space="preserve"> </w:t>
      </w:r>
      <w:proofErr w:type="spellStart"/>
      <w:r>
        <w:t>when</w:t>
      </w:r>
      <w:proofErr w:type="spellEnd"/>
      <w:r>
        <w:t xml:space="preserve"> high-</w:t>
      </w:r>
      <w:proofErr w:type="spellStart"/>
      <w:r>
        <w:t>risk</w:t>
      </w:r>
      <w:proofErr w:type="spellEnd"/>
      <w:r>
        <w:t xml:space="preserve"> </w:t>
      </w:r>
      <w:proofErr w:type="spellStart"/>
      <w:r>
        <w:t>pathological</w:t>
      </w:r>
      <w:proofErr w:type="spellEnd"/>
      <w:r>
        <w:t xml:space="preserve"> </w:t>
      </w:r>
      <w:proofErr w:type="spellStart"/>
      <w:r>
        <w:t>features</w:t>
      </w:r>
      <w:proofErr w:type="spellEnd"/>
      <w:r>
        <w:t xml:space="preserve"> are </w:t>
      </w:r>
      <w:proofErr w:type="spellStart"/>
      <w:r>
        <w:t>present</w:t>
      </w:r>
      <w:proofErr w:type="spellEnd"/>
      <w:r>
        <w:t xml:space="preserve">. This case report </w:t>
      </w:r>
      <w:proofErr w:type="spellStart"/>
      <w:r>
        <w:t>describes</w:t>
      </w:r>
      <w:proofErr w:type="spellEnd"/>
      <w:r>
        <w:t xml:space="preserve"> a 67-year-old man </w:t>
      </w:r>
      <w:proofErr w:type="spellStart"/>
      <w:r>
        <w:t>with</w:t>
      </w:r>
      <w:proofErr w:type="spellEnd"/>
      <w:r>
        <w:t xml:space="preserve"> a </w:t>
      </w:r>
      <w:proofErr w:type="spellStart"/>
      <w:r>
        <w:t>progressively</w:t>
      </w:r>
      <w:proofErr w:type="spellEnd"/>
      <w:r>
        <w:t xml:space="preserve"> </w:t>
      </w:r>
      <w:proofErr w:type="spellStart"/>
      <w:r>
        <w:t>enlarging</w:t>
      </w:r>
      <w:proofErr w:type="spellEnd"/>
      <w:r>
        <w:t xml:space="preserve"> </w:t>
      </w:r>
      <w:proofErr w:type="spellStart"/>
      <w:r>
        <w:t>ulcerated</w:t>
      </w:r>
      <w:proofErr w:type="spellEnd"/>
      <w:r>
        <w:t xml:space="preserve"> </w:t>
      </w:r>
      <w:proofErr w:type="spellStart"/>
      <w:r>
        <w:t>suprapubic</w:t>
      </w:r>
      <w:proofErr w:type="spellEnd"/>
      <w:r>
        <w:t xml:space="preserve"> mass </w:t>
      </w:r>
      <w:proofErr w:type="spellStart"/>
      <w:r>
        <w:t>measuring</w:t>
      </w:r>
      <w:proofErr w:type="spellEnd"/>
      <w:r>
        <w:t xml:space="preserve"> </w:t>
      </w:r>
      <w:proofErr w:type="spellStart"/>
      <w:r>
        <w:t>approximately</w:t>
      </w:r>
      <w:proofErr w:type="spellEnd"/>
      <w:r>
        <w:t xml:space="preserve"> 6.5 × 6 cm. </w:t>
      </w:r>
      <w:proofErr w:type="spellStart"/>
      <w:r>
        <w:t>Preoperative</w:t>
      </w:r>
      <w:proofErr w:type="spellEnd"/>
      <w:r>
        <w:t xml:space="preserve"> </w:t>
      </w:r>
      <w:proofErr w:type="spellStart"/>
      <w:r>
        <w:t>contrast-enhanced</w:t>
      </w:r>
      <w:proofErr w:type="spellEnd"/>
      <w:r>
        <w:t xml:space="preserve"> </w:t>
      </w:r>
      <w:proofErr w:type="spellStart"/>
      <w:r>
        <w:t>abdominopelvic</w:t>
      </w:r>
      <w:proofErr w:type="spellEnd"/>
      <w:r>
        <w:t xml:space="preserve"> </w:t>
      </w:r>
      <w:proofErr w:type="spellStart"/>
      <w:r>
        <w:t>computed</w:t>
      </w:r>
      <w:proofErr w:type="spellEnd"/>
      <w:r>
        <w:t xml:space="preserve"> </w:t>
      </w:r>
      <w:proofErr w:type="spellStart"/>
      <w:r>
        <w:t>tomography</w:t>
      </w:r>
      <w:proofErr w:type="spellEnd"/>
      <w:r>
        <w:t xml:space="preserve"> and inguinal </w:t>
      </w:r>
      <w:proofErr w:type="spellStart"/>
      <w:r>
        <w:t>ultrasonography</w:t>
      </w:r>
      <w:proofErr w:type="spellEnd"/>
      <w:r>
        <w:t xml:space="preserve"> </w:t>
      </w:r>
      <w:proofErr w:type="spellStart"/>
      <w:r>
        <w:t>showed</w:t>
      </w:r>
      <w:proofErr w:type="spellEnd"/>
      <w:r>
        <w:t xml:space="preserve"> no </w:t>
      </w:r>
      <w:proofErr w:type="spellStart"/>
      <w:r>
        <w:t>muscular</w:t>
      </w:r>
      <w:proofErr w:type="spellEnd"/>
      <w:r>
        <w:t xml:space="preserve"> or fascial invasion, </w:t>
      </w:r>
      <w:proofErr w:type="spellStart"/>
      <w:r>
        <w:t>regional</w:t>
      </w:r>
      <w:proofErr w:type="spellEnd"/>
      <w:r>
        <w:t xml:space="preserve"> </w:t>
      </w:r>
      <w:proofErr w:type="spellStart"/>
      <w:r>
        <w:t>lymph</w:t>
      </w:r>
      <w:proofErr w:type="spellEnd"/>
      <w:r>
        <w:t xml:space="preserve"> </w:t>
      </w:r>
      <w:proofErr w:type="spellStart"/>
      <w:r>
        <w:t>node</w:t>
      </w:r>
      <w:proofErr w:type="spellEnd"/>
      <w:r>
        <w:t xml:space="preserve"> </w:t>
      </w:r>
      <w:proofErr w:type="spellStart"/>
      <w:r>
        <w:t>involvement</w:t>
      </w:r>
      <w:proofErr w:type="spellEnd"/>
      <w:r>
        <w:t xml:space="preserve">, or distant </w:t>
      </w:r>
      <w:proofErr w:type="spellStart"/>
      <w:r>
        <w:t>metastasis</w:t>
      </w:r>
      <w:proofErr w:type="spellEnd"/>
      <w:r>
        <w:t xml:space="preserve">. The patient </w:t>
      </w:r>
      <w:proofErr w:type="spellStart"/>
      <w:r>
        <w:t>underwent</w:t>
      </w:r>
      <w:proofErr w:type="spellEnd"/>
      <w:r>
        <w:t xml:space="preserve"> </w:t>
      </w:r>
      <w:proofErr w:type="spellStart"/>
      <w:r>
        <w:t>wide</w:t>
      </w:r>
      <w:proofErr w:type="spellEnd"/>
      <w:r>
        <w:t xml:space="preserve"> local excision </w:t>
      </w:r>
      <w:proofErr w:type="spellStart"/>
      <w:r>
        <w:t>with</w:t>
      </w:r>
      <w:proofErr w:type="spellEnd"/>
      <w:r>
        <w:t xml:space="preserve"> </w:t>
      </w:r>
      <w:proofErr w:type="spellStart"/>
      <w:r>
        <w:t>oncological</w:t>
      </w:r>
      <w:proofErr w:type="spellEnd"/>
      <w:r>
        <w:t xml:space="preserve"> </w:t>
      </w:r>
      <w:proofErr w:type="spellStart"/>
      <w:r>
        <w:t>margins</w:t>
      </w:r>
      <w:proofErr w:type="spellEnd"/>
      <w:r>
        <w:t xml:space="preserve">, </w:t>
      </w:r>
      <w:proofErr w:type="spellStart"/>
      <w:r>
        <w:t>resulting</w:t>
      </w:r>
      <w:proofErr w:type="spellEnd"/>
      <w:r>
        <w:t xml:space="preserve"> in a 14 × 9 cm soft tissue </w:t>
      </w:r>
      <w:proofErr w:type="spellStart"/>
      <w:r>
        <w:t>defect</w:t>
      </w:r>
      <w:proofErr w:type="spellEnd"/>
      <w:r>
        <w:t xml:space="preserve"> </w:t>
      </w:r>
      <w:proofErr w:type="spellStart"/>
      <w:r>
        <w:t>with</w:t>
      </w:r>
      <w:proofErr w:type="spellEnd"/>
      <w:r>
        <w:t xml:space="preserve"> </w:t>
      </w:r>
      <w:proofErr w:type="spellStart"/>
      <w:r>
        <w:t>preservation</w:t>
      </w:r>
      <w:proofErr w:type="spellEnd"/>
      <w:r>
        <w:t xml:space="preserve"> of the abdominal fascia. Reconstruction </w:t>
      </w:r>
      <w:proofErr w:type="spellStart"/>
      <w:r>
        <w:t>was</w:t>
      </w:r>
      <w:proofErr w:type="spellEnd"/>
      <w:r>
        <w:t xml:space="preserve"> </w:t>
      </w:r>
      <w:proofErr w:type="spellStart"/>
      <w:r>
        <w:t>performed</w:t>
      </w:r>
      <w:proofErr w:type="spellEnd"/>
      <w:r>
        <w:t xml:space="preserve"> </w:t>
      </w:r>
      <w:proofErr w:type="spellStart"/>
      <w:r>
        <w:t>using</w:t>
      </w:r>
      <w:proofErr w:type="spellEnd"/>
      <w:r>
        <w:t xml:space="preserve"> a </w:t>
      </w:r>
      <w:proofErr w:type="spellStart"/>
      <w:r>
        <w:t>modified</w:t>
      </w:r>
      <w:proofErr w:type="spellEnd"/>
      <w:r>
        <w:t xml:space="preserve"> </w:t>
      </w:r>
      <w:proofErr w:type="spellStart"/>
      <w:r>
        <w:t>abdominoplasty</w:t>
      </w:r>
      <w:proofErr w:type="spellEnd"/>
      <w:r>
        <w:t xml:space="preserve">-like </w:t>
      </w:r>
      <w:proofErr w:type="spellStart"/>
      <w:r>
        <w:t>advancement</w:t>
      </w:r>
      <w:proofErr w:type="spellEnd"/>
      <w:r>
        <w:t xml:space="preserve"> and translation </w:t>
      </w:r>
      <w:proofErr w:type="spellStart"/>
      <w:r>
        <w:t>plasty</w:t>
      </w:r>
      <w:proofErr w:type="spellEnd"/>
      <w:r>
        <w:t xml:space="preserve">, </w:t>
      </w:r>
      <w:proofErr w:type="spellStart"/>
      <w:r>
        <w:t>allowing</w:t>
      </w:r>
      <w:proofErr w:type="spellEnd"/>
      <w:r>
        <w:t xml:space="preserve"> </w:t>
      </w:r>
      <w:proofErr w:type="spellStart"/>
      <w:r>
        <w:t>primary</w:t>
      </w:r>
      <w:proofErr w:type="spellEnd"/>
      <w:r>
        <w:t xml:space="preserve"> </w:t>
      </w:r>
      <w:proofErr w:type="spellStart"/>
      <w:r>
        <w:t>closure</w:t>
      </w:r>
      <w:proofErr w:type="spellEnd"/>
      <w:r>
        <w:t xml:space="preserve"> </w:t>
      </w:r>
      <w:proofErr w:type="spellStart"/>
      <w:r>
        <w:t>without</w:t>
      </w:r>
      <w:proofErr w:type="spellEnd"/>
      <w:r>
        <w:t xml:space="preserve"> </w:t>
      </w:r>
      <w:proofErr w:type="spellStart"/>
      <w:r>
        <w:t>mesh</w:t>
      </w:r>
      <w:proofErr w:type="spellEnd"/>
      <w:r>
        <w:t xml:space="preserve"> </w:t>
      </w:r>
      <w:proofErr w:type="spellStart"/>
      <w:r>
        <w:t>reinforcement</w:t>
      </w:r>
      <w:proofErr w:type="spellEnd"/>
      <w:r>
        <w:t xml:space="preserve">. </w:t>
      </w:r>
      <w:proofErr w:type="spellStart"/>
      <w:r>
        <w:t>Histopathological</w:t>
      </w:r>
      <w:proofErr w:type="spellEnd"/>
      <w:r>
        <w:t xml:space="preserve"> </w:t>
      </w:r>
      <w:proofErr w:type="spellStart"/>
      <w:r>
        <w:t>examination</w:t>
      </w:r>
      <w:proofErr w:type="spellEnd"/>
      <w:r>
        <w:t xml:space="preserve"> </w:t>
      </w:r>
      <w:proofErr w:type="spellStart"/>
      <w:r>
        <w:t>confirmed</w:t>
      </w:r>
      <w:proofErr w:type="spellEnd"/>
      <w:r>
        <w:t xml:space="preserve"> a </w:t>
      </w:r>
      <w:proofErr w:type="spellStart"/>
      <w:r>
        <w:t>moderately</w:t>
      </w:r>
      <w:proofErr w:type="spellEnd"/>
      <w:r>
        <w:t xml:space="preserve"> </w:t>
      </w:r>
      <w:proofErr w:type="spellStart"/>
      <w:r>
        <w:t>differentiated</w:t>
      </w:r>
      <w:proofErr w:type="spellEnd"/>
      <w:r>
        <w:t xml:space="preserve"> non-</w:t>
      </w:r>
      <w:proofErr w:type="spellStart"/>
      <w:r>
        <w:t>keratinising</w:t>
      </w:r>
      <w:proofErr w:type="spellEnd"/>
      <w:r>
        <w:t xml:space="preserve"> invasive </w:t>
      </w:r>
      <w:proofErr w:type="spellStart"/>
      <w:r>
        <w:t>cSCC</w:t>
      </w:r>
      <w:proofErr w:type="spellEnd"/>
      <w:r>
        <w:t xml:space="preserve"> </w:t>
      </w:r>
      <w:proofErr w:type="spellStart"/>
      <w:r>
        <w:t>with</w:t>
      </w:r>
      <w:proofErr w:type="spellEnd"/>
      <w:r>
        <w:t xml:space="preserve"> multiple </w:t>
      </w:r>
      <w:proofErr w:type="spellStart"/>
      <w:r>
        <w:t>vascular</w:t>
      </w:r>
      <w:proofErr w:type="spellEnd"/>
      <w:r>
        <w:t xml:space="preserve"> </w:t>
      </w:r>
      <w:proofErr w:type="spellStart"/>
      <w:r>
        <w:t>tumour</w:t>
      </w:r>
      <w:proofErr w:type="spellEnd"/>
      <w:r>
        <w:t xml:space="preserve"> </w:t>
      </w:r>
      <w:proofErr w:type="spellStart"/>
      <w:r>
        <w:t>emboli</w:t>
      </w:r>
      <w:proofErr w:type="spellEnd"/>
      <w:r>
        <w:t xml:space="preserve">, consistent </w:t>
      </w:r>
      <w:proofErr w:type="spellStart"/>
      <w:r>
        <w:t>with</w:t>
      </w:r>
      <w:proofErr w:type="spellEnd"/>
      <w:r>
        <w:t xml:space="preserve"> </w:t>
      </w:r>
      <w:proofErr w:type="spellStart"/>
      <w:r>
        <w:t>lymphovascular</w:t>
      </w:r>
      <w:proofErr w:type="spellEnd"/>
      <w:r>
        <w:t xml:space="preserve"> invasion, and </w:t>
      </w:r>
      <w:proofErr w:type="spellStart"/>
      <w:r>
        <w:t>negative</w:t>
      </w:r>
      <w:proofErr w:type="spellEnd"/>
      <w:r>
        <w:t xml:space="preserve"> </w:t>
      </w:r>
      <w:proofErr w:type="spellStart"/>
      <w:r>
        <w:t>lateral</w:t>
      </w:r>
      <w:proofErr w:type="spellEnd"/>
      <w:r>
        <w:t xml:space="preserve"> and </w:t>
      </w:r>
      <w:proofErr w:type="spellStart"/>
      <w:r>
        <w:t>deep</w:t>
      </w:r>
      <w:proofErr w:type="spellEnd"/>
      <w:r>
        <w:t xml:space="preserve"> </w:t>
      </w:r>
      <w:proofErr w:type="spellStart"/>
      <w:r>
        <w:t>surgical</w:t>
      </w:r>
      <w:proofErr w:type="spellEnd"/>
      <w:r>
        <w:t xml:space="preserve"> </w:t>
      </w:r>
      <w:proofErr w:type="spellStart"/>
      <w:r>
        <w:t>margins</w:t>
      </w:r>
      <w:proofErr w:type="spellEnd"/>
      <w:r>
        <w:t xml:space="preserve">. Adjuvant </w:t>
      </w:r>
      <w:proofErr w:type="spellStart"/>
      <w:r>
        <w:t>volumetric</w:t>
      </w:r>
      <w:proofErr w:type="spellEnd"/>
      <w:r>
        <w:t xml:space="preserve"> </w:t>
      </w:r>
      <w:proofErr w:type="spellStart"/>
      <w:r>
        <w:t>modulated</w:t>
      </w:r>
      <w:proofErr w:type="spellEnd"/>
      <w:r>
        <w:t xml:space="preserve"> arc </w:t>
      </w:r>
      <w:proofErr w:type="spellStart"/>
      <w:r>
        <w:t>therapy</w:t>
      </w:r>
      <w:proofErr w:type="spellEnd"/>
      <w:r>
        <w:t xml:space="preserve"> </w:t>
      </w:r>
      <w:proofErr w:type="spellStart"/>
      <w:r>
        <w:t>was</w:t>
      </w:r>
      <w:proofErr w:type="spellEnd"/>
      <w:r>
        <w:t xml:space="preserve"> </w:t>
      </w:r>
      <w:proofErr w:type="spellStart"/>
      <w:r>
        <w:t>delivered</w:t>
      </w:r>
      <w:proofErr w:type="spellEnd"/>
      <w:r>
        <w:t xml:space="preserve"> to the </w:t>
      </w:r>
      <w:proofErr w:type="spellStart"/>
      <w:r>
        <w:t>tumour</w:t>
      </w:r>
      <w:proofErr w:type="spellEnd"/>
      <w:r>
        <w:t xml:space="preserve"> </w:t>
      </w:r>
      <w:proofErr w:type="spellStart"/>
      <w:r>
        <w:t>bed</w:t>
      </w:r>
      <w:proofErr w:type="spellEnd"/>
      <w:r>
        <w:t xml:space="preserve"> at a total dose of 60 Gy </w:t>
      </w:r>
      <w:proofErr w:type="spellStart"/>
      <w:r>
        <w:t>in</w:t>
      </w:r>
      <w:proofErr w:type="spellEnd"/>
      <w:r>
        <w:t xml:space="preserve"> 30 fractions. At 18 </w:t>
      </w:r>
      <w:proofErr w:type="spellStart"/>
      <w:r>
        <w:t>months</w:t>
      </w:r>
      <w:proofErr w:type="spellEnd"/>
      <w:r>
        <w:t xml:space="preserve"> of follow-up, </w:t>
      </w:r>
      <w:proofErr w:type="spellStart"/>
      <w:r>
        <w:t>there</w:t>
      </w:r>
      <w:proofErr w:type="spellEnd"/>
      <w:r>
        <w:t xml:space="preserve"> </w:t>
      </w:r>
      <w:proofErr w:type="spellStart"/>
      <w:r>
        <w:t>was</w:t>
      </w:r>
      <w:proofErr w:type="spellEnd"/>
      <w:r>
        <w:t xml:space="preserve"> no </w:t>
      </w:r>
      <w:proofErr w:type="spellStart"/>
      <w:r>
        <w:t>evidence</w:t>
      </w:r>
      <w:proofErr w:type="spellEnd"/>
      <w:r>
        <w:t xml:space="preserve"> of local </w:t>
      </w:r>
      <w:proofErr w:type="spellStart"/>
      <w:r>
        <w:t>recurrence</w:t>
      </w:r>
      <w:proofErr w:type="spellEnd"/>
      <w:r>
        <w:t xml:space="preserve">, </w:t>
      </w:r>
      <w:proofErr w:type="spellStart"/>
      <w:r>
        <w:t>regional</w:t>
      </w:r>
      <w:proofErr w:type="spellEnd"/>
      <w:r>
        <w:t xml:space="preserve"> nodal </w:t>
      </w:r>
      <w:proofErr w:type="spellStart"/>
      <w:r>
        <w:t>disease</w:t>
      </w:r>
      <w:proofErr w:type="spellEnd"/>
      <w:r>
        <w:t xml:space="preserve">, distant </w:t>
      </w:r>
      <w:proofErr w:type="spellStart"/>
      <w:r>
        <w:t>metastasis</w:t>
      </w:r>
      <w:proofErr w:type="spellEnd"/>
      <w:r>
        <w:t xml:space="preserve">, abdominal </w:t>
      </w:r>
      <w:proofErr w:type="spellStart"/>
      <w:r>
        <w:t>wall</w:t>
      </w:r>
      <w:proofErr w:type="spellEnd"/>
      <w:r>
        <w:t xml:space="preserve"> </w:t>
      </w:r>
      <w:proofErr w:type="spellStart"/>
      <w:r>
        <w:t>weakness</w:t>
      </w:r>
      <w:proofErr w:type="spellEnd"/>
      <w:r>
        <w:t xml:space="preserve">, or </w:t>
      </w:r>
      <w:proofErr w:type="spellStart"/>
      <w:r>
        <w:t>incisional</w:t>
      </w:r>
      <w:proofErr w:type="spellEnd"/>
      <w:r>
        <w:t xml:space="preserve"> </w:t>
      </w:r>
      <w:proofErr w:type="spellStart"/>
      <w:r>
        <w:t>hernia</w:t>
      </w:r>
      <w:proofErr w:type="spellEnd"/>
      <w:r>
        <w:t xml:space="preserve">, and the </w:t>
      </w:r>
      <w:proofErr w:type="spellStart"/>
      <w:r>
        <w:t>cosmetic</w:t>
      </w:r>
      <w:proofErr w:type="spellEnd"/>
      <w:r>
        <w:t xml:space="preserve"> </w:t>
      </w:r>
      <w:proofErr w:type="spellStart"/>
      <w:r>
        <w:t>outcome</w:t>
      </w:r>
      <w:proofErr w:type="spellEnd"/>
      <w:r>
        <w:t xml:space="preserve"> </w:t>
      </w:r>
      <w:proofErr w:type="spellStart"/>
      <w:r>
        <w:t>was</w:t>
      </w:r>
      <w:proofErr w:type="spellEnd"/>
      <w:r>
        <w:t xml:space="preserve"> </w:t>
      </w:r>
      <w:proofErr w:type="spellStart"/>
      <w:r>
        <w:t>satisfactory</w:t>
      </w:r>
      <w:proofErr w:type="spellEnd"/>
      <w:r>
        <w:t xml:space="preserve">. This case supports </w:t>
      </w:r>
      <w:proofErr w:type="spellStart"/>
      <w:r>
        <w:t>careful</w:t>
      </w:r>
      <w:proofErr w:type="spellEnd"/>
      <w:r>
        <w:t xml:space="preserve"> </w:t>
      </w:r>
      <w:proofErr w:type="spellStart"/>
      <w:r>
        <w:t>multidisciplinary</w:t>
      </w:r>
      <w:proofErr w:type="spellEnd"/>
      <w:r>
        <w:t xml:space="preserve"> management of </w:t>
      </w:r>
      <w:proofErr w:type="spellStart"/>
      <w:r>
        <w:t>selected</w:t>
      </w:r>
      <w:proofErr w:type="spellEnd"/>
      <w:r>
        <w:t xml:space="preserve"> </w:t>
      </w:r>
      <w:proofErr w:type="spellStart"/>
      <w:r>
        <w:t>giant</w:t>
      </w:r>
      <w:proofErr w:type="spellEnd"/>
      <w:r>
        <w:t xml:space="preserve"> high-</w:t>
      </w:r>
      <w:proofErr w:type="spellStart"/>
      <w:r>
        <w:t>risk</w:t>
      </w:r>
      <w:proofErr w:type="spellEnd"/>
      <w:r>
        <w:t xml:space="preserve"> abdominal </w:t>
      </w:r>
      <w:proofErr w:type="spellStart"/>
      <w:r>
        <w:t>wall</w:t>
      </w:r>
      <w:proofErr w:type="spellEnd"/>
      <w:r>
        <w:t xml:space="preserve"> </w:t>
      </w:r>
      <w:proofErr w:type="spellStart"/>
      <w:r>
        <w:t>cSCC</w:t>
      </w:r>
      <w:proofErr w:type="spellEnd"/>
      <w:r>
        <w:t>.</w:t>
      </w:r>
    </w:p>
    <w:p w14:paraId="18BCC862" w14:textId="77777777" w:rsidR="00E13801" w:rsidRPr="00BC39AE" w:rsidRDefault="00E13801" w:rsidP="00E13801">
      <w:pPr>
        <w:bidi w:val="0"/>
        <w:spacing w:before="100" w:after="100" w:line="240" w:lineRule="auto"/>
        <w:rPr>
          <w:rFonts w:ascii="Times New Roman" w:eastAsia="Times New Roman" w:hAnsi="Times New Roman" w:cs="Times New Roman"/>
          <w:kern w:val="0"/>
          <w:sz w:val="24"/>
          <w:szCs w:val="24"/>
          <w:lang w:val="en-US"/>
        </w:rPr>
      </w:pPr>
    </w:p>
    <w:p w14:paraId="09ACE6EF" w14:textId="270670BD" w:rsidR="00075B0B" w:rsidRPr="00BC39AE" w:rsidRDefault="00000000">
      <w:pPr>
        <w:bidi w:val="0"/>
        <w:spacing w:before="100" w:after="100" w:line="240" w:lineRule="auto"/>
        <w:rPr>
          <w:lang w:val="en-US"/>
        </w:rPr>
      </w:pPr>
      <w:r w:rsidRPr="00BC39AE">
        <w:rPr>
          <w:rFonts w:ascii="Times New Roman" w:eastAsia="Times New Roman" w:hAnsi="Times New Roman" w:cs="Times New Roman"/>
          <w:b/>
          <w:bCs/>
          <w:kern w:val="0"/>
          <w:sz w:val="32"/>
          <w:szCs w:val="32"/>
          <w:lang w:val="en-US"/>
        </w:rPr>
        <w:t>Keywords:</w:t>
      </w:r>
      <w:r w:rsidRPr="00BC39AE">
        <w:rPr>
          <w:rFonts w:ascii="Times New Roman" w:eastAsia="Times New Roman" w:hAnsi="Times New Roman" w:cs="Times New Roman"/>
          <w:kern w:val="0"/>
          <w:sz w:val="24"/>
          <w:szCs w:val="24"/>
          <w:lang w:val="en-US"/>
        </w:rPr>
        <w:t xml:space="preserve"> </w:t>
      </w:r>
      <w:proofErr w:type="spellStart"/>
      <w:r w:rsidR="00E13801">
        <w:t>Cutaneous</w:t>
      </w:r>
      <w:proofErr w:type="spellEnd"/>
      <w:r w:rsidR="00E13801">
        <w:t xml:space="preserve"> </w:t>
      </w:r>
      <w:proofErr w:type="spellStart"/>
      <w:r w:rsidR="00E13801">
        <w:t>squamous</w:t>
      </w:r>
      <w:proofErr w:type="spellEnd"/>
      <w:r w:rsidR="00E13801">
        <w:t xml:space="preserve"> </w:t>
      </w:r>
      <w:proofErr w:type="spellStart"/>
      <w:r w:rsidR="00E13801">
        <w:t>cell</w:t>
      </w:r>
      <w:proofErr w:type="spellEnd"/>
      <w:r w:rsidR="00E13801">
        <w:t xml:space="preserve"> </w:t>
      </w:r>
      <w:proofErr w:type="spellStart"/>
      <w:r w:rsidR="00E13801">
        <w:t>carcinoma</w:t>
      </w:r>
      <w:proofErr w:type="spellEnd"/>
      <w:r w:rsidR="00E13801">
        <w:t xml:space="preserve">; Giant </w:t>
      </w:r>
      <w:proofErr w:type="spellStart"/>
      <w:r w:rsidR="00E13801">
        <w:t>cSCC</w:t>
      </w:r>
      <w:proofErr w:type="spellEnd"/>
      <w:r w:rsidR="00E13801">
        <w:t xml:space="preserve">; Lower abdominal </w:t>
      </w:r>
      <w:proofErr w:type="spellStart"/>
      <w:r w:rsidR="00E13801">
        <w:t>wall</w:t>
      </w:r>
      <w:proofErr w:type="spellEnd"/>
      <w:r w:rsidR="00E13801">
        <w:t xml:space="preserve">; </w:t>
      </w:r>
      <w:proofErr w:type="spellStart"/>
      <w:r w:rsidR="00E13801">
        <w:t>Lymphovascular</w:t>
      </w:r>
      <w:proofErr w:type="spellEnd"/>
      <w:r w:rsidR="00E13801">
        <w:t xml:space="preserve"> invasion; Wide local excision; </w:t>
      </w:r>
      <w:proofErr w:type="spellStart"/>
      <w:r w:rsidR="00E13801">
        <w:t>Modified</w:t>
      </w:r>
      <w:proofErr w:type="spellEnd"/>
      <w:r w:rsidR="00E13801">
        <w:t xml:space="preserve"> </w:t>
      </w:r>
      <w:proofErr w:type="spellStart"/>
      <w:r w:rsidR="00E13801">
        <w:t>abdominoplasty</w:t>
      </w:r>
      <w:proofErr w:type="spellEnd"/>
      <w:r w:rsidR="00E13801">
        <w:t xml:space="preserve">-like reconstruction; Adjuvant </w:t>
      </w:r>
      <w:proofErr w:type="spellStart"/>
      <w:r w:rsidR="00E13801">
        <w:t>radiotherapy</w:t>
      </w:r>
      <w:proofErr w:type="spellEnd"/>
      <w:r w:rsidR="00E13801">
        <w:t xml:space="preserve">; </w:t>
      </w:r>
      <w:proofErr w:type="spellStart"/>
      <w:r w:rsidR="00E13801">
        <w:t>Volumetric</w:t>
      </w:r>
      <w:proofErr w:type="spellEnd"/>
      <w:r w:rsidR="00E13801">
        <w:t xml:space="preserve"> </w:t>
      </w:r>
      <w:proofErr w:type="spellStart"/>
      <w:r w:rsidR="00E13801">
        <w:t>modulated</w:t>
      </w:r>
      <w:proofErr w:type="spellEnd"/>
      <w:r w:rsidR="00E13801">
        <w:t xml:space="preserve"> arc </w:t>
      </w:r>
      <w:proofErr w:type="spellStart"/>
      <w:r w:rsidR="00E13801">
        <w:t>therapy</w:t>
      </w:r>
      <w:proofErr w:type="spellEnd"/>
      <w:r w:rsidR="00E13801">
        <w:t>; High-</w:t>
      </w:r>
      <w:proofErr w:type="spellStart"/>
      <w:r w:rsidR="00E13801">
        <w:t>risk</w:t>
      </w:r>
      <w:proofErr w:type="spellEnd"/>
      <w:r w:rsidR="00E13801">
        <w:t xml:space="preserve"> skin cancer; Abdominal </w:t>
      </w:r>
      <w:proofErr w:type="spellStart"/>
      <w:r w:rsidR="00E13801">
        <w:t>wall</w:t>
      </w:r>
      <w:proofErr w:type="spellEnd"/>
      <w:r w:rsidR="00E13801">
        <w:t xml:space="preserve"> reconstruction</w:t>
      </w:r>
    </w:p>
    <w:p w14:paraId="49241047" w14:textId="77777777" w:rsidR="00075B0B" w:rsidRPr="00BC39AE" w:rsidRDefault="00000000">
      <w:pPr>
        <w:bidi w:val="0"/>
        <w:spacing w:before="100" w:after="100" w:line="240" w:lineRule="auto"/>
        <w:outlineLvl w:val="1"/>
        <w:rPr>
          <w:rFonts w:ascii="Times New Roman" w:eastAsia="Times New Roman" w:hAnsi="Times New Roman" w:cs="Times New Roman"/>
          <w:b/>
          <w:bCs/>
          <w:kern w:val="0"/>
          <w:sz w:val="32"/>
          <w:szCs w:val="32"/>
          <w:lang w:val="en-US"/>
        </w:rPr>
      </w:pPr>
      <w:r w:rsidRPr="00BC39AE">
        <w:rPr>
          <w:rFonts w:ascii="Times New Roman" w:eastAsia="Times New Roman" w:hAnsi="Times New Roman" w:cs="Times New Roman"/>
          <w:b/>
          <w:bCs/>
          <w:kern w:val="0"/>
          <w:sz w:val="32"/>
          <w:szCs w:val="32"/>
          <w:lang w:val="en-US"/>
        </w:rPr>
        <w:t>Introduction</w:t>
      </w:r>
    </w:p>
    <w:p w14:paraId="07914924" w14:textId="77777777" w:rsidR="006A3F54" w:rsidRPr="00BC39AE" w:rsidRDefault="006A3F54" w:rsidP="006A3F54">
      <w:pPr>
        <w:bidi w:val="0"/>
        <w:spacing w:before="100" w:after="100" w:line="240" w:lineRule="auto"/>
        <w:rPr>
          <w:rFonts w:ascii="Times New Roman" w:eastAsia="Times New Roman" w:hAnsi="Times New Roman" w:cs="Times New Roman"/>
          <w:kern w:val="0"/>
          <w:sz w:val="24"/>
          <w:szCs w:val="24"/>
          <w:lang w:val="en-US"/>
        </w:rPr>
      </w:pPr>
      <w:r w:rsidRPr="00BC39AE">
        <w:t>Cutaneous squamous cell carcinoma (cSCC) is the second most common skin cancer and predominantly arises on chronically sun-exposed skin. However, it may develop in non-sun-exposed areas, where factors other than ultraviolet radiation, including chronic inflammation, scars, trauma, immunosuppression, or other unidentified pathogenic mechanisms, may contribute to tumour development (Morelló-Vicente et al., 2023).</w:t>
      </w:r>
    </w:p>
    <w:p w14:paraId="6BAF9948" w14:textId="77777777" w:rsidR="008359EE" w:rsidRPr="00BC39AE" w:rsidRDefault="00000000">
      <w:pPr>
        <w:bidi w:val="0"/>
        <w:spacing w:before="100" w:after="100" w:line="240" w:lineRule="auto"/>
        <w:rPr>
          <w:rFonts w:ascii="Times New Roman" w:eastAsia="Times New Roman" w:hAnsi="Times New Roman" w:cs="Times New Roman"/>
          <w:kern w:val="0"/>
          <w:sz w:val="24"/>
          <w:szCs w:val="24"/>
          <w:lang w:val="en-US"/>
        </w:rPr>
      </w:pPr>
      <w:r w:rsidRPr="00BC39AE">
        <w:rPr>
          <w:b/>
        </w:rPr>
        <w:t>Recent reviews describe cSCC as a biologically heterogeneous epithelial malignancy in which ultraviolet-related damage, genetic alterations and local immune interactions influence disease behaviour (Winge et al., 2023). Experimental UV-B skin models have also reported oxidative imbalance and autophagy-related changes in skin tissue, supporting the broader role of ultraviolet exposure in cutaneous carcinogenesis (Subasri et al., 2026).</w:t>
      </w:r>
    </w:p>
    <w:p w14:paraId="4A9849A1" w14:textId="77777777" w:rsidR="00D57322" w:rsidRPr="00BC39AE" w:rsidRDefault="00D57322">
      <w:pPr>
        <w:bidi w:val="0"/>
        <w:spacing w:before="100" w:after="100" w:line="240" w:lineRule="auto"/>
        <w:rPr>
          <w:rFonts w:ascii="Times New Roman" w:eastAsia="Times New Roman" w:hAnsi="Times New Roman" w:cs="Times New Roman"/>
          <w:kern w:val="0"/>
          <w:sz w:val="24"/>
          <w:szCs w:val="24"/>
          <w:lang w:val="en-US"/>
        </w:rPr>
      </w:pPr>
      <w:r w:rsidRPr="00BC39AE">
        <w:t>Most cSCCs occur on the head, neck, and upper extremities, whereas involvement of the lower abdominal wall is exceptionally uncommon and may pose diagnostic, oncological, and reconstructive challenges (Fania et al., 2021).</w:t>
      </w:r>
    </w:p>
    <w:p w14:paraId="4F4D83AC" w14:textId="77777777" w:rsidR="008359EE" w:rsidRPr="00BC39AE" w:rsidRDefault="00000000">
      <w:pPr>
        <w:bidi w:val="0"/>
        <w:spacing w:before="100" w:after="100" w:line="240" w:lineRule="auto"/>
        <w:rPr>
          <w:rFonts w:ascii="Times New Roman" w:eastAsia="Times New Roman" w:hAnsi="Times New Roman" w:cs="Times New Roman"/>
          <w:kern w:val="0"/>
          <w:sz w:val="24"/>
          <w:szCs w:val="24"/>
          <w:lang w:val="en-US"/>
        </w:rPr>
      </w:pPr>
      <w:r w:rsidRPr="00BC39AE">
        <w:lastRenderedPageBreak/>
        <w:t>Recent case-based evidence further supports that cSCC may present across variable clinical contexts and may mimic benign or inflammatory lesions, reinforcing the need for early biopsy and histopathological confirmation in atypical cases (Patil et al., 2025). Risk stratification is also important because accumulating tumour risk factors have been associated with higher risks of recurrence, metastasis, and disease-related death in cSCC (Ran et al., 2025). Recent data on cSCC arising in chronically damaged or minimally sun-exposed skin further support the need for careful individualised assessment when non-solar mechanisms are suspected (Miodovnik et al., 2025). Despite these observations, published descriptions of giant high-risk cSCC of the lower abdominal wall with lymphovascular invasion and reconstruction without mesh remain limited, leaving a practical gap in reporting site-specific oncological and reconstructive decision-making.</w:t>
      </w:r>
    </w:p>
    <w:p w14:paraId="6BC143AF" w14:textId="77777777" w:rsidR="008359EE" w:rsidRPr="00BC39AE" w:rsidRDefault="00000000">
      <w:pPr>
        <w:bidi w:val="0"/>
        <w:spacing w:before="100" w:after="100" w:line="240" w:lineRule="auto"/>
        <w:rPr>
          <w:rFonts w:ascii="Times New Roman" w:eastAsia="Times New Roman" w:hAnsi="Times New Roman" w:cs="Times New Roman"/>
          <w:kern w:val="0"/>
          <w:sz w:val="24"/>
          <w:szCs w:val="24"/>
          <w:lang w:val="en-US"/>
        </w:rPr>
      </w:pPr>
      <w:r w:rsidRPr="00BC39AE">
        <w:t>We report a rare case of giant high-risk cSCC of the lower abdominal wall with lymphovascular invasion, successfully managed by wide local excision, modified abdominoplasty-like reconstruction, and adjuvant VMAT radiotherapy.</w:t>
      </w:r>
    </w:p>
    <w:p w14:paraId="704E877C" w14:textId="77777777" w:rsidR="00075B0B" w:rsidRPr="00BC39AE" w:rsidRDefault="00000000" w:rsidP="00D57322">
      <w:pPr>
        <w:bidi w:val="0"/>
        <w:spacing w:before="100" w:after="100" w:line="240" w:lineRule="auto"/>
        <w:outlineLvl w:val="1"/>
        <w:rPr>
          <w:rFonts w:ascii="Times New Roman" w:eastAsia="Times New Roman" w:hAnsi="Times New Roman" w:cs="Times New Roman"/>
          <w:b/>
          <w:bCs/>
          <w:kern w:val="0"/>
          <w:sz w:val="32"/>
          <w:szCs w:val="32"/>
          <w:lang w:val="en-US"/>
        </w:rPr>
      </w:pPr>
      <w:r w:rsidRPr="00BC39AE">
        <w:rPr>
          <w:rFonts w:ascii="Times New Roman" w:eastAsia="Times New Roman" w:hAnsi="Times New Roman" w:cs="Times New Roman"/>
          <w:b/>
          <w:bCs/>
          <w:kern w:val="0"/>
          <w:sz w:val="32"/>
          <w:szCs w:val="32"/>
          <w:lang w:val="en-US"/>
        </w:rPr>
        <w:t>Case Presentation</w:t>
      </w:r>
    </w:p>
    <w:p w14:paraId="0FB08414" w14:textId="77777777" w:rsidR="00075B0B" w:rsidRPr="00BC39AE" w:rsidRDefault="00000000">
      <w:pPr>
        <w:bidi w:val="0"/>
        <w:spacing w:before="100" w:after="100" w:line="240" w:lineRule="auto"/>
        <w:rPr>
          <w:rFonts w:ascii="Times New Roman" w:eastAsia="Times New Roman" w:hAnsi="Times New Roman" w:cs="Times New Roman"/>
          <w:kern w:val="0"/>
          <w:sz w:val="24"/>
          <w:szCs w:val="24"/>
          <w:lang w:val="en-US"/>
        </w:rPr>
      </w:pPr>
      <w:r w:rsidRPr="00BC39AE">
        <w:t>A 67-year-old man presented with a progressively enlarging ulcerated suprapubic mass. Clinical examination revealed a fungating lesion measuring approximately 6.5 × 6 cm (Fig. 1). Computed tomography demonstrated a localised abdominal wall process without invasion of the muscular or fascial layers. Preoperative staging included contrast-enhanced abdominopelvic computed tomography and inguinal ultrasonography, both of which demonstrated no evidence of regional lymph node involvement or distant metastasis.</w:t>
      </w:r>
    </w:p>
    <w:p w14:paraId="01C7B9A1" w14:textId="77777777" w:rsidR="00BC4C1F" w:rsidRPr="00BC39AE" w:rsidRDefault="00BC4C1F" w:rsidP="00BC4C1F">
      <w:pPr>
        <w:bidi w:val="0"/>
        <w:spacing w:before="100" w:after="100" w:line="240" w:lineRule="auto"/>
        <w:jc w:val="center"/>
        <w:rPr>
          <w:rFonts w:ascii="Times New Roman" w:eastAsia="Times New Roman" w:hAnsi="Times New Roman" w:cs="Times New Roman"/>
          <w:kern w:val="0"/>
          <w:sz w:val="24"/>
          <w:szCs w:val="24"/>
          <w:lang w:val="en-US"/>
        </w:rPr>
      </w:pPr>
      <w:r w:rsidRPr="00BC39AE">
        <w:rPr>
          <w:noProof/>
        </w:rPr>
        <w:drawing>
          <wp:inline distT="0" distB="0" distL="0" distR="0" wp14:anchorId="059DD9B2" wp14:editId="6ADAFEB4">
            <wp:extent cx="2907461" cy="2164892"/>
            <wp:effectExtent l="0" t="0" r="7620" b="6985"/>
            <wp:docPr id="132163990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7461" cy="2164892"/>
                    </a:xfrm>
                    <a:prstGeom prst="rect">
                      <a:avLst/>
                    </a:prstGeom>
                    <a:noFill/>
                    <a:ln>
                      <a:noFill/>
                    </a:ln>
                  </pic:spPr>
                </pic:pic>
              </a:graphicData>
            </a:graphic>
          </wp:inline>
        </w:drawing>
      </w:r>
    </w:p>
    <w:p w14:paraId="6628F81A" w14:textId="77777777" w:rsidR="00BC4C1F" w:rsidRPr="00BC39AE" w:rsidRDefault="00BC4C1F" w:rsidP="006F43F4">
      <w:pPr>
        <w:bidi w:val="0"/>
        <w:spacing w:before="100" w:after="100" w:line="240" w:lineRule="auto"/>
        <w:jc w:val="center"/>
        <w:rPr>
          <w:rFonts w:ascii="Times New Roman" w:eastAsia="Times New Roman" w:hAnsi="Times New Roman" w:cs="Times New Roman"/>
          <w:b/>
          <w:bCs/>
          <w:kern w:val="0"/>
          <w:sz w:val="24"/>
          <w:szCs w:val="24"/>
          <w:lang w:val="en-US"/>
        </w:rPr>
      </w:pPr>
      <w:r w:rsidRPr="00BC39AE">
        <w:rPr>
          <w:rFonts w:ascii="Times New Roman" w:eastAsia="Times New Roman" w:hAnsi="Times New Roman" w:cs="Times New Roman"/>
          <w:b/>
          <w:bCs/>
          <w:kern w:val="0"/>
          <w:sz w:val="24"/>
          <w:szCs w:val="24"/>
          <w:lang w:val="en-US"/>
        </w:rPr>
        <w:t xml:space="preserve">Fig 1: </w:t>
      </w:r>
      <w:r w:rsidR="00505E06" w:rsidRPr="00BC39AE">
        <w:rPr>
          <w:rFonts w:ascii="Times New Roman" w:eastAsia="Times New Roman" w:hAnsi="Times New Roman" w:cs="Times New Roman"/>
          <w:b/>
          <w:bCs/>
          <w:kern w:val="0"/>
          <w:sz w:val="24"/>
          <w:szCs w:val="24"/>
          <w:lang w:val="en-US"/>
        </w:rPr>
        <w:t>Preoperative view showing a 6.5 × 6 cm ulcerated exophytic tumor of the lower abdominal wall.</w:t>
      </w:r>
    </w:p>
    <w:p w14:paraId="4CC2FA81" w14:textId="77777777" w:rsidR="00BC4C1F" w:rsidRPr="00BC39AE" w:rsidRDefault="00000000" w:rsidP="00BC4C1F">
      <w:pPr>
        <w:bidi w:val="0"/>
        <w:spacing w:before="100" w:after="100" w:line="240" w:lineRule="auto"/>
        <w:rPr>
          <w:rFonts w:ascii="Times New Roman" w:eastAsia="Times New Roman" w:hAnsi="Times New Roman" w:cs="Times New Roman"/>
          <w:kern w:val="0"/>
          <w:sz w:val="24"/>
          <w:szCs w:val="24"/>
          <w:lang w:val="en-US"/>
        </w:rPr>
      </w:pPr>
      <w:r w:rsidRPr="00BC39AE">
        <w:rPr>
          <w:rFonts w:ascii="Times New Roman" w:eastAsia="Times New Roman" w:hAnsi="Times New Roman" w:cs="Times New Roman"/>
          <w:kern w:val="0"/>
          <w:sz w:val="24"/>
          <w:szCs w:val="24"/>
          <w:lang w:val="en-US"/>
        </w:rPr>
        <w:t>The patient underwent wide local excision with oncological margins. The resulting defect measured approximately 14 × 9 cm</w:t>
      </w:r>
      <w:r w:rsidR="00872C33" w:rsidRPr="00BC39AE">
        <w:rPr>
          <w:rFonts w:ascii="Times New Roman" w:eastAsia="Times New Roman" w:hAnsi="Times New Roman" w:cs="Times New Roman"/>
          <w:kern w:val="0"/>
          <w:sz w:val="24"/>
          <w:szCs w:val="24"/>
          <w:lang w:val="en-US"/>
        </w:rPr>
        <w:t xml:space="preserve"> (</w:t>
      </w:r>
      <w:r w:rsidR="00872C33" w:rsidRPr="00BC39AE">
        <w:rPr>
          <w:rFonts w:ascii="Times New Roman" w:eastAsia="Times New Roman" w:hAnsi="Times New Roman" w:cs="Times New Roman"/>
          <w:b/>
          <w:bCs/>
          <w:kern w:val="0"/>
          <w:sz w:val="24"/>
          <w:szCs w:val="24"/>
          <w:lang w:val="en-US"/>
        </w:rPr>
        <w:t>Fig. 2)</w:t>
      </w:r>
      <w:r w:rsidRPr="00BC39AE">
        <w:rPr>
          <w:rFonts w:ascii="Times New Roman" w:eastAsia="Times New Roman" w:hAnsi="Times New Roman" w:cs="Times New Roman"/>
          <w:b/>
          <w:bCs/>
          <w:kern w:val="0"/>
          <w:sz w:val="24"/>
          <w:szCs w:val="24"/>
          <w:lang w:val="en-US"/>
        </w:rPr>
        <w:t>.</w:t>
      </w:r>
      <w:r w:rsidRPr="00BC39AE">
        <w:rPr>
          <w:rFonts w:ascii="Times New Roman" w:eastAsia="Times New Roman" w:hAnsi="Times New Roman" w:cs="Times New Roman"/>
          <w:kern w:val="0"/>
          <w:sz w:val="24"/>
          <w:szCs w:val="24"/>
          <w:lang w:val="en-US"/>
        </w:rPr>
        <w:t xml:space="preserve"> </w:t>
      </w:r>
      <w:bookmarkStart w:id="0" w:name="_Hlk232957270"/>
      <w:r w:rsidR="00872C33" w:rsidRPr="00BC39AE">
        <w:rPr>
          <w:rFonts w:ascii="Times New Roman" w:eastAsia="Times New Roman" w:hAnsi="Times New Roman" w:cs="Times New Roman"/>
          <w:kern w:val="0"/>
          <w:sz w:val="24"/>
          <w:szCs w:val="24"/>
          <w:lang w:val="en-US"/>
        </w:rPr>
        <w:t xml:space="preserve">The surgical specimen was oriented </w:t>
      </w:r>
      <w:bookmarkEnd w:id="0"/>
      <w:r w:rsidR="00872C33" w:rsidRPr="00BC39AE">
        <w:rPr>
          <w:rFonts w:ascii="Times New Roman" w:eastAsia="Times New Roman" w:hAnsi="Times New Roman" w:cs="Times New Roman"/>
          <w:kern w:val="0"/>
          <w:sz w:val="24"/>
          <w:szCs w:val="24"/>
          <w:lang w:val="en-US"/>
        </w:rPr>
        <w:t xml:space="preserve">and submitted for histopathological examination </w:t>
      </w:r>
      <w:r w:rsidR="00872C33" w:rsidRPr="00BC39AE">
        <w:rPr>
          <w:rFonts w:ascii="Times New Roman" w:eastAsia="Times New Roman" w:hAnsi="Times New Roman" w:cs="Times New Roman"/>
          <w:b/>
          <w:bCs/>
          <w:kern w:val="0"/>
          <w:sz w:val="24"/>
          <w:szCs w:val="24"/>
          <w:lang w:val="en-US"/>
        </w:rPr>
        <w:t>(Fig. 3).</w:t>
      </w:r>
    </w:p>
    <w:p w14:paraId="6F10F769" w14:textId="77777777" w:rsidR="00BC4C1F" w:rsidRPr="00BC39AE" w:rsidRDefault="00BC4C1F" w:rsidP="00BC4C1F">
      <w:pPr>
        <w:bidi w:val="0"/>
        <w:spacing w:before="100" w:after="100" w:line="240" w:lineRule="auto"/>
        <w:jc w:val="center"/>
        <w:rPr>
          <w:rFonts w:ascii="Times New Roman" w:eastAsia="Times New Roman" w:hAnsi="Times New Roman" w:cs="Times New Roman"/>
          <w:kern w:val="0"/>
          <w:sz w:val="24"/>
          <w:szCs w:val="24"/>
          <w:lang w:val="en-US"/>
        </w:rPr>
      </w:pPr>
      <w:r w:rsidRPr="00BC39AE">
        <w:rPr>
          <w:noProof/>
        </w:rPr>
        <w:lastRenderedPageBreak/>
        <w:drawing>
          <wp:inline distT="0" distB="0" distL="0" distR="0" wp14:anchorId="4B8BFC69" wp14:editId="73E3EFC1">
            <wp:extent cx="2828925" cy="2630602"/>
            <wp:effectExtent l="0" t="0" r="0" b="0"/>
            <wp:docPr id="132604872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1883" cy="2642652"/>
                    </a:xfrm>
                    <a:prstGeom prst="rect">
                      <a:avLst/>
                    </a:prstGeom>
                    <a:noFill/>
                    <a:ln>
                      <a:noFill/>
                    </a:ln>
                  </pic:spPr>
                </pic:pic>
              </a:graphicData>
            </a:graphic>
          </wp:inline>
        </w:drawing>
      </w:r>
    </w:p>
    <w:p w14:paraId="78F05B19" w14:textId="77777777" w:rsidR="00BC4C1F" w:rsidRPr="00BC39AE" w:rsidRDefault="00BC4C1F" w:rsidP="00BC4C1F">
      <w:pPr>
        <w:bidi w:val="0"/>
        <w:spacing w:before="100" w:after="100" w:line="240" w:lineRule="auto"/>
        <w:jc w:val="center"/>
        <w:rPr>
          <w:rFonts w:asciiTheme="majorBidi" w:hAnsiTheme="majorBidi" w:cstheme="majorBidi"/>
          <w:b/>
          <w:bCs/>
          <w:sz w:val="24"/>
          <w:szCs w:val="24"/>
          <w:lang w:val="en-US"/>
        </w:rPr>
      </w:pPr>
      <w:r w:rsidRPr="00BC39AE">
        <w:rPr>
          <w:rFonts w:ascii="Times New Roman" w:eastAsia="Times New Roman" w:hAnsi="Times New Roman" w:cs="Times New Roman"/>
          <w:b/>
          <w:bCs/>
          <w:kern w:val="0"/>
          <w:sz w:val="24"/>
          <w:szCs w:val="24"/>
          <w:lang w:val="en-US"/>
        </w:rPr>
        <w:t xml:space="preserve">Fig 2: </w:t>
      </w:r>
      <w:r w:rsidR="00505E06" w:rsidRPr="00BC39AE">
        <w:rPr>
          <w:rFonts w:ascii="Times New Roman" w:eastAsia="Times New Roman" w:hAnsi="Times New Roman" w:cs="Times New Roman"/>
          <w:b/>
          <w:bCs/>
          <w:kern w:val="0"/>
          <w:sz w:val="24"/>
          <w:szCs w:val="24"/>
          <w:lang w:val="en-US"/>
        </w:rPr>
        <w:t>Intraoperative appearance after wide local excision demonstrating a 14 × 9 cm soft tissue defect with preservation of the abdominal fascia.</w:t>
      </w:r>
    </w:p>
    <w:p w14:paraId="37E3B3E9" w14:textId="77777777" w:rsidR="00BC4C1F" w:rsidRPr="00BC39AE" w:rsidRDefault="00BC4C1F" w:rsidP="00BC4C1F">
      <w:pPr>
        <w:bidi w:val="0"/>
        <w:spacing w:before="100" w:after="100" w:line="240" w:lineRule="auto"/>
        <w:jc w:val="center"/>
        <w:rPr>
          <w:rFonts w:ascii="Times New Roman" w:eastAsia="Times New Roman" w:hAnsi="Times New Roman" w:cs="Times New Roman"/>
          <w:kern w:val="0"/>
          <w:sz w:val="24"/>
          <w:szCs w:val="24"/>
          <w:lang w:val="en-US"/>
        </w:rPr>
      </w:pPr>
      <w:r w:rsidRPr="00BC39AE">
        <w:rPr>
          <w:noProof/>
        </w:rPr>
        <w:drawing>
          <wp:inline distT="0" distB="0" distL="0" distR="0" wp14:anchorId="781E6BB2" wp14:editId="4AC6F01E">
            <wp:extent cx="1876425" cy="2389629"/>
            <wp:effectExtent l="0" t="0" r="0" b="0"/>
            <wp:docPr id="148144967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8337" cy="2417534"/>
                    </a:xfrm>
                    <a:prstGeom prst="rect">
                      <a:avLst/>
                    </a:prstGeom>
                    <a:noFill/>
                    <a:ln>
                      <a:noFill/>
                    </a:ln>
                  </pic:spPr>
                </pic:pic>
              </a:graphicData>
            </a:graphic>
          </wp:inline>
        </w:drawing>
      </w:r>
    </w:p>
    <w:p w14:paraId="3579C5CA" w14:textId="77777777" w:rsidR="00BC4C1F" w:rsidRPr="00BC39AE" w:rsidRDefault="00BC4C1F" w:rsidP="00BC4C1F">
      <w:pPr>
        <w:bidi w:val="0"/>
        <w:spacing w:before="100" w:after="100" w:line="240" w:lineRule="auto"/>
        <w:jc w:val="center"/>
        <w:rPr>
          <w:rFonts w:ascii="Times New Roman" w:eastAsia="Times New Roman" w:hAnsi="Times New Roman" w:cs="Times New Roman"/>
          <w:b/>
          <w:bCs/>
          <w:kern w:val="0"/>
          <w:sz w:val="24"/>
          <w:szCs w:val="24"/>
          <w:lang w:val="en-US"/>
        </w:rPr>
      </w:pPr>
      <w:r w:rsidRPr="00BC39AE">
        <w:rPr>
          <w:rFonts w:ascii="Times New Roman" w:eastAsia="Times New Roman" w:hAnsi="Times New Roman" w:cs="Times New Roman"/>
          <w:b/>
          <w:bCs/>
          <w:kern w:val="0"/>
          <w:sz w:val="24"/>
          <w:szCs w:val="24"/>
          <w:lang w:val="en-US"/>
        </w:rPr>
        <w:t xml:space="preserve">Fig 3: </w:t>
      </w:r>
      <w:r w:rsidR="00505E06" w:rsidRPr="00BC39AE">
        <w:rPr>
          <w:rFonts w:ascii="Times New Roman" w:eastAsia="Times New Roman" w:hAnsi="Times New Roman" w:cs="Times New Roman"/>
          <w:b/>
          <w:bCs/>
          <w:kern w:val="0"/>
          <w:sz w:val="24"/>
          <w:szCs w:val="24"/>
          <w:lang w:val="en-US"/>
        </w:rPr>
        <w:t>Oriented surgical specimen submitted for histopathological examination.</w:t>
      </w:r>
    </w:p>
    <w:p w14:paraId="1BA5AF8D" w14:textId="77777777" w:rsidR="00075B0B" w:rsidRPr="00BC39AE" w:rsidRDefault="00872C33" w:rsidP="00BC4C1F">
      <w:pPr>
        <w:bidi w:val="0"/>
        <w:spacing w:before="100" w:after="100" w:line="240" w:lineRule="auto"/>
        <w:rPr>
          <w:rFonts w:ascii="Times New Roman" w:eastAsia="Times New Roman" w:hAnsi="Times New Roman" w:cs="Times New Roman"/>
          <w:kern w:val="0"/>
          <w:sz w:val="24"/>
          <w:szCs w:val="24"/>
          <w:lang w:val="en-US"/>
        </w:rPr>
      </w:pPr>
      <w:r w:rsidRPr="00BC39AE">
        <w:t>Reconstruction was achieved using a modified abdominoplasty-like advancement and translation plasty, allowing primary closure without mesh reinforcement.</w:t>
      </w:r>
    </w:p>
    <w:p w14:paraId="3E4C6D8B" w14:textId="77777777" w:rsidR="00075B0B" w:rsidRPr="00BC39AE" w:rsidRDefault="00000000" w:rsidP="00646983">
      <w:pPr>
        <w:bidi w:val="0"/>
        <w:spacing w:before="100" w:after="100" w:line="240" w:lineRule="auto"/>
        <w:rPr>
          <w:rFonts w:ascii="Times New Roman" w:eastAsia="Times New Roman" w:hAnsi="Times New Roman" w:cs="Times New Roman"/>
          <w:kern w:val="0"/>
          <w:sz w:val="24"/>
          <w:szCs w:val="24"/>
          <w:lang w:val="en-US"/>
        </w:rPr>
      </w:pPr>
      <w:r w:rsidRPr="00BC39AE">
        <w:t>Histopathological examination demonstrated a moderately differentiated non-keratinising invasive squamous cell carcinoma with multiple vascular tumour emboli, consistent with lymphovascular invasion (Fig. 4). Surgical margins were negative laterally (0.8–2.8 cm) and deeply (1 cm).</w:t>
      </w:r>
    </w:p>
    <w:p w14:paraId="1513459D" w14:textId="77777777" w:rsidR="003D31B8" w:rsidRPr="00BC39AE" w:rsidRDefault="003D31B8" w:rsidP="003D31B8">
      <w:pPr>
        <w:bidi w:val="0"/>
        <w:spacing w:before="100" w:after="100" w:line="240" w:lineRule="auto"/>
        <w:jc w:val="center"/>
        <w:rPr>
          <w:rFonts w:ascii="Times New Roman" w:eastAsia="Times New Roman" w:hAnsi="Times New Roman" w:cs="Times New Roman"/>
          <w:kern w:val="0"/>
          <w:sz w:val="24"/>
          <w:szCs w:val="24"/>
          <w:lang w:val="en-US"/>
        </w:rPr>
      </w:pPr>
      <w:r w:rsidRPr="00BC39AE">
        <w:rPr>
          <w:noProof/>
        </w:rPr>
        <w:lastRenderedPageBreak/>
        <w:drawing>
          <wp:inline distT="0" distB="0" distL="0" distR="0" wp14:anchorId="34117924" wp14:editId="58E0C6E0">
            <wp:extent cx="2063243" cy="2354580"/>
            <wp:effectExtent l="0" t="0" r="0" b="7620"/>
            <wp:docPr id="70391506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69825" cy="2362092"/>
                    </a:xfrm>
                    <a:prstGeom prst="rect">
                      <a:avLst/>
                    </a:prstGeom>
                    <a:noFill/>
                    <a:ln>
                      <a:noFill/>
                    </a:ln>
                  </pic:spPr>
                </pic:pic>
              </a:graphicData>
            </a:graphic>
          </wp:inline>
        </w:drawing>
      </w:r>
    </w:p>
    <w:p w14:paraId="1F6262E4" w14:textId="77777777" w:rsidR="003D31B8" w:rsidRPr="00BC39AE" w:rsidRDefault="003D31B8" w:rsidP="003D31B8">
      <w:pPr>
        <w:bidi w:val="0"/>
        <w:spacing w:before="100" w:after="100" w:line="240" w:lineRule="auto"/>
        <w:jc w:val="center"/>
        <w:rPr>
          <w:rFonts w:ascii="Times New Roman" w:eastAsia="Times New Roman" w:hAnsi="Times New Roman" w:cs="Times New Roman"/>
          <w:kern w:val="0"/>
          <w:sz w:val="24"/>
          <w:szCs w:val="24"/>
          <w:lang w:val="en-US"/>
        </w:rPr>
      </w:pPr>
      <w:r w:rsidRPr="00BC39AE">
        <w:rPr>
          <w:rFonts w:ascii="Times New Roman" w:hAnsi="Times New Roman" w:cs="Times New Roman"/>
          <w:b/>
          <w:bCs/>
          <w:sz w:val="24"/>
          <w:szCs w:val="24"/>
          <w:lang w:val="en-US"/>
        </w:rPr>
        <w:t>Fig 4: Histopathological examination showing a moderately differentiated non-keratinizing cutaneous squamous cell carcinoma with vascular tumor emboli (</w:t>
      </w:r>
      <w:r w:rsidR="0079399A" w:rsidRPr="00BC39AE">
        <w:rPr>
          <w:rFonts w:ascii="Times New Roman" w:hAnsi="Times New Roman" w:cs="Times New Roman"/>
          <w:b/>
          <w:bCs/>
          <w:sz w:val="24"/>
          <w:szCs w:val="24"/>
          <w:lang w:val="en-US"/>
        </w:rPr>
        <w:t>the red arrow</w:t>
      </w:r>
      <w:r w:rsidRPr="00BC39AE">
        <w:rPr>
          <w:rFonts w:ascii="Times New Roman" w:hAnsi="Times New Roman" w:cs="Times New Roman"/>
          <w:b/>
          <w:bCs/>
          <w:sz w:val="24"/>
          <w:szCs w:val="24"/>
          <w:lang w:val="en-US"/>
        </w:rPr>
        <w:t xml:space="preserve">), confirming </w:t>
      </w:r>
      <w:proofErr w:type="spellStart"/>
      <w:r w:rsidRPr="00BC39AE">
        <w:rPr>
          <w:rFonts w:ascii="Times New Roman" w:hAnsi="Times New Roman" w:cs="Times New Roman"/>
          <w:b/>
          <w:bCs/>
          <w:sz w:val="24"/>
          <w:szCs w:val="24"/>
          <w:lang w:val="en-US"/>
        </w:rPr>
        <w:t>lymphovascular</w:t>
      </w:r>
      <w:proofErr w:type="spellEnd"/>
      <w:r w:rsidRPr="00BC39AE">
        <w:rPr>
          <w:rFonts w:ascii="Times New Roman" w:hAnsi="Times New Roman" w:cs="Times New Roman"/>
          <w:b/>
          <w:bCs/>
          <w:sz w:val="24"/>
          <w:szCs w:val="24"/>
          <w:lang w:val="en-US"/>
        </w:rPr>
        <w:t xml:space="preserve"> invasion (hematoxylin and eosin stain, ×100).</w:t>
      </w:r>
    </w:p>
    <w:p w14:paraId="1C7889EA" w14:textId="77777777" w:rsidR="00075B0B" w:rsidRPr="00BC39AE" w:rsidRDefault="00000000">
      <w:pPr>
        <w:bidi w:val="0"/>
        <w:spacing w:before="100" w:after="100" w:line="240" w:lineRule="auto"/>
        <w:rPr>
          <w:rFonts w:ascii="Times New Roman" w:eastAsia="Times New Roman" w:hAnsi="Times New Roman" w:cs="Times New Roman"/>
          <w:kern w:val="0"/>
          <w:sz w:val="24"/>
          <w:szCs w:val="24"/>
          <w:lang w:val="en-US"/>
        </w:rPr>
      </w:pPr>
      <w:r w:rsidRPr="00BC39AE">
        <w:t>The postoperative course was uneventful. The patient received adjuvant radiotherapy to the tumour bed using volumetric modulated arc therapy (VMAT) at a total dose of 60 Gy in 30 fractions to achieve conformal dose distribution and reduce toxicity to adjacent structures.</w:t>
      </w:r>
    </w:p>
    <w:p w14:paraId="574F9B9D" w14:textId="77777777" w:rsidR="00075B0B" w:rsidRPr="00BC39AE" w:rsidRDefault="00000000">
      <w:pPr>
        <w:bidi w:val="0"/>
        <w:spacing w:before="100" w:after="100" w:line="240" w:lineRule="auto"/>
        <w:rPr>
          <w:lang w:val="en-US"/>
        </w:rPr>
      </w:pPr>
      <w:r w:rsidRPr="00BC39AE">
        <w:t>At 18 months of follow-up, no local recurrence, regional lymph node involvement, distant metastasis, abdominal wall weakness, or incisional hernia were observed. The aesthetic outcome was satisfactory (Fig. 5).</w:t>
      </w:r>
    </w:p>
    <w:p w14:paraId="2411CC6D" w14:textId="77777777" w:rsidR="006F43F4" w:rsidRPr="00BC39AE" w:rsidRDefault="006F43F4" w:rsidP="006F43F4">
      <w:pPr>
        <w:bidi w:val="0"/>
        <w:spacing w:before="100" w:after="100" w:line="240" w:lineRule="auto"/>
        <w:jc w:val="center"/>
        <w:rPr>
          <w:lang w:val="en-US"/>
        </w:rPr>
      </w:pPr>
      <w:r w:rsidRPr="00BC39AE">
        <w:rPr>
          <w:noProof/>
        </w:rPr>
        <w:drawing>
          <wp:inline distT="0" distB="0" distL="0" distR="0" wp14:anchorId="26848BE6" wp14:editId="0B30B9F5">
            <wp:extent cx="2626406" cy="3113067"/>
            <wp:effectExtent l="0" t="0" r="2540" b="0"/>
            <wp:docPr id="46037304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8567" cy="3127481"/>
                    </a:xfrm>
                    <a:prstGeom prst="rect">
                      <a:avLst/>
                    </a:prstGeom>
                    <a:noFill/>
                    <a:ln>
                      <a:noFill/>
                    </a:ln>
                  </pic:spPr>
                </pic:pic>
              </a:graphicData>
            </a:graphic>
          </wp:inline>
        </w:drawing>
      </w:r>
    </w:p>
    <w:p w14:paraId="59DC24C6" w14:textId="77777777" w:rsidR="00505E06" w:rsidRPr="00BC39AE" w:rsidRDefault="006F43F4" w:rsidP="00505E06">
      <w:pPr>
        <w:bidi w:val="0"/>
        <w:spacing w:before="100" w:after="100" w:line="240" w:lineRule="auto"/>
        <w:jc w:val="center"/>
        <w:rPr>
          <w:rFonts w:ascii="Times New Roman" w:eastAsia="Times New Roman" w:hAnsi="Times New Roman" w:cs="Times New Roman"/>
          <w:b/>
          <w:bCs/>
          <w:kern w:val="0"/>
          <w:sz w:val="32"/>
          <w:szCs w:val="32"/>
          <w:lang w:val="en-US"/>
        </w:rPr>
      </w:pPr>
      <w:bookmarkStart w:id="1" w:name="_Hlk233651814"/>
      <w:r w:rsidRPr="00BC39AE">
        <w:rPr>
          <w:rFonts w:ascii="Times New Roman" w:hAnsi="Times New Roman" w:cs="Times New Roman"/>
          <w:b/>
          <w:bCs/>
          <w:sz w:val="24"/>
          <w:szCs w:val="24"/>
          <w:lang w:val="en-US"/>
        </w:rPr>
        <w:t xml:space="preserve">Fig </w:t>
      </w:r>
      <w:r w:rsidR="003D31B8" w:rsidRPr="00BC39AE">
        <w:rPr>
          <w:rFonts w:ascii="Times New Roman" w:hAnsi="Times New Roman" w:cs="Times New Roman"/>
          <w:b/>
          <w:bCs/>
          <w:sz w:val="24"/>
          <w:szCs w:val="24"/>
          <w:lang w:val="en-US"/>
        </w:rPr>
        <w:t>5</w:t>
      </w:r>
      <w:r w:rsidRPr="00BC39AE">
        <w:rPr>
          <w:rFonts w:ascii="Times New Roman" w:hAnsi="Times New Roman" w:cs="Times New Roman"/>
          <w:b/>
          <w:bCs/>
          <w:sz w:val="24"/>
          <w:szCs w:val="24"/>
          <w:lang w:val="en-US"/>
        </w:rPr>
        <w:t xml:space="preserve">: </w:t>
      </w:r>
      <w:r w:rsidR="00505E06" w:rsidRPr="00BC39AE">
        <w:rPr>
          <w:rFonts w:ascii="Times New Roman" w:hAnsi="Times New Roman" w:cs="Times New Roman"/>
          <w:b/>
          <w:bCs/>
          <w:sz w:val="24"/>
          <w:szCs w:val="24"/>
          <w:lang w:val="en-US"/>
        </w:rPr>
        <w:t>Eighteen-month postoperative follow-up showing satisfactory healing without local recurrence or abdominal wall deformity.</w:t>
      </w:r>
    </w:p>
    <w:bookmarkEnd w:id="1"/>
    <w:p w14:paraId="6D7B9C17" w14:textId="77777777" w:rsidR="00075B0B" w:rsidRPr="00BC39AE" w:rsidRDefault="00000000" w:rsidP="00505E06">
      <w:pPr>
        <w:bidi w:val="0"/>
        <w:spacing w:before="100" w:after="100" w:line="240" w:lineRule="auto"/>
        <w:rPr>
          <w:rFonts w:ascii="Times New Roman" w:eastAsia="Times New Roman" w:hAnsi="Times New Roman" w:cs="Times New Roman"/>
          <w:b/>
          <w:bCs/>
          <w:kern w:val="0"/>
          <w:sz w:val="32"/>
          <w:szCs w:val="32"/>
          <w:lang w:val="en-US"/>
        </w:rPr>
      </w:pPr>
      <w:r w:rsidRPr="00BC39AE">
        <w:rPr>
          <w:rFonts w:ascii="Times New Roman" w:eastAsia="Times New Roman" w:hAnsi="Times New Roman" w:cs="Times New Roman"/>
          <w:b/>
          <w:bCs/>
          <w:kern w:val="0"/>
          <w:sz w:val="32"/>
          <w:szCs w:val="32"/>
          <w:lang w:val="en-US"/>
        </w:rPr>
        <w:t>Discussion</w:t>
      </w:r>
    </w:p>
    <w:p w14:paraId="3A20083B" w14:textId="77777777" w:rsidR="00190C20" w:rsidRPr="00BC39AE" w:rsidRDefault="00190C20" w:rsidP="00C3259B">
      <w:pPr>
        <w:bidi w:val="0"/>
        <w:spacing w:before="100" w:after="100" w:line="240" w:lineRule="auto"/>
        <w:jc w:val="both"/>
        <w:rPr>
          <w:rFonts w:ascii="Times New Roman" w:eastAsia="Times New Roman" w:hAnsi="Times New Roman" w:cs="Times New Roman"/>
          <w:kern w:val="0"/>
          <w:sz w:val="24"/>
          <w:szCs w:val="24"/>
          <w:lang w:val="en-US"/>
        </w:rPr>
      </w:pPr>
      <w:r w:rsidRPr="00BC39AE">
        <w:t xml:space="preserve">Lower abdominal wall involvement by cutaneous squamous cell carcinoma is exceptionally uncommon (Makiguchi et al., 2015), making the present case noteworthy because of both its unusual location and its large size. Although no universally accepted definition exists, lesions measuring more than 5 cm are generally considered giant cSCC. The present tumour measured 6.5 × 6 cm, fulfilling the commonly </w:t>
      </w:r>
      <w:r w:rsidRPr="00BC39AE">
        <w:lastRenderedPageBreak/>
        <w:t>accepted criteria for a giant lesion. Unlike the majority of cSCC, which arise on chronically sun-exposed skin, our patient's tumour developed in a non-sun-exposed area, emphasising the heterogeneous clinical presentation of this malignancy. In such cases, alternative pathogenic mechanisms, including chronic inflammation, scars, trauma, immunosuppression, or other unidentified factors, should be considered (Fania et al., 2021; Schmults et al., 2021).</w:t>
      </w:r>
    </w:p>
    <w:p w14:paraId="79E88C3B" w14:textId="77777777" w:rsidR="00137690" w:rsidRPr="00BC39AE" w:rsidRDefault="00137690" w:rsidP="00C3259B">
      <w:pPr>
        <w:bidi w:val="0"/>
        <w:spacing w:before="100" w:after="100" w:line="240" w:lineRule="auto"/>
        <w:jc w:val="both"/>
        <w:rPr>
          <w:rFonts w:ascii="Times New Roman" w:eastAsia="Times New Roman" w:hAnsi="Times New Roman" w:cs="Times New Roman"/>
          <w:kern w:val="0"/>
          <w:sz w:val="24"/>
          <w:szCs w:val="24"/>
          <w:lang w:val="en-US"/>
        </w:rPr>
      </w:pPr>
      <w:r w:rsidRPr="00BC39AE">
        <w:t>Preoperative imaging plays an important role in the assessment of large abdominal wall tumours (Porrello et al., 2023). In the present case, computed tomography demonstrated preservation of the muscular and fascial planes, which facilitated complete resection while avoiding the need for complex abdominal wall reconstruction. Likewise, inguinal ultrasonography revealed no regional lymphadenopathy, supporting a localised disease stage.</w:t>
      </w:r>
    </w:p>
    <w:p w14:paraId="6958BA9A" w14:textId="77777777" w:rsidR="00075B0B" w:rsidRPr="00BC39AE" w:rsidRDefault="00000000" w:rsidP="00C3259B">
      <w:pPr>
        <w:bidi w:val="0"/>
        <w:spacing w:before="100" w:after="100" w:line="240" w:lineRule="auto"/>
        <w:jc w:val="both"/>
        <w:rPr>
          <w:rFonts w:ascii="Times New Roman" w:eastAsia="Times New Roman" w:hAnsi="Times New Roman" w:cs="Times New Roman"/>
          <w:kern w:val="0"/>
          <w:sz w:val="24"/>
          <w:szCs w:val="24"/>
          <w:lang w:val="en-US"/>
        </w:rPr>
      </w:pPr>
      <w:r w:rsidRPr="00BC39AE">
        <w:t>Current international guidelines recommend complete surgical excision as the gold standard treatment for localised cSCC (Schmults et al., 2021). Surgical margins should be adapted according to tumour size, histological differentiation, and high-risk features. The primary objective is complete tumour removal with histologically negative margins while preserving function and minimising morbidity (Stratigos et al., 2026).</w:t>
      </w:r>
    </w:p>
    <w:p w14:paraId="0BFB99DD" w14:textId="77777777" w:rsidR="00075B0B" w:rsidRPr="00BC39AE" w:rsidRDefault="00000000" w:rsidP="00C3259B">
      <w:pPr>
        <w:bidi w:val="0"/>
        <w:spacing w:before="100" w:after="100" w:line="240" w:lineRule="auto"/>
        <w:jc w:val="both"/>
        <w:rPr>
          <w:rFonts w:ascii="Times New Roman" w:eastAsia="Times New Roman" w:hAnsi="Times New Roman" w:cs="Times New Roman"/>
          <w:kern w:val="0"/>
          <w:sz w:val="24"/>
          <w:szCs w:val="24"/>
          <w:lang w:val="en-US"/>
        </w:rPr>
      </w:pPr>
      <w:r w:rsidRPr="00BC39AE">
        <w:t>Several pathological features identified in our case classified the tumour as high-risk. These included a tumour diameter exceeding 6 cm, moderate differentiation, ulceration, infiltrative growth pattern, and, most importantly, the presence of lymphovascular invasion (Yildizdal et al., 2026). Among the high-risk histopathological features, lymphovascular invasion is considered one of the strongest predictors of nodal metastasis and disease-specific mortality. Its presence therefore justifies close postoperative surveillance even after complete tumour excision (Brancaccio et al., 2021). For this reason, careful long-term surveillance was considered mandatory despite complete excision.</w:t>
      </w:r>
    </w:p>
    <w:p w14:paraId="4E4A66AF" w14:textId="77777777" w:rsidR="00075B0B" w:rsidRPr="00BC39AE" w:rsidRDefault="00000000" w:rsidP="00C3259B">
      <w:pPr>
        <w:bidi w:val="0"/>
        <w:spacing w:before="100" w:after="100" w:line="240" w:lineRule="auto"/>
        <w:jc w:val="both"/>
        <w:rPr>
          <w:rFonts w:ascii="Times New Roman" w:eastAsia="Times New Roman" w:hAnsi="Times New Roman" w:cs="Times New Roman"/>
          <w:kern w:val="0"/>
          <w:sz w:val="24"/>
          <w:szCs w:val="24"/>
          <w:lang w:val="en-US"/>
        </w:rPr>
      </w:pPr>
      <w:r w:rsidRPr="00BC39AE">
        <w:t>Large defects of the abdominal wall following oncological resection often require reconstructive procedures ranging from skin grafting and local flaps to component separation techniques and prosthetic mesh reinforcement (Makiguchi et al., 2015). The choice depends on the size and depth of the defect as well as on involvement of the musculoaponeurotic layer.</w:t>
      </w:r>
    </w:p>
    <w:p w14:paraId="175238A5" w14:textId="77777777" w:rsidR="00075B0B" w:rsidRPr="00BC39AE" w:rsidRDefault="00000000" w:rsidP="00C3259B">
      <w:pPr>
        <w:bidi w:val="0"/>
        <w:spacing w:before="100" w:after="100" w:line="240" w:lineRule="auto"/>
        <w:jc w:val="both"/>
        <w:rPr>
          <w:rFonts w:ascii="Times New Roman" w:eastAsia="Times New Roman" w:hAnsi="Times New Roman" w:cs="Times New Roman"/>
          <w:kern w:val="0"/>
          <w:sz w:val="24"/>
          <w:szCs w:val="24"/>
          <w:lang w:val="en-US"/>
        </w:rPr>
      </w:pPr>
      <w:r w:rsidRPr="00BC39AE">
        <w:rPr>
          <w:rFonts w:ascii="Times New Roman" w:eastAsia="Times New Roman" w:hAnsi="Times New Roman" w:cs="Times New Roman"/>
          <w:kern w:val="0"/>
          <w:sz w:val="24"/>
          <w:szCs w:val="24"/>
          <w:lang w:val="en-US"/>
        </w:rPr>
        <w:t xml:space="preserve">In our patient, the absence of fascial involvement allowed reconstruction using a modified abdominoplasty-like advancement and translation </w:t>
      </w:r>
      <w:proofErr w:type="spellStart"/>
      <w:r w:rsidRPr="00BC39AE">
        <w:rPr>
          <w:rFonts w:ascii="Times New Roman" w:eastAsia="Times New Roman" w:hAnsi="Times New Roman" w:cs="Times New Roman"/>
          <w:kern w:val="0"/>
          <w:sz w:val="24"/>
          <w:szCs w:val="24"/>
          <w:lang w:val="en-US"/>
        </w:rPr>
        <w:t>plasty</w:t>
      </w:r>
      <w:proofErr w:type="spellEnd"/>
      <w:r w:rsidRPr="00BC39AE">
        <w:rPr>
          <w:rFonts w:ascii="Times New Roman" w:eastAsia="Times New Roman" w:hAnsi="Times New Roman" w:cs="Times New Roman"/>
          <w:kern w:val="0"/>
          <w:sz w:val="24"/>
          <w:szCs w:val="24"/>
          <w:lang w:val="en-US"/>
        </w:rPr>
        <w:t xml:space="preserve">. The reconstructive challenge was amplified by the large postoperative defect measuring 14 × 9 cm. Despite its size, preservation of the musculoaponeurotic layer enabled tension-controlled closure using local tissue advancement without prosthetic reinforcement. Compared with mesh-based reconstruction or more complex flap procedures, this technique </w:t>
      </w:r>
      <w:r w:rsidR="00BD0BAE" w:rsidRPr="00BC39AE">
        <w:rPr>
          <w:rFonts w:ascii="Times New Roman" w:eastAsia="Times New Roman" w:hAnsi="Times New Roman" w:cs="Times New Roman"/>
          <w:kern w:val="0"/>
          <w:sz w:val="24"/>
          <w:szCs w:val="24"/>
          <w:lang w:val="en-US"/>
        </w:rPr>
        <w:t xml:space="preserve">provided durable soft tissue coverage while preserving abdominal wall integrity without prosthetic reinforcement </w:t>
      </w:r>
      <w:r w:rsidR="00F304A2" w:rsidRPr="00BC39AE">
        <w:rPr>
          <w:rFonts w:ascii="Times New Roman" w:eastAsia="Times New Roman" w:hAnsi="Times New Roman" w:cs="Times New Roman"/>
          <w:b/>
          <w:bCs/>
          <w:kern w:val="0"/>
          <w:sz w:val="24"/>
          <w:szCs w:val="24"/>
          <w:lang w:val="en-US"/>
        </w:rPr>
        <w:t>(</w:t>
      </w:r>
      <w:r w:rsidR="00757277" w:rsidRPr="00BC39AE">
        <w:rPr>
          <w:rFonts w:ascii="Times New Roman" w:eastAsia="Times New Roman" w:hAnsi="Times New Roman" w:cs="Times New Roman"/>
          <w:b/>
          <w:bCs/>
          <w:kern w:val="0"/>
          <w:sz w:val="24"/>
          <w:szCs w:val="24"/>
          <w:lang w:val="en-US"/>
        </w:rPr>
        <w:t>Hew</w:t>
      </w:r>
      <w:r w:rsidR="00F304A2" w:rsidRPr="00BC39AE">
        <w:rPr>
          <w:rFonts w:ascii="Times New Roman" w:eastAsia="Times New Roman" w:hAnsi="Times New Roman" w:cs="Times New Roman"/>
          <w:b/>
          <w:bCs/>
          <w:kern w:val="0"/>
          <w:sz w:val="24"/>
          <w:szCs w:val="24"/>
          <w:lang w:val="en-US"/>
        </w:rPr>
        <w:t xml:space="preserve"> et al., 20</w:t>
      </w:r>
      <w:r w:rsidR="00757277" w:rsidRPr="00BC39AE">
        <w:rPr>
          <w:rFonts w:ascii="Times New Roman" w:eastAsia="Times New Roman" w:hAnsi="Times New Roman" w:cs="Times New Roman"/>
          <w:b/>
          <w:bCs/>
          <w:kern w:val="0"/>
          <w:sz w:val="24"/>
          <w:szCs w:val="24"/>
          <w:lang w:val="en-US"/>
        </w:rPr>
        <w:t>24; Hope et al., 202</w:t>
      </w:r>
      <w:r w:rsidR="001C406A" w:rsidRPr="00BC39AE">
        <w:rPr>
          <w:rFonts w:ascii="Times New Roman" w:eastAsia="Times New Roman" w:hAnsi="Times New Roman" w:cs="Times New Roman"/>
          <w:b/>
          <w:bCs/>
          <w:kern w:val="0"/>
          <w:sz w:val="24"/>
          <w:szCs w:val="24"/>
          <w:lang w:val="en-US"/>
        </w:rPr>
        <w:t>3</w:t>
      </w:r>
      <w:r w:rsidR="00F304A2" w:rsidRPr="00BC39AE">
        <w:rPr>
          <w:rFonts w:ascii="Times New Roman" w:eastAsia="Times New Roman" w:hAnsi="Times New Roman" w:cs="Times New Roman"/>
          <w:b/>
          <w:bCs/>
          <w:kern w:val="0"/>
          <w:sz w:val="24"/>
          <w:szCs w:val="24"/>
          <w:lang w:val="en-US"/>
        </w:rPr>
        <w:t>)</w:t>
      </w:r>
      <w:r w:rsidRPr="00BC39AE">
        <w:rPr>
          <w:rFonts w:ascii="Times New Roman" w:eastAsia="Times New Roman" w:hAnsi="Times New Roman" w:cs="Times New Roman"/>
          <w:b/>
          <w:bCs/>
          <w:kern w:val="0"/>
          <w:sz w:val="24"/>
          <w:szCs w:val="24"/>
          <w:lang w:val="en-US"/>
        </w:rPr>
        <w:t>.</w:t>
      </w:r>
      <w:r w:rsidRPr="00BC39AE">
        <w:rPr>
          <w:rFonts w:ascii="Times New Roman" w:eastAsia="Times New Roman" w:hAnsi="Times New Roman" w:cs="Times New Roman"/>
          <w:kern w:val="0"/>
          <w:sz w:val="24"/>
          <w:szCs w:val="24"/>
          <w:lang w:val="en-US"/>
        </w:rPr>
        <w:t xml:space="preserve"> Furthermore, no postoperative hernia or abdominal wall weakness was observed during follow-up.</w:t>
      </w:r>
    </w:p>
    <w:p w14:paraId="4853C917" w14:textId="77777777" w:rsidR="00075B0B" w:rsidRPr="00BC39AE" w:rsidRDefault="00000000" w:rsidP="00BF7CD6">
      <w:pPr>
        <w:bidi w:val="0"/>
        <w:spacing w:before="100" w:after="100" w:line="240" w:lineRule="auto"/>
        <w:jc w:val="both"/>
        <w:rPr>
          <w:rFonts w:ascii="Times New Roman" w:eastAsia="Times New Roman" w:hAnsi="Times New Roman" w:cs="Times New Roman"/>
          <w:kern w:val="0"/>
          <w:sz w:val="24"/>
          <w:szCs w:val="24"/>
          <w:lang w:val="en-US"/>
        </w:rPr>
      </w:pPr>
      <w:r w:rsidRPr="00BC39AE">
        <w:t>Several studies have emphasised the importance of achieving histologically clear margins in high-risk cSCC (Zhang et al., 2015). Complete excision remains the most significant predictor of local disease control (Halim et al., 2023). In the present case, pathological examination confirmed tumour-free margins ranging from 0.8 to 2.8 cm laterally and 1 cm in depth, supporting the oncological adequacy of the procedure.</w:t>
      </w:r>
    </w:p>
    <w:p w14:paraId="51564535" w14:textId="77777777" w:rsidR="00C61F3F" w:rsidRPr="00BC39AE" w:rsidRDefault="008C4A57" w:rsidP="00BF7CD6">
      <w:pPr>
        <w:bidi w:val="0"/>
        <w:spacing w:before="100" w:after="100" w:line="240" w:lineRule="auto"/>
        <w:jc w:val="both"/>
        <w:rPr>
          <w:rFonts w:ascii="Times New Roman" w:eastAsia="Times New Roman" w:hAnsi="Times New Roman" w:cs="Times New Roman"/>
          <w:kern w:val="0"/>
          <w:sz w:val="24"/>
          <w:szCs w:val="24"/>
          <w:lang w:val="en-US"/>
        </w:rPr>
      </w:pPr>
      <w:r w:rsidRPr="00BC39AE">
        <w:t>Although the tumour exhibited a non-keratinising morphology and immunohistochemical analysis was not performed, the diagnosis of primary cutaneous squamous cell carcinoma was supported by the concordance of the clinical presentation, imaging findings, anatomical location, and conventional histopathological features. Nevertheless, immunohistochemical markers such as p40, p63, and CK5/6 may be useful in diagnostically challenging cases, particularly when metastatic squamous cell carcinoma from a mucosal primary is considered in the differential diagnosis (Bălășescu et al., 2022).</w:t>
      </w:r>
    </w:p>
    <w:p w14:paraId="75A9D186" w14:textId="77777777" w:rsidR="00646983" w:rsidRPr="00BC39AE" w:rsidRDefault="00646983" w:rsidP="00BF7CD6">
      <w:pPr>
        <w:bidi w:val="0"/>
        <w:spacing w:before="100" w:after="100" w:line="240" w:lineRule="auto"/>
        <w:jc w:val="both"/>
        <w:rPr>
          <w:rFonts w:ascii="Times New Roman" w:eastAsia="Times New Roman" w:hAnsi="Times New Roman" w:cs="Times New Roman"/>
          <w:kern w:val="0"/>
          <w:sz w:val="24"/>
          <w:szCs w:val="24"/>
          <w:lang w:val="en-US"/>
        </w:rPr>
      </w:pPr>
      <w:r w:rsidRPr="00BC39AE">
        <w:t xml:space="preserve">Although the AJCC (8th edition) TNM staging system is validated for cutaneous squamous cell carcinoma of the head and neck, tumours arising on the trunk are generally stratified according to </w:t>
      </w:r>
      <w:r w:rsidRPr="00BC39AE">
        <w:lastRenderedPageBreak/>
        <w:t>recognised high-risk clinicopathological features rather than formal AJCC staging (Jiang et al., 2024). In the present case, the lesion exhibited several high-risk characteristics, including a diameter exceeding 6 cm and lymphovascular invasion.</w:t>
      </w:r>
    </w:p>
    <w:p w14:paraId="0ED808A1" w14:textId="77777777" w:rsidR="001C406A" w:rsidRPr="00BC39AE" w:rsidRDefault="00000000" w:rsidP="00296607">
      <w:pPr>
        <w:bidi w:val="0"/>
        <w:spacing w:before="100" w:after="100" w:line="240" w:lineRule="auto"/>
        <w:jc w:val="both"/>
        <w:rPr>
          <w:rFonts w:ascii="Times New Roman" w:eastAsia="Times New Roman" w:hAnsi="Times New Roman" w:cs="Times New Roman"/>
          <w:kern w:val="0"/>
          <w:sz w:val="24"/>
          <w:szCs w:val="24"/>
          <w:lang w:val="en-US"/>
        </w:rPr>
      </w:pPr>
      <w:r w:rsidRPr="00BC39AE">
        <w:t>Adjuvant radiotherapy is generally reserved for giant cutaneous squamous cell carcinomas with high-risk features such as positive margins, deep invasion, nodal involvement, or recurrent disease. Modern techniques such as VMAT allow precise target coverage while limiting radiation exposure to adjacent organs (Muto et al., 2021). In our case, complete surgical excision with negative margins, the absence of nodal or distant metastases, and adjuvant VMAT radiotherapy may have contributed to favourable disease control during follow-up. Recent advances have expanded the therapeutic options for high-risk cSCC. The phase III C-POST trial demonstrated a significant improvement in disease-free survival with adjuvant cemiplimab following complete surgical resection in patients with high-risk disease. Although our patient was managed with adjuvant VMAT radiotherapy because of lymphovascular invasion, despite negative surgical margins, adjuvant anti-PD-1 therapy may represent an additional option in selected patients according to evolving evidence (Rischin et al., 2025). Based on these results, adjuvant cemiplimab received FDA approval in October 2025 for patients with high-risk resected cSCC.</w:t>
      </w:r>
    </w:p>
    <w:p w14:paraId="10CFC136" w14:textId="77777777" w:rsidR="00075B0B" w:rsidRPr="00BC39AE" w:rsidRDefault="00000000" w:rsidP="00296607">
      <w:pPr>
        <w:bidi w:val="0"/>
        <w:spacing w:before="100" w:after="100" w:line="240" w:lineRule="auto"/>
        <w:jc w:val="both"/>
        <w:rPr>
          <w:rFonts w:ascii="Times New Roman" w:eastAsia="Times New Roman" w:hAnsi="Times New Roman" w:cs="Times New Roman"/>
          <w:b/>
          <w:bCs/>
          <w:kern w:val="0"/>
          <w:sz w:val="24"/>
          <w:szCs w:val="24"/>
          <w:lang w:val="en-US"/>
        </w:rPr>
      </w:pPr>
      <w:r w:rsidRPr="00BC39AE">
        <w:rPr>
          <w:rFonts w:ascii="Times New Roman" w:eastAsia="Times New Roman" w:hAnsi="Times New Roman" w:cs="Times New Roman"/>
          <w:kern w:val="0"/>
          <w:sz w:val="24"/>
          <w:szCs w:val="24"/>
          <w:lang w:val="en-US"/>
        </w:rPr>
        <w:t xml:space="preserve">At 18 months of follow-up, our patient remained free of local recurrence, regional nodal disease, and distant metastasis. Although this outcome is encouraging, the presence of </w:t>
      </w:r>
      <w:proofErr w:type="spellStart"/>
      <w:r w:rsidR="004669CA" w:rsidRPr="00BC39AE">
        <w:rPr>
          <w:rFonts w:ascii="Times New Roman" w:eastAsia="Times New Roman" w:hAnsi="Times New Roman" w:cs="Times New Roman"/>
          <w:kern w:val="0"/>
          <w:sz w:val="24"/>
          <w:szCs w:val="24"/>
          <w:lang w:val="en-US"/>
        </w:rPr>
        <w:t>lympho</w:t>
      </w:r>
      <w:r w:rsidRPr="00BC39AE">
        <w:rPr>
          <w:rFonts w:ascii="Times New Roman" w:eastAsia="Times New Roman" w:hAnsi="Times New Roman" w:cs="Times New Roman"/>
          <w:kern w:val="0"/>
          <w:sz w:val="24"/>
          <w:szCs w:val="24"/>
          <w:lang w:val="en-US"/>
        </w:rPr>
        <w:t>vascular</w:t>
      </w:r>
      <w:proofErr w:type="spellEnd"/>
      <w:r w:rsidRPr="00BC39AE">
        <w:rPr>
          <w:rFonts w:ascii="Times New Roman" w:eastAsia="Times New Roman" w:hAnsi="Times New Roman" w:cs="Times New Roman"/>
          <w:kern w:val="0"/>
          <w:sz w:val="24"/>
          <w:szCs w:val="24"/>
          <w:lang w:val="en-US"/>
        </w:rPr>
        <w:t xml:space="preserve"> </w:t>
      </w:r>
      <w:r w:rsidR="001E0A04" w:rsidRPr="00BC39AE">
        <w:rPr>
          <w:rFonts w:ascii="Times New Roman" w:eastAsia="Times New Roman" w:hAnsi="Times New Roman" w:cs="Times New Roman"/>
          <w:kern w:val="0"/>
          <w:sz w:val="24"/>
          <w:szCs w:val="24"/>
          <w:lang w:val="en-US"/>
        </w:rPr>
        <w:t>invasion</w:t>
      </w:r>
      <w:r w:rsidRPr="00BC39AE">
        <w:rPr>
          <w:rFonts w:ascii="Times New Roman" w:eastAsia="Times New Roman" w:hAnsi="Times New Roman" w:cs="Times New Roman"/>
          <w:kern w:val="0"/>
          <w:sz w:val="24"/>
          <w:szCs w:val="24"/>
          <w:lang w:val="en-US"/>
        </w:rPr>
        <w:t xml:space="preserve"> justifies prolonged surveillance because late recurrence remains possible. Longer follow-up is warranted to confirm durable oncological control </w:t>
      </w:r>
      <w:r w:rsidR="00F304A2" w:rsidRPr="00BC39AE">
        <w:rPr>
          <w:rFonts w:ascii="Times New Roman" w:eastAsia="Times New Roman" w:hAnsi="Times New Roman" w:cs="Times New Roman"/>
          <w:b/>
          <w:bCs/>
          <w:kern w:val="0"/>
          <w:sz w:val="24"/>
          <w:szCs w:val="24"/>
          <w:lang w:val="en-US"/>
        </w:rPr>
        <w:t>(</w:t>
      </w:r>
      <w:r w:rsidR="00757277" w:rsidRPr="00BC39AE">
        <w:rPr>
          <w:rFonts w:ascii="Times New Roman" w:eastAsia="Times New Roman" w:hAnsi="Times New Roman" w:cs="Times New Roman"/>
          <w:b/>
          <w:bCs/>
          <w:kern w:val="0"/>
          <w:sz w:val="24"/>
          <w:szCs w:val="24"/>
          <w:lang w:val="en-US"/>
        </w:rPr>
        <w:t>Ruiz</w:t>
      </w:r>
      <w:r w:rsidR="00F304A2" w:rsidRPr="00BC39AE">
        <w:rPr>
          <w:rFonts w:ascii="Times New Roman" w:eastAsia="Times New Roman" w:hAnsi="Times New Roman" w:cs="Times New Roman"/>
          <w:b/>
          <w:bCs/>
          <w:kern w:val="0"/>
          <w:sz w:val="24"/>
          <w:szCs w:val="24"/>
          <w:lang w:val="en-US"/>
        </w:rPr>
        <w:t xml:space="preserve"> et al., 20</w:t>
      </w:r>
      <w:r w:rsidR="00757277" w:rsidRPr="00BC39AE">
        <w:rPr>
          <w:rFonts w:ascii="Times New Roman" w:eastAsia="Times New Roman" w:hAnsi="Times New Roman" w:cs="Times New Roman"/>
          <w:b/>
          <w:bCs/>
          <w:kern w:val="0"/>
          <w:sz w:val="24"/>
          <w:szCs w:val="24"/>
          <w:lang w:val="en-US"/>
        </w:rPr>
        <w:t>19</w:t>
      </w:r>
      <w:r w:rsidR="00F304A2" w:rsidRPr="00BC39AE">
        <w:rPr>
          <w:rFonts w:ascii="Times New Roman" w:eastAsia="Times New Roman" w:hAnsi="Times New Roman" w:cs="Times New Roman"/>
          <w:b/>
          <w:bCs/>
          <w:kern w:val="0"/>
          <w:sz w:val="24"/>
          <w:szCs w:val="24"/>
          <w:lang w:val="en-US"/>
        </w:rPr>
        <w:t>)</w:t>
      </w:r>
      <w:r w:rsidRPr="00BC39AE">
        <w:rPr>
          <w:rFonts w:ascii="Times New Roman" w:eastAsia="Times New Roman" w:hAnsi="Times New Roman" w:cs="Times New Roman"/>
          <w:b/>
          <w:bCs/>
          <w:kern w:val="0"/>
          <w:sz w:val="24"/>
          <w:szCs w:val="24"/>
          <w:lang w:val="en-US"/>
        </w:rPr>
        <w:t>.</w:t>
      </w:r>
    </w:p>
    <w:p w14:paraId="38DADB48" w14:textId="77777777" w:rsidR="004D3C0B" w:rsidRDefault="004D3C0B" w:rsidP="004D3C0B">
      <w:pPr>
        <w:bidi w:val="0"/>
        <w:spacing w:before="100" w:after="100" w:line="240" w:lineRule="auto"/>
      </w:pPr>
    </w:p>
    <w:p w14:paraId="34F0E3D3" w14:textId="77777777" w:rsidR="004D3C0B" w:rsidRPr="004D3C0B" w:rsidRDefault="004D3C0B" w:rsidP="004D3C0B">
      <w:pPr>
        <w:suppressAutoHyphens w:val="0"/>
        <w:autoSpaceDN/>
        <w:bidi w:val="0"/>
        <w:spacing w:before="100" w:beforeAutospacing="1" w:after="100" w:afterAutospacing="1" w:line="240" w:lineRule="auto"/>
        <w:textAlignment w:val="auto"/>
        <w:outlineLvl w:val="1"/>
        <w:rPr>
          <w:rFonts w:ascii="Times New Roman" w:eastAsia="Times New Roman" w:hAnsi="Times New Roman" w:cs="Times New Roman"/>
          <w:b/>
          <w:bCs/>
          <w:kern w:val="0"/>
          <w:sz w:val="36"/>
          <w:szCs w:val="36"/>
          <w:lang w:val="en-US"/>
        </w:rPr>
      </w:pPr>
      <w:r w:rsidRPr="004D3C0B">
        <w:rPr>
          <w:rFonts w:ascii="Times New Roman" w:eastAsia="Times New Roman" w:hAnsi="Times New Roman" w:cs="Times New Roman"/>
          <w:b/>
          <w:bCs/>
          <w:kern w:val="0"/>
          <w:sz w:val="36"/>
          <w:szCs w:val="36"/>
          <w:lang w:val="en-US"/>
        </w:rPr>
        <w:t>Limitation</w:t>
      </w:r>
    </w:p>
    <w:p w14:paraId="1860E5AE" w14:textId="77777777" w:rsidR="004D3C0B" w:rsidRPr="004D3C0B" w:rsidRDefault="004D3C0B" w:rsidP="004D3C0B">
      <w:pPr>
        <w:suppressAutoHyphens w:val="0"/>
        <w:autoSpaceDN/>
        <w:bidi w:val="0"/>
        <w:spacing w:before="100" w:beforeAutospacing="1" w:after="100" w:afterAutospacing="1" w:line="240" w:lineRule="auto"/>
        <w:textAlignment w:val="auto"/>
        <w:rPr>
          <w:rFonts w:ascii="Times New Roman" w:eastAsia="Times New Roman" w:hAnsi="Times New Roman" w:cs="Times New Roman"/>
          <w:kern w:val="0"/>
          <w:sz w:val="24"/>
          <w:szCs w:val="24"/>
          <w:lang w:val="en-US"/>
        </w:rPr>
      </w:pPr>
      <w:r w:rsidRPr="004D3C0B">
        <w:rPr>
          <w:rFonts w:ascii="Times New Roman" w:eastAsia="Times New Roman" w:hAnsi="Times New Roman" w:cs="Times New Roman"/>
          <w:kern w:val="0"/>
          <w:sz w:val="24"/>
          <w:szCs w:val="24"/>
          <w:lang w:val="en-US"/>
        </w:rPr>
        <w:t>This report is limited by its single-case design and 18-month follow-up period. Immunohistochemical analysis was not performed, and nodal assessment relied on clinical examination and inguinal ultrasonography rather than more comprehensive cross-sectional staging. Longer follow-up is required to confirm durable oncological control and abdominal wall integrity.</w:t>
      </w:r>
    </w:p>
    <w:p w14:paraId="0FBCE69E" w14:textId="77777777" w:rsidR="004D3C0B" w:rsidRPr="00BC39AE" w:rsidRDefault="004D3C0B" w:rsidP="004D3C0B">
      <w:pPr>
        <w:bidi w:val="0"/>
        <w:spacing w:before="100" w:after="100" w:line="240" w:lineRule="auto"/>
        <w:rPr>
          <w:rFonts w:ascii="Times New Roman" w:eastAsia="Times New Roman" w:hAnsi="Times New Roman" w:cs="Times New Roman"/>
          <w:kern w:val="0"/>
          <w:sz w:val="24"/>
          <w:szCs w:val="24"/>
          <w:lang w:val="en-US"/>
        </w:rPr>
      </w:pPr>
    </w:p>
    <w:p w14:paraId="1E3E7128" w14:textId="77777777" w:rsidR="00E43B64" w:rsidRPr="00BC39AE" w:rsidRDefault="00000000" w:rsidP="005F4710">
      <w:pPr>
        <w:bidi w:val="0"/>
        <w:spacing w:before="100" w:after="100" w:line="240" w:lineRule="auto"/>
        <w:outlineLvl w:val="1"/>
        <w:rPr>
          <w:rFonts w:ascii="Times New Roman" w:eastAsia="Times New Roman" w:hAnsi="Times New Roman" w:cs="Times New Roman"/>
          <w:b/>
          <w:bCs/>
          <w:kern w:val="0"/>
          <w:sz w:val="32"/>
          <w:szCs w:val="32"/>
          <w:lang w:val="en-US"/>
        </w:rPr>
      </w:pPr>
      <w:r w:rsidRPr="00BC39AE">
        <w:rPr>
          <w:rFonts w:ascii="Times New Roman" w:eastAsia="Times New Roman" w:hAnsi="Times New Roman" w:cs="Times New Roman"/>
          <w:b/>
          <w:bCs/>
          <w:kern w:val="0"/>
          <w:sz w:val="32"/>
          <w:szCs w:val="32"/>
          <w:lang w:val="en-US"/>
        </w:rPr>
        <w:t>Conclusion</w:t>
      </w:r>
    </w:p>
    <w:p w14:paraId="60E8082E" w14:textId="359305DA" w:rsidR="0015776C" w:rsidRDefault="00045006" w:rsidP="00E43B64">
      <w:pPr>
        <w:bidi w:val="0"/>
        <w:spacing w:before="100" w:after="100" w:line="240" w:lineRule="auto"/>
        <w:outlineLvl w:val="1"/>
      </w:pPr>
      <w:r>
        <w:t xml:space="preserve">Giant </w:t>
      </w:r>
      <w:proofErr w:type="spellStart"/>
      <w:r>
        <w:t>cutaneous</w:t>
      </w:r>
      <w:proofErr w:type="spellEnd"/>
      <w:r>
        <w:t xml:space="preserve"> </w:t>
      </w:r>
      <w:proofErr w:type="spellStart"/>
      <w:r>
        <w:t>squamous</w:t>
      </w:r>
      <w:proofErr w:type="spellEnd"/>
      <w:r>
        <w:t xml:space="preserve"> </w:t>
      </w:r>
      <w:proofErr w:type="spellStart"/>
      <w:r>
        <w:t>cell</w:t>
      </w:r>
      <w:proofErr w:type="spellEnd"/>
      <w:r>
        <w:t xml:space="preserve"> </w:t>
      </w:r>
      <w:proofErr w:type="spellStart"/>
      <w:r>
        <w:t>carcinoma</w:t>
      </w:r>
      <w:proofErr w:type="spellEnd"/>
      <w:r>
        <w:t xml:space="preserve"> of the </w:t>
      </w:r>
      <w:proofErr w:type="spellStart"/>
      <w:r>
        <w:t>lower</w:t>
      </w:r>
      <w:proofErr w:type="spellEnd"/>
      <w:r>
        <w:t xml:space="preserve"> abdominal </w:t>
      </w:r>
      <w:proofErr w:type="spellStart"/>
      <w:r>
        <w:t>wall</w:t>
      </w:r>
      <w:proofErr w:type="spellEnd"/>
      <w:r>
        <w:t xml:space="preserve"> </w:t>
      </w:r>
      <w:proofErr w:type="spellStart"/>
      <w:r>
        <w:t>is</w:t>
      </w:r>
      <w:proofErr w:type="spellEnd"/>
      <w:r>
        <w:t xml:space="preserve"> an </w:t>
      </w:r>
      <w:proofErr w:type="spellStart"/>
      <w:r>
        <w:t>uncommon</w:t>
      </w:r>
      <w:proofErr w:type="spellEnd"/>
      <w:r>
        <w:t xml:space="preserve"> </w:t>
      </w:r>
      <w:proofErr w:type="spellStart"/>
      <w:r>
        <w:t>presentation</w:t>
      </w:r>
      <w:proofErr w:type="spellEnd"/>
      <w:r>
        <w:t xml:space="preserve"> </w:t>
      </w:r>
      <w:proofErr w:type="spellStart"/>
      <w:r>
        <w:t>that</w:t>
      </w:r>
      <w:proofErr w:type="spellEnd"/>
      <w:r>
        <w:t xml:space="preserve"> </w:t>
      </w:r>
      <w:proofErr w:type="spellStart"/>
      <w:r>
        <w:t>requires</w:t>
      </w:r>
      <w:proofErr w:type="spellEnd"/>
      <w:r>
        <w:t xml:space="preserve"> </w:t>
      </w:r>
      <w:proofErr w:type="spellStart"/>
      <w:r>
        <w:t>careful</w:t>
      </w:r>
      <w:proofErr w:type="spellEnd"/>
      <w:r>
        <w:t xml:space="preserve"> </w:t>
      </w:r>
      <w:proofErr w:type="spellStart"/>
      <w:r>
        <w:t>evaluation</w:t>
      </w:r>
      <w:proofErr w:type="spellEnd"/>
      <w:r>
        <w:t xml:space="preserve"> of </w:t>
      </w:r>
      <w:proofErr w:type="spellStart"/>
      <w:r>
        <w:t>both</w:t>
      </w:r>
      <w:proofErr w:type="spellEnd"/>
      <w:r>
        <w:t xml:space="preserve"> </w:t>
      </w:r>
      <w:proofErr w:type="spellStart"/>
      <w:r>
        <w:t>oncological</w:t>
      </w:r>
      <w:proofErr w:type="spellEnd"/>
      <w:r>
        <w:t xml:space="preserve"> </w:t>
      </w:r>
      <w:proofErr w:type="spellStart"/>
      <w:r>
        <w:t>risk</w:t>
      </w:r>
      <w:proofErr w:type="spellEnd"/>
      <w:r>
        <w:t xml:space="preserve"> and reconstructive </w:t>
      </w:r>
      <w:proofErr w:type="spellStart"/>
      <w:r>
        <w:t>feasibility</w:t>
      </w:r>
      <w:proofErr w:type="spellEnd"/>
      <w:r>
        <w:t xml:space="preserve">. In </w:t>
      </w:r>
      <w:proofErr w:type="spellStart"/>
      <w:r>
        <w:t>this</w:t>
      </w:r>
      <w:proofErr w:type="spellEnd"/>
      <w:r>
        <w:t xml:space="preserve"> case, </w:t>
      </w:r>
      <w:proofErr w:type="spellStart"/>
      <w:r>
        <w:t>preoperative</w:t>
      </w:r>
      <w:proofErr w:type="spellEnd"/>
      <w:r>
        <w:t xml:space="preserve"> </w:t>
      </w:r>
      <w:proofErr w:type="spellStart"/>
      <w:r>
        <w:t>imaging</w:t>
      </w:r>
      <w:proofErr w:type="spellEnd"/>
      <w:r>
        <w:t xml:space="preserve"> </w:t>
      </w:r>
      <w:proofErr w:type="spellStart"/>
      <w:r>
        <w:t>confirmed</w:t>
      </w:r>
      <w:proofErr w:type="spellEnd"/>
      <w:r>
        <w:t xml:space="preserve"> </w:t>
      </w:r>
      <w:proofErr w:type="spellStart"/>
      <w:r>
        <w:t>preservation</w:t>
      </w:r>
      <w:proofErr w:type="spellEnd"/>
      <w:r>
        <w:t xml:space="preserve"> of the fascial and </w:t>
      </w:r>
      <w:proofErr w:type="spellStart"/>
      <w:r>
        <w:t>muscular</w:t>
      </w:r>
      <w:proofErr w:type="spellEnd"/>
      <w:r>
        <w:t xml:space="preserve"> planes, </w:t>
      </w:r>
      <w:proofErr w:type="spellStart"/>
      <w:r>
        <w:t>permitting</w:t>
      </w:r>
      <w:proofErr w:type="spellEnd"/>
      <w:r>
        <w:t xml:space="preserve"> </w:t>
      </w:r>
      <w:proofErr w:type="spellStart"/>
      <w:r>
        <w:t>complete</w:t>
      </w:r>
      <w:proofErr w:type="spellEnd"/>
      <w:r>
        <w:t xml:space="preserve"> </w:t>
      </w:r>
      <w:proofErr w:type="spellStart"/>
      <w:r>
        <w:t>wide</w:t>
      </w:r>
      <w:proofErr w:type="spellEnd"/>
      <w:r>
        <w:t xml:space="preserve"> local excision and reconstruction </w:t>
      </w:r>
      <w:proofErr w:type="spellStart"/>
      <w:r>
        <w:t>with</w:t>
      </w:r>
      <w:proofErr w:type="spellEnd"/>
      <w:r>
        <w:t xml:space="preserve"> a </w:t>
      </w:r>
      <w:proofErr w:type="spellStart"/>
      <w:r>
        <w:t>modified</w:t>
      </w:r>
      <w:proofErr w:type="spellEnd"/>
      <w:r>
        <w:t xml:space="preserve"> </w:t>
      </w:r>
      <w:proofErr w:type="spellStart"/>
      <w:r>
        <w:t>abdominoplasty</w:t>
      </w:r>
      <w:proofErr w:type="spellEnd"/>
      <w:r>
        <w:t xml:space="preserve">-like </w:t>
      </w:r>
      <w:proofErr w:type="spellStart"/>
      <w:r>
        <w:t>advancement</w:t>
      </w:r>
      <w:proofErr w:type="spellEnd"/>
      <w:r>
        <w:t xml:space="preserve"> and translation </w:t>
      </w:r>
      <w:proofErr w:type="spellStart"/>
      <w:r>
        <w:t>plasty</w:t>
      </w:r>
      <w:proofErr w:type="spellEnd"/>
      <w:r>
        <w:t xml:space="preserve"> </w:t>
      </w:r>
      <w:proofErr w:type="spellStart"/>
      <w:r>
        <w:t>without</w:t>
      </w:r>
      <w:proofErr w:type="spellEnd"/>
      <w:r>
        <w:t xml:space="preserve"> </w:t>
      </w:r>
      <w:proofErr w:type="spellStart"/>
      <w:r>
        <w:t>mesh</w:t>
      </w:r>
      <w:proofErr w:type="spellEnd"/>
      <w:r>
        <w:t xml:space="preserve"> </w:t>
      </w:r>
      <w:proofErr w:type="spellStart"/>
      <w:r>
        <w:t>reinforcement</w:t>
      </w:r>
      <w:proofErr w:type="spellEnd"/>
      <w:r>
        <w:t xml:space="preserve">. </w:t>
      </w:r>
      <w:proofErr w:type="spellStart"/>
      <w:r>
        <w:t>Histopathological</w:t>
      </w:r>
      <w:proofErr w:type="spellEnd"/>
      <w:r>
        <w:t xml:space="preserve"> confirmation of </w:t>
      </w:r>
      <w:proofErr w:type="spellStart"/>
      <w:r>
        <w:t>negative</w:t>
      </w:r>
      <w:proofErr w:type="spellEnd"/>
      <w:r>
        <w:t xml:space="preserve"> </w:t>
      </w:r>
      <w:proofErr w:type="spellStart"/>
      <w:r>
        <w:t>margins</w:t>
      </w:r>
      <w:proofErr w:type="spellEnd"/>
      <w:r>
        <w:t xml:space="preserve"> </w:t>
      </w:r>
      <w:proofErr w:type="spellStart"/>
      <w:r>
        <w:t>supported</w:t>
      </w:r>
      <w:proofErr w:type="spellEnd"/>
      <w:r>
        <w:t xml:space="preserve"> the </w:t>
      </w:r>
      <w:proofErr w:type="spellStart"/>
      <w:r>
        <w:t>adequacy</w:t>
      </w:r>
      <w:proofErr w:type="spellEnd"/>
      <w:r>
        <w:t xml:space="preserve"> of </w:t>
      </w:r>
      <w:proofErr w:type="spellStart"/>
      <w:r>
        <w:t>surgical</w:t>
      </w:r>
      <w:proofErr w:type="spellEnd"/>
      <w:r>
        <w:t xml:space="preserve"> clearance; </w:t>
      </w:r>
      <w:proofErr w:type="spellStart"/>
      <w:r>
        <w:t>however</w:t>
      </w:r>
      <w:proofErr w:type="spellEnd"/>
      <w:r>
        <w:t xml:space="preserve">, </w:t>
      </w:r>
      <w:proofErr w:type="spellStart"/>
      <w:r>
        <w:t>lymphovascular</w:t>
      </w:r>
      <w:proofErr w:type="spellEnd"/>
      <w:r>
        <w:t xml:space="preserve"> invasion and the large </w:t>
      </w:r>
      <w:proofErr w:type="spellStart"/>
      <w:r>
        <w:t>tumour</w:t>
      </w:r>
      <w:proofErr w:type="spellEnd"/>
      <w:r>
        <w:t xml:space="preserve"> size </w:t>
      </w:r>
      <w:proofErr w:type="spellStart"/>
      <w:r>
        <w:t>indicated</w:t>
      </w:r>
      <w:proofErr w:type="spellEnd"/>
      <w:r>
        <w:t xml:space="preserve"> high-</w:t>
      </w:r>
      <w:proofErr w:type="spellStart"/>
      <w:r>
        <w:t>risk</w:t>
      </w:r>
      <w:proofErr w:type="spellEnd"/>
      <w:r>
        <w:t xml:space="preserve"> </w:t>
      </w:r>
      <w:proofErr w:type="spellStart"/>
      <w:r>
        <w:t>disease</w:t>
      </w:r>
      <w:proofErr w:type="spellEnd"/>
      <w:r>
        <w:t xml:space="preserve"> and </w:t>
      </w:r>
      <w:proofErr w:type="spellStart"/>
      <w:r>
        <w:t>justified</w:t>
      </w:r>
      <w:proofErr w:type="spellEnd"/>
      <w:r>
        <w:t xml:space="preserve"> adjuvant </w:t>
      </w:r>
      <w:proofErr w:type="spellStart"/>
      <w:r>
        <w:t>treatment</w:t>
      </w:r>
      <w:proofErr w:type="spellEnd"/>
      <w:r>
        <w:t xml:space="preserve"> and close follow-up. The absence of </w:t>
      </w:r>
      <w:proofErr w:type="spellStart"/>
      <w:r>
        <w:t>recurrence</w:t>
      </w:r>
      <w:proofErr w:type="spellEnd"/>
      <w:r>
        <w:t xml:space="preserve">, </w:t>
      </w:r>
      <w:proofErr w:type="spellStart"/>
      <w:r>
        <w:t>metastasis</w:t>
      </w:r>
      <w:proofErr w:type="spellEnd"/>
      <w:r>
        <w:t xml:space="preserve">, abdominal </w:t>
      </w:r>
      <w:proofErr w:type="spellStart"/>
      <w:r>
        <w:t>wall</w:t>
      </w:r>
      <w:proofErr w:type="spellEnd"/>
      <w:r>
        <w:t xml:space="preserve"> </w:t>
      </w:r>
      <w:proofErr w:type="spellStart"/>
      <w:r>
        <w:t>weakness</w:t>
      </w:r>
      <w:proofErr w:type="spellEnd"/>
      <w:r>
        <w:t xml:space="preserve">, or </w:t>
      </w:r>
      <w:proofErr w:type="spellStart"/>
      <w:r>
        <w:t>incisional</w:t>
      </w:r>
      <w:proofErr w:type="spellEnd"/>
      <w:r>
        <w:t xml:space="preserve"> </w:t>
      </w:r>
      <w:proofErr w:type="spellStart"/>
      <w:r>
        <w:t>hernia</w:t>
      </w:r>
      <w:proofErr w:type="spellEnd"/>
      <w:r>
        <w:t xml:space="preserve"> at 18 </w:t>
      </w:r>
      <w:proofErr w:type="spellStart"/>
      <w:r>
        <w:t>months</w:t>
      </w:r>
      <w:proofErr w:type="spellEnd"/>
      <w:r>
        <w:t xml:space="preserve"> </w:t>
      </w:r>
      <w:proofErr w:type="spellStart"/>
      <w:r>
        <w:t>suggests</w:t>
      </w:r>
      <w:proofErr w:type="spellEnd"/>
      <w:r>
        <w:t xml:space="preserve"> </w:t>
      </w:r>
      <w:proofErr w:type="spellStart"/>
      <w:r>
        <w:t>that</w:t>
      </w:r>
      <w:proofErr w:type="spellEnd"/>
      <w:r>
        <w:t xml:space="preserve"> </w:t>
      </w:r>
      <w:proofErr w:type="spellStart"/>
      <w:r>
        <w:t>this</w:t>
      </w:r>
      <w:proofErr w:type="spellEnd"/>
      <w:r>
        <w:t xml:space="preserve"> </w:t>
      </w:r>
      <w:proofErr w:type="spellStart"/>
      <w:r>
        <w:t>approach</w:t>
      </w:r>
      <w:proofErr w:type="spellEnd"/>
      <w:r>
        <w:t xml:space="preserve"> </w:t>
      </w:r>
      <w:proofErr w:type="spellStart"/>
      <w:r>
        <w:t>may</w:t>
      </w:r>
      <w:proofErr w:type="spellEnd"/>
      <w:r>
        <w:t xml:space="preserve"> </w:t>
      </w:r>
      <w:proofErr w:type="spellStart"/>
      <w:r>
        <w:t>provide</w:t>
      </w:r>
      <w:proofErr w:type="spellEnd"/>
      <w:r>
        <w:t xml:space="preserve"> </w:t>
      </w:r>
      <w:proofErr w:type="spellStart"/>
      <w:r>
        <w:t>satisfactory</w:t>
      </w:r>
      <w:proofErr w:type="spellEnd"/>
      <w:r>
        <w:t xml:space="preserve"> </w:t>
      </w:r>
      <w:proofErr w:type="spellStart"/>
      <w:r>
        <w:t>disease</w:t>
      </w:r>
      <w:proofErr w:type="spellEnd"/>
      <w:r>
        <w:t xml:space="preserve"> control and </w:t>
      </w:r>
      <w:proofErr w:type="spellStart"/>
      <w:r>
        <w:t>functional</w:t>
      </w:r>
      <w:proofErr w:type="spellEnd"/>
      <w:r>
        <w:t xml:space="preserve"> reconstruction in </w:t>
      </w:r>
      <w:proofErr w:type="spellStart"/>
      <w:r>
        <w:t>carefully</w:t>
      </w:r>
      <w:proofErr w:type="spellEnd"/>
      <w:r>
        <w:t xml:space="preserve"> </w:t>
      </w:r>
      <w:proofErr w:type="spellStart"/>
      <w:r>
        <w:t>selected</w:t>
      </w:r>
      <w:proofErr w:type="spellEnd"/>
      <w:r>
        <w:t xml:space="preserve"> patients. The case </w:t>
      </w:r>
      <w:proofErr w:type="spellStart"/>
      <w:r>
        <w:t>also</w:t>
      </w:r>
      <w:proofErr w:type="spellEnd"/>
      <w:r>
        <w:t xml:space="preserve"> highlights the value of </w:t>
      </w:r>
      <w:proofErr w:type="spellStart"/>
      <w:r>
        <w:t>coordinated</w:t>
      </w:r>
      <w:proofErr w:type="spellEnd"/>
      <w:r>
        <w:t xml:space="preserve"> </w:t>
      </w:r>
      <w:proofErr w:type="spellStart"/>
      <w:r>
        <w:t>surgical</w:t>
      </w:r>
      <w:proofErr w:type="spellEnd"/>
      <w:r>
        <w:t xml:space="preserve">, </w:t>
      </w:r>
      <w:proofErr w:type="spellStart"/>
      <w:r>
        <w:t>pathological</w:t>
      </w:r>
      <w:proofErr w:type="spellEnd"/>
      <w:r>
        <w:t xml:space="preserve">, </w:t>
      </w:r>
      <w:proofErr w:type="spellStart"/>
      <w:r>
        <w:t>radiological</w:t>
      </w:r>
      <w:proofErr w:type="spellEnd"/>
      <w:r>
        <w:t xml:space="preserve"> and radiation </w:t>
      </w:r>
      <w:proofErr w:type="spellStart"/>
      <w:r>
        <w:t>oncology</w:t>
      </w:r>
      <w:proofErr w:type="spellEnd"/>
      <w:r>
        <w:t xml:space="preserve"> </w:t>
      </w:r>
      <w:proofErr w:type="spellStart"/>
      <w:r>
        <w:t>assessment</w:t>
      </w:r>
      <w:proofErr w:type="spellEnd"/>
      <w:r>
        <w:t xml:space="preserve"> </w:t>
      </w:r>
      <w:proofErr w:type="spellStart"/>
      <w:r>
        <w:t>when</w:t>
      </w:r>
      <w:proofErr w:type="spellEnd"/>
      <w:r>
        <w:t xml:space="preserve"> </w:t>
      </w:r>
      <w:proofErr w:type="spellStart"/>
      <w:r>
        <w:t>managing</w:t>
      </w:r>
      <w:proofErr w:type="spellEnd"/>
      <w:r>
        <w:t xml:space="preserve"> </w:t>
      </w:r>
      <w:proofErr w:type="spellStart"/>
      <w:r>
        <w:t>unusual</w:t>
      </w:r>
      <w:proofErr w:type="spellEnd"/>
      <w:r>
        <w:t xml:space="preserve"> high-</w:t>
      </w:r>
      <w:proofErr w:type="spellStart"/>
      <w:r>
        <w:t>risk</w:t>
      </w:r>
      <w:proofErr w:type="spellEnd"/>
      <w:r>
        <w:t xml:space="preserve"> </w:t>
      </w:r>
      <w:proofErr w:type="spellStart"/>
      <w:r>
        <w:t>cSCC</w:t>
      </w:r>
      <w:proofErr w:type="spellEnd"/>
      <w:r>
        <w:t xml:space="preserve"> sites. </w:t>
      </w:r>
      <w:proofErr w:type="spellStart"/>
      <w:r>
        <w:t>Nevertheless</w:t>
      </w:r>
      <w:proofErr w:type="spellEnd"/>
      <w:r>
        <w:t xml:space="preserve">, </w:t>
      </w:r>
      <w:proofErr w:type="spellStart"/>
      <w:r>
        <w:t>this</w:t>
      </w:r>
      <w:proofErr w:type="spellEnd"/>
      <w:r>
        <w:t xml:space="preserve"> </w:t>
      </w:r>
      <w:proofErr w:type="spellStart"/>
      <w:r>
        <w:t>is</w:t>
      </w:r>
      <w:proofErr w:type="spellEnd"/>
      <w:r>
        <w:t xml:space="preserve"> a single case, and durable </w:t>
      </w:r>
      <w:proofErr w:type="spellStart"/>
      <w:r>
        <w:t>outcomes</w:t>
      </w:r>
      <w:proofErr w:type="spellEnd"/>
      <w:r>
        <w:t xml:space="preserve"> </w:t>
      </w:r>
      <w:proofErr w:type="spellStart"/>
      <w:r>
        <w:t>cannot</w:t>
      </w:r>
      <w:proofErr w:type="spellEnd"/>
      <w:r>
        <w:t xml:space="preserve"> </w:t>
      </w:r>
      <w:proofErr w:type="spellStart"/>
      <w:r>
        <w:t>be</w:t>
      </w:r>
      <w:proofErr w:type="spellEnd"/>
      <w:r>
        <w:t xml:space="preserve"> </w:t>
      </w:r>
      <w:proofErr w:type="spellStart"/>
      <w:r>
        <w:t>assumed</w:t>
      </w:r>
      <w:proofErr w:type="spellEnd"/>
      <w:r>
        <w:t>. Long-</w:t>
      </w:r>
      <w:proofErr w:type="spellStart"/>
      <w:r>
        <w:t>term</w:t>
      </w:r>
      <w:proofErr w:type="spellEnd"/>
      <w:r>
        <w:t xml:space="preserve"> surveillance </w:t>
      </w:r>
      <w:proofErr w:type="spellStart"/>
      <w:r>
        <w:t>remains</w:t>
      </w:r>
      <w:proofErr w:type="spellEnd"/>
      <w:r>
        <w:t xml:space="preserve"> essential </w:t>
      </w:r>
      <w:proofErr w:type="spellStart"/>
      <w:r>
        <w:t>because</w:t>
      </w:r>
      <w:proofErr w:type="spellEnd"/>
      <w:r>
        <w:t xml:space="preserve"> high-</w:t>
      </w:r>
      <w:proofErr w:type="spellStart"/>
      <w:r>
        <w:t>risk</w:t>
      </w:r>
      <w:proofErr w:type="spellEnd"/>
      <w:r>
        <w:t xml:space="preserve"> </w:t>
      </w:r>
      <w:proofErr w:type="spellStart"/>
      <w:r>
        <w:t>cSCC</w:t>
      </w:r>
      <w:proofErr w:type="spellEnd"/>
      <w:r>
        <w:t xml:space="preserve"> </w:t>
      </w:r>
      <w:proofErr w:type="spellStart"/>
      <w:r>
        <w:t>may</w:t>
      </w:r>
      <w:proofErr w:type="spellEnd"/>
      <w:r>
        <w:t xml:space="preserve"> </w:t>
      </w:r>
      <w:proofErr w:type="spellStart"/>
      <w:r>
        <w:t>recur</w:t>
      </w:r>
      <w:proofErr w:type="spellEnd"/>
      <w:r>
        <w:t xml:space="preserve"> or </w:t>
      </w:r>
      <w:proofErr w:type="spellStart"/>
      <w:r>
        <w:t>metastasise</w:t>
      </w:r>
      <w:proofErr w:type="spellEnd"/>
      <w:r>
        <w:t xml:space="preserve"> </w:t>
      </w:r>
      <w:proofErr w:type="spellStart"/>
      <w:r>
        <w:t>after</w:t>
      </w:r>
      <w:proofErr w:type="spellEnd"/>
      <w:r>
        <w:t xml:space="preserve"> </w:t>
      </w:r>
      <w:proofErr w:type="spellStart"/>
      <w:r>
        <w:t>apparently</w:t>
      </w:r>
      <w:proofErr w:type="spellEnd"/>
      <w:r>
        <w:t xml:space="preserve"> </w:t>
      </w:r>
      <w:proofErr w:type="spellStart"/>
      <w:r>
        <w:t>complete</w:t>
      </w:r>
      <w:proofErr w:type="spellEnd"/>
      <w:r>
        <w:t xml:space="preserve"> </w:t>
      </w:r>
      <w:proofErr w:type="spellStart"/>
      <w:r>
        <w:t>treatment</w:t>
      </w:r>
      <w:proofErr w:type="spellEnd"/>
      <w:r>
        <w:t>.</w:t>
      </w:r>
    </w:p>
    <w:p w14:paraId="03C16B8F" w14:textId="77777777" w:rsidR="00E06863" w:rsidRDefault="00E06863" w:rsidP="00E06863">
      <w:pPr>
        <w:bidi w:val="0"/>
        <w:spacing w:before="100" w:after="100" w:line="240" w:lineRule="auto"/>
        <w:outlineLvl w:val="1"/>
      </w:pPr>
    </w:p>
    <w:p w14:paraId="18E9826E" w14:textId="77777777" w:rsidR="00E06863" w:rsidRDefault="00E06863" w:rsidP="00E06863">
      <w:pPr>
        <w:bidi w:val="0"/>
        <w:spacing w:before="100" w:after="100" w:line="240" w:lineRule="auto"/>
        <w:outlineLvl w:val="1"/>
      </w:pPr>
    </w:p>
    <w:p w14:paraId="519F33BE" w14:textId="77777777" w:rsidR="00E06863" w:rsidRPr="00E06863" w:rsidRDefault="00E06863" w:rsidP="00E06863">
      <w:pPr>
        <w:bidi w:val="0"/>
        <w:spacing w:before="100" w:after="100" w:line="240" w:lineRule="auto"/>
        <w:outlineLvl w:val="1"/>
        <w:rPr>
          <w:rFonts w:ascii="Times New Roman" w:eastAsia="Times New Roman" w:hAnsi="Times New Roman" w:cs="Times New Roman"/>
          <w:b/>
          <w:bCs/>
          <w:kern w:val="0"/>
          <w:sz w:val="32"/>
          <w:szCs w:val="32"/>
          <w:lang w:val="en-US"/>
        </w:rPr>
      </w:pPr>
      <w:r w:rsidRPr="00E06863">
        <w:rPr>
          <w:rFonts w:ascii="Times New Roman" w:eastAsia="Times New Roman" w:hAnsi="Times New Roman" w:cs="Times New Roman"/>
          <w:b/>
          <w:bCs/>
          <w:kern w:val="0"/>
          <w:sz w:val="32"/>
          <w:szCs w:val="32"/>
          <w:lang w:val="en-US"/>
        </w:rPr>
        <w:lastRenderedPageBreak/>
        <w:t>Ethical Approval:</w:t>
      </w:r>
    </w:p>
    <w:p w14:paraId="3F279B26" w14:textId="6390D896" w:rsidR="00E06863" w:rsidRDefault="00E06863" w:rsidP="00E06863">
      <w:pPr>
        <w:bidi w:val="0"/>
        <w:spacing w:before="100" w:after="100" w:line="240" w:lineRule="auto"/>
        <w:outlineLvl w:val="1"/>
        <w:rPr>
          <w:rFonts w:ascii="Times New Roman" w:eastAsia="Times New Roman" w:hAnsi="Times New Roman" w:cs="Times New Roman"/>
          <w:b/>
          <w:bCs/>
          <w:kern w:val="0"/>
          <w:sz w:val="32"/>
          <w:szCs w:val="32"/>
          <w:lang w:val="en-US"/>
        </w:rPr>
      </w:pPr>
      <w:r w:rsidRPr="00E06863">
        <w:rPr>
          <w:rFonts w:ascii="Times New Roman" w:eastAsia="Times New Roman" w:hAnsi="Times New Roman" w:cs="Times New Roman"/>
          <w:b/>
          <w:bCs/>
          <w:kern w:val="0"/>
          <w:sz w:val="32"/>
          <w:szCs w:val="32"/>
          <w:lang w:val="en-US"/>
        </w:rPr>
        <w:t>As per international standards or university standards written ethical approval has been collected and preserved by the author(s).</w:t>
      </w:r>
    </w:p>
    <w:p w14:paraId="7D9DBC40" w14:textId="77777777" w:rsidR="00E06863" w:rsidRPr="00BC39AE" w:rsidRDefault="00E06863" w:rsidP="00E06863">
      <w:pPr>
        <w:bidi w:val="0"/>
        <w:spacing w:before="100" w:after="100" w:line="240" w:lineRule="auto"/>
        <w:outlineLvl w:val="1"/>
        <w:rPr>
          <w:rFonts w:ascii="Times New Roman" w:eastAsia="Times New Roman" w:hAnsi="Times New Roman" w:cs="Times New Roman"/>
          <w:b/>
          <w:bCs/>
          <w:kern w:val="0"/>
          <w:sz w:val="32"/>
          <w:szCs w:val="32"/>
          <w:lang w:val="en-US"/>
        </w:rPr>
      </w:pPr>
    </w:p>
    <w:p w14:paraId="408EA820" w14:textId="77777777" w:rsidR="00AD7EE8" w:rsidRPr="00BC39AE" w:rsidRDefault="00AD7EE8" w:rsidP="0015776C">
      <w:pPr>
        <w:bidi w:val="0"/>
        <w:spacing w:before="100" w:after="100" w:line="240" w:lineRule="auto"/>
        <w:outlineLvl w:val="1"/>
        <w:rPr>
          <w:rFonts w:ascii="Times New Roman" w:eastAsia="Times New Roman" w:hAnsi="Times New Roman" w:cs="Times New Roman"/>
          <w:b/>
          <w:bCs/>
          <w:kern w:val="0"/>
          <w:sz w:val="32"/>
          <w:szCs w:val="32"/>
          <w:lang w:val="en-US"/>
        </w:rPr>
      </w:pPr>
      <w:r w:rsidRPr="00BC39AE">
        <w:rPr>
          <w:rFonts w:ascii="Times New Roman" w:eastAsia="Times New Roman" w:hAnsi="Times New Roman" w:cs="Times New Roman"/>
          <w:b/>
          <w:bCs/>
          <w:kern w:val="0"/>
          <w:sz w:val="32"/>
          <w:szCs w:val="32"/>
          <w:lang w:val="en-US"/>
        </w:rPr>
        <w:t xml:space="preserve">Consent </w:t>
      </w:r>
    </w:p>
    <w:p w14:paraId="3BD49E2E" w14:textId="77777777" w:rsidR="00AD7EE8" w:rsidRPr="00BC39AE" w:rsidRDefault="00AD7EE8" w:rsidP="00AD7EE8">
      <w:pPr>
        <w:bidi w:val="0"/>
        <w:spacing w:before="100" w:after="100" w:line="240" w:lineRule="auto"/>
        <w:rPr>
          <w:rFonts w:ascii="Times New Roman" w:eastAsia="Times New Roman" w:hAnsi="Times New Roman" w:cs="Times New Roman"/>
          <w:kern w:val="0"/>
          <w:sz w:val="24"/>
          <w:szCs w:val="24"/>
          <w:lang w:val="en-US"/>
        </w:rPr>
      </w:pPr>
      <w:r w:rsidRPr="00BC39AE">
        <w:rPr>
          <w:rFonts w:ascii="Times New Roman" w:eastAsia="Times New Roman" w:hAnsi="Times New Roman" w:cs="Times New Roman"/>
          <w:kern w:val="0"/>
          <w:sz w:val="24"/>
          <w:szCs w:val="24"/>
          <w:lang w:val="en-US"/>
        </w:rPr>
        <w:t>As per international standards or university standards, patient written consent has been collected and preserved by the author.</w:t>
      </w:r>
    </w:p>
    <w:p w14:paraId="66C51A48" w14:textId="77777777" w:rsidR="00654462" w:rsidRPr="00BC39AE" w:rsidRDefault="00654462" w:rsidP="00654462">
      <w:pPr>
        <w:suppressAutoHyphens w:val="0"/>
        <w:autoSpaceDN/>
        <w:bidi w:val="0"/>
        <w:spacing w:line="278" w:lineRule="auto"/>
        <w:textAlignment w:val="auto"/>
        <w:rPr>
          <w:rFonts w:ascii="Arial" w:hAnsi="Arial"/>
          <w:b/>
          <w:bCs/>
          <w:kern w:val="2"/>
          <w:sz w:val="20"/>
          <w:szCs w:val="20"/>
          <w:lang w:val="en-US"/>
          <w14:ligatures w14:val="standardContextual"/>
        </w:rPr>
      </w:pPr>
      <w:r w:rsidRPr="00BC39AE">
        <w:rPr>
          <w:rFonts w:ascii="Arial" w:hAnsi="Arial"/>
          <w:b/>
          <w:bCs/>
          <w:kern w:val="2"/>
          <w:sz w:val="20"/>
          <w:szCs w:val="20"/>
          <w:lang w:val="en-US"/>
          <w14:ligatures w14:val="standardContextual"/>
        </w:rPr>
        <w:t>Declaration of AI Use</w:t>
      </w:r>
    </w:p>
    <w:p w14:paraId="328E389D" w14:textId="77777777" w:rsidR="00654462" w:rsidRDefault="00654462" w:rsidP="00654462">
      <w:pPr>
        <w:suppressAutoHyphens w:val="0"/>
        <w:autoSpaceDN/>
        <w:bidi w:val="0"/>
        <w:spacing w:line="278" w:lineRule="auto"/>
        <w:jc w:val="both"/>
        <w:textAlignment w:val="auto"/>
      </w:pPr>
      <w:r w:rsidRPr="00BC39AE">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w:t>
      </w:r>
      <w:proofErr w:type="spellStart"/>
      <w:r w:rsidRPr="00BC39AE">
        <w:t>manuscript</w:t>
      </w:r>
      <w:proofErr w:type="spellEnd"/>
      <w:r w:rsidRPr="00BC39AE">
        <w:t>.</w:t>
      </w:r>
    </w:p>
    <w:p w14:paraId="1F6E790B" w14:textId="77777777" w:rsidR="00E06863" w:rsidRPr="00BC39AE" w:rsidRDefault="00E06863" w:rsidP="00E06863">
      <w:pPr>
        <w:suppressAutoHyphens w:val="0"/>
        <w:autoSpaceDN/>
        <w:bidi w:val="0"/>
        <w:spacing w:line="278" w:lineRule="auto"/>
        <w:jc w:val="both"/>
        <w:textAlignment w:val="auto"/>
        <w:rPr>
          <w:rFonts w:ascii="Arial" w:hAnsi="Arial"/>
          <w:kern w:val="2"/>
          <w:sz w:val="20"/>
          <w:szCs w:val="20"/>
          <w:lang w:val="en-US"/>
          <w14:ligatures w14:val="standardContextual"/>
        </w:rPr>
      </w:pPr>
    </w:p>
    <w:p w14:paraId="151EAD90" w14:textId="77777777" w:rsidR="00AD7EE8" w:rsidRPr="00BC39AE" w:rsidRDefault="00AD7EE8" w:rsidP="00AD7EE8">
      <w:pPr>
        <w:bidi w:val="0"/>
        <w:spacing w:before="100" w:after="100" w:line="240" w:lineRule="auto"/>
        <w:outlineLvl w:val="1"/>
        <w:rPr>
          <w:rFonts w:ascii="Times New Roman" w:eastAsia="Times New Roman" w:hAnsi="Times New Roman" w:cs="Times New Roman"/>
          <w:b/>
          <w:bCs/>
          <w:kern w:val="0"/>
          <w:sz w:val="32"/>
          <w:szCs w:val="32"/>
          <w:lang w:val="en-US"/>
        </w:rPr>
      </w:pPr>
      <w:r w:rsidRPr="00BC39AE">
        <w:rPr>
          <w:rFonts w:ascii="Times New Roman" w:eastAsia="Times New Roman" w:hAnsi="Times New Roman" w:cs="Times New Roman"/>
          <w:b/>
          <w:bCs/>
          <w:kern w:val="0"/>
          <w:sz w:val="32"/>
          <w:szCs w:val="32"/>
          <w:lang w:val="en-US"/>
        </w:rPr>
        <w:t>Competing Interests</w:t>
      </w:r>
    </w:p>
    <w:p w14:paraId="54F52E93" w14:textId="77777777" w:rsidR="00AD7EE8" w:rsidRPr="00BC39AE" w:rsidRDefault="00AD7EE8" w:rsidP="00AD7EE8">
      <w:pPr>
        <w:bidi w:val="0"/>
        <w:spacing w:before="100" w:after="100" w:line="240" w:lineRule="auto"/>
        <w:rPr>
          <w:rFonts w:ascii="Times New Roman" w:eastAsia="Times New Roman" w:hAnsi="Times New Roman" w:cs="Times New Roman"/>
          <w:kern w:val="0"/>
          <w:sz w:val="24"/>
          <w:szCs w:val="24"/>
          <w:lang w:val="en-US"/>
        </w:rPr>
      </w:pPr>
      <w:r w:rsidRPr="00BC39AE">
        <w:rPr>
          <w:rFonts w:ascii="Times New Roman" w:eastAsia="Times New Roman" w:hAnsi="Times New Roman" w:cs="Times New Roman"/>
          <w:kern w:val="0"/>
          <w:sz w:val="24"/>
          <w:szCs w:val="24"/>
          <w:lang w:val="en-US"/>
        </w:rPr>
        <w:t>Author have declared that no competing interests exist</w:t>
      </w:r>
    </w:p>
    <w:p w14:paraId="5DEC54DA" w14:textId="77777777" w:rsidR="00075B0B" w:rsidRPr="00BC39AE" w:rsidRDefault="00000000">
      <w:pPr>
        <w:bidi w:val="0"/>
        <w:spacing w:before="100" w:after="100" w:line="240" w:lineRule="auto"/>
        <w:outlineLvl w:val="1"/>
        <w:rPr>
          <w:rFonts w:ascii="Times New Roman" w:eastAsia="Times New Roman" w:hAnsi="Times New Roman" w:cs="Times New Roman"/>
          <w:b/>
          <w:bCs/>
          <w:kern w:val="0"/>
          <w:sz w:val="32"/>
          <w:szCs w:val="32"/>
          <w:lang w:val="en-US"/>
        </w:rPr>
      </w:pPr>
      <w:r w:rsidRPr="00BC39AE">
        <w:rPr>
          <w:rFonts w:ascii="Times New Roman" w:eastAsia="Times New Roman" w:hAnsi="Times New Roman" w:cs="Times New Roman"/>
          <w:b/>
          <w:bCs/>
          <w:kern w:val="0"/>
          <w:sz w:val="32"/>
          <w:szCs w:val="32"/>
          <w:lang w:val="en-US"/>
        </w:rPr>
        <w:t>References</w:t>
      </w:r>
    </w:p>
    <w:p w14:paraId="0C72BC2C" w14:textId="7D9AAEBE"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proofErr w:type="spellStart"/>
      <w:r w:rsidRPr="00AA2FFF">
        <w:rPr>
          <w:rFonts w:ascii="Times New Roman" w:eastAsia="Times New Roman" w:hAnsi="Times New Roman" w:cs="Times New Roman"/>
          <w:kern w:val="0"/>
          <w:sz w:val="24"/>
          <w:szCs w:val="24"/>
          <w:lang w:val="en-US"/>
        </w:rPr>
        <w:t>Morelló</w:t>
      </w:r>
      <w:proofErr w:type="spellEnd"/>
      <w:r w:rsidRPr="00AA2FFF">
        <w:rPr>
          <w:rFonts w:ascii="Times New Roman" w:eastAsia="Times New Roman" w:hAnsi="Times New Roman" w:cs="Times New Roman"/>
          <w:kern w:val="0"/>
          <w:sz w:val="24"/>
          <w:szCs w:val="24"/>
          <w:lang w:val="en-US"/>
        </w:rPr>
        <w:t xml:space="preserve">-Vicente, A., Espejo-Marín, M., Oteiza-Rius, I., </w:t>
      </w:r>
      <w:proofErr w:type="spellStart"/>
      <w:r w:rsidRPr="00AA2FFF">
        <w:rPr>
          <w:rFonts w:ascii="Times New Roman" w:eastAsia="Times New Roman" w:hAnsi="Times New Roman" w:cs="Times New Roman"/>
          <w:kern w:val="0"/>
          <w:sz w:val="24"/>
          <w:szCs w:val="24"/>
          <w:lang w:val="en-US"/>
        </w:rPr>
        <w:t>Antoñanzas</w:t>
      </w:r>
      <w:proofErr w:type="spellEnd"/>
      <w:r w:rsidRPr="00AA2FFF">
        <w:rPr>
          <w:rFonts w:ascii="Times New Roman" w:eastAsia="Times New Roman" w:hAnsi="Times New Roman" w:cs="Times New Roman"/>
          <w:kern w:val="0"/>
          <w:sz w:val="24"/>
          <w:szCs w:val="24"/>
          <w:lang w:val="en-US"/>
        </w:rPr>
        <w:t xml:space="preserve">, J., Vélez, A., &amp; Salido-Vallejo, R. (2023). Increased risk of local recurrence in cutaneous squamous cell carcinoma arising in sun-exposed skin: A retrospective cohort study. </w:t>
      </w:r>
      <w:r w:rsidRPr="00AA2FFF">
        <w:rPr>
          <w:rFonts w:ascii="Times New Roman" w:eastAsia="Times New Roman" w:hAnsi="Times New Roman" w:cs="Times New Roman"/>
          <w:i/>
          <w:iCs/>
          <w:kern w:val="0"/>
          <w:sz w:val="24"/>
          <w:szCs w:val="24"/>
          <w:lang w:val="en-US"/>
        </w:rPr>
        <w:t>Cancers, 15</w:t>
      </w:r>
      <w:r w:rsidRPr="00AA2FFF">
        <w:rPr>
          <w:rFonts w:ascii="Times New Roman" w:eastAsia="Times New Roman" w:hAnsi="Times New Roman" w:cs="Times New Roman"/>
          <w:kern w:val="0"/>
          <w:sz w:val="24"/>
          <w:szCs w:val="24"/>
          <w:lang w:val="en-US"/>
        </w:rPr>
        <w:t xml:space="preserve">(20), 5037. </w:t>
      </w:r>
      <w:hyperlink r:id="rId12" w:tgtFrame="_new" w:history="1">
        <w:r w:rsidRPr="00AA2FFF">
          <w:rPr>
            <w:rFonts w:ascii="Times New Roman" w:eastAsia="Times New Roman" w:hAnsi="Times New Roman" w:cs="Times New Roman"/>
            <w:color w:val="0000FF"/>
            <w:kern w:val="0"/>
            <w:sz w:val="24"/>
            <w:szCs w:val="24"/>
            <w:u w:val="single"/>
            <w:lang w:val="en-US"/>
          </w:rPr>
          <w:t>https://doi.org/10.3390/cancers15205037</w:t>
        </w:r>
      </w:hyperlink>
      <w:r w:rsidRPr="00AA2FFF">
        <w:rPr>
          <w:rFonts w:ascii="Times New Roman" w:eastAsia="Times New Roman" w:hAnsi="Times New Roman" w:cs="Times New Roman"/>
          <w:kern w:val="0"/>
          <w:sz w:val="24"/>
          <w:szCs w:val="24"/>
          <w:lang w:val="en-US"/>
        </w:rPr>
        <w:t xml:space="preserve"> </w:t>
      </w:r>
    </w:p>
    <w:p w14:paraId="28A993CA" w14:textId="5C17AEF5"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Fania, L., Didona, D., Di Pietro, F. R., </w:t>
      </w:r>
      <w:proofErr w:type="spellStart"/>
      <w:r w:rsidRPr="00AA2FFF">
        <w:rPr>
          <w:rFonts w:ascii="Times New Roman" w:eastAsia="Times New Roman" w:hAnsi="Times New Roman" w:cs="Times New Roman"/>
          <w:kern w:val="0"/>
          <w:sz w:val="24"/>
          <w:szCs w:val="24"/>
          <w:lang w:val="en-US"/>
        </w:rPr>
        <w:t>Verkhovskaia</w:t>
      </w:r>
      <w:proofErr w:type="spellEnd"/>
      <w:r w:rsidRPr="00AA2FFF">
        <w:rPr>
          <w:rFonts w:ascii="Times New Roman" w:eastAsia="Times New Roman" w:hAnsi="Times New Roman" w:cs="Times New Roman"/>
          <w:kern w:val="0"/>
          <w:sz w:val="24"/>
          <w:szCs w:val="24"/>
          <w:lang w:val="en-US"/>
        </w:rPr>
        <w:t xml:space="preserve">, S., </w:t>
      </w:r>
      <w:proofErr w:type="spellStart"/>
      <w:r w:rsidRPr="00AA2FFF">
        <w:rPr>
          <w:rFonts w:ascii="Times New Roman" w:eastAsia="Times New Roman" w:hAnsi="Times New Roman" w:cs="Times New Roman"/>
          <w:kern w:val="0"/>
          <w:sz w:val="24"/>
          <w:szCs w:val="24"/>
          <w:lang w:val="en-US"/>
        </w:rPr>
        <w:t>Morese</w:t>
      </w:r>
      <w:proofErr w:type="spellEnd"/>
      <w:r w:rsidRPr="00AA2FFF">
        <w:rPr>
          <w:rFonts w:ascii="Times New Roman" w:eastAsia="Times New Roman" w:hAnsi="Times New Roman" w:cs="Times New Roman"/>
          <w:kern w:val="0"/>
          <w:sz w:val="24"/>
          <w:szCs w:val="24"/>
          <w:lang w:val="en-US"/>
        </w:rPr>
        <w:t xml:space="preserve">, R., Paolino, G., Donati, M., Ricci, F., Coco, V., Ricci, F., Candi, E., Abeni, D., &amp; </w:t>
      </w:r>
      <w:proofErr w:type="spellStart"/>
      <w:r w:rsidRPr="00AA2FFF">
        <w:rPr>
          <w:rFonts w:ascii="Times New Roman" w:eastAsia="Times New Roman" w:hAnsi="Times New Roman" w:cs="Times New Roman"/>
          <w:kern w:val="0"/>
          <w:sz w:val="24"/>
          <w:szCs w:val="24"/>
          <w:lang w:val="en-US"/>
        </w:rPr>
        <w:t>Dellambra</w:t>
      </w:r>
      <w:proofErr w:type="spellEnd"/>
      <w:r w:rsidRPr="00AA2FFF">
        <w:rPr>
          <w:rFonts w:ascii="Times New Roman" w:eastAsia="Times New Roman" w:hAnsi="Times New Roman" w:cs="Times New Roman"/>
          <w:kern w:val="0"/>
          <w:sz w:val="24"/>
          <w:szCs w:val="24"/>
          <w:lang w:val="en-US"/>
        </w:rPr>
        <w:t xml:space="preserve">, E. (2021). Cutaneous squamous cell carcinoma: From pathophysiology to novel therapeutic approaches. </w:t>
      </w:r>
      <w:r w:rsidRPr="00AA2FFF">
        <w:rPr>
          <w:rFonts w:ascii="Times New Roman" w:eastAsia="Times New Roman" w:hAnsi="Times New Roman" w:cs="Times New Roman"/>
          <w:i/>
          <w:iCs/>
          <w:kern w:val="0"/>
          <w:sz w:val="24"/>
          <w:szCs w:val="24"/>
          <w:lang w:val="en-US"/>
        </w:rPr>
        <w:t>Biomedicines, 9</w:t>
      </w:r>
      <w:r w:rsidRPr="00AA2FFF">
        <w:rPr>
          <w:rFonts w:ascii="Times New Roman" w:eastAsia="Times New Roman" w:hAnsi="Times New Roman" w:cs="Times New Roman"/>
          <w:kern w:val="0"/>
          <w:sz w:val="24"/>
          <w:szCs w:val="24"/>
          <w:lang w:val="en-US"/>
        </w:rPr>
        <w:t xml:space="preserve">(2), 171. </w:t>
      </w:r>
      <w:hyperlink r:id="rId13" w:tgtFrame="_new" w:history="1">
        <w:r w:rsidRPr="00AA2FFF">
          <w:rPr>
            <w:rFonts w:ascii="Times New Roman" w:eastAsia="Times New Roman" w:hAnsi="Times New Roman" w:cs="Times New Roman"/>
            <w:color w:val="0000FF"/>
            <w:kern w:val="0"/>
            <w:sz w:val="24"/>
            <w:szCs w:val="24"/>
            <w:u w:val="single"/>
            <w:lang w:val="en-US"/>
          </w:rPr>
          <w:t>https://doi.org/10.3390/biomedicines9020171</w:t>
        </w:r>
      </w:hyperlink>
      <w:r w:rsidRPr="00AA2FFF">
        <w:rPr>
          <w:rFonts w:ascii="Times New Roman" w:eastAsia="Times New Roman" w:hAnsi="Times New Roman" w:cs="Times New Roman"/>
          <w:kern w:val="0"/>
          <w:sz w:val="24"/>
          <w:szCs w:val="24"/>
          <w:lang w:val="en-US"/>
        </w:rPr>
        <w:t xml:space="preserve"> </w:t>
      </w:r>
    </w:p>
    <w:p w14:paraId="0C9781E1" w14:textId="13D95CF1"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Makiguchi, T., Yokoo, S., </w:t>
      </w:r>
      <w:proofErr w:type="spellStart"/>
      <w:r w:rsidRPr="00AA2FFF">
        <w:rPr>
          <w:rFonts w:ascii="Times New Roman" w:eastAsia="Times New Roman" w:hAnsi="Times New Roman" w:cs="Times New Roman"/>
          <w:kern w:val="0"/>
          <w:sz w:val="24"/>
          <w:szCs w:val="24"/>
          <w:lang w:val="en-US"/>
        </w:rPr>
        <w:t>Takaku</w:t>
      </w:r>
      <w:proofErr w:type="spellEnd"/>
      <w:r w:rsidRPr="00AA2FFF">
        <w:rPr>
          <w:rFonts w:ascii="Times New Roman" w:eastAsia="Times New Roman" w:hAnsi="Times New Roman" w:cs="Times New Roman"/>
          <w:kern w:val="0"/>
          <w:sz w:val="24"/>
          <w:szCs w:val="24"/>
          <w:lang w:val="en-US"/>
        </w:rPr>
        <w:t xml:space="preserve">, Y., Morita, H., &amp; Yasuda, M. (2015). Squamous cell carcinoma arising from abdominal wall defect lesion complicated with cloacal exstrophy. </w:t>
      </w:r>
      <w:r w:rsidRPr="00AA2FFF">
        <w:rPr>
          <w:rFonts w:ascii="Times New Roman" w:eastAsia="Times New Roman" w:hAnsi="Times New Roman" w:cs="Times New Roman"/>
          <w:i/>
          <w:iCs/>
          <w:kern w:val="0"/>
          <w:sz w:val="24"/>
          <w:szCs w:val="24"/>
          <w:lang w:val="en-US"/>
        </w:rPr>
        <w:t>Plastic and Reconstructive Surgery Global Open, 3</w:t>
      </w:r>
      <w:r w:rsidRPr="00AA2FFF">
        <w:rPr>
          <w:rFonts w:ascii="Times New Roman" w:eastAsia="Times New Roman" w:hAnsi="Times New Roman" w:cs="Times New Roman"/>
          <w:kern w:val="0"/>
          <w:sz w:val="24"/>
          <w:szCs w:val="24"/>
          <w:lang w:val="en-US"/>
        </w:rPr>
        <w:t xml:space="preserve">(3), e315. </w:t>
      </w:r>
      <w:hyperlink r:id="rId14" w:tgtFrame="_new" w:history="1">
        <w:r w:rsidRPr="00AA2FFF">
          <w:rPr>
            <w:rFonts w:ascii="Times New Roman" w:eastAsia="Times New Roman" w:hAnsi="Times New Roman" w:cs="Times New Roman"/>
            <w:color w:val="0000FF"/>
            <w:kern w:val="0"/>
            <w:sz w:val="24"/>
            <w:szCs w:val="24"/>
            <w:u w:val="single"/>
            <w:lang w:val="en-US"/>
          </w:rPr>
          <w:t>https://doi.org/10.1097/GOX.0000000000000286</w:t>
        </w:r>
      </w:hyperlink>
      <w:r w:rsidRPr="00AA2FFF">
        <w:rPr>
          <w:rFonts w:ascii="Times New Roman" w:eastAsia="Times New Roman" w:hAnsi="Times New Roman" w:cs="Times New Roman"/>
          <w:kern w:val="0"/>
          <w:sz w:val="24"/>
          <w:szCs w:val="24"/>
          <w:lang w:val="en-US"/>
        </w:rPr>
        <w:t xml:space="preserve"> </w:t>
      </w:r>
    </w:p>
    <w:p w14:paraId="2B5E51E2" w14:textId="3D73C5E5"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proofErr w:type="spellStart"/>
      <w:r w:rsidRPr="00AA2FFF">
        <w:rPr>
          <w:rFonts w:ascii="Times New Roman" w:eastAsia="Times New Roman" w:hAnsi="Times New Roman" w:cs="Times New Roman"/>
          <w:kern w:val="0"/>
          <w:sz w:val="24"/>
          <w:szCs w:val="24"/>
          <w:lang w:val="en-US"/>
        </w:rPr>
        <w:t>Schmults</w:t>
      </w:r>
      <w:proofErr w:type="spellEnd"/>
      <w:r w:rsidRPr="00AA2FFF">
        <w:rPr>
          <w:rFonts w:ascii="Times New Roman" w:eastAsia="Times New Roman" w:hAnsi="Times New Roman" w:cs="Times New Roman"/>
          <w:kern w:val="0"/>
          <w:sz w:val="24"/>
          <w:szCs w:val="24"/>
          <w:lang w:val="en-US"/>
        </w:rPr>
        <w:t xml:space="preserve">, C. D., </w:t>
      </w:r>
      <w:proofErr w:type="spellStart"/>
      <w:r w:rsidRPr="00AA2FFF">
        <w:rPr>
          <w:rFonts w:ascii="Times New Roman" w:eastAsia="Times New Roman" w:hAnsi="Times New Roman" w:cs="Times New Roman"/>
          <w:kern w:val="0"/>
          <w:sz w:val="24"/>
          <w:szCs w:val="24"/>
          <w:lang w:val="en-US"/>
        </w:rPr>
        <w:t>Blitzblau</w:t>
      </w:r>
      <w:proofErr w:type="spellEnd"/>
      <w:r w:rsidRPr="00AA2FFF">
        <w:rPr>
          <w:rFonts w:ascii="Times New Roman" w:eastAsia="Times New Roman" w:hAnsi="Times New Roman" w:cs="Times New Roman"/>
          <w:kern w:val="0"/>
          <w:sz w:val="24"/>
          <w:szCs w:val="24"/>
          <w:lang w:val="en-US"/>
        </w:rPr>
        <w:t xml:space="preserve">, R., Aasi, S. Z., Alam, M., Andersen, J. S., Baumann, B. C., Bordeaux, J., Chen, P. L., Chin, R., Contreras, C. M., DiMaio, D., Donigan, J. M., Farma, J. M., Ghosh, K., Grekin, R. C., Harms, K., Ho, A. L., Holder, A., Lukens, J. N., ... Nguyen, M. Q. (2021). NCCN Guidelines® Insights: Squamous cell skin cancer, Version 1.2022. </w:t>
      </w:r>
      <w:r w:rsidRPr="00AA2FFF">
        <w:rPr>
          <w:rFonts w:ascii="Times New Roman" w:eastAsia="Times New Roman" w:hAnsi="Times New Roman" w:cs="Times New Roman"/>
          <w:i/>
          <w:iCs/>
          <w:kern w:val="0"/>
          <w:sz w:val="24"/>
          <w:szCs w:val="24"/>
          <w:lang w:val="en-US"/>
        </w:rPr>
        <w:t>Journal of the National Comprehensive Cancer Network, 19</w:t>
      </w:r>
      <w:r w:rsidRPr="00AA2FFF">
        <w:rPr>
          <w:rFonts w:ascii="Times New Roman" w:eastAsia="Times New Roman" w:hAnsi="Times New Roman" w:cs="Times New Roman"/>
          <w:kern w:val="0"/>
          <w:sz w:val="24"/>
          <w:szCs w:val="24"/>
          <w:lang w:val="en-US"/>
        </w:rPr>
        <w:t xml:space="preserve">(12), 1382–1394. </w:t>
      </w:r>
      <w:hyperlink r:id="rId15" w:tgtFrame="_new" w:history="1">
        <w:r w:rsidRPr="00AA2FFF">
          <w:rPr>
            <w:rFonts w:ascii="Times New Roman" w:eastAsia="Times New Roman" w:hAnsi="Times New Roman" w:cs="Times New Roman"/>
            <w:color w:val="0000FF"/>
            <w:kern w:val="0"/>
            <w:sz w:val="24"/>
            <w:szCs w:val="24"/>
            <w:u w:val="single"/>
            <w:lang w:val="en-US"/>
          </w:rPr>
          <w:t>https://doi.org/10.6004/jnccn.2021.0059</w:t>
        </w:r>
      </w:hyperlink>
      <w:r w:rsidRPr="00AA2FFF">
        <w:rPr>
          <w:rFonts w:ascii="Times New Roman" w:eastAsia="Times New Roman" w:hAnsi="Times New Roman" w:cs="Times New Roman"/>
          <w:kern w:val="0"/>
          <w:sz w:val="24"/>
          <w:szCs w:val="24"/>
          <w:lang w:val="en-US"/>
        </w:rPr>
        <w:t xml:space="preserve"> </w:t>
      </w:r>
    </w:p>
    <w:p w14:paraId="5C7806F8" w14:textId="602E85C0"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Porrello, G., Cannella, R., Alvarez-</w:t>
      </w:r>
      <w:proofErr w:type="spellStart"/>
      <w:r w:rsidRPr="00AA2FFF">
        <w:rPr>
          <w:rFonts w:ascii="Times New Roman" w:eastAsia="Times New Roman" w:hAnsi="Times New Roman" w:cs="Times New Roman"/>
          <w:kern w:val="0"/>
          <w:sz w:val="24"/>
          <w:szCs w:val="24"/>
          <w:lang w:val="en-US"/>
        </w:rPr>
        <w:t>Hornia</w:t>
      </w:r>
      <w:proofErr w:type="spellEnd"/>
      <w:r w:rsidRPr="00AA2FFF">
        <w:rPr>
          <w:rFonts w:ascii="Times New Roman" w:eastAsia="Times New Roman" w:hAnsi="Times New Roman" w:cs="Times New Roman"/>
          <w:kern w:val="0"/>
          <w:sz w:val="24"/>
          <w:szCs w:val="24"/>
          <w:lang w:val="en-US"/>
        </w:rPr>
        <w:t xml:space="preserve"> Pérez, E., </w:t>
      </w:r>
      <w:proofErr w:type="spellStart"/>
      <w:r w:rsidRPr="00AA2FFF">
        <w:rPr>
          <w:rFonts w:ascii="Times New Roman" w:eastAsia="Times New Roman" w:hAnsi="Times New Roman" w:cs="Times New Roman"/>
          <w:kern w:val="0"/>
          <w:sz w:val="24"/>
          <w:szCs w:val="24"/>
          <w:lang w:val="en-US"/>
        </w:rPr>
        <w:t>Brancatelli</w:t>
      </w:r>
      <w:proofErr w:type="spellEnd"/>
      <w:r w:rsidRPr="00AA2FFF">
        <w:rPr>
          <w:rFonts w:ascii="Times New Roman" w:eastAsia="Times New Roman" w:hAnsi="Times New Roman" w:cs="Times New Roman"/>
          <w:kern w:val="0"/>
          <w:sz w:val="24"/>
          <w:szCs w:val="24"/>
          <w:lang w:val="en-US"/>
        </w:rPr>
        <w:t xml:space="preserve">, G., &amp; </w:t>
      </w:r>
      <w:proofErr w:type="spellStart"/>
      <w:r w:rsidRPr="00AA2FFF">
        <w:rPr>
          <w:rFonts w:ascii="Times New Roman" w:eastAsia="Times New Roman" w:hAnsi="Times New Roman" w:cs="Times New Roman"/>
          <w:kern w:val="0"/>
          <w:sz w:val="24"/>
          <w:szCs w:val="24"/>
          <w:lang w:val="en-US"/>
        </w:rPr>
        <w:t>Vernuccio</w:t>
      </w:r>
      <w:proofErr w:type="spellEnd"/>
      <w:r w:rsidRPr="00AA2FFF">
        <w:rPr>
          <w:rFonts w:ascii="Times New Roman" w:eastAsia="Times New Roman" w:hAnsi="Times New Roman" w:cs="Times New Roman"/>
          <w:kern w:val="0"/>
          <w:sz w:val="24"/>
          <w:szCs w:val="24"/>
          <w:lang w:val="en-US"/>
        </w:rPr>
        <w:t xml:space="preserve">, F. (2023). The neoplastic side of the abdominal wall: A comprehensive pictorial essay </w:t>
      </w:r>
      <w:r w:rsidRPr="00AA2FFF">
        <w:rPr>
          <w:rFonts w:ascii="Times New Roman" w:eastAsia="Times New Roman" w:hAnsi="Times New Roman" w:cs="Times New Roman"/>
          <w:kern w:val="0"/>
          <w:sz w:val="24"/>
          <w:szCs w:val="24"/>
          <w:lang w:val="en-US"/>
        </w:rPr>
        <w:lastRenderedPageBreak/>
        <w:t xml:space="preserve">of benign and malignant neoplasms. </w:t>
      </w:r>
      <w:r w:rsidRPr="00AA2FFF">
        <w:rPr>
          <w:rFonts w:ascii="Times New Roman" w:eastAsia="Times New Roman" w:hAnsi="Times New Roman" w:cs="Times New Roman"/>
          <w:i/>
          <w:iCs/>
          <w:kern w:val="0"/>
          <w:sz w:val="24"/>
          <w:szCs w:val="24"/>
          <w:lang w:val="en-US"/>
        </w:rPr>
        <w:t>Diagnostics, 13</w:t>
      </w:r>
      <w:r w:rsidRPr="00AA2FFF">
        <w:rPr>
          <w:rFonts w:ascii="Times New Roman" w:eastAsia="Times New Roman" w:hAnsi="Times New Roman" w:cs="Times New Roman"/>
          <w:kern w:val="0"/>
          <w:sz w:val="24"/>
          <w:szCs w:val="24"/>
          <w:lang w:val="en-US"/>
        </w:rPr>
        <w:t xml:space="preserve">(2), 315. </w:t>
      </w:r>
      <w:hyperlink r:id="rId16" w:tgtFrame="_new" w:history="1">
        <w:r w:rsidRPr="00AA2FFF">
          <w:rPr>
            <w:rFonts w:ascii="Times New Roman" w:eastAsia="Times New Roman" w:hAnsi="Times New Roman" w:cs="Times New Roman"/>
            <w:color w:val="0000FF"/>
            <w:kern w:val="0"/>
            <w:sz w:val="24"/>
            <w:szCs w:val="24"/>
            <w:u w:val="single"/>
            <w:lang w:val="en-US"/>
          </w:rPr>
          <w:t>https://doi.org/10.3390/diagnostics13020315</w:t>
        </w:r>
      </w:hyperlink>
      <w:r w:rsidRPr="00AA2FFF">
        <w:rPr>
          <w:rFonts w:ascii="Times New Roman" w:eastAsia="Times New Roman" w:hAnsi="Times New Roman" w:cs="Times New Roman"/>
          <w:kern w:val="0"/>
          <w:sz w:val="24"/>
          <w:szCs w:val="24"/>
          <w:lang w:val="en-US"/>
        </w:rPr>
        <w:t xml:space="preserve"> </w:t>
      </w:r>
    </w:p>
    <w:p w14:paraId="03B036F5" w14:textId="478E9D84"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Stratigos, A. J., </w:t>
      </w:r>
      <w:proofErr w:type="spellStart"/>
      <w:r w:rsidRPr="00AA2FFF">
        <w:rPr>
          <w:rFonts w:ascii="Times New Roman" w:eastAsia="Times New Roman" w:hAnsi="Times New Roman" w:cs="Times New Roman"/>
          <w:kern w:val="0"/>
          <w:sz w:val="24"/>
          <w:szCs w:val="24"/>
          <w:lang w:val="en-US"/>
        </w:rPr>
        <w:t>Dessinioti</w:t>
      </w:r>
      <w:proofErr w:type="spellEnd"/>
      <w:r w:rsidRPr="00AA2FFF">
        <w:rPr>
          <w:rFonts w:ascii="Times New Roman" w:eastAsia="Times New Roman" w:hAnsi="Times New Roman" w:cs="Times New Roman"/>
          <w:kern w:val="0"/>
          <w:sz w:val="24"/>
          <w:szCs w:val="24"/>
          <w:lang w:val="en-US"/>
        </w:rPr>
        <w:t xml:space="preserve">, C., Garbe, C., </w:t>
      </w:r>
      <w:proofErr w:type="spellStart"/>
      <w:r w:rsidRPr="00AA2FFF">
        <w:rPr>
          <w:rFonts w:ascii="Times New Roman" w:eastAsia="Times New Roman" w:hAnsi="Times New Roman" w:cs="Times New Roman"/>
          <w:kern w:val="0"/>
          <w:sz w:val="24"/>
          <w:szCs w:val="24"/>
          <w:lang w:val="en-US"/>
        </w:rPr>
        <w:t>Lebbe</w:t>
      </w:r>
      <w:proofErr w:type="spellEnd"/>
      <w:r w:rsidRPr="00AA2FFF">
        <w:rPr>
          <w:rFonts w:ascii="Times New Roman" w:eastAsia="Times New Roman" w:hAnsi="Times New Roman" w:cs="Times New Roman"/>
          <w:kern w:val="0"/>
          <w:sz w:val="24"/>
          <w:szCs w:val="24"/>
          <w:lang w:val="en-US"/>
        </w:rPr>
        <w:t xml:space="preserve">, C., Amaral, T., Bataille, V., Dreno, B., Dummer, R., Fargnoli, M. C., </w:t>
      </w:r>
      <w:proofErr w:type="spellStart"/>
      <w:r w:rsidRPr="00AA2FFF">
        <w:rPr>
          <w:rFonts w:ascii="Times New Roman" w:eastAsia="Times New Roman" w:hAnsi="Times New Roman" w:cs="Times New Roman"/>
          <w:kern w:val="0"/>
          <w:sz w:val="24"/>
          <w:szCs w:val="24"/>
          <w:lang w:val="en-US"/>
        </w:rPr>
        <w:t>Forsea</w:t>
      </w:r>
      <w:proofErr w:type="spellEnd"/>
      <w:r w:rsidRPr="00AA2FFF">
        <w:rPr>
          <w:rFonts w:ascii="Times New Roman" w:eastAsia="Times New Roman" w:hAnsi="Times New Roman" w:cs="Times New Roman"/>
          <w:kern w:val="0"/>
          <w:sz w:val="24"/>
          <w:szCs w:val="24"/>
          <w:lang w:val="en-US"/>
        </w:rPr>
        <w:t xml:space="preserve">, A. M., Gebhardt, C., Harwood, C. A., Hauschild, A., Hoeller, C., Kandolf-Sekulovic, L., Kaufmann, R., </w:t>
      </w:r>
      <w:proofErr w:type="spellStart"/>
      <w:r w:rsidRPr="00AA2FFF">
        <w:rPr>
          <w:rFonts w:ascii="Times New Roman" w:eastAsia="Times New Roman" w:hAnsi="Times New Roman" w:cs="Times New Roman"/>
          <w:kern w:val="0"/>
          <w:sz w:val="24"/>
          <w:szCs w:val="24"/>
          <w:lang w:val="en-US"/>
        </w:rPr>
        <w:t>Kelleners</w:t>
      </w:r>
      <w:proofErr w:type="spellEnd"/>
      <w:r w:rsidRPr="00AA2FFF">
        <w:rPr>
          <w:rFonts w:ascii="Times New Roman" w:eastAsia="Times New Roman" w:hAnsi="Times New Roman" w:cs="Times New Roman"/>
          <w:kern w:val="0"/>
          <w:sz w:val="24"/>
          <w:szCs w:val="24"/>
          <w:lang w:val="en-US"/>
        </w:rPr>
        <w:t xml:space="preserve">-Smeets, N. W., </w:t>
      </w:r>
      <w:proofErr w:type="spellStart"/>
      <w:r w:rsidRPr="00AA2FFF">
        <w:rPr>
          <w:rFonts w:ascii="Times New Roman" w:eastAsia="Times New Roman" w:hAnsi="Times New Roman" w:cs="Times New Roman"/>
          <w:kern w:val="0"/>
          <w:sz w:val="24"/>
          <w:szCs w:val="24"/>
          <w:lang w:val="en-US"/>
        </w:rPr>
        <w:t>Koelblinger</w:t>
      </w:r>
      <w:proofErr w:type="spellEnd"/>
      <w:r w:rsidRPr="00AA2FFF">
        <w:rPr>
          <w:rFonts w:ascii="Times New Roman" w:eastAsia="Times New Roman" w:hAnsi="Times New Roman" w:cs="Times New Roman"/>
          <w:kern w:val="0"/>
          <w:sz w:val="24"/>
          <w:szCs w:val="24"/>
          <w:lang w:val="en-US"/>
        </w:rPr>
        <w:t xml:space="preserve">, P., Lallas, A., ... </w:t>
      </w:r>
      <w:proofErr w:type="spellStart"/>
      <w:r w:rsidRPr="00AA2FFF">
        <w:rPr>
          <w:rFonts w:ascii="Times New Roman" w:eastAsia="Times New Roman" w:hAnsi="Times New Roman" w:cs="Times New Roman"/>
          <w:kern w:val="0"/>
          <w:sz w:val="24"/>
          <w:szCs w:val="24"/>
          <w:lang w:val="en-US"/>
        </w:rPr>
        <w:t>Malvehy</w:t>
      </w:r>
      <w:proofErr w:type="spellEnd"/>
      <w:r w:rsidRPr="00AA2FFF">
        <w:rPr>
          <w:rFonts w:ascii="Times New Roman" w:eastAsia="Times New Roman" w:hAnsi="Times New Roman" w:cs="Times New Roman"/>
          <w:kern w:val="0"/>
          <w:sz w:val="24"/>
          <w:szCs w:val="24"/>
          <w:lang w:val="en-US"/>
        </w:rPr>
        <w:t xml:space="preserve">, J. (2026). European consensus-based interdisciplinary guideline for invasive cutaneous squamous cell carcinoma: Part 2. Treatment—update 2026. </w:t>
      </w:r>
      <w:r w:rsidRPr="00AA2FFF">
        <w:rPr>
          <w:rFonts w:ascii="Times New Roman" w:eastAsia="Times New Roman" w:hAnsi="Times New Roman" w:cs="Times New Roman"/>
          <w:i/>
          <w:iCs/>
          <w:kern w:val="0"/>
          <w:sz w:val="24"/>
          <w:szCs w:val="24"/>
          <w:lang w:val="en-US"/>
        </w:rPr>
        <w:t>European Journal of Cancer, 243</w:t>
      </w:r>
      <w:r w:rsidRPr="00AA2FFF">
        <w:rPr>
          <w:rFonts w:ascii="Times New Roman" w:eastAsia="Times New Roman" w:hAnsi="Times New Roman" w:cs="Times New Roman"/>
          <w:kern w:val="0"/>
          <w:sz w:val="24"/>
          <w:szCs w:val="24"/>
          <w:lang w:val="en-US"/>
        </w:rPr>
        <w:t xml:space="preserve">, 116764. </w:t>
      </w:r>
      <w:hyperlink r:id="rId17" w:tgtFrame="_new" w:history="1">
        <w:r w:rsidRPr="00AA2FFF">
          <w:rPr>
            <w:rFonts w:ascii="Times New Roman" w:eastAsia="Times New Roman" w:hAnsi="Times New Roman" w:cs="Times New Roman"/>
            <w:color w:val="0000FF"/>
            <w:kern w:val="0"/>
            <w:sz w:val="24"/>
            <w:szCs w:val="24"/>
            <w:u w:val="single"/>
            <w:lang w:val="en-US"/>
          </w:rPr>
          <w:t>https://doi.org/10.1016/j.ejca.2026.116764</w:t>
        </w:r>
      </w:hyperlink>
      <w:r w:rsidRPr="00AA2FFF">
        <w:rPr>
          <w:rFonts w:ascii="Times New Roman" w:eastAsia="Times New Roman" w:hAnsi="Times New Roman" w:cs="Times New Roman"/>
          <w:kern w:val="0"/>
          <w:sz w:val="24"/>
          <w:szCs w:val="24"/>
          <w:lang w:val="en-US"/>
        </w:rPr>
        <w:t xml:space="preserve"> </w:t>
      </w:r>
    </w:p>
    <w:p w14:paraId="1A3906D5" w14:textId="6EC6F116"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proofErr w:type="spellStart"/>
      <w:r w:rsidRPr="00AA2FFF">
        <w:rPr>
          <w:rFonts w:ascii="Times New Roman" w:eastAsia="Times New Roman" w:hAnsi="Times New Roman" w:cs="Times New Roman"/>
          <w:kern w:val="0"/>
          <w:sz w:val="24"/>
          <w:szCs w:val="24"/>
          <w:lang w:val="en-US"/>
        </w:rPr>
        <w:t>Yildizdal</w:t>
      </w:r>
      <w:proofErr w:type="spellEnd"/>
      <w:r w:rsidRPr="00AA2FFF">
        <w:rPr>
          <w:rFonts w:ascii="Times New Roman" w:eastAsia="Times New Roman" w:hAnsi="Times New Roman" w:cs="Times New Roman"/>
          <w:kern w:val="0"/>
          <w:sz w:val="24"/>
          <w:szCs w:val="24"/>
          <w:lang w:val="en-US"/>
        </w:rPr>
        <w:t xml:space="preserve">, S., Cavusoglu, G., </w:t>
      </w:r>
      <w:proofErr w:type="spellStart"/>
      <w:r w:rsidRPr="00AA2FFF">
        <w:rPr>
          <w:rFonts w:ascii="Times New Roman" w:eastAsia="Times New Roman" w:hAnsi="Times New Roman" w:cs="Times New Roman"/>
          <w:kern w:val="0"/>
          <w:sz w:val="24"/>
          <w:szCs w:val="24"/>
          <w:lang w:val="en-US"/>
        </w:rPr>
        <w:t>Kucukguven</w:t>
      </w:r>
      <w:proofErr w:type="spellEnd"/>
      <w:r w:rsidRPr="00AA2FFF">
        <w:rPr>
          <w:rFonts w:ascii="Times New Roman" w:eastAsia="Times New Roman" w:hAnsi="Times New Roman" w:cs="Times New Roman"/>
          <w:kern w:val="0"/>
          <w:sz w:val="24"/>
          <w:szCs w:val="24"/>
          <w:lang w:val="en-US"/>
        </w:rPr>
        <w:t xml:space="preserve">, A., Calis, M., &amp; </w:t>
      </w:r>
      <w:proofErr w:type="spellStart"/>
      <w:r w:rsidRPr="00AA2FFF">
        <w:rPr>
          <w:rFonts w:ascii="Times New Roman" w:eastAsia="Times New Roman" w:hAnsi="Times New Roman" w:cs="Times New Roman"/>
          <w:kern w:val="0"/>
          <w:sz w:val="24"/>
          <w:szCs w:val="24"/>
          <w:lang w:val="en-US"/>
        </w:rPr>
        <w:t>Vargel</w:t>
      </w:r>
      <w:proofErr w:type="spellEnd"/>
      <w:r w:rsidRPr="00AA2FFF">
        <w:rPr>
          <w:rFonts w:ascii="Times New Roman" w:eastAsia="Times New Roman" w:hAnsi="Times New Roman" w:cs="Times New Roman"/>
          <w:kern w:val="0"/>
          <w:sz w:val="24"/>
          <w:szCs w:val="24"/>
          <w:lang w:val="en-US"/>
        </w:rPr>
        <w:t xml:space="preserve">, I. (2026). Prognostic factors for recurrence in cutaneous squamous cell carcinoma: A retrospective analysis of 347 patients. </w:t>
      </w:r>
      <w:r w:rsidRPr="00AA2FFF">
        <w:rPr>
          <w:rFonts w:ascii="Times New Roman" w:eastAsia="Times New Roman" w:hAnsi="Times New Roman" w:cs="Times New Roman"/>
          <w:i/>
          <w:iCs/>
          <w:kern w:val="0"/>
          <w:sz w:val="24"/>
          <w:szCs w:val="24"/>
          <w:lang w:val="en-US"/>
        </w:rPr>
        <w:t>Turkish Journal of Plastic Surgery, 34</w:t>
      </w:r>
      <w:r w:rsidRPr="00AA2FFF">
        <w:rPr>
          <w:rFonts w:ascii="Times New Roman" w:eastAsia="Times New Roman" w:hAnsi="Times New Roman" w:cs="Times New Roman"/>
          <w:kern w:val="0"/>
          <w:sz w:val="24"/>
          <w:szCs w:val="24"/>
          <w:lang w:val="en-US"/>
        </w:rPr>
        <w:t xml:space="preserve">(1), 15–20. </w:t>
      </w:r>
      <w:hyperlink r:id="rId18" w:tgtFrame="_new" w:history="1">
        <w:r w:rsidRPr="00AA2FFF">
          <w:rPr>
            <w:rFonts w:ascii="Times New Roman" w:eastAsia="Times New Roman" w:hAnsi="Times New Roman" w:cs="Times New Roman"/>
            <w:color w:val="0000FF"/>
            <w:kern w:val="0"/>
            <w:sz w:val="24"/>
            <w:szCs w:val="24"/>
            <w:u w:val="single"/>
            <w:lang w:val="en-US"/>
          </w:rPr>
          <w:t>https://doi.org/10.4103/tjps.tjps_56_25</w:t>
        </w:r>
      </w:hyperlink>
      <w:r w:rsidRPr="00AA2FFF">
        <w:rPr>
          <w:rFonts w:ascii="Times New Roman" w:eastAsia="Times New Roman" w:hAnsi="Times New Roman" w:cs="Times New Roman"/>
          <w:kern w:val="0"/>
          <w:sz w:val="24"/>
          <w:szCs w:val="24"/>
          <w:lang w:val="en-US"/>
        </w:rPr>
        <w:t xml:space="preserve"> </w:t>
      </w:r>
    </w:p>
    <w:p w14:paraId="18C7EB34" w14:textId="3FBF2202"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Brancaccio, G., </w:t>
      </w:r>
      <w:proofErr w:type="spellStart"/>
      <w:r w:rsidRPr="00AA2FFF">
        <w:rPr>
          <w:rFonts w:ascii="Times New Roman" w:eastAsia="Times New Roman" w:hAnsi="Times New Roman" w:cs="Times New Roman"/>
          <w:kern w:val="0"/>
          <w:sz w:val="24"/>
          <w:szCs w:val="24"/>
          <w:lang w:val="en-US"/>
        </w:rPr>
        <w:t>Briatico</w:t>
      </w:r>
      <w:proofErr w:type="spellEnd"/>
      <w:r w:rsidRPr="00AA2FFF">
        <w:rPr>
          <w:rFonts w:ascii="Times New Roman" w:eastAsia="Times New Roman" w:hAnsi="Times New Roman" w:cs="Times New Roman"/>
          <w:kern w:val="0"/>
          <w:sz w:val="24"/>
          <w:szCs w:val="24"/>
          <w:lang w:val="en-US"/>
        </w:rPr>
        <w:t xml:space="preserve">, G., Pellegrini, C., Rocco, T., </w:t>
      </w:r>
      <w:proofErr w:type="spellStart"/>
      <w:r w:rsidRPr="00AA2FFF">
        <w:rPr>
          <w:rFonts w:ascii="Times New Roman" w:eastAsia="Times New Roman" w:hAnsi="Times New Roman" w:cs="Times New Roman"/>
          <w:kern w:val="0"/>
          <w:sz w:val="24"/>
          <w:szCs w:val="24"/>
          <w:lang w:val="en-US"/>
        </w:rPr>
        <w:t>Moscarella</w:t>
      </w:r>
      <w:proofErr w:type="spellEnd"/>
      <w:r w:rsidRPr="00AA2FFF">
        <w:rPr>
          <w:rFonts w:ascii="Times New Roman" w:eastAsia="Times New Roman" w:hAnsi="Times New Roman" w:cs="Times New Roman"/>
          <w:kern w:val="0"/>
          <w:sz w:val="24"/>
          <w:szCs w:val="24"/>
          <w:lang w:val="en-US"/>
        </w:rPr>
        <w:t xml:space="preserve">, E., &amp; Fargnoli, M. C. (2021). Risk factors and diagnosis of advanced cutaneous squamous cell carcinoma. </w:t>
      </w:r>
      <w:r w:rsidRPr="00AA2FFF">
        <w:rPr>
          <w:rFonts w:ascii="Times New Roman" w:eastAsia="Times New Roman" w:hAnsi="Times New Roman" w:cs="Times New Roman"/>
          <w:i/>
          <w:iCs/>
          <w:kern w:val="0"/>
          <w:sz w:val="24"/>
          <w:szCs w:val="24"/>
          <w:lang w:val="en-US"/>
        </w:rPr>
        <w:t>Dermatology Practical &amp; Conceptual, 11</w:t>
      </w:r>
      <w:r w:rsidRPr="00AA2FFF">
        <w:rPr>
          <w:rFonts w:ascii="Times New Roman" w:eastAsia="Times New Roman" w:hAnsi="Times New Roman" w:cs="Times New Roman"/>
          <w:kern w:val="0"/>
          <w:sz w:val="24"/>
          <w:szCs w:val="24"/>
          <w:lang w:val="en-US"/>
        </w:rPr>
        <w:t xml:space="preserve">(Suppl 2), e2021166S. </w:t>
      </w:r>
      <w:hyperlink r:id="rId19" w:tgtFrame="_new" w:history="1">
        <w:r w:rsidRPr="00AA2FFF">
          <w:rPr>
            <w:rFonts w:ascii="Times New Roman" w:eastAsia="Times New Roman" w:hAnsi="Times New Roman" w:cs="Times New Roman"/>
            <w:color w:val="0000FF"/>
            <w:kern w:val="0"/>
            <w:sz w:val="24"/>
            <w:szCs w:val="24"/>
            <w:u w:val="single"/>
            <w:lang w:val="en-US"/>
          </w:rPr>
          <w:t>https://doi.org/10.5826/dpc.11S2a166S</w:t>
        </w:r>
      </w:hyperlink>
      <w:r w:rsidRPr="00AA2FFF">
        <w:rPr>
          <w:rFonts w:ascii="Times New Roman" w:eastAsia="Times New Roman" w:hAnsi="Times New Roman" w:cs="Times New Roman"/>
          <w:kern w:val="0"/>
          <w:sz w:val="24"/>
          <w:szCs w:val="24"/>
          <w:lang w:val="en-US"/>
        </w:rPr>
        <w:t xml:space="preserve"> </w:t>
      </w:r>
    </w:p>
    <w:p w14:paraId="4896EADA" w14:textId="1BDA7583"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nl-BE"/>
        </w:rPr>
        <w:t xml:space="preserve">Hew, C. Y., Rais, T., Antoniou, S. A., Deerenberg, E. B., &amp; Antoniou, G. A. (2024). </w:t>
      </w:r>
      <w:r w:rsidRPr="00AA2FFF">
        <w:rPr>
          <w:rFonts w:ascii="Times New Roman" w:eastAsia="Times New Roman" w:hAnsi="Times New Roman" w:cs="Times New Roman"/>
          <w:kern w:val="0"/>
          <w:sz w:val="24"/>
          <w:szCs w:val="24"/>
          <w:lang w:val="en-US"/>
        </w:rPr>
        <w:t xml:space="preserve">Prophylactic mesh reinforcement versus primary suture for abdominal wall closure after elective abdominal aortic aneurysm repair with midline laparotomy incision: Updated systematic review including time-to-event meta-analysis and trial sequential analysis of randomized controlled trials. </w:t>
      </w:r>
      <w:r w:rsidRPr="00AA2FFF">
        <w:rPr>
          <w:rFonts w:ascii="Times New Roman" w:eastAsia="Times New Roman" w:hAnsi="Times New Roman" w:cs="Times New Roman"/>
          <w:i/>
          <w:iCs/>
          <w:kern w:val="0"/>
          <w:sz w:val="24"/>
          <w:szCs w:val="24"/>
          <w:lang w:val="en-US"/>
        </w:rPr>
        <w:t>Annals of Vascular Surgery, 109</w:t>
      </w:r>
      <w:r w:rsidRPr="00AA2FFF">
        <w:rPr>
          <w:rFonts w:ascii="Times New Roman" w:eastAsia="Times New Roman" w:hAnsi="Times New Roman" w:cs="Times New Roman"/>
          <w:kern w:val="0"/>
          <w:sz w:val="24"/>
          <w:szCs w:val="24"/>
          <w:lang w:val="en-US"/>
        </w:rPr>
        <w:t xml:space="preserve">, 149–161. </w:t>
      </w:r>
      <w:hyperlink r:id="rId20" w:tgtFrame="_new" w:history="1">
        <w:r w:rsidRPr="00AA2FFF">
          <w:rPr>
            <w:rFonts w:ascii="Times New Roman" w:eastAsia="Times New Roman" w:hAnsi="Times New Roman" w:cs="Times New Roman"/>
            <w:color w:val="0000FF"/>
            <w:kern w:val="0"/>
            <w:sz w:val="24"/>
            <w:szCs w:val="24"/>
            <w:u w:val="single"/>
            <w:lang w:val="en-US"/>
          </w:rPr>
          <w:t>https://doi.org/10.1016/j.avsg.2024.06.026</w:t>
        </w:r>
      </w:hyperlink>
      <w:r w:rsidRPr="00AA2FFF">
        <w:rPr>
          <w:rFonts w:ascii="Times New Roman" w:eastAsia="Times New Roman" w:hAnsi="Times New Roman" w:cs="Times New Roman"/>
          <w:kern w:val="0"/>
          <w:sz w:val="24"/>
          <w:szCs w:val="24"/>
          <w:lang w:val="en-US"/>
        </w:rPr>
        <w:t xml:space="preserve"> </w:t>
      </w:r>
    </w:p>
    <w:p w14:paraId="60BC998A" w14:textId="39A8D2C5"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Hope, W. W., Abdul, W., &amp; Winters, R. (2023). Abdominal wall reconstruction. In </w:t>
      </w:r>
      <w:proofErr w:type="spellStart"/>
      <w:r w:rsidRPr="00AA2FFF">
        <w:rPr>
          <w:rFonts w:ascii="Times New Roman" w:eastAsia="Times New Roman" w:hAnsi="Times New Roman" w:cs="Times New Roman"/>
          <w:i/>
          <w:iCs/>
          <w:kern w:val="0"/>
          <w:sz w:val="24"/>
          <w:szCs w:val="24"/>
          <w:lang w:val="en-US"/>
        </w:rPr>
        <w:t>StatPearls</w:t>
      </w:r>
      <w:proofErr w:type="spellEnd"/>
      <w:r w:rsidRPr="00AA2FFF">
        <w:rPr>
          <w:rFonts w:ascii="Times New Roman" w:eastAsia="Times New Roman" w:hAnsi="Times New Roman" w:cs="Times New Roman"/>
          <w:kern w:val="0"/>
          <w:sz w:val="24"/>
          <w:szCs w:val="24"/>
          <w:lang w:val="en-US"/>
        </w:rPr>
        <w:t xml:space="preserve">. </w:t>
      </w:r>
      <w:proofErr w:type="spellStart"/>
      <w:r w:rsidRPr="00AA2FFF">
        <w:rPr>
          <w:rFonts w:ascii="Times New Roman" w:eastAsia="Times New Roman" w:hAnsi="Times New Roman" w:cs="Times New Roman"/>
          <w:kern w:val="0"/>
          <w:sz w:val="24"/>
          <w:szCs w:val="24"/>
          <w:lang w:val="en-US"/>
        </w:rPr>
        <w:t>StatPearls</w:t>
      </w:r>
      <w:proofErr w:type="spellEnd"/>
      <w:r w:rsidRPr="00AA2FFF">
        <w:rPr>
          <w:rFonts w:ascii="Times New Roman" w:eastAsia="Times New Roman" w:hAnsi="Times New Roman" w:cs="Times New Roman"/>
          <w:kern w:val="0"/>
          <w:sz w:val="24"/>
          <w:szCs w:val="24"/>
          <w:lang w:val="en-US"/>
        </w:rPr>
        <w:t xml:space="preserve"> Publishing. </w:t>
      </w:r>
      <w:hyperlink r:id="rId21" w:tgtFrame="_new" w:history="1">
        <w:r w:rsidRPr="00AA2FFF">
          <w:rPr>
            <w:rFonts w:ascii="Times New Roman" w:eastAsia="Times New Roman" w:hAnsi="Times New Roman" w:cs="Times New Roman"/>
            <w:color w:val="0000FF"/>
            <w:kern w:val="0"/>
            <w:sz w:val="24"/>
            <w:szCs w:val="24"/>
            <w:u w:val="single"/>
            <w:lang w:val="en-US"/>
          </w:rPr>
          <w:t>https://www.ncbi.nlm.nih.gov/books/NBK431108/</w:t>
        </w:r>
      </w:hyperlink>
      <w:r w:rsidRPr="00AA2FFF">
        <w:rPr>
          <w:rFonts w:ascii="Times New Roman" w:eastAsia="Times New Roman" w:hAnsi="Times New Roman" w:cs="Times New Roman"/>
          <w:kern w:val="0"/>
          <w:sz w:val="24"/>
          <w:szCs w:val="24"/>
          <w:lang w:val="en-US"/>
        </w:rPr>
        <w:t xml:space="preserve"> </w:t>
      </w:r>
    </w:p>
    <w:p w14:paraId="3E5B3600" w14:textId="1AEF51E4"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Zhang, Y., Chen, B., Zhu, J., &amp; Chen, L. (2015). Squamous cell carcinoma of unknown primary site presenting with an abdominal wall lesion as the primary symptom: A case report and review of the literature. </w:t>
      </w:r>
      <w:r w:rsidRPr="00AA2FFF">
        <w:rPr>
          <w:rFonts w:ascii="Times New Roman" w:eastAsia="Times New Roman" w:hAnsi="Times New Roman" w:cs="Times New Roman"/>
          <w:i/>
          <w:iCs/>
          <w:kern w:val="0"/>
          <w:sz w:val="24"/>
          <w:szCs w:val="24"/>
          <w:lang w:val="en-US"/>
        </w:rPr>
        <w:t>Oncology Letters, 10</w:t>
      </w:r>
      <w:r w:rsidRPr="00AA2FFF">
        <w:rPr>
          <w:rFonts w:ascii="Times New Roman" w:eastAsia="Times New Roman" w:hAnsi="Times New Roman" w:cs="Times New Roman"/>
          <w:kern w:val="0"/>
          <w:sz w:val="24"/>
          <w:szCs w:val="24"/>
          <w:lang w:val="en-US"/>
        </w:rPr>
        <w:t xml:space="preserve">(4), 2161–2165. </w:t>
      </w:r>
      <w:hyperlink r:id="rId22" w:tgtFrame="_new" w:history="1">
        <w:r w:rsidRPr="00AA2FFF">
          <w:rPr>
            <w:rFonts w:ascii="Times New Roman" w:eastAsia="Times New Roman" w:hAnsi="Times New Roman" w:cs="Times New Roman"/>
            <w:color w:val="0000FF"/>
            <w:kern w:val="0"/>
            <w:sz w:val="24"/>
            <w:szCs w:val="24"/>
            <w:u w:val="single"/>
            <w:lang w:val="en-US"/>
          </w:rPr>
          <w:t>https://doi.org/10.3892/ol.2015.3520</w:t>
        </w:r>
      </w:hyperlink>
      <w:r w:rsidRPr="00AA2FFF">
        <w:rPr>
          <w:rFonts w:ascii="Times New Roman" w:eastAsia="Times New Roman" w:hAnsi="Times New Roman" w:cs="Times New Roman"/>
          <w:kern w:val="0"/>
          <w:sz w:val="24"/>
          <w:szCs w:val="24"/>
          <w:lang w:val="en-US"/>
        </w:rPr>
        <w:t xml:space="preserve"> </w:t>
      </w:r>
    </w:p>
    <w:p w14:paraId="4C3362EF" w14:textId="3768792B"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Halim, A. S., &amp; </w:t>
      </w:r>
      <w:proofErr w:type="spellStart"/>
      <w:r w:rsidRPr="00AA2FFF">
        <w:rPr>
          <w:rFonts w:ascii="Times New Roman" w:eastAsia="Times New Roman" w:hAnsi="Times New Roman" w:cs="Times New Roman"/>
          <w:kern w:val="0"/>
          <w:sz w:val="24"/>
          <w:szCs w:val="24"/>
          <w:lang w:val="en-US"/>
        </w:rPr>
        <w:t>Ramasenderan</w:t>
      </w:r>
      <w:proofErr w:type="spellEnd"/>
      <w:r w:rsidRPr="00AA2FFF">
        <w:rPr>
          <w:rFonts w:ascii="Times New Roman" w:eastAsia="Times New Roman" w:hAnsi="Times New Roman" w:cs="Times New Roman"/>
          <w:kern w:val="0"/>
          <w:sz w:val="24"/>
          <w:szCs w:val="24"/>
          <w:lang w:val="en-US"/>
        </w:rPr>
        <w:t xml:space="preserve">, N. (2023). High-risk cutaneous squamous cell carcinoma (CSCC): Challenges and emerging therapies. </w:t>
      </w:r>
      <w:r w:rsidRPr="00AA2FFF">
        <w:rPr>
          <w:rFonts w:ascii="Times New Roman" w:eastAsia="Times New Roman" w:hAnsi="Times New Roman" w:cs="Times New Roman"/>
          <w:i/>
          <w:iCs/>
          <w:kern w:val="0"/>
          <w:sz w:val="24"/>
          <w:szCs w:val="24"/>
          <w:lang w:val="en-US"/>
        </w:rPr>
        <w:t>Asian Journal of Surgery, 46</w:t>
      </w:r>
      <w:r w:rsidRPr="00AA2FFF">
        <w:rPr>
          <w:rFonts w:ascii="Times New Roman" w:eastAsia="Times New Roman" w:hAnsi="Times New Roman" w:cs="Times New Roman"/>
          <w:kern w:val="0"/>
          <w:sz w:val="24"/>
          <w:szCs w:val="24"/>
          <w:lang w:val="en-US"/>
        </w:rPr>
        <w:t xml:space="preserve">(1), 47–51. </w:t>
      </w:r>
      <w:hyperlink r:id="rId23" w:tgtFrame="_new" w:history="1">
        <w:r w:rsidRPr="00AA2FFF">
          <w:rPr>
            <w:rFonts w:ascii="Times New Roman" w:eastAsia="Times New Roman" w:hAnsi="Times New Roman" w:cs="Times New Roman"/>
            <w:color w:val="0000FF"/>
            <w:kern w:val="0"/>
            <w:sz w:val="24"/>
            <w:szCs w:val="24"/>
            <w:u w:val="single"/>
            <w:lang w:val="en-US"/>
          </w:rPr>
          <w:t>https://doi.org/10.1016/j.asjsur.2022.04.079</w:t>
        </w:r>
      </w:hyperlink>
      <w:r w:rsidRPr="00AA2FFF">
        <w:rPr>
          <w:rFonts w:ascii="Times New Roman" w:eastAsia="Times New Roman" w:hAnsi="Times New Roman" w:cs="Times New Roman"/>
          <w:kern w:val="0"/>
          <w:sz w:val="24"/>
          <w:szCs w:val="24"/>
          <w:lang w:val="en-US"/>
        </w:rPr>
        <w:t xml:space="preserve"> </w:t>
      </w:r>
    </w:p>
    <w:p w14:paraId="6A6748DB" w14:textId="038100B9"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proofErr w:type="spellStart"/>
      <w:r w:rsidRPr="00AA2FFF">
        <w:rPr>
          <w:rFonts w:ascii="Times New Roman" w:eastAsia="Times New Roman" w:hAnsi="Times New Roman" w:cs="Times New Roman"/>
          <w:kern w:val="0"/>
          <w:sz w:val="24"/>
          <w:szCs w:val="24"/>
          <w:lang w:val="en-US"/>
        </w:rPr>
        <w:t>Bălășescu</w:t>
      </w:r>
      <w:proofErr w:type="spellEnd"/>
      <w:r w:rsidRPr="00AA2FFF">
        <w:rPr>
          <w:rFonts w:ascii="Times New Roman" w:eastAsia="Times New Roman" w:hAnsi="Times New Roman" w:cs="Times New Roman"/>
          <w:kern w:val="0"/>
          <w:sz w:val="24"/>
          <w:szCs w:val="24"/>
          <w:lang w:val="en-US"/>
        </w:rPr>
        <w:t xml:space="preserve">, E., Gheorghe, A. C., Moroianu, A., Turcu, G., </w:t>
      </w:r>
      <w:proofErr w:type="spellStart"/>
      <w:r w:rsidRPr="00AA2FFF">
        <w:rPr>
          <w:rFonts w:ascii="Times New Roman" w:eastAsia="Times New Roman" w:hAnsi="Times New Roman" w:cs="Times New Roman"/>
          <w:kern w:val="0"/>
          <w:sz w:val="24"/>
          <w:szCs w:val="24"/>
          <w:lang w:val="en-US"/>
        </w:rPr>
        <w:t>Brînzea</w:t>
      </w:r>
      <w:proofErr w:type="spellEnd"/>
      <w:r w:rsidRPr="00AA2FFF">
        <w:rPr>
          <w:rFonts w:ascii="Times New Roman" w:eastAsia="Times New Roman" w:hAnsi="Times New Roman" w:cs="Times New Roman"/>
          <w:kern w:val="0"/>
          <w:sz w:val="24"/>
          <w:szCs w:val="24"/>
          <w:lang w:val="en-US"/>
        </w:rPr>
        <w:t xml:space="preserve">, A., </w:t>
      </w:r>
      <w:proofErr w:type="spellStart"/>
      <w:r w:rsidRPr="00AA2FFF">
        <w:rPr>
          <w:rFonts w:ascii="Times New Roman" w:eastAsia="Times New Roman" w:hAnsi="Times New Roman" w:cs="Times New Roman"/>
          <w:kern w:val="0"/>
          <w:sz w:val="24"/>
          <w:szCs w:val="24"/>
          <w:lang w:val="en-US"/>
        </w:rPr>
        <w:t>Antohe</w:t>
      </w:r>
      <w:proofErr w:type="spellEnd"/>
      <w:r w:rsidRPr="00AA2FFF">
        <w:rPr>
          <w:rFonts w:ascii="Times New Roman" w:eastAsia="Times New Roman" w:hAnsi="Times New Roman" w:cs="Times New Roman"/>
          <w:kern w:val="0"/>
          <w:sz w:val="24"/>
          <w:szCs w:val="24"/>
          <w:lang w:val="en-US"/>
        </w:rPr>
        <w:t xml:space="preserve">, M., Hodorogea, A., Manea, L., Balaban, M., Andrei, R., </w:t>
      </w:r>
      <w:proofErr w:type="spellStart"/>
      <w:r w:rsidRPr="00AA2FFF">
        <w:rPr>
          <w:rFonts w:ascii="Times New Roman" w:eastAsia="Times New Roman" w:hAnsi="Times New Roman" w:cs="Times New Roman"/>
          <w:kern w:val="0"/>
          <w:sz w:val="24"/>
          <w:szCs w:val="24"/>
          <w:lang w:val="en-US"/>
        </w:rPr>
        <w:t>Hulea</w:t>
      </w:r>
      <w:proofErr w:type="spellEnd"/>
      <w:r w:rsidRPr="00AA2FFF">
        <w:rPr>
          <w:rFonts w:ascii="Times New Roman" w:eastAsia="Times New Roman" w:hAnsi="Times New Roman" w:cs="Times New Roman"/>
          <w:kern w:val="0"/>
          <w:sz w:val="24"/>
          <w:szCs w:val="24"/>
          <w:lang w:val="en-US"/>
        </w:rPr>
        <w:t xml:space="preserve">, I., Popp, C. G., Nichita, L., </w:t>
      </w:r>
      <w:proofErr w:type="spellStart"/>
      <w:r w:rsidRPr="00AA2FFF">
        <w:rPr>
          <w:rFonts w:ascii="Times New Roman" w:eastAsia="Times New Roman" w:hAnsi="Times New Roman" w:cs="Times New Roman"/>
          <w:kern w:val="0"/>
          <w:sz w:val="24"/>
          <w:szCs w:val="24"/>
          <w:lang w:val="en-US"/>
        </w:rPr>
        <w:t>Cioplea</w:t>
      </w:r>
      <w:proofErr w:type="spellEnd"/>
      <w:r w:rsidRPr="00AA2FFF">
        <w:rPr>
          <w:rFonts w:ascii="Times New Roman" w:eastAsia="Times New Roman" w:hAnsi="Times New Roman" w:cs="Times New Roman"/>
          <w:kern w:val="0"/>
          <w:sz w:val="24"/>
          <w:szCs w:val="24"/>
          <w:lang w:val="en-US"/>
        </w:rPr>
        <w:t xml:space="preserve">, M. D., </w:t>
      </w:r>
      <w:proofErr w:type="spellStart"/>
      <w:r w:rsidRPr="00AA2FFF">
        <w:rPr>
          <w:rFonts w:ascii="Times New Roman" w:eastAsia="Times New Roman" w:hAnsi="Times New Roman" w:cs="Times New Roman"/>
          <w:kern w:val="0"/>
          <w:sz w:val="24"/>
          <w:szCs w:val="24"/>
          <w:lang w:val="en-US"/>
        </w:rPr>
        <w:t>Zurac</w:t>
      </w:r>
      <w:proofErr w:type="spellEnd"/>
      <w:r w:rsidRPr="00AA2FFF">
        <w:rPr>
          <w:rFonts w:ascii="Times New Roman" w:eastAsia="Times New Roman" w:hAnsi="Times New Roman" w:cs="Times New Roman"/>
          <w:kern w:val="0"/>
          <w:sz w:val="24"/>
          <w:szCs w:val="24"/>
          <w:lang w:val="en-US"/>
        </w:rPr>
        <w:t xml:space="preserve">, S. A., Ion, D. A., &amp; Nedelcu, R. I. (2022). Role of immunohistochemistry in the diagnosis and staging of cutaneous squamous-cell carcinomas (Review). </w:t>
      </w:r>
      <w:r w:rsidRPr="00AA2FFF">
        <w:rPr>
          <w:rFonts w:ascii="Times New Roman" w:eastAsia="Times New Roman" w:hAnsi="Times New Roman" w:cs="Times New Roman"/>
          <w:i/>
          <w:iCs/>
          <w:kern w:val="0"/>
          <w:sz w:val="24"/>
          <w:szCs w:val="24"/>
          <w:lang w:val="en-US"/>
        </w:rPr>
        <w:t>Experimental and Therapeutic Medicine, 23</w:t>
      </w:r>
      <w:r w:rsidRPr="00AA2FFF">
        <w:rPr>
          <w:rFonts w:ascii="Times New Roman" w:eastAsia="Times New Roman" w:hAnsi="Times New Roman" w:cs="Times New Roman"/>
          <w:kern w:val="0"/>
          <w:sz w:val="24"/>
          <w:szCs w:val="24"/>
          <w:lang w:val="en-US"/>
        </w:rPr>
        <w:t xml:space="preserve">(6), 383. </w:t>
      </w:r>
      <w:hyperlink r:id="rId24" w:tgtFrame="_new" w:history="1">
        <w:r w:rsidRPr="00AA2FFF">
          <w:rPr>
            <w:rFonts w:ascii="Times New Roman" w:eastAsia="Times New Roman" w:hAnsi="Times New Roman" w:cs="Times New Roman"/>
            <w:color w:val="0000FF"/>
            <w:kern w:val="0"/>
            <w:sz w:val="24"/>
            <w:szCs w:val="24"/>
            <w:u w:val="single"/>
            <w:lang w:val="en-US"/>
          </w:rPr>
          <w:t>https://doi.org/10.3892/etm.2022.11308</w:t>
        </w:r>
      </w:hyperlink>
      <w:r w:rsidRPr="00AA2FFF">
        <w:rPr>
          <w:rFonts w:ascii="Times New Roman" w:eastAsia="Times New Roman" w:hAnsi="Times New Roman" w:cs="Times New Roman"/>
          <w:kern w:val="0"/>
          <w:sz w:val="24"/>
          <w:szCs w:val="24"/>
          <w:lang w:val="en-US"/>
        </w:rPr>
        <w:t xml:space="preserve"> </w:t>
      </w:r>
    </w:p>
    <w:p w14:paraId="1762F831" w14:textId="425C4FDD"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Jiang, R., Fritz, M., &amp; </w:t>
      </w:r>
      <w:proofErr w:type="spellStart"/>
      <w:r w:rsidRPr="00AA2FFF">
        <w:rPr>
          <w:rFonts w:ascii="Times New Roman" w:eastAsia="Times New Roman" w:hAnsi="Times New Roman" w:cs="Times New Roman"/>
          <w:kern w:val="0"/>
          <w:sz w:val="24"/>
          <w:szCs w:val="24"/>
          <w:lang w:val="en-US"/>
        </w:rPr>
        <w:t>Que</w:t>
      </w:r>
      <w:proofErr w:type="spellEnd"/>
      <w:r w:rsidRPr="00AA2FFF">
        <w:rPr>
          <w:rFonts w:ascii="Times New Roman" w:eastAsia="Times New Roman" w:hAnsi="Times New Roman" w:cs="Times New Roman"/>
          <w:kern w:val="0"/>
          <w:sz w:val="24"/>
          <w:szCs w:val="24"/>
          <w:lang w:val="en-US"/>
        </w:rPr>
        <w:t xml:space="preserve">, S. K. T. (2024). Cutaneous squamous cell carcinoma: An updated review. </w:t>
      </w:r>
      <w:r w:rsidRPr="00AA2FFF">
        <w:rPr>
          <w:rFonts w:ascii="Times New Roman" w:eastAsia="Times New Roman" w:hAnsi="Times New Roman" w:cs="Times New Roman"/>
          <w:i/>
          <w:iCs/>
          <w:kern w:val="0"/>
          <w:sz w:val="24"/>
          <w:szCs w:val="24"/>
          <w:lang w:val="en-US"/>
        </w:rPr>
        <w:t>Cancers, 16</w:t>
      </w:r>
      <w:r w:rsidRPr="00AA2FFF">
        <w:rPr>
          <w:rFonts w:ascii="Times New Roman" w:eastAsia="Times New Roman" w:hAnsi="Times New Roman" w:cs="Times New Roman"/>
          <w:kern w:val="0"/>
          <w:sz w:val="24"/>
          <w:szCs w:val="24"/>
          <w:lang w:val="en-US"/>
        </w:rPr>
        <w:t xml:space="preserve">(10), 1800. </w:t>
      </w:r>
      <w:hyperlink r:id="rId25" w:tgtFrame="_new" w:history="1">
        <w:r w:rsidRPr="00AA2FFF">
          <w:rPr>
            <w:rFonts w:ascii="Times New Roman" w:eastAsia="Times New Roman" w:hAnsi="Times New Roman" w:cs="Times New Roman"/>
            <w:color w:val="0000FF"/>
            <w:kern w:val="0"/>
            <w:sz w:val="24"/>
            <w:szCs w:val="24"/>
            <w:u w:val="single"/>
            <w:lang w:val="en-US"/>
          </w:rPr>
          <w:t>https://doi.org/10.3390/cancers16101800</w:t>
        </w:r>
      </w:hyperlink>
      <w:r w:rsidRPr="00AA2FFF">
        <w:rPr>
          <w:rFonts w:ascii="Times New Roman" w:eastAsia="Times New Roman" w:hAnsi="Times New Roman" w:cs="Times New Roman"/>
          <w:kern w:val="0"/>
          <w:sz w:val="24"/>
          <w:szCs w:val="24"/>
          <w:lang w:val="en-US"/>
        </w:rPr>
        <w:t xml:space="preserve"> </w:t>
      </w:r>
    </w:p>
    <w:p w14:paraId="4AD8223A" w14:textId="430ED966"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Muto, P., &amp; Pastore, F. (2021). Radiotherapy in the adjuvant and advanced setting of CSCC. </w:t>
      </w:r>
      <w:r w:rsidRPr="00AA2FFF">
        <w:rPr>
          <w:rFonts w:ascii="Times New Roman" w:eastAsia="Times New Roman" w:hAnsi="Times New Roman" w:cs="Times New Roman"/>
          <w:i/>
          <w:iCs/>
          <w:kern w:val="0"/>
          <w:sz w:val="24"/>
          <w:szCs w:val="24"/>
          <w:lang w:val="en-US"/>
        </w:rPr>
        <w:t>Dermatology Practical &amp; Conceptual, 11</w:t>
      </w:r>
      <w:r w:rsidRPr="00AA2FFF">
        <w:rPr>
          <w:rFonts w:ascii="Times New Roman" w:eastAsia="Times New Roman" w:hAnsi="Times New Roman" w:cs="Times New Roman"/>
          <w:kern w:val="0"/>
          <w:sz w:val="24"/>
          <w:szCs w:val="24"/>
          <w:lang w:val="en-US"/>
        </w:rPr>
        <w:t xml:space="preserve">(Suppl 2), e2021168S. </w:t>
      </w:r>
      <w:hyperlink r:id="rId26" w:tgtFrame="_new" w:history="1">
        <w:r w:rsidRPr="00AA2FFF">
          <w:rPr>
            <w:rFonts w:ascii="Times New Roman" w:eastAsia="Times New Roman" w:hAnsi="Times New Roman" w:cs="Times New Roman"/>
            <w:color w:val="0000FF"/>
            <w:kern w:val="0"/>
            <w:sz w:val="24"/>
            <w:szCs w:val="24"/>
            <w:u w:val="single"/>
            <w:lang w:val="en-US"/>
          </w:rPr>
          <w:t>https://doi.org/10.5826/dpc.11S2a168S</w:t>
        </w:r>
      </w:hyperlink>
      <w:r w:rsidRPr="00AA2FFF">
        <w:rPr>
          <w:rFonts w:ascii="Times New Roman" w:eastAsia="Times New Roman" w:hAnsi="Times New Roman" w:cs="Times New Roman"/>
          <w:kern w:val="0"/>
          <w:sz w:val="24"/>
          <w:szCs w:val="24"/>
          <w:lang w:val="en-US"/>
        </w:rPr>
        <w:t xml:space="preserve"> </w:t>
      </w:r>
    </w:p>
    <w:p w14:paraId="60A5EE46" w14:textId="2C54A70F"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proofErr w:type="spellStart"/>
      <w:r w:rsidRPr="00AA2FFF">
        <w:rPr>
          <w:rFonts w:ascii="Times New Roman" w:eastAsia="Times New Roman" w:hAnsi="Times New Roman" w:cs="Times New Roman"/>
          <w:kern w:val="0"/>
          <w:sz w:val="24"/>
          <w:szCs w:val="24"/>
          <w:lang w:val="en-US"/>
        </w:rPr>
        <w:t>Rischin</w:t>
      </w:r>
      <w:proofErr w:type="spellEnd"/>
      <w:r w:rsidRPr="00AA2FFF">
        <w:rPr>
          <w:rFonts w:ascii="Times New Roman" w:eastAsia="Times New Roman" w:hAnsi="Times New Roman" w:cs="Times New Roman"/>
          <w:kern w:val="0"/>
          <w:sz w:val="24"/>
          <w:szCs w:val="24"/>
          <w:lang w:val="en-US"/>
        </w:rPr>
        <w:t xml:space="preserve">, D., </w:t>
      </w:r>
      <w:proofErr w:type="spellStart"/>
      <w:r w:rsidRPr="00AA2FFF">
        <w:rPr>
          <w:rFonts w:ascii="Times New Roman" w:eastAsia="Times New Roman" w:hAnsi="Times New Roman" w:cs="Times New Roman"/>
          <w:kern w:val="0"/>
          <w:sz w:val="24"/>
          <w:szCs w:val="24"/>
          <w:lang w:val="en-US"/>
        </w:rPr>
        <w:t>Porceddu</w:t>
      </w:r>
      <w:proofErr w:type="spellEnd"/>
      <w:r w:rsidRPr="00AA2FFF">
        <w:rPr>
          <w:rFonts w:ascii="Times New Roman" w:eastAsia="Times New Roman" w:hAnsi="Times New Roman" w:cs="Times New Roman"/>
          <w:kern w:val="0"/>
          <w:sz w:val="24"/>
          <w:szCs w:val="24"/>
          <w:lang w:val="en-US"/>
        </w:rPr>
        <w:t xml:space="preserve">, S., Day, F., et al. (2025). Adjuvant </w:t>
      </w:r>
      <w:proofErr w:type="spellStart"/>
      <w:r w:rsidRPr="00AA2FFF">
        <w:rPr>
          <w:rFonts w:ascii="Times New Roman" w:eastAsia="Times New Roman" w:hAnsi="Times New Roman" w:cs="Times New Roman"/>
          <w:kern w:val="0"/>
          <w:sz w:val="24"/>
          <w:szCs w:val="24"/>
          <w:lang w:val="en-US"/>
        </w:rPr>
        <w:t>cemiplimab</w:t>
      </w:r>
      <w:proofErr w:type="spellEnd"/>
      <w:r w:rsidRPr="00AA2FFF">
        <w:rPr>
          <w:rFonts w:ascii="Times New Roman" w:eastAsia="Times New Roman" w:hAnsi="Times New Roman" w:cs="Times New Roman"/>
          <w:kern w:val="0"/>
          <w:sz w:val="24"/>
          <w:szCs w:val="24"/>
          <w:lang w:val="en-US"/>
        </w:rPr>
        <w:t xml:space="preserve"> or placebo in high-risk cutaneous squamous-cell carcinoma. </w:t>
      </w:r>
      <w:r w:rsidRPr="00AA2FFF">
        <w:rPr>
          <w:rFonts w:ascii="Times New Roman" w:eastAsia="Times New Roman" w:hAnsi="Times New Roman" w:cs="Times New Roman"/>
          <w:i/>
          <w:iCs/>
          <w:kern w:val="0"/>
          <w:sz w:val="24"/>
          <w:szCs w:val="24"/>
          <w:lang w:val="en-US"/>
        </w:rPr>
        <w:t>The New England Journal of Medicine, 393</w:t>
      </w:r>
      <w:r w:rsidRPr="00AA2FFF">
        <w:rPr>
          <w:rFonts w:ascii="Times New Roman" w:eastAsia="Times New Roman" w:hAnsi="Times New Roman" w:cs="Times New Roman"/>
          <w:kern w:val="0"/>
          <w:sz w:val="24"/>
          <w:szCs w:val="24"/>
          <w:lang w:val="en-US"/>
        </w:rPr>
        <w:t xml:space="preserve">(8), 774–785. </w:t>
      </w:r>
      <w:hyperlink r:id="rId27" w:tgtFrame="_new" w:history="1">
        <w:r w:rsidRPr="00AA2FFF">
          <w:rPr>
            <w:rFonts w:ascii="Times New Roman" w:eastAsia="Times New Roman" w:hAnsi="Times New Roman" w:cs="Times New Roman"/>
            <w:color w:val="0000FF"/>
            <w:kern w:val="0"/>
            <w:sz w:val="24"/>
            <w:szCs w:val="24"/>
            <w:u w:val="single"/>
            <w:lang w:val="en-US"/>
          </w:rPr>
          <w:t>https://doi.org/10.1056/NEJMoa2502449</w:t>
        </w:r>
      </w:hyperlink>
      <w:r w:rsidRPr="00AA2FFF">
        <w:rPr>
          <w:rFonts w:ascii="Times New Roman" w:eastAsia="Times New Roman" w:hAnsi="Times New Roman" w:cs="Times New Roman"/>
          <w:kern w:val="0"/>
          <w:sz w:val="24"/>
          <w:szCs w:val="24"/>
          <w:lang w:val="en-US"/>
        </w:rPr>
        <w:t xml:space="preserve"> </w:t>
      </w:r>
    </w:p>
    <w:p w14:paraId="58B2E026" w14:textId="2ABFEE27"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Ruiz, E. S., Karia, P. S., Besaw, R., &amp; </w:t>
      </w:r>
      <w:proofErr w:type="spellStart"/>
      <w:r w:rsidRPr="00AA2FFF">
        <w:rPr>
          <w:rFonts w:ascii="Times New Roman" w:eastAsia="Times New Roman" w:hAnsi="Times New Roman" w:cs="Times New Roman"/>
          <w:kern w:val="0"/>
          <w:sz w:val="24"/>
          <w:szCs w:val="24"/>
          <w:lang w:val="en-US"/>
        </w:rPr>
        <w:t>Schmults</w:t>
      </w:r>
      <w:proofErr w:type="spellEnd"/>
      <w:r w:rsidRPr="00AA2FFF">
        <w:rPr>
          <w:rFonts w:ascii="Times New Roman" w:eastAsia="Times New Roman" w:hAnsi="Times New Roman" w:cs="Times New Roman"/>
          <w:kern w:val="0"/>
          <w:sz w:val="24"/>
          <w:szCs w:val="24"/>
          <w:lang w:val="en-US"/>
        </w:rPr>
        <w:t xml:space="preserve">, C. D. (2019). Performance of the American Joint Committee on Cancer Staging Manual, 8th edition vs the Brigham and </w:t>
      </w:r>
      <w:r w:rsidRPr="00AA2FFF">
        <w:rPr>
          <w:rFonts w:ascii="Times New Roman" w:eastAsia="Times New Roman" w:hAnsi="Times New Roman" w:cs="Times New Roman"/>
          <w:kern w:val="0"/>
          <w:sz w:val="24"/>
          <w:szCs w:val="24"/>
          <w:lang w:val="en-US"/>
        </w:rPr>
        <w:lastRenderedPageBreak/>
        <w:t xml:space="preserve">Women’s Hospital Tumor Classification System for cutaneous squamous cell carcinoma. </w:t>
      </w:r>
      <w:r w:rsidRPr="00AA2FFF">
        <w:rPr>
          <w:rFonts w:ascii="Times New Roman" w:eastAsia="Times New Roman" w:hAnsi="Times New Roman" w:cs="Times New Roman"/>
          <w:i/>
          <w:iCs/>
          <w:kern w:val="0"/>
          <w:sz w:val="24"/>
          <w:szCs w:val="24"/>
          <w:lang w:val="en-US"/>
        </w:rPr>
        <w:t>JAMA Dermatology, 155</w:t>
      </w:r>
      <w:r w:rsidRPr="00AA2FFF">
        <w:rPr>
          <w:rFonts w:ascii="Times New Roman" w:eastAsia="Times New Roman" w:hAnsi="Times New Roman" w:cs="Times New Roman"/>
          <w:kern w:val="0"/>
          <w:sz w:val="24"/>
          <w:szCs w:val="24"/>
          <w:lang w:val="en-US"/>
        </w:rPr>
        <w:t xml:space="preserve">(7), 819–825. </w:t>
      </w:r>
      <w:hyperlink r:id="rId28" w:tgtFrame="_new" w:history="1">
        <w:r w:rsidRPr="00AA2FFF">
          <w:rPr>
            <w:rFonts w:ascii="Times New Roman" w:eastAsia="Times New Roman" w:hAnsi="Times New Roman" w:cs="Times New Roman"/>
            <w:color w:val="0000FF"/>
            <w:kern w:val="0"/>
            <w:sz w:val="24"/>
            <w:szCs w:val="24"/>
            <w:u w:val="single"/>
            <w:lang w:val="en-US"/>
          </w:rPr>
          <w:t>https://doi.org/10.1001/jamadermatol.2019.0032</w:t>
        </w:r>
      </w:hyperlink>
      <w:r w:rsidRPr="00AA2FFF">
        <w:rPr>
          <w:rFonts w:ascii="Times New Roman" w:eastAsia="Times New Roman" w:hAnsi="Times New Roman" w:cs="Times New Roman"/>
          <w:kern w:val="0"/>
          <w:sz w:val="24"/>
          <w:szCs w:val="24"/>
          <w:lang w:val="en-US"/>
        </w:rPr>
        <w:t xml:space="preserve"> </w:t>
      </w:r>
    </w:p>
    <w:p w14:paraId="614E0125" w14:textId="32A32BC4"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Patil, S., Chaudhary, F., Sehgal, S., Patil, A., &amp; Rathod, A. (2025). Spectrum of cutaneous squamous cell carcinoma: A case study emphasizing diagnostic vigilance. </w:t>
      </w:r>
      <w:r w:rsidRPr="00AA2FFF">
        <w:rPr>
          <w:rFonts w:ascii="Times New Roman" w:eastAsia="Times New Roman" w:hAnsi="Times New Roman" w:cs="Times New Roman"/>
          <w:i/>
          <w:iCs/>
          <w:kern w:val="0"/>
          <w:sz w:val="24"/>
          <w:szCs w:val="24"/>
          <w:lang w:val="en-US"/>
        </w:rPr>
        <w:t>Asian Oncology Research Journal, 8</w:t>
      </w:r>
      <w:r w:rsidRPr="00AA2FFF">
        <w:rPr>
          <w:rFonts w:ascii="Times New Roman" w:eastAsia="Times New Roman" w:hAnsi="Times New Roman" w:cs="Times New Roman"/>
          <w:kern w:val="0"/>
          <w:sz w:val="24"/>
          <w:szCs w:val="24"/>
          <w:lang w:val="en-US"/>
        </w:rPr>
        <w:t xml:space="preserve">(1), 210–219. </w:t>
      </w:r>
      <w:hyperlink r:id="rId29" w:tgtFrame="_new" w:history="1">
        <w:r w:rsidRPr="00AA2FFF">
          <w:rPr>
            <w:rFonts w:ascii="Times New Roman" w:eastAsia="Times New Roman" w:hAnsi="Times New Roman" w:cs="Times New Roman"/>
            <w:color w:val="0000FF"/>
            <w:kern w:val="0"/>
            <w:sz w:val="24"/>
            <w:szCs w:val="24"/>
            <w:u w:val="single"/>
            <w:lang w:val="en-US"/>
          </w:rPr>
          <w:t>https://doi.org/10.9734/aorj/2025/v8i1117</w:t>
        </w:r>
      </w:hyperlink>
      <w:r w:rsidRPr="00AA2FFF">
        <w:rPr>
          <w:rFonts w:ascii="Times New Roman" w:eastAsia="Times New Roman" w:hAnsi="Times New Roman" w:cs="Times New Roman"/>
          <w:kern w:val="0"/>
          <w:sz w:val="24"/>
          <w:szCs w:val="24"/>
          <w:lang w:val="en-US"/>
        </w:rPr>
        <w:t xml:space="preserve"> </w:t>
      </w:r>
    </w:p>
    <w:p w14:paraId="088EE580" w14:textId="0509C0C3"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Subasri, P., Surya, R., Thenmozhi, A. J., &amp; Manivasagam, T. (2026). Hypericin confers photoprotection in UV-B-exposed mouse skin by attenuating oxidative stress and modulating autophagy. </w:t>
      </w:r>
      <w:r w:rsidRPr="00AA2FFF">
        <w:rPr>
          <w:rFonts w:ascii="Times New Roman" w:eastAsia="Times New Roman" w:hAnsi="Times New Roman" w:cs="Times New Roman"/>
          <w:i/>
          <w:iCs/>
          <w:kern w:val="0"/>
          <w:sz w:val="24"/>
          <w:szCs w:val="24"/>
          <w:lang w:val="en-US"/>
        </w:rPr>
        <w:t>Uttar Pradesh Journal of Zoology, 47</w:t>
      </w:r>
      <w:r w:rsidRPr="00AA2FFF">
        <w:rPr>
          <w:rFonts w:ascii="Times New Roman" w:eastAsia="Times New Roman" w:hAnsi="Times New Roman" w:cs="Times New Roman"/>
          <w:kern w:val="0"/>
          <w:sz w:val="24"/>
          <w:szCs w:val="24"/>
          <w:lang w:val="en-US"/>
        </w:rPr>
        <w:t xml:space="preserve">(1), 269–278. </w:t>
      </w:r>
      <w:hyperlink r:id="rId30" w:tgtFrame="_new" w:history="1">
        <w:r w:rsidRPr="00AA2FFF">
          <w:rPr>
            <w:rFonts w:ascii="Times New Roman" w:eastAsia="Times New Roman" w:hAnsi="Times New Roman" w:cs="Times New Roman"/>
            <w:color w:val="0000FF"/>
            <w:kern w:val="0"/>
            <w:sz w:val="24"/>
            <w:szCs w:val="24"/>
            <w:u w:val="single"/>
            <w:lang w:val="en-US"/>
          </w:rPr>
          <w:t>https://doi.org/10.56557/upjoz/2026/v47i15454</w:t>
        </w:r>
      </w:hyperlink>
      <w:r w:rsidRPr="00AA2FFF">
        <w:rPr>
          <w:rFonts w:ascii="Times New Roman" w:eastAsia="Times New Roman" w:hAnsi="Times New Roman" w:cs="Times New Roman"/>
          <w:kern w:val="0"/>
          <w:sz w:val="24"/>
          <w:szCs w:val="24"/>
          <w:lang w:val="en-US"/>
        </w:rPr>
        <w:t xml:space="preserve"> </w:t>
      </w:r>
    </w:p>
    <w:p w14:paraId="6D07190B" w14:textId="7BB94816"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Winge, M. C. G., Kellman, L. N., Guo, K., Tang, J. Y., </w:t>
      </w:r>
      <w:proofErr w:type="spellStart"/>
      <w:r w:rsidRPr="00AA2FFF">
        <w:rPr>
          <w:rFonts w:ascii="Times New Roman" w:eastAsia="Times New Roman" w:hAnsi="Times New Roman" w:cs="Times New Roman"/>
          <w:kern w:val="0"/>
          <w:sz w:val="24"/>
          <w:szCs w:val="24"/>
          <w:lang w:val="en-US"/>
        </w:rPr>
        <w:t>Swetter</w:t>
      </w:r>
      <w:proofErr w:type="spellEnd"/>
      <w:r w:rsidRPr="00AA2FFF">
        <w:rPr>
          <w:rFonts w:ascii="Times New Roman" w:eastAsia="Times New Roman" w:hAnsi="Times New Roman" w:cs="Times New Roman"/>
          <w:kern w:val="0"/>
          <w:sz w:val="24"/>
          <w:szCs w:val="24"/>
          <w:lang w:val="en-US"/>
        </w:rPr>
        <w:t xml:space="preserve">, S. M., Aasi, S. Z., Sarin, K. Y., Chang, A. L. S., &amp; Khavari, P. A. (2023). Advances in cutaneous squamous cell carcinoma. </w:t>
      </w:r>
      <w:r w:rsidRPr="00AA2FFF">
        <w:rPr>
          <w:rFonts w:ascii="Times New Roman" w:eastAsia="Times New Roman" w:hAnsi="Times New Roman" w:cs="Times New Roman"/>
          <w:i/>
          <w:iCs/>
          <w:kern w:val="0"/>
          <w:sz w:val="24"/>
          <w:szCs w:val="24"/>
          <w:lang w:val="en-US"/>
        </w:rPr>
        <w:t>Nature Reviews Cancer, 23</w:t>
      </w:r>
      <w:r w:rsidRPr="00AA2FFF">
        <w:rPr>
          <w:rFonts w:ascii="Times New Roman" w:eastAsia="Times New Roman" w:hAnsi="Times New Roman" w:cs="Times New Roman"/>
          <w:kern w:val="0"/>
          <w:sz w:val="24"/>
          <w:szCs w:val="24"/>
          <w:lang w:val="en-US"/>
        </w:rPr>
        <w:t xml:space="preserve">, 430–449. </w:t>
      </w:r>
      <w:hyperlink r:id="rId31" w:tgtFrame="_new" w:history="1">
        <w:r w:rsidRPr="00AA2FFF">
          <w:rPr>
            <w:rFonts w:ascii="Times New Roman" w:eastAsia="Times New Roman" w:hAnsi="Times New Roman" w:cs="Times New Roman"/>
            <w:color w:val="0000FF"/>
            <w:kern w:val="0"/>
            <w:sz w:val="24"/>
            <w:szCs w:val="24"/>
            <w:u w:val="single"/>
            <w:lang w:val="en-US"/>
          </w:rPr>
          <w:t>https://doi.org/10.1038/s41568-023-00583-5</w:t>
        </w:r>
      </w:hyperlink>
      <w:r w:rsidRPr="00AA2FFF">
        <w:rPr>
          <w:rFonts w:ascii="Times New Roman" w:eastAsia="Times New Roman" w:hAnsi="Times New Roman" w:cs="Times New Roman"/>
          <w:kern w:val="0"/>
          <w:sz w:val="24"/>
          <w:szCs w:val="24"/>
          <w:lang w:val="en-US"/>
        </w:rPr>
        <w:t xml:space="preserve"> </w:t>
      </w:r>
    </w:p>
    <w:p w14:paraId="4458A804" w14:textId="16CAEF5F" w:rsidR="00AA2FFF" w:rsidRPr="00AA2FFF" w:rsidRDefault="00AA2FFF" w:rsidP="00AA2FFF">
      <w:pPr>
        <w:suppressAutoHyphens w:val="0"/>
        <w:autoSpaceDN/>
        <w:bidi w:val="0"/>
        <w:spacing w:after="0" w:line="240" w:lineRule="auto"/>
        <w:ind w:left="1080" w:hanging="720"/>
        <w:jc w:val="both"/>
        <w:textAlignment w:val="auto"/>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en-US"/>
        </w:rPr>
        <w:t xml:space="preserve">Ran, N. A., Granger, E. E., </w:t>
      </w:r>
      <w:proofErr w:type="spellStart"/>
      <w:r w:rsidRPr="00AA2FFF">
        <w:rPr>
          <w:rFonts w:ascii="Times New Roman" w:eastAsia="Times New Roman" w:hAnsi="Times New Roman" w:cs="Times New Roman"/>
          <w:kern w:val="0"/>
          <w:sz w:val="24"/>
          <w:szCs w:val="24"/>
          <w:lang w:val="en-US"/>
        </w:rPr>
        <w:t>Brodland</w:t>
      </w:r>
      <w:proofErr w:type="spellEnd"/>
      <w:r w:rsidRPr="00AA2FFF">
        <w:rPr>
          <w:rFonts w:ascii="Times New Roman" w:eastAsia="Times New Roman" w:hAnsi="Times New Roman" w:cs="Times New Roman"/>
          <w:kern w:val="0"/>
          <w:sz w:val="24"/>
          <w:szCs w:val="24"/>
          <w:lang w:val="en-US"/>
        </w:rPr>
        <w:t xml:space="preserve">, D. G., </w:t>
      </w:r>
      <w:proofErr w:type="spellStart"/>
      <w:r w:rsidRPr="00AA2FFF">
        <w:rPr>
          <w:rFonts w:ascii="Times New Roman" w:eastAsia="Times New Roman" w:hAnsi="Times New Roman" w:cs="Times New Roman"/>
          <w:kern w:val="0"/>
          <w:sz w:val="24"/>
          <w:szCs w:val="24"/>
          <w:lang w:val="en-US"/>
        </w:rPr>
        <w:t>Cañueto</w:t>
      </w:r>
      <w:proofErr w:type="spellEnd"/>
      <w:r w:rsidRPr="00AA2FFF">
        <w:rPr>
          <w:rFonts w:ascii="Times New Roman" w:eastAsia="Times New Roman" w:hAnsi="Times New Roman" w:cs="Times New Roman"/>
          <w:kern w:val="0"/>
          <w:sz w:val="24"/>
          <w:szCs w:val="24"/>
          <w:lang w:val="en-US"/>
        </w:rPr>
        <w:t xml:space="preserve">, J., Carr, D. R., Carter, J. B., Carucci, J. A., </w:t>
      </w:r>
      <w:proofErr w:type="spellStart"/>
      <w:r w:rsidRPr="00AA2FFF">
        <w:rPr>
          <w:rFonts w:ascii="Times New Roman" w:eastAsia="Times New Roman" w:hAnsi="Times New Roman" w:cs="Times New Roman"/>
          <w:kern w:val="0"/>
          <w:sz w:val="24"/>
          <w:szCs w:val="24"/>
          <w:lang w:val="en-US"/>
        </w:rPr>
        <w:t>Hirotsu</w:t>
      </w:r>
      <w:proofErr w:type="spellEnd"/>
      <w:r w:rsidRPr="00AA2FFF">
        <w:rPr>
          <w:rFonts w:ascii="Times New Roman" w:eastAsia="Times New Roman" w:hAnsi="Times New Roman" w:cs="Times New Roman"/>
          <w:kern w:val="0"/>
          <w:sz w:val="24"/>
          <w:szCs w:val="24"/>
          <w:lang w:val="en-US"/>
        </w:rPr>
        <w:t xml:space="preserve">, K. E., Koyfman, S. A., Mangold, A. R., Girardi, F. M., Shahwan, K. T., Srivastava, D., </w:t>
      </w:r>
      <w:proofErr w:type="spellStart"/>
      <w:r w:rsidRPr="00AA2FFF">
        <w:rPr>
          <w:rFonts w:ascii="Times New Roman" w:eastAsia="Times New Roman" w:hAnsi="Times New Roman" w:cs="Times New Roman"/>
          <w:kern w:val="0"/>
          <w:sz w:val="24"/>
          <w:szCs w:val="24"/>
          <w:lang w:val="en-US"/>
        </w:rPr>
        <w:t>Vidimos</w:t>
      </w:r>
      <w:proofErr w:type="spellEnd"/>
      <w:r w:rsidRPr="00AA2FFF">
        <w:rPr>
          <w:rFonts w:ascii="Times New Roman" w:eastAsia="Times New Roman" w:hAnsi="Times New Roman" w:cs="Times New Roman"/>
          <w:kern w:val="0"/>
          <w:sz w:val="24"/>
          <w:szCs w:val="24"/>
          <w:lang w:val="en-US"/>
        </w:rPr>
        <w:t xml:space="preserve">, A. T., Willenbrink, T. J., Wysong, A., &amp; Ruiz, E. S. (2025). Risk factor number and recurrence, metastasis, and disease-related death in cutaneous squamous cell carcinoma. </w:t>
      </w:r>
      <w:r w:rsidRPr="00AA2FFF">
        <w:rPr>
          <w:rFonts w:ascii="Times New Roman" w:eastAsia="Times New Roman" w:hAnsi="Times New Roman" w:cs="Times New Roman"/>
          <w:i/>
          <w:iCs/>
          <w:kern w:val="0"/>
          <w:sz w:val="24"/>
          <w:szCs w:val="24"/>
          <w:lang w:val="en-US"/>
        </w:rPr>
        <w:t>JAMA Dermatology, 161</w:t>
      </w:r>
      <w:r w:rsidRPr="00AA2FFF">
        <w:rPr>
          <w:rFonts w:ascii="Times New Roman" w:eastAsia="Times New Roman" w:hAnsi="Times New Roman" w:cs="Times New Roman"/>
          <w:kern w:val="0"/>
          <w:sz w:val="24"/>
          <w:szCs w:val="24"/>
          <w:lang w:val="en-US"/>
        </w:rPr>
        <w:t xml:space="preserve">(6), 597–604. </w:t>
      </w:r>
      <w:hyperlink r:id="rId32" w:tgtFrame="_new" w:history="1">
        <w:r w:rsidRPr="00AA2FFF">
          <w:rPr>
            <w:rFonts w:ascii="Times New Roman" w:eastAsia="Times New Roman" w:hAnsi="Times New Roman" w:cs="Times New Roman"/>
            <w:color w:val="0000FF"/>
            <w:kern w:val="0"/>
            <w:sz w:val="24"/>
            <w:szCs w:val="24"/>
            <w:u w:val="single"/>
            <w:lang w:val="en-US"/>
          </w:rPr>
          <w:t>https://doi.org/10.1001/jamadermatol.2025.0128</w:t>
        </w:r>
      </w:hyperlink>
      <w:r w:rsidRPr="00AA2FFF">
        <w:rPr>
          <w:rFonts w:ascii="Times New Roman" w:eastAsia="Times New Roman" w:hAnsi="Times New Roman" w:cs="Times New Roman"/>
          <w:kern w:val="0"/>
          <w:sz w:val="24"/>
          <w:szCs w:val="24"/>
          <w:lang w:val="en-US"/>
        </w:rPr>
        <w:t xml:space="preserve"> </w:t>
      </w:r>
    </w:p>
    <w:p w14:paraId="47C56550" w14:textId="48B9EA27" w:rsidR="00075B0B" w:rsidRPr="00AA2FFF" w:rsidRDefault="00AA2FFF" w:rsidP="00AA2FFF">
      <w:pPr>
        <w:bidi w:val="0"/>
        <w:spacing w:before="100" w:after="100" w:line="240" w:lineRule="auto"/>
        <w:ind w:left="1080" w:hanging="720"/>
        <w:jc w:val="both"/>
        <w:rPr>
          <w:rFonts w:ascii="Times New Roman" w:eastAsia="Times New Roman" w:hAnsi="Times New Roman" w:cs="Times New Roman"/>
          <w:kern w:val="0"/>
          <w:sz w:val="24"/>
          <w:szCs w:val="24"/>
          <w:lang w:val="en-US"/>
        </w:rPr>
      </w:pPr>
      <w:r w:rsidRPr="00AA2FFF">
        <w:rPr>
          <w:rFonts w:ascii="Times New Roman" w:eastAsia="Times New Roman" w:hAnsi="Times New Roman" w:cs="Times New Roman"/>
          <w:kern w:val="0"/>
          <w:sz w:val="24"/>
          <w:szCs w:val="24"/>
          <w:lang w:val="nl-BE"/>
        </w:rPr>
        <w:t xml:space="preserve">Miodovnik, M., Dolev, Y., Buchen, R., Brezis, M. R., Nikolaevski-Berlin, A., Finkel, I., Wolf, I., Ospovat, I., Gutfeld, O., &amp; Leshem, Y. (2025). </w:t>
      </w:r>
      <w:r w:rsidRPr="00AA2FFF">
        <w:rPr>
          <w:rFonts w:ascii="Times New Roman" w:eastAsia="Times New Roman" w:hAnsi="Times New Roman" w:cs="Times New Roman"/>
          <w:kern w:val="0"/>
          <w:sz w:val="24"/>
          <w:szCs w:val="24"/>
          <w:lang w:val="en-US"/>
        </w:rPr>
        <w:t>Squamous cell carcinoma arising in chronically damaged skin (</w:t>
      </w:r>
      <w:proofErr w:type="spellStart"/>
      <w:r w:rsidRPr="00AA2FFF">
        <w:rPr>
          <w:rFonts w:ascii="Times New Roman" w:eastAsia="Times New Roman" w:hAnsi="Times New Roman" w:cs="Times New Roman"/>
          <w:kern w:val="0"/>
          <w:sz w:val="24"/>
          <w:szCs w:val="24"/>
          <w:lang w:val="en-US"/>
        </w:rPr>
        <w:t>Marjolin’s</w:t>
      </w:r>
      <w:proofErr w:type="spellEnd"/>
      <w:r w:rsidRPr="00AA2FFF">
        <w:rPr>
          <w:rFonts w:ascii="Times New Roman" w:eastAsia="Times New Roman" w:hAnsi="Times New Roman" w:cs="Times New Roman"/>
          <w:kern w:val="0"/>
          <w:sz w:val="24"/>
          <w:szCs w:val="24"/>
          <w:lang w:val="en-US"/>
        </w:rPr>
        <w:t xml:space="preserve"> ulcer): Still an unmet need in the era of immunotherapy. </w:t>
      </w:r>
      <w:r w:rsidRPr="00AA2FFF">
        <w:rPr>
          <w:rFonts w:ascii="Times New Roman" w:eastAsia="Times New Roman" w:hAnsi="Times New Roman" w:cs="Times New Roman"/>
          <w:i/>
          <w:iCs/>
          <w:kern w:val="0"/>
          <w:sz w:val="24"/>
          <w:szCs w:val="24"/>
          <w:lang w:val="en-US"/>
        </w:rPr>
        <w:t>The Oncologist, 30</w:t>
      </w:r>
      <w:r w:rsidRPr="00AA2FFF">
        <w:rPr>
          <w:rFonts w:ascii="Times New Roman" w:eastAsia="Times New Roman" w:hAnsi="Times New Roman" w:cs="Times New Roman"/>
          <w:kern w:val="0"/>
          <w:sz w:val="24"/>
          <w:szCs w:val="24"/>
          <w:lang w:val="en-US"/>
        </w:rPr>
        <w:t xml:space="preserve">(8), oyae326. </w:t>
      </w:r>
      <w:hyperlink r:id="rId33" w:tgtFrame="_new" w:history="1">
        <w:r w:rsidRPr="00AA2FFF">
          <w:rPr>
            <w:rFonts w:ascii="Times New Roman" w:eastAsia="Times New Roman" w:hAnsi="Times New Roman" w:cs="Times New Roman"/>
            <w:color w:val="0000FF"/>
            <w:kern w:val="0"/>
            <w:sz w:val="24"/>
            <w:szCs w:val="24"/>
            <w:u w:val="single"/>
            <w:lang w:val="en-US"/>
          </w:rPr>
          <w:t>https://doi.org/10.1093/oncolo/oyae326</w:t>
        </w:r>
      </w:hyperlink>
    </w:p>
    <w:sectPr w:rsidR="00075B0B" w:rsidRPr="00AA2FFF">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291E8" w14:textId="77777777" w:rsidR="003F3EE8" w:rsidRDefault="003F3EE8">
      <w:pPr>
        <w:spacing w:after="0" w:line="240" w:lineRule="auto"/>
      </w:pPr>
      <w:r>
        <w:separator/>
      </w:r>
    </w:p>
  </w:endnote>
  <w:endnote w:type="continuationSeparator" w:id="0">
    <w:p w14:paraId="75E8290E" w14:textId="77777777" w:rsidR="003F3EE8" w:rsidRDefault="003F3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B1482" w14:textId="77777777" w:rsidR="003F3EE8" w:rsidRDefault="003F3EE8">
      <w:pPr>
        <w:spacing w:after="0" w:line="240" w:lineRule="auto"/>
      </w:pPr>
      <w:r>
        <w:rPr>
          <w:color w:val="000000"/>
        </w:rPr>
        <w:separator/>
      </w:r>
    </w:p>
  </w:footnote>
  <w:footnote w:type="continuationSeparator" w:id="0">
    <w:p w14:paraId="2F8B26A3" w14:textId="77777777" w:rsidR="003F3EE8" w:rsidRDefault="003F3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83E5C"/>
    <w:multiLevelType w:val="multilevel"/>
    <w:tmpl w:val="0914C202"/>
    <w:lvl w:ilvl="0">
      <w:start w:val="1"/>
      <w:numFmt w:val="decimal"/>
      <w:lvlText w:val="%1."/>
      <w:lvlJc w:val="left"/>
      <w:pPr>
        <w:ind w:left="720" w:hanging="360"/>
      </w:pPr>
      <w:rPr>
        <w:rFonts w:ascii="Times New Roman" w:eastAsia="Calibri" w:hAnsi="Times New Roman" w:cs="Times New Roman"/>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0709ED"/>
    <w:multiLevelType w:val="hybridMultilevel"/>
    <w:tmpl w:val="F3EEA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F90920"/>
    <w:multiLevelType w:val="multilevel"/>
    <w:tmpl w:val="843ED140"/>
    <w:lvl w:ilvl="0">
      <w:start w:val="1"/>
      <w:numFmt w:val="decimal"/>
      <w:lvlText w:val="%1."/>
      <w:lvlJc w:val="left"/>
      <w:pPr>
        <w:ind w:left="720" w:hanging="360"/>
      </w:pPr>
      <w:rPr>
        <w:rFonts w:ascii="Times New Roman" w:hAnsi="Times New Roman" w:cs="Times New Roman"/>
        <w:sz w:val="24"/>
        <w:szCs w:val="24"/>
        <w:lang w:val="en-U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4E776E1B"/>
    <w:multiLevelType w:val="multilevel"/>
    <w:tmpl w:val="8DA8F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620860"/>
    <w:multiLevelType w:val="hybridMultilevel"/>
    <w:tmpl w:val="84622BA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5352608">
    <w:abstractNumId w:val="2"/>
  </w:num>
  <w:num w:numId="2" w16cid:durableId="735663262">
    <w:abstractNumId w:val="0"/>
  </w:num>
  <w:num w:numId="3" w16cid:durableId="1529445290">
    <w:abstractNumId w:val="3"/>
  </w:num>
  <w:num w:numId="4" w16cid:durableId="1853259598">
    <w:abstractNumId w:val="1"/>
  </w:num>
  <w:num w:numId="5" w16cid:durableId="1874342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2MzaxtDAyMjUyNjJU0lEKTi0uzszPAykwrAUASnrX7SwAAAA="/>
  </w:docVars>
  <w:rsids>
    <w:rsidRoot w:val="00075B0B"/>
    <w:rsid w:val="00045006"/>
    <w:rsid w:val="00052695"/>
    <w:rsid w:val="00075B0B"/>
    <w:rsid w:val="00085B06"/>
    <w:rsid w:val="000A199E"/>
    <w:rsid w:val="001076FA"/>
    <w:rsid w:val="00111A42"/>
    <w:rsid w:val="00122389"/>
    <w:rsid w:val="00137690"/>
    <w:rsid w:val="0015776C"/>
    <w:rsid w:val="00190C20"/>
    <w:rsid w:val="001C406A"/>
    <w:rsid w:val="001E0A04"/>
    <w:rsid w:val="001E5EC0"/>
    <w:rsid w:val="001E602D"/>
    <w:rsid w:val="00226F79"/>
    <w:rsid w:val="00230DAA"/>
    <w:rsid w:val="00296607"/>
    <w:rsid w:val="002E24AF"/>
    <w:rsid w:val="002F4E85"/>
    <w:rsid w:val="003439D5"/>
    <w:rsid w:val="0035511D"/>
    <w:rsid w:val="003562D6"/>
    <w:rsid w:val="00387AAE"/>
    <w:rsid w:val="003B0513"/>
    <w:rsid w:val="003B7BD1"/>
    <w:rsid w:val="003D2AE2"/>
    <w:rsid w:val="003D31B8"/>
    <w:rsid w:val="003F3EE8"/>
    <w:rsid w:val="004669CA"/>
    <w:rsid w:val="004C3CE5"/>
    <w:rsid w:val="004D3C0B"/>
    <w:rsid w:val="004E5B2C"/>
    <w:rsid w:val="00505E06"/>
    <w:rsid w:val="00551659"/>
    <w:rsid w:val="0055334A"/>
    <w:rsid w:val="00585188"/>
    <w:rsid w:val="005E332D"/>
    <w:rsid w:val="005F4710"/>
    <w:rsid w:val="00632BEC"/>
    <w:rsid w:val="00646983"/>
    <w:rsid w:val="00652749"/>
    <w:rsid w:val="00654462"/>
    <w:rsid w:val="006A385E"/>
    <w:rsid w:val="006A3F54"/>
    <w:rsid w:val="006E48A2"/>
    <w:rsid w:val="006F43F4"/>
    <w:rsid w:val="00720FE7"/>
    <w:rsid w:val="007224AF"/>
    <w:rsid w:val="007477C6"/>
    <w:rsid w:val="00757277"/>
    <w:rsid w:val="0077374C"/>
    <w:rsid w:val="0079399A"/>
    <w:rsid w:val="007C6A34"/>
    <w:rsid w:val="00822A22"/>
    <w:rsid w:val="008359EE"/>
    <w:rsid w:val="00872C33"/>
    <w:rsid w:val="008C4A57"/>
    <w:rsid w:val="008D3017"/>
    <w:rsid w:val="008F1BC3"/>
    <w:rsid w:val="009655FD"/>
    <w:rsid w:val="009A3E94"/>
    <w:rsid w:val="009A5D4D"/>
    <w:rsid w:val="009F4903"/>
    <w:rsid w:val="00A60C04"/>
    <w:rsid w:val="00AA0FBE"/>
    <w:rsid w:val="00AA2FFF"/>
    <w:rsid w:val="00AD5133"/>
    <w:rsid w:val="00AD7EE8"/>
    <w:rsid w:val="00AE01D4"/>
    <w:rsid w:val="00B26C87"/>
    <w:rsid w:val="00B436C0"/>
    <w:rsid w:val="00BC39AE"/>
    <w:rsid w:val="00BC4C1F"/>
    <w:rsid w:val="00BD0BAE"/>
    <w:rsid w:val="00BF7CD6"/>
    <w:rsid w:val="00C15A69"/>
    <w:rsid w:val="00C3259B"/>
    <w:rsid w:val="00C42CAD"/>
    <w:rsid w:val="00C578C5"/>
    <w:rsid w:val="00C61F3F"/>
    <w:rsid w:val="00C91106"/>
    <w:rsid w:val="00CA204D"/>
    <w:rsid w:val="00D351F8"/>
    <w:rsid w:val="00D45AF2"/>
    <w:rsid w:val="00D57322"/>
    <w:rsid w:val="00D6277A"/>
    <w:rsid w:val="00DA2E24"/>
    <w:rsid w:val="00DA4E5D"/>
    <w:rsid w:val="00DC049C"/>
    <w:rsid w:val="00E06863"/>
    <w:rsid w:val="00E13801"/>
    <w:rsid w:val="00E41631"/>
    <w:rsid w:val="00E43B64"/>
    <w:rsid w:val="00E46895"/>
    <w:rsid w:val="00EA7266"/>
    <w:rsid w:val="00EC7571"/>
    <w:rsid w:val="00EE01DE"/>
    <w:rsid w:val="00EF7138"/>
    <w:rsid w:val="00F304A2"/>
    <w:rsid w:val="00F40249"/>
    <w:rsid w:val="00F41F94"/>
    <w:rsid w:val="00F65E89"/>
    <w:rsid w:val="00F82BF5"/>
    <w:rsid w:val="00FB21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1C9FA"/>
  <w15:docId w15:val="{6CA95262-7DE2-420A-883B-C21AE8E1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3"/>
        <w:sz w:val="22"/>
        <w:szCs w:val="22"/>
        <w:lang w:val="en-US" w:eastAsia="en-US" w:bidi="ar-SA"/>
      </w:rPr>
    </w:rPrDefault>
    <w:pPrDefault>
      <w:pPr>
        <w:autoSpaceDN w:val="0"/>
        <w:bidi/>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fr-FR"/>
    </w:rPr>
  </w:style>
  <w:style w:type="paragraph" w:styleId="Heading1">
    <w:name w:val="heading 1"/>
    <w:basedOn w:val="Normal"/>
    <w:next w:val="Normal"/>
    <w:uiPriority w:val="9"/>
    <w:qFormat/>
    <w:pPr>
      <w:keepNext/>
      <w:keepLines/>
      <w:spacing w:before="360" w:after="80"/>
      <w:outlineLvl w:val="0"/>
    </w:pPr>
    <w:rPr>
      <w:rFonts w:ascii="Calibri Light" w:eastAsia="Times New Roman" w:hAnsi="Calibri Light" w:cs="Times New Roman"/>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Light" w:eastAsia="Times New Roman" w:hAnsi="Calibri Light" w:cs="Times New Roman"/>
      <w:color w:val="2F5496"/>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s="Times New Roman"/>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cs="Times New Roman"/>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s="Times New Roman"/>
      <w:color w:val="2F5496"/>
    </w:rPr>
  </w:style>
  <w:style w:type="paragraph" w:styleId="Heading6">
    <w:name w:val="heading 6"/>
    <w:basedOn w:val="Normal"/>
    <w:next w:val="Normal"/>
    <w:uiPriority w:val="9"/>
    <w:semiHidden/>
    <w:unhideWhenUsed/>
    <w:qFormat/>
    <w:pPr>
      <w:keepNext/>
      <w:keepLines/>
      <w:spacing w:before="40" w:after="0"/>
      <w:outlineLvl w:val="5"/>
    </w:pPr>
    <w:rPr>
      <w:rFonts w:eastAsia="Times New Roman" w:cs="Times New Roman"/>
      <w:i/>
      <w:iCs/>
      <w:color w:val="595959"/>
    </w:rPr>
  </w:style>
  <w:style w:type="paragraph" w:styleId="Heading7">
    <w:name w:val="heading 7"/>
    <w:basedOn w:val="Normal"/>
    <w:next w:val="Normal"/>
    <w:pPr>
      <w:keepNext/>
      <w:keepLines/>
      <w:spacing w:before="40" w:after="0"/>
      <w:outlineLvl w:val="6"/>
    </w:pPr>
    <w:rPr>
      <w:rFonts w:eastAsia="Times New Roman" w:cs="Times New Roman"/>
      <w:color w:val="595959"/>
    </w:rPr>
  </w:style>
  <w:style w:type="paragraph" w:styleId="Heading8">
    <w:name w:val="heading 8"/>
    <w:basedOn w:val="Normal"/>
    <w:next w:val="Normal"/>
    <w:pPr>
      <w:keepNext/>
      <w:keepLines/>
      <w:spacing w:after="0"/>
      <w:outlineLvl w:val="7"/>
    </w:pPr>
    <w:rPr>
      <w:rFonts w:eastAsia="Times New Roman" w:cs="Times New Roman"/>
      <w:i/>
      <w:iCs/>
      <w:color w:val="272727"/>
    </w:rPr>
  </w:style>
  <w:style w:type="paragraph" w:styleId="Heading9">
    <w:name w:val="heading 9"/>
    <w:basedOn w:val="Normal"/>
    <w:next w:val="Normal"/>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basedOn w:val="DefaultParagraphFont"/>
    <w:rPr>
      <w:rFonts w:ascii="Calibri Light" w:eastAsia="Times New Roman" w:hAnsi="Calibri Light" w:cs="Times New Roman"/>
      <w:color w:val="2F5496"/>
      <w:sz w:val="40"/>
      <w:szCs w:val="40"/>
      <w:lang w:val="fr-FR"/>
    </w:rPr>
  </w:style>
  <w:style w:type="character" w:customStyle="1" w:styleId="Titre2Car">
    <w:name w:val="Titre 2 Car"/>
    <w:basedOn w:val="DefaultParagraphFont"/>
    <w:rPr>
      <w:rFonts w:ascii="Calibri Light" w:eastAsia="Times New Roman" w:hAnsi="Calibri Light" w:cs="Times New Roman"/>
      <w:color w:val="2F5496"/>
      <w:sz w:val="32"/>
      <w:szCs w:val="32"/>
      <w:lang w:val="fr-FR"/>
    </w:rPr>
  </w:style>
  <w:style w:type="character" w:customStyle="1" w:styleId="Titre3Car">
    <w:name w:val="Titre 3 Car"/>
    <w:basedOn w:val="DefaultParagraphFont"/>
    <w:rPr>
      <w:rFonts w:eastAsia="Times New Roman" w:cs="Times New Roman"/>
      <w:color w:val="2F5496"/>
      <w:sz w:val="28"/>
      <w:szCs w:val="28"/>
      <w:lang w:val="fr-FR"/>
    </w:rPr>
  </w:style>
  <w:style w:type="character" w:customStyle="1" w:styleId="Titre4Car">
    <w:name w:val="Titre 4 Car"/>
    <w:basedOn w:val="DefaultParagraphFont"/>
    <w:rPr>
      <w:rFonts w:eastAsia="Times New Roman" w:cs="Times New Roman"/>
      <w:i/>
      <w:iCs/>
      <w:color w:val="2F5496"/>
      <w:lang w:val="fr-FR"/>
    </w:rPr>
  </w:style>
  <w:style w:type="character" w:customStyle="1" w:styleId="Titre5Car">
    <w:name w:val="Titre 5 Car"/>
    <w:basedOn w:val="DefaultParagraphFont"/>
    <w:rPr>
      <w:rFonts w:eastAsia="Times New Roman" w:cs="Times New Roman"/>
      <w:color w:val="2F5496"/>
      <w:lang w:val="fr-FR"/>
    </w:rPr>
  </w:style>
  <w:style w:type="character" w:customStyle="1" w:styleId="Titre6Car">
    <w:name w:val="Titre 6 Car"/>
    <w:basedOn w:val="DefaultParagraphFont"/>
    <w:rPr>
      <w:rFonts w:eastAsia="Times New Roman" w:cs="Times New Roman"/>
      <w:i/>
      <w:iCs/>
      <w:color w:val="595959"/>
      <w:lang w:val="fr-FR"/>
    </w:rPr>
  </w:style>
  <w:style w:type="character" w:customStyle="1" w:styleId="Titre7Car">
    <w:name w:val="Titre 7 Car"/>
    <w:basedOn w:val="DefaultParagraphFont"/>
    <w:rPr>
      <w:rFonts w:eastAsia="Times New Roman" w:cs="Times New Roman"/>
      <w:color w:val="595959"/>
      <w:lang w:val="fr-FR"/>
    </w:rPr>
  </w:style>
  <w:style w:type="character" w:customStyle="1" w:styleId="Titre8Car">
    <w:name w:val="Titre 8 Car"/>
    <w:basedOn w:val="DefaultParagraphFont"/>
    <w:rPr>
      <w:rFonts w:eastAsia="Times New Roman" w:cs="Times New Roman"/>
      <w:i/>
      <w:iCs/>
      <w:color w:val="272727"/>
      <w:lang w:val="fr-FR"/>
    </w:rPr>
  </w:style>
  <w:style w:type="character" w:customStyle="1" w:styleId="Titre9Car">
    <w:name w:val="Titre 9 Car"/>
    <w:basedOn w:val="DefaultParagraphFont"/>
    <w:rPr>
      <w:rFonts w:eastAsia="Times New Roman" w:cs="Times New Roman"/>
      <w:color w:val="272727"/>
      <w:lang w:val="fr-FR"/>
    </w:rPr>
  </w:style>
  <w:style w:type="paragraph" w:styleId="Title">
    <w:name w:val="Title"/>
    <w:basedOn w:val="Normal"/>
    <w:next w:val="Normal"/>
    <w:uiPriority w:val="10"/>
    <w:qFormat/>
    <w:pPr>
      <w:spacing w:after="80" w:line="240" w:lineRule="auto"/>
    </w:pPr>
    <w:rPr>
      <w:rFonts w:ascii="Calibri Light" w:eastAsia="Times New Roman" w:hAnsi="Calibri Light" w:cs="Times New Roman"/>
      <w:spacing w:val="-10"/>
      <w:sz w:val="56"/>
      <w:szCs w:val="56"/>
    </w:rPr>
  </w:style>
  <w:style w:type="character" w:customStyle="1" w:styleId="TitreCar">
    <w:name w:val="Titre Car"/>
    <w:basedOn w:val="DefaultParagraphFont"/>
    <w:rPr>
      <w:rFonts w:ascii="Calibri Light" w:eastAsia="Times New Roman" w:hAnsi="Calibri Light" w:cs="Times New Roman"/>
      <w:spacing w:val="-10"/>
      <w:kern w:val="3"/>
      <w:sz w:val="56"/>
      <w:szCs w:val="56"/>
      <w:lang w:val="fr-FR"/>
    </w:rPr>
  </w:style>
  <w:style w:type="paragraph" w:styleId="Subtitle">
    <w:name w:val="Subtitle"/>
    <w:basedOn w:val="Normal"/>
    <w:next w:val="Normal"/>
    <w:uiPriority w:val="11"/>
    <w:qFormat/>
    <w:rPr>
      <w:rFonts w:eastAsia="Times New Roman" w:cs="Times New Roman"/>
      <w:color w:val="595959"/>
      <w:spacing w:val="15"/>
      <w:sz w:val="28"/>
      <w:szCs w:val="28"/>
    </w:rPr>
  </w:style>
  <w:style w:type="character" w:customStyle="1" w:styleId="Sous-titreCar">
    <w:name w:val="Sous-titre Car"/>
    <w:basedOn w:val="DefaultParagraphFont"/>
    <w:rPr>
      <w:rFonts w:eastAsia="Times New Roman" w:cs="Times New Roman"/>
      <w:color w:val="595959"/>
      <w:spacing w:val="15"/>
      <w:sz w:val="28"/>
      <w:szCs w:val="28"/>
      <w:lang w:val="fr-FR"/>
    </w:rPr>
  </w:style>
  <w:style w:type="paragraph" w:styleId="Quote">
    <w:name w:val="Quote"/>
    <w:basedOn w:val="Normal"/>
    <w:next w:val="Normal"/>
    <w:pPr>
      <w:spacing w:before="160"/>
      <w:jc w:val="center"/>
    </w:pPr>
    <w:rPr>
      <w:i/>
      <w:iCs/>
      <w:color w:val="404040"/>
    </w:rPr>
  </w:style>
  <w:style w:type="character" w:customStyle="1" w:styleId="CitationCar">
    <w:name w:val="Citation Car"/>
    <w:basedOn w:val="DefaultParagraphFont"/>
    <w:rPr>
      <w:i/>
      <w:iCs/>
      <w:color w:val="404040"/>
      <w:lang w:val="fr-FR"/>
    </w:rPr>
  </w:style>
  <w:style w:type="paragraph" w:styleId="ListParagraph">
    <w:name w:val="List Paragraph"/>
    <w:basedOn w:val="Normal"/>
    <w:pPr>
      <w:ind w:left="720"/>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CitationintenseCar">
    <w:name w:val="Citation intense Car"/>
    <w:basedOn w:val="DefaultParagraphFont"/>
    <w:rPr>
      <w:i/>
      <w:iCs/>
      <w:color w:val="2F5496"/>
      <w:lang w:val="fr-FR"/>
    </w:rPr>
  </w:style>
  <w:style w:type="character" w:styleId="IntenseReference">
    <w:name w:val="Intense Reference"/>
    <w:basedOn w:val="DefaultParagraphFont"/>
    <w:rPr>
      <w:b/>
      <w:bCs/>
      <w:smallCaps/>
      <w:color w:val="2F5496"/>
      <w:spacing w:val="5"/>
    </w:rPr>
  </w:style>
  <w:style w:type="character" w:styleId="Strong">
    <w:name w:val="Strong"/>
    <w:basedOn w:val="DefaultParagraphFont"/>
    <w:rPr>
      <w:b/>
      <w:bCs/>
    </w:rPr>
  </w:style>
  <w:style w:type="character" w:styleId="Hyperlink">
    <w:name w:val="Hyperlink"/>
    <w:basedOn w:val="DefaultParagraphFont"/>
    <w:uiPriority w:val="99"/>
    <w:unhideWhenUsed/>
    <w:rsid w:val="00632BEC"/>
    <w:rPr>
      <w:color w:val="0563C1" w:themeColor="hyperlink"/>
      <w:u w:val="single"/>
    </w:rPr>
  </w:style>
  <w:style w:type="character" w:styleId="UnresolvedMention">
    <w:name w:val="Unresolved Mention"/>
    <w:basedOn w:val="DefaultParagraphFont"/>
    <w:uiPriority w:val="99"/>
    <w:semiHidden/>
    <w:unhideWhenUsed/>
    <w:rsid w:val="00632BEC"/>
    <w:rPr>
      <w:color w:val="605E5C"/>
      <w:shd w:val="clear" w:color="auto" w:fill="E1DFDD"/>
    </w:rPr>
  </w:style>
  <w:style w:type="character" w:styleId="FollowedHyperlink">
    <w:name w:val="FollowedHyperlink"/>
    <w:basedOn w:val="DefaultParagraphFont"/>
    <w:uiPriority w:val="99"/>
    <w:semiHidden/>
    <w:unhideWhenUsed/>
    <w:rsid w:val="006A3F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3390/biomedicines9020171" TargetMode="External"/><Relationship Id="rId18" Type="http://schemas.openxmlformats.org/officeDocument/2006/relationships/hyperlink" Target="https://doi.org/10.4103/tjps.tjps_56_25" TargetMode="External"/><Relationship Id="rId26" Type="http://schemas.openxmlformats.org/officeDocument/2006/relationships/hyperlink" Target="https://doi.org/10.5826/dpc.11S2a168S" TargetMode="External"/><Relationship Id="rId3" Type="http://schemas.openxmlformats.org/officeDocument/2006/relationships/settings" Target="settings.xml"/><Relationship Id="rId21" Type="http://schemas.openxmlformats.org/officeDocument/2006/relationships/hyperlink" Target="https://www.ncbi.nlm.nih.gov/books/NBK431108/" TargetMode="External"/><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doi.org/10.3390/cancers15205037" TargetMode="External"/><Relationship Id="rId17" Type="http://schemas.openxmlformats.org/officeDocument/2006/relationships/hyperlink" Target="https://doi.org/10.1016/j.ejca.2026.116764" TargetMode="External"/><Relationship Id="rId25" Type="http://schemas.openxmlformats.org/officeDocument/2006/relationships/hyperlink" Target="https://doi.org/10.3390/cancers16101800" TargetMode="External"/><Relationship Id="rId33" Type="http://schemas.openxmlformats.org/officeDocument/2006/relationships/hyperlink" Target="https://doi.org/10.1093/oncolo/oyae326" TargetMode="External"/><Relationship Id="rId2" Type="http://schemas.openxmlformats.org/officeDocument/2006/relationships/styles" Target="styles.xml"/><Relationship Id="rId16" Type="http://schemas.openxmlformats.org/officeDocument/2006/relationships/hyperlink" Target="https://doi.org/10.3390/diagnostics13020315" TargetMode="External"/><Relationship Id="rId20" Type="http://schemas.openxmlformats.org/officeDocument/2006/relationships/hyperlink" Target="https://doi.org/10.1016/j.avsg.2024.06.026" TargetMode="External"/><Relationship Id="rId29" Type="http://schemas.openxmlformats.org/officeDocument/2006/relationships/hyperlink" Target="https://doi.org/10.9734/aorj/2025/v8i11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doi.org/10.3892/etm.2022.11308" TargetMode="External"/><Relationship Id="rId32" Type="http://schemas.openxmlformats.org/officeDocument/2006/relationships/hyperlink" Target="https://doi.org/10.1001/jamadermatol.2025.0128" TargetMode="External"/><Relationship Id="rId5" Type="http://schemas.openxmlformats.org/officeDocument/2006/relationships/footnotes" Target="footnotes.xml"/><Relationship Id="rId15" Type="http://schemas.openxmlformats.org/officeDocument/2006/relationships/hyperlink" Target="https://doi.org/10.6004/jnccn.2021.0059" TargetMode="External"/><Relationship Id="rId23" Type="http://schemas.openxmlformats.org/officeDocument/2006/relationships/hyperlink" Target="https://doi.org/10.1016/j.asjsur.2022.04.079" TargetMode="External"/><Relationship Id="rId28" Type="http://schemas.openxmlformats.org/officeDocument/2006/relationships/hyperlink" Target="https://doi.org/10.1001/jamadermatol.2019.0032" TargetMode="External"/><Relationship Id="rId10" Type="http://schemas.openxmlformats.org/officeDocument/2006/relationships/image" Target="media/image4.jpeg"/><Relationship Id="rId19" Type="http://schemas.openxmlformats.org/officeDocument/2006/relationships/hyperlink" Target="https://doi.org/10.5826/dpc.11S2a166S" TargetMode="External"/><Relationship Id="rId31" Type="http://schemas.openxmlformats.org/officeDocument/2006/relationships/hyperlink" Target="https://doi.org/10.1038/s41568-023-00583-5"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oi.org/10.1097/GOX.0000000000000286" TargetMode="External"/><Relationship Id="rId22" Type="http://schemas.openxmlformats.org/officeDocument/2006/relationships/hyperlink" Target="https://doi.org/10.3892/ol.2015.3520" TargetMode="External"/><Relationship Id="rId27" Type="http://schemas.openxmlformats.org/officeDocument/2006/relationships/hyperlink" Target="https://doi.org/10.1056/NEJMoa2502449" TargetMode="External"/><Relationship Id="rId30" Type="http://schemas.openxmlformats.org/officeDocument/2006/relationships/hyperlink" Target="https://doi.org/10.56557/upjoz/2026/v47i15454" TargetMode="External"/><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3117</TotalTime>
  <Pages>9</Pages>
  <Words>3634</Words>
  <Characters>20718</Characters>
  <Application>Microsoft Office Word</Application>
  <DocSecurity>0</DocSecurity>
  <Lines>172</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dc:description/>
  <cp:lastModifiedBy>SDI CPU 1117</cp:lastModifiedBy>
  <cp:revision>54</cp:revision>
  <dcterms:created xsi:type="dcterms:W3CDTF">2026-06-21T13:03:00Z</dcterms:created>
  <dcterms:modified xsi:type="dcterms:W3CDTF">2026-07-01T12:58:00Z</dcterms:modified>
</cp:coreProperties>
</file>