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F3581" w14:textId="77777777" w:rsidR="003D61EF" w:rsidRPr="000C1191" w:rsidRDefault="003D61EF" w:rsidP="003D61EF">
      <w:pPr>
        <w:jc w:val="center"/>
        <w:rPr>
          <w:rFonts w:ascii="Times New Roman" w:hAnsi="Times New Roman" w:cs="Times New Roman"/>
          <w:b/>
          <w:bCs/>
          <w:i/>
          <w:iCs/>
          <w:color w:val="000000"/>
          <w:sz w:val="24"/>
          <w:szCs w:val="24"/>
          <w:u w:val="single"/>
        </w:rPr>
      </w:pPr>
      <w:r w:rsidRPr="000C1191">
        <w:rPr>
          <w:rFonts w:ascii="Times New Roman" w:hAnsi="Times New Roman" w:cs="Times New Roman"/>
          <w:b/>
          <w:bCs/>
          <w:i/>
          <w:iCs/>
          <w:color w:val="000000"/>
          <w:sz w:val="24"/>
          <w:szCs w:val="24"/>
          <w:u w:val="single"/>
        </w:rPr>
        <w:t>Short Research Article</w:t>
      </w:r>
    </w:p>
    <w:p w14:paraId="12C47A0C" w14:textId="77777777" w:rsidR="009C2C91" w:rsidRPr="000C1191" w:rsidRDefault="009C2C91">
      <w:pPr>
        <w:jc w:val="center"/>
        <w:rPr>
          <w:rFonts w:ascii="Times New Roman" w:hAnsi="Times New Roman" w:cs="Times New Roman"/>
          <w:color w:val="000000"/>
          <w:sz w:val="24"/>
          <w:szCs w:val="24"/>
        </w:rPr>
      </w:pPr>
    </w:p>
    <w:p w14:paraId="168ACC4B" w14:textId="77777777" w:rsidR="009C2C91" w:rsidRPr="000C1191" w:rsidRDefault="001465AD">
      <w:pPr>
        <w:jc w:val="center"/>
        <w:rPr>
          <w:rFonts w:ascii="Times New Roman" w:hAnsi="Times New Roman" w:cs="Times New Roman"/>
          <w:b/>
          <w:color w:val="000000"/>
          <w:sz w:val="24"/>
          <w:szCs w:val="24"/>
        </w:rPr>
      </w:pPr>
      <w:r w:rsidRPr="000C1191">
        <w:rPr>
          <w:rFonts w:ascii="Times New Roman" w:hAnsi="Times New Roman" w:cs="Times New Roman"/>
          <w:b/>
          <w:color w:val="000000"/>
          <w:sz w:val="24"/>
          <w:szCs w:val="24"/>
        </w:rPr>
        <w:t>EFFECT OF</w:t>
      </w:r>
      <w:r w:rsidRPr="000C1191">
        <w:rPr>
          <w:rFonts w:ascii="Times New Roman" w:hAnsi="Times New Roman" w:cs="Times New Roman"/>
          <w:b/>
          <w:i/>
          <w:color w:val="000000"/>
          <w:sz w:val="24"/>
          <w:szCs w:val="24"/>
        </w:rPr>
        <w:t xml:space="preserve"> Gongronema latifolium</w:t>
      </w:r>
      <w:r w:rsidRPr="000C1191">
        <w:rPr>
          <w:rFonts w:ascii="Times New Roman" w:hAnsi="Times New Roman" w:cs="Times New Roman"/>
          <w:b/>
          <w:color w:val="000000"/>
          <w:sz w:val="24"/>
          <w:szCs w:val="24"/>
        </w:rPr>
        <w:t xml:space="preserve"> (UTAZI) LEAVES ON ESSENTIAL HAEMATOLOGICAL AND BIOCHEMICAL PARAMETERS OF WISTAR</w:t>
      </w:r>
      <w:r w:rsidRPr="000C1191">
        <w:rPr>
          <w:rFonts w:ascii="Times New Roman" w:hAnsi="Times New Roman" w:cs="Times New Roman"/>
          <w:b/>
          <w:i/>
          <w:color w:val="000000"/>
          <w:sz w:val="24"/>
          <w:szCs w:val="24"/>
        </w:rPr>
        <w:t xml:space="preserve"> </w:t>
      </w:r>
      <w:r w:rsidRPr="000C1191">
        <w:rPr>
          <w:rFonts w:ascii="Times New Roman" w:hAnsi="Times New Roman" w:cs="Times New Roman"/>
          <w:b/>
          <w:color w:val="000000"/>
          <w:sz w:val="24"/>
          <w:szCs w:val="24"/>
        </w:rPr>
        <w:t>RATS FED WITH POTATO STARCH</w:t>
      </w:r>
    </w:p>
    <w:p w14:paraId="65CC19FB" w14:textId="77777777" w:rsidR="009C2C91" w:rsidRPr="000C1191" w:rsidRDefault="009C2C91">
      <w:pPr>
        <w:jc w:val="center"/>
        <w:rPr>
          <w:rFonts w:ascii="Times New Roman" w:hAnsi="Times New Roman" w:cs="Times New Roman"/>
          <w:color w:val="000000"/>
          <w:sz w:val="24"/>
          <w:szCs w:val="24"/>
        </w:rPr>
      </w:pPr>
    </w:p>
    <w:p w14:paraId="620DAFFD" w14:textId="77777777" w:rsidR="009C2C91" w:rsidRPr="000C1191" w:rsidRDefault="009C2C91">
      <w:pPr>
        <w:spacing w:after="0" w:line="360" w:lineRule="auto"/>
        <w:jc w:val="both"/>
        <w:rPr>
          <w:rFonts w:ascii="Times New Roman" w:hAnsi="Times New Roman" w:cs="Times New Roman"/>
          <w:b/>
          <w:sz w:val="24"/>
          <w:szCs w:val="24"/>
        </w:rPr>
      </w:pPr>
    </w:p>
    <w:p w14:paraId="422555C6" w14:textId="77777777" w:rsidR="009C2C91" w:rsidRPr="000C1191" w:rsidRDefault="001465AD">
      <w:pPr>
        <w:spacing w:after="0" w:line="360" w:lineRule="auto"/>
        <w:jc w:val="both"/>
        <w:rPr>
          <w:rFonts w:ascii="Times New Roman" w:hAnsi="Times New Roman" w:cs="Times New Roman"/>
          <w:b/>
          <w:sz w:val="24"/>
          <w:szCs w:val="24"/>
        </w:rPr>
      </w:pPr>
      <w:r w:rsidRPr="000C1191">
        <w:rPr>
          <w:rFonts w:ascii="Times New Roman" w:hAnsi="Times New Roman" w:cs="Times New Roman"/>
          <w:b/>
          <w:sz w:val="24"/>
          <w:szCs w:val="24"/>
        </w:rPr>
        <w:t>ABSTRACT</w:t>
      </w:r>
    </w:p>
    <w:p w14:paraId="2D58771B" w14:textId="77777777" w:rsidR="00FE3166" w:rsidRPr="000C1191"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0C1191">
        <w:rPr>
          <w:rFonts w:ascii="Times New Roman" w:eastAsia="Times New Roman" w:hAnsi="Times New Roman" w:cs="Times New Roman"/>
          <w:b/>
          <w:bCs/>
          <w:sz w:val="24"/>
          <w:szCs w:val="24"/>
          <w:lang w:eastAsia="en-GB"/>
        </w:rPr>
        <w:t>Abstract</w:t>
      </w:r>
    </w:p>
    <w:p w14:paraId="3A3983CD" w14:textId="77777777" w:rsidR="00C81326" w:rsidRDefault="00FE3166" w:rsidP="00FE3166">
      <w:pPr>
        <w:spacing w:before="100" w:beforeAutospacing="1" w:after="100" w:afterAutospacing="1" w:line="240" w:lineRule="auto"/>
      </w:pPr>
      <w:r w:rsidRPr="000C1191">
        <w:rPr>
          <w:b/>
        </w:rPr>
        <w:t>Background:</w:t>
      </w:r>
      <w:r w:rsidRPr="000C1191">
        <w:t xml:space="preserve"> </w:t>
      </w:r>
      <w:r w:rsidRPr="000C1191">
        <w:rPr>
          <w:i/>
        </w:rPr>
        <w:t>Gongronema latifolium</w:t>
      </w:r>
      <w:r w:rsidRPr="000C1191">
        <w:t xml:space="preserve"> is a leafy vegetable and medicinal plant commonly consumed in West Africa. Its leaves contain bioactive constituents that may influence blood indices and organ function. </w:t>
      </w:r>
    </w:p>
    <w:p w14:paraId="35DE090C" w14:textId="329C6D1E" w:rsidR="00FE3166" w:rsidRPr="000C1191" w:rsidRDefault="00C8132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C81326">
        <w:rPr>
          <w:b/>
          <w:bCs/>
        </w:rPr>
        <w:t>Aim</w:t>
      </w:r>
      <w:r>
        <w:t xml:space="preserve">: </w:t>
      </w:r>
      <w:r w:rsidR="00FE3166" w:rsidRPr="000C1191">
        <w:t xml:space="preserve">This study evaluated the effects of whole </w:t>
      </w:r>
      <w:r w:rsidR="00FE3166" w:rsidRPr="000C1191">
        <w:rPr>
          <w:i/>
        </w:rPr>
        <w:t>G. latifolium</w:t>
      </w:r>
      <w:r w:rsidR="00FE3166" w:rsidRPr="000C1191">
        <w:t xml:space="preserve"> leaves on selected haematological, hepatic and renal biochemical parameters in Wistar rats fed with potato starch.</w:t>
      </w:r>
    </w:p>
    <w:p w14:paraId="220DDAB7" w14:textId="77777777" w:rsidR="00FE3166" w:rsidRPr="000C1191" w:rsidRDefault="00FE3166" w:rsidP="007D1E81">
      <w:pPr>
        <w:spacing w:before="100" w:beforeAutospacing="1" w:after="100" w:afterAutospacing="1" w:line="240" w:lineRule="auto"/>
        <w:rPr>
          <w:rFonts w:ascii="Times New Roman" w:eastAsia="Times New Roman" w:hAnsi="Times New Roman" w:cs="Times New Roman"/>
          <w:sz w:val="24"/>
          <w:szCs w:val="24"/>
          <w:lang w:eastAsia="en-GB"/>
        </w:rPr>
      </w:pPr>
      <w:r w:rsidRPr="000C1191">
        <w:rPr>
          <w:b/>
        </w:rPr>
        <w:t>Methods:</w:t>
      </w:r>
      <w:r w:rsidRPr="000C1191">
        <w:t xml:space="preserve"> Sixty Wistar rats were randomly assigned to five groups of twelve animals each. Group A received normal feed and water. Group B received 30% potato starch and 70% normal feed with acarbose treatment. Group C received 30% potato starch and 70% normal feed without treatment. Groups D and E received diets containing 10% and 20% whole </w:t>
      </w:r>
      <w:r w:rsidRPr="000C1191">
        <w:rPr>
          <w:i/>
        </w:rPr>
        <w:t>G. latifolium</w:t>
      </w:r>
      <w:r w:rsidRPr="000C1191">
        <w:t xml:space="preserve"> leaves, respectively, in addition to potato starch and normal feed. The feeding trial lasted four weeks. Six rats from each group were sampled at weeks two and four for the assessment of haemoglobin, packed cell volume, alanine aminotransferase, aspartate aminotransferase, urea and creatinine. The data were analysed using the Statistical Package for the Social Sciences (SPSS) version 20, including ANOVA and post hoc tests.</w:t>
      </w:r>
    </w:p>
    <w:p w14:paraId="088C71A8" w14:textId="77777777" w:rsidR="00FE3166" w:rsidRPr="000C1191"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0C1191">
        <w:rPr>
          <w:b/>
        </w:rPr>
        <w:t>Results:</w:t>
      </w:r>
      <w:r w:rsidRPr="000C1191">
        <w:t xml:space="preserve"> At week two, the 20% </w:t>
      </w:r>
      <w:r w:rsidRPr="000C1191">
        <w:rPr>
          <w:i/>
        </w:rPr>
        <w:t>G. latifolium</w:t>
      </w:r>
      <w:r w:rsidRPr="000C1191">
        <w:t xml:space="preserve"> group had higher haemoglobin and packed cell volume values of 21.49 ± 5.37 g/dl and 42.69 ± 12.43%, respectively. Alanine aminotransferase and aspartate aminotransferase increased at week two in the </w:t>
      </w:r>
      <w:r w:rsidRPr="000C1191">
        <w:rPr>
          <w:i/>
        </w:rPr>
        <w:t>G. latifolium</w:t>
      </w:r>
      <w:r w:rsidRPr="000C1191">
        <w:t xml:space="preserve"> groups, with values of 60.13 ± 7.32 U/L and 180.13 ± 11.93 U/L in the 10% group, and 41.87 ± 5.84 U/L and 152.75 ± 17.20 U/L in the 20% group. By week four, these enzyme activities declined in the treated groups. Urea levels were elevated at week two but decreased by week four, while creatinine showed variable responses, including an increase to 2.32 ± 0.00 mg/dl in the 20% group at week four.</w:t>
      </w:r>
    </w:p>
    <w:p w14:paraId="0EF0DEF9" w14:textId="77777777" w:rsidR="00FE3166" w:rsidRPr="000C1191"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0C1191">
        <w:rPr>
          <w:b/>
        </w:rPr>
        <w:t>Conclusion:</w:t>
      </w:r>
      <w:r w:rsidRPr="000C1191">
        <w:t xml:space="preserve"> Dietary inclusion of whole </w:t>
      </w:r>
      <w:r w:rsidRPr="000C1191">
        <w:rPr>
          <w:i/>
        </w:rPr>
        <w:t>G. latifolium</w:t>
      </w:r>
      <w:r w:rsidRPr="000C1191">
        <w:t xml:space="preserve"> leaves influenced haematological and biochemical parameters in Wistar rats. The findings suggest possible haematological improvement, but the observed hepatic and renal changes indicate the need for cautious interpretation and further dose-related safety evaluation.</w:t>
      </w:r>
    </w:p>
    <w:p w14:paraId="49A6BEFD" w14:textId="24F2B29D" w:rsidR="009C2C91" w:rsidRPr="000C1191" w:rsidRDefault="001465AD">
      <w:pPr>
        <w:spacing w:line="240" w:lineRule="auto"/>
        <w:jc w:val="both"/>
        <w:rPr>
          <w:rFonts w:ascii="Arial" w:hAnsi="Arial" w:cs="Arial"/>
          <w:sz w:val="20"/>
          <w:szCs w:val="20"/>
        </w:rPr>
        <w:sectPr w:rsidR="009C2C91" w:rsidRPr="000C1191">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docGrid w:linePitch="360"/>
        </w:sectPr>
      </w:pPr>
      <w:r w:rsidRPr="000C1191">
        <w:rPr>
          <w:rFonts w:ascii="Arial" w:hAnsi="Arial" w:cs="Arial"/>
          <w:i/>
          <w:sz w:val="20"/>
          <w:szCs w:val="20"/>
        </w:rPr>
        <w:t>Keywords</w:t>
      </w:r>
      <w:r w:rsidRPr="000C1191">
        <w:rPr>
          <w:rFonts w:ascii="Arial" w:hAnsi="Arial" w:cs="Arial"/>
          <w:sz w:val="20"/>
          <w:szCs w:val="20"/>
        </w:rPr>
        <w:t xml:space="preserve">: </w:t>
      </w:r>
      <w:proofErr w:type="spellStart"/>
      <w:r w:rsidR="00405E5A">
        <w:rPr>
          <w:rStyle w:val="Emphasis"/>
        </w:rPr>
        <w:t>Gongronema</w:t>
      </w:r>
      <w:proofErr w:type="spellEnd"/>
      <w:r w:rsidR="00405E5A">
        <w:rPr>
          <w:rStyle w:val="Emphasis"/>
        </w:rPr>
        <w:t xml:space="preserve"> </w:t>
      </w:r>
      <w:proofErr w:type="spellStart"/>
      <w:r w:rsidR="00405E5A">
        <w:rPr>
          <w:rStyle w:val="Emphasis"/>
        </w:rPr>
        <w:t>latifolium</w:t>
      </w:r>
      <w:proofErr w:type="spellEnd"/>
      <w:r w:rsidR="00405E5A">
        <w:t xml:space="preserve">; </w:t>
      </w:r>
      <w:proofErr w:type="spellStart"/>
      <w:r w:rsidR="00405E5A">
        <w:t>Utazi</w:t>
      </w:r>
      <w:proofErr w:type="spellEnd"/>
      <w:r w:rsidR="00405E5A">
        <w:t xml:space="preserve"> leaves; Wistar rats; potato starch; </w:t>
      </w:r>
      <w:proofErr w:type="spellStart"/>
      <w:r w:rsidR="00405E5A">
        <w:t>haemoglobin</w:t>
      </w:r>
      <w:proofErr w:type="spellEnd"/>
      <w:r w:rsidR="00405E5A">
        <w:t>; packed cell volume; alanine aminotransferase; aspartate aminotransferase; urea; creatinine; hepatic enzymes; renal biomarkers.</w:t>
      </w:r>
    </w:p>
    <w:p w14:paraId="1CF9C328" w14:textId="77777777" w:rsidR="009C2C91" w:rsidRPr="000C1191" w:rsidRDefault="009C2C91">
      <w:pPr>
        <w:spacing w:line="360" w:lineRule="auto"/>
        <w:jc w:val="both"/>
        <w:rPr>
          <w:rFonts w:ascii="Times New Roman" w:hAnsi="Times New Roman" w:cs="Times New Roman"/>
          <w:b/>
          <w:sz w:val="24"/>
          <w:szCs w:val="24"/>
        </w:rPr>
      </w:pPr>
    </w:p>
    <w:p w14:paraId="34C0A7CE" w14:textId="77777777" w:rsidR="009C2C91" w:rsidRPr="000C1191" w:rsidRDefault="001465AD">
      <w:pPr>
        <w:rPr>
          <w:rFonts w:ascii="Times New Roman" w:hAnsi="Times New Roman" w:cs="Times New Roman"/>
          <w:b/>
        </w:rPr>
      </w:pPr>
      <w:r w:rsidRPr="000C1191">
        <w:rPr>
          <w:rFonts w:ascii="Times New Roman" w:hAnsi="Times New Roman" w:cs="Times New Roman"/>
          <w:b/>
        </w:rPr>
        <w:t>1. INTRODUCTION</w:t>
      </w:r>
    </w:p>
    <w:p w14:paraId="5DF24E3E" w14:textId="63C74363" w:rsidR="009C2C91" w:rsidRPr="000C1191" w:rsidRDefault="001465AD">
      <w:pPr>
        <w:pStyle w:val="NormalWeb"/>
        <w:spacing w:line="360" w:lineRule="auto"/>
        <w:jc w:val="both"/>
        <w:rPr>
          <w:sz w:val="20"/>
          <w:szCs w:val="20"/>
        </w:rPr>
      </w:pPr>
      <w:r w:rsidRPr="000C1191">
        <w:t xml:space="preserve">Plants remain invaluable sources of therapeutic agents owing to their biodiversity and rich composition of bioactive metabolites that serve as chemical templates for numerous drugs (Farombi, 2003). In Africa, the use of medicinal plants forms a major component of traditional healthcare because of their accessibility, cultural acceptance and perceived safety. Among these plants, </w:t>
      </w:r>
      <w:r w:rsidRPr="000C1191">
        <w:rPr>
          <w:i/>
        </w:rPr>
        <w:t>Gongronema latifolium</w:t>
      </w:r>
      <w:r w:rsidRPr="000C1191">
        <w:t xml:space="preserve">, belonging to the family Asclepiadaceae, has received increasing attention for its nutritional and medicinal properties. The plant is a climbing perennial shrub widely distributed in tropical Africa and is known locally as “Utazi” in southeastern Nigeria and “Arokeke” in the southwest (Anameze </w:t>
      </w:r>
      <w:r w:rsidRPr="000C1191">
        <w:rPr>
          <w:i/>
        </w:rPr>
        <w:t>et al</w:t>
      </w:r>
      <w:r w:rsidRPr="000C1191">
        <w:t xml:space="preserve">., 2023). It is consumed as a leafy vegetable and spice, imparting a characteristic bitter-sweet flavour to local dishes. Beyond its culinary relevance, </w:t>
      </w:r>
      <w:r w:rsidRPr="000C1191">
        <w:rPr>
          <w:i/>
        </w:rPr>
        <w:t>G. latifolium</w:t>
      </w:r>
      <w:r w:rsidRPr="000C1191">
        <w:t xml:space="preserve"> features prominently in folk medicine, where it is traditionally used for the management of diabetes, malaria, hypertension and loss of appetite. Toxicological assessments indicate that </w:t>
      </w:r>
      <w:r w:rsidRPr="000C1191">
        <w:rPr>
          <w:i/>
        </w:rPr>
        <w:t>G. latifolium</w:t>
      </w:r>
      <w:r w:rsidRPr="000C1191">
        <w:t xml:space="preserve"> is relatively safe for consumption, with a median lethal dose (LD₅₀) greater than 5000 mg/kg body weight (Okochi </w:t>
      </w:r>
      <w:r w:rsidRPr="000C1191">
        <w:rPr>
          <w:i/>
        </w:rPr>
        <w:t>et al</w:t>
      </w:r>
      <w:r w:rsidRPr="000C1191">
        <w:t xml:space="preserve">., 2025). Several studies support its antidiabetic efficacy. </w:t>
      </w:r>
      <w:r w:rsidR="003C4C6F" w:rsidRPr="003C4C6F">
        <w:t>Sylvester</w:t>
      </w:r>
      <w:r w:rsidRPr="000C1191">
        <w:t xml:space="preserve"> </w:t>
      </w:r>
      <w:r w:rsidRPr="000C1191">
        <w:rPr>
          <w:i/>
        </w:rPr>
        <w:t>et al</w:t>
      </w:r>
      <w:r w:rsidRPr="000C1191">
        <w:t>. (202</w:t>
      </w:r>
      <w:r w:rsidR="003C4C6F">
        <w:t>2</w:t>
      </w:r>
      <w:r w:rsidRPr="000C1191">
        <w:t xml:space="preserve">) reported improved postprandial glucose control when </w:t>
      </w:r>
      <w:r w:rsidRPr="000C1191">
        <w:rPr>
          <w:i/>
        </w:rPr>
        <w:t>G. latifolium</w:t>
      </w:r>
      <w:r w:rsidRPr="000C1191">
        <w:t xml:space="preserve"> extract was administered with carbohydrate-based diets in diabetic rats, while Chukwudozie </w:t>
      </w:r>
      <w:r w:rsidRPr="000C1191">
        <w:rPr>
          <w:i/>
        </w:rPr>
        <w:t>et al</w:t>
      </w:r>
      <w:r w:rsidRPr="000C1191">
        <w:t xml:space="preserve">. (2021) observed sustained normoglycaemia even after treatment withdrawal. Ezeaku </w:t>
      </w:r>
      <w:r w:rsidRPr="000C1191">
        <w:rPr>
          <w:i/>
        </w:rPr>
        <w:t>et al</w:t>
      </w:r>
      <w:r w:rsidRPr="000C1191">
        <w:t xml:space="preserve">. (2025) suggested that the plant exerted both immediate and long-term hyperglycaemic postprandial regulatory effects, potentially through α-amylase inhibition and improved insulin signalling, as observed in the yeast re-uptake assay. In addition, in an </w:t>
      </w:r>
      <w:r w:rsidRPr="000C1191">
        <w:rPr>
          <w:i/>
        </w:rPr>
        <w:t>in-vitro</w:t>
      </w:r>
      <w:r w:rsidRPr="000C1191">
        <w:t xml:space="preserve"> and </w:t>
      </w:r>
      <w:r w:rsidRPr="000C1191">
        <w:rPr>
          <w:i/>
        </w:rPr>
        <w:t>in-vivo</w:t>
      </w:r>
      <w:r w:rsidRPr="000C1191">
        <w:t xml:space="preserve"> assessment of the antidiabetic and weight-control potential of </w:t>
      </w:r>
      <w:r w:rsidRPr="000C1191">
        <w:rPr>
          <w:i/>
        </w:rPr>
        <w:t>G. latifolium</w:t>
      </w:r>
      <w:r w:rsidRPr="000C1191">
        <w:t xml:space="preserve"> using the aqueous extract and whole leaves, respectively, Ezeaku </w:t>
      </w:r>
      <w:r w:rsidRPr="000C1191">
        <w:rPr>
          <w:i/>
        </w:rPr>
        <w:t>et al</w:t>
      </w:r>
      <w:r w:rsidRPr="000C1191">
        <w:t xml:space="preserve">. (2025) suggested that </w:t>
      </w:r>
      <w:r w:rsidRPr="000C1191">
        <w:rPr>
          <w:i/>
        </w:rPr>
        <w:t>G. latifolium</w:t>
      </w:r>
      <w:r w:rsidRPr="000C1191">
        <w:t xml:space="preserve"> has a high potential to prevent postprandial blood sugar spikes and support weight control. Phytochemical investigations reveal that </w:t>
      </w:r>
      <w:r w:rsidRPr="000C1191">
        <w:rPr>
          <w:i/>
        </w:rPr>
        <w:t>G. latifolium</w:t>
      </w:r>
      <w:r w:rsidRPr="000C1191">
        <w:t xml:space="preserve"> is rich in secondary metabolites known to possess pharmacological importance. Quantitative analyses of the dried leaves show high levels of saponins (18.11%), tannins (16.23%), cyanides (14.32%), flavonoids (11.13%) and phenols (11.11%), with minimal alkaloids (0.12%) (Beshel </w:t>
      </w:r>
      <w:r w:rsidRPr="000C1191">
        <w:rPr>
          <w:i/>
        </w:rPr>
        <w:t>et al</w:t>
      </w:r>
      <w:r w:rsidRPr="000C1191">
        <w:t>., 20</w:t>
      </w:r>
      <w:r w:rsidR="003C4C6F">
        <w:t>19</w:t>
      </w:r>
      <w:r w:rsidRPr="000C1191">
        <w:t xml:space="preserve">). The fresh leaves, however, contain higher alkaloid concentrations (about 10%), whereas the roots have greater amounts of flavonoids, tannins, alkaloids and cyanides compared with the stems (Egbung </w:t>
      </w:r>
      <w:r w:rsidRPr="000C1191">
        <w:rPr>
          <w:i/>
        </w:rPr>
        <w:t>et al</w:t>
      </w:r>
      <w:r w:rsidRPr="000C1191">
        <w:t xml:space="preserve">., 2011; Beshel </w:t>
      </w:r>
      <w:r w:rsidRPr="000C1191">
        <w:rPr>
          <w:i/>
        </w:rPr>
        <w:t>et al</w:t>
      </w:r>
      <w:r w:rsidRPr="000C1191">
        <w:t>., 20</w:t>
      </w:r>
      <w:r w:rsidR="003C4C6F">
        <w:t>19</w:t>
      </w:r>
      <w:r w:rsidRPr="000C1191">
        <w:t xml:space="preserve">). These </w:t>
      </w:r>
      <w:r w:rsidRPr="000C1191">
        <w:lastRenderedPageBreak/>
        <w:t xml:space="preserve">compounds are associated with diverse biological functions, including antioxidant, anti-inflammatory and organ-protective activities, which may collectively underlie the plant’s therapeutic potential. In addition to its hypoglycaemic effect, </w:t>
      </w:r>
      <w:r w:rsidRPr="000C1191">
        <w:rPr>
          <w:i/>
        </w:rPr>
        <w:t>G. latifolium</w:t>
      </w:r>
      <w:r w:rsidRPr="000C1191">
        <w:t xml:space="preserve"> has demonstrated renal-protective properties in several experimental models. Aqueous leaf extracts significantly reduced serum urea and creatinine levels in rats exposed to nephrotoxic substances such as carbon tetrachloride and chloroquine (Onuoha &amp; Chinaka, 2013; Nnodim </w:t>
      </w:r>
      <w:r w:rsidRPr="000C1191">
        <w:rPr>
          <w:i/>
        </w:rPr>
        <w:t>et al</w:t>
      </w:r>
      <w:r w:rsidRPr="000C1191">
        <w:t xml:space="preserve">., 2014). </w:t>
      </w:r>
      <w:r w:rsidR="003C4C6F" w:rsidRPr="003C4C6F">
        <w:t>Ani</w:t>
      </w:r>
      <w:r w:rsidRPr="000C1191">
        <w:t xml:space="preserve"> </w:t>
      </w:r>
      <w:r w:rsidRPr="000C1191">
        <w:rPr>
          <w:i/>
        </w:rPr>
        <w:t>et al</w:t>
      </w:r>
      <w:r w:rsidRPr="000C1191">
        <w:t>. (202</w:t>
      </w:r>
      <w:r w:rsidR="003C4C6F">
        <w:t>4</w:t>
      </w:r>
      <w:r w:rsidRPr="000C1191">
        <w:t xml:space="preserve">) also reported that pregnane compounds isolated from the plant were safe for renal biomarkers. However, some inconsistencies have been reported, as ethanolic extracts were found to elevate serum urea levels in certain studies (Sulaiman </w:t>
      </w:r>
      <w:r w:rsidRPr="000C1191">
        <w:rPr>
          <w:i/>
        </w:rPr>
        <w:t>et al</w:t>
      </w:r>
      <w:r w:rsidRPr="000C1191">
        <w:t xml:space="preserve">., 2022; </w:t>
      </w:r>
      <w:r w:rsidR="003C4C6F" w:rsidRPr="003C4C6F">
        <w:t>Sulaiman</w:t>
      </w:r>
      <w:r w:rsidR="003C4C6F">
        <w:t xml:space="preserve"> et al.</w:t>
      </w:r>
      <w:r w:rsidRPr="000C1191">
        <w:t>, 202</w:t>
      </w:r>
      <w:r w:rsidR="003C4C6F">
        <w:t>2</w:t>
      </w:r>
      <w:r w:rsidRPr="000C1191">
        <w:t xml:space="preserve">). Such variations may be attributed to differences in extraction solvent, dosage or exposure duration, underscoring the importance of standardised experimental designs when assessing the plant’s renal effects. The hepatoprotective potential of </w:t>
      </w:r>
      <w:r w:rsidRPr="000C1191">
        <w:rPr>
          <w:i/>
        </w:rPr>
        <w:t>G. latifolium</w:t>
      </w:r>
      <w:r w:rsidRPr="000C1191">
        <w:t xml:space="preserve"> has also been substantiated. Omodale </w:t>
      </w:r>
      <w:r w:rsidRPr="000C1191">
        <w:rPr>
          <w:i/>
        </w:rPr>
        <w:t>et al</w:t>
      </w:r>
      <w:r w:rsidRPr="000C1191">
        <w:t xml:space="preserve">. (2017) documented a significant reduction in serum alanine aminotransferase (ALT) and aspartate aminotransferase (AST) levels in paracetamol-induced hepatotoxic rats treated with aqueous root extract. Similar hepatoprotective outcomes were recorded in diabetic models (Ajiboye </w:t>
      </w:r>
      <w:r w:rsidRPr="000C1191">
        <w:rPr>
          <w:i/>
        </w:rPr>
        <w:t>et al</w:t>
      </w:r>
      <w:r w:rsidRPr="000C1191">
        <w:t xml:space="preserve">., 2022a; Enye </w:t>
      </w:r>
      <w:r w:rsidRPr="000C1191">
        <w:rPr>
          <w:i/>
        </w:rPr>
        <w:t>et al</w:t>
      </w:r>
      <w:r w:rsidRPr="000C1191">
        <w:t xml:space="preserve">., 2022). Conversely, high doses of alcoholic extracts were associated with mild hepatotoxic responses, although these were largely reversible upon withdrawal of treatment (Al-Hindi </w:t>
      </w:r>
      <w:r w:rsidRPr="000C1191">
        <w:rPr>
          <w:i/>
        </w:rPr>
        <w:t>et al</w:t>
      </w:r>
      <w:r w:rsidRPr="000C1191">
        <w:t xml:space="preserve">., 2019; Omodamiro </w:t>
      </w:r>
      <w:r w:rsidRPr="000C1191">
        <w:rPr>
          <w:i/>
        </w:rPr>
        <w:t>et al</w:t>
      </w:r>
      <w:r w:rsidRPr="000C1191">
        <w:t xml:space="preserve">., 2021). In lactating rats, aqueous extracts produced no overt hepatic toxicity but caused slight increases in liver and pancreatic weights accompanied by modest inflammatory changes (Katchy </w:t>
      </w:r>
      <w:r w:rsidRPr="000C1191">
        <w:rPr>
          <w:i/>
        </w:rPr>
        <w:t>et al</w:t>
      </w:r>
      <w:r w:rsidRPr="000C1191">
        <w:t xml:space="preserve">., 2020). Collectively, these findings suggest that </w:t>
      </w:r>
      <w:r w:rsidRPr="000C1191">
        <w:rPr>
          <w:i/>
        </w:rPr>
        <w:t>G. latifolium</w:t>
      </w:r>
      <w:r w:rsidRPr="000C1191">
        <w:t xml:space="preserve"> exhibits hepatoprotective effects at moderate doses, while excessive intake, particularly of alcohol-based extracts, may induce transient hepatic stress.</w:t>
      </w:r>
    </w:p>
    <w:p w14:paraId="33B09A82" w14:textId="77777777" w:rsidR="009C2C91" w:rsidRPr="000C1191" w:rsidRDefault="001465AD">
      <w:pPr>
        <w:pStyle w:val="NormalWeb"/>
        <w:spacing w:line="360" w:lineRule="auto"/>
        <w:jc w:val="both"/>
        <w:rPr>
          <w:sz w:val="20"/>
          <w:szCs w:val="20"/>
        </w:rPr>
      </w:pPr>
      <w:r w:rsidRPr="000C1191">
        <w:t xml:space="preserve">Overall, existing literature highlights </w:t>
      </w:r>
      <w:r w:rsidRPr="000C1191">
        <w:rPr>
          <w:i/>
        </w:rPr>
        <w:t>G. latifolium</w:t>
      </w:r>
      <w:r w:rsidRPr="000C1191">
        <w:t xml:space="preserve"> as a plant of significant pharmacological interest, possessing bioactive constituents that influence haematological, biochemical, hepatic and renal parameters. Nevertheless, discrepancies among studies regarding dosage, solvent type and treatment duration suggest the need for further controlled evaluations. A comprehensive understanding of its phytochemical composition, dose-dependent actions and organ-specific effects will be crucial in establishing standardised formulations and ensuring its safe incorporation into evidence-based phytomedicine.</w:t>
      </w:r>
    </w:p>
    <w:p w14:paraId="19243BFB" w14:textId="77777777" w:rsidR="00963D8F" w:rsidRPr="000C1191" w:rsidRDefault="00000000">
      <w:pPr>
        <w:pStyle w:val="NormalWeb"/>
      </w:pPr>
      <w:r w:rsidRPr="000C1191">
        <w:rPr>
          <w:b/>
        </w:rPr>
        <w:lastRenderedPageBreak/>
        <w:t xml:space="preserve">Recent in vitro evidence showed that </w:t>
      </w:r>
      <w:r w:rsidRPr="000C1191">
        <w:rPr>
          <w:b/>
          <w:i/>
        </w:rPr>
        <w:t>G. latifolium</w:t>
      </w:r>
      <w:r w:rsidRPr="000C1191">
        <w:rPr>
          <w:b/>
        </w:rPr>
        <w:t xml:space="preserve"> leaf extract reduced chemically induced lipid peroxidation in egg-yolk and bovine liver homogenates and also attenuated hydrogen peroxide-induced erythrocyte haemolysis, supporting the relevance of antioxidant-related mechanisms when interpreting blood and biochemical outcomes (Okoko &amp; Silas-Olu, 2021).</w:t>
      </w:r>
    </w:p>
    <w:p w14:paraId="1E1DBBFE" w14:textId="77777777" w:rsidR="00963D8F" w:rsidRPr="000C1191" w:rsidRDefault="00000000">
      <w:pPr>
        <w:pStyle w:val="NormalWeb"/>
      </w:pPr>
      <w:r w:rsidRPr="000C1191">
        <w:rPr>
          <w:b/>
        </w:rPr>
        <w:t xml:space="preserve">Recent studies have also extended the pharmacological profile of </w:t>
      </w:r>
      <w:r w:rsidRPr="000C1191">
        <w:rPr>
          <w:b/>
          <w:i/>
        </w:rPr>
        <w:t>G. latifolium</w:t>
      </w:r>
      <w:r w:rsidRPr="000C1191">
        <w:rPr>
          <w:b/>
        </w:rPr>
        <w:t xml:space="preserve"> to antioxidant, antihypertensive, anti-nociceptive and anti-inflammatory models, but these investigations largely used extracts or isolated constituents rather than whole-leaf dietary inclusion (Gyebi et al., 2025; Okon et al., 2025; Onwudiwe et al., 2025).</w:t>
      </w:r>
    </w:p>
    <w:p w14:paraId="75C1AE66" w14:textId="77777777" w:rsidR="00963D8F" w:rsidRPr="000C1191" w:rsidRDefault="00000000">
      <w:pPr>
        <w:pStyle w:val="NormalWeb"/>
      </w:pPr>
      <w:r w:rsidRPr="000C1191">
        <w:rPr>
          <w:b/>
        </w:rPr>
        <w:t>Evidence from a recent plant-extract hepatotoxicity model further supports cautious interpretation of ALT and AST changes in rats, as transaminase responses may vary with dose, exposure period and tissue-level alterations (Akinboboye et al., 2025).</w:t>
      </w:r>
    </w:p>
    <w:p w14:paraId="224C88ED" w14:textId="77777777" w:rsidR="00963D8F" w:rsidRPr="000C1191" w:rsidRDefault="00000000">
      <w:pPr>
        <w:pStyle w:val="NormalWeb"/>
      </w:pPr>
      <w:r w:rsidRPr="000C1191">
        <w:rPr>
          <w:b/>
        </w:rPr>
        <w:t xml:space="preserve">However, evidence remains limited on how whole </w:t>
      </w:r>
      <w:r w:rsidRPr="000C1191">
        <w:rPr>
          <w:b/>
          <w:i/>
        </w:rPr>
        <w:t>G. latifolium</w:t>
      </w:r>
      <w:r w:rsidRPr="000C1191">
        <w:rPr>
          <w:b/>
        </w:rPr>
        <w:t xml:space="preserve"> leaves incorporated directly into a potato-starch-containing diet influence haematological indices and hepatic and renal biochemical markers during short-term feeding.</w:t>
      </w:r>
    </w:p>
    <w:p w14:paraId="6D2DA7F7" w14:textId="77777777" w:rsidR="00963D8F" w:rsidRPr="000C1191" w:rsidRDefault="00000000">
      <w:pPr>
        <w:pStyle w:val="NormalWeb"/>
      </w:pPr>
      <w:r w:rsidRPr="000C1191">
        <w:rPr>
          <w:b/>
        </w:rPr>
        <w:t>Objective</w:t>
      </w:r>
    </w:p>
    <w:p w14:paraId="0B918D98" w14:textId="77777777" w:rsidR="00963D8F" w:rsidRPr="000C1191" w:rsidRDefault="00000000">
      <w:pPr>
        <w:pStyle w:val="NormalWeb"/>
      </w:pPr>
      <w:r w:rsidRPr="000C1191">
        <w:rPr>
          <w:b/>
        </w:rPr>
        <w:t xml:space="preserve">This study aimed to evaluate the effects of whole </w:t>
      </w:r>
      <w:r w:rsidRPr="000C1191">
        <w:rPr>
          <w:b/>
          <w:i/>
        </w:rPr>
        <w:t>G. latifolium</w:t>
      </w:r>
      <w:r w:rsidRPr="000C1191">
        <w:rPr>
          <w:b/>
        </w:rPr>
        <w:t xml:space="preserve"> leaves on haemoglobin, packed cell volume, alanine aminotransferase, aspartate aminotransferase, urea and creatinine in Wistar rats fed with potato starch.</w:t>
      </w:r>
    </w:p>
    <w:p w14:paraId="69F1B232" w14:textId="77777777" w:rsidR="009C2C91" w:rsidRPr="000C1191" w:rsidRDefault="001465AD">
      <w:pPr>
        <w:widowControl w:val="0"/>
        <w:spacing w:after="0" w:line="360" w:lineRule="auto"/>
        <w:jc w:val="both"/>
        <w:rPr>
          <w:rFonts w:ascii="Times New Roman" w:hAnsi="Times New Roman" w:cs="Times New Roman"/>
          <w:color w:val="000000"/>
        </w:rPr>
      </w:pPr>
      <w:r w:rsidRPr="000C1191">
        <w:rPr>
          <w:rFonts w:ascii="Times New Roman" w:hAnsi="Times New Roman" w:cs="Times New Roman"/>
          <w:b/>
          <w:color w:val="000000"/>
        </w:rPr>
        <w:t xml:space="preserve">2. </w:t>
      </w:r>
      <w:r w:rsidRPr="000C1191">
        <w:rPr>
          <w:rFonts w:ascii="Times New Roman" w:hAnsi="Times New Roman" w:cs="Times New Roman"/>
          <w:b/>
          <w:color w:val="000000"/>
        </w:rPr>
        <w:tab/>
      </w:r>
      <w:r w:rsidRPr="000C1191">
        <w:rPr>
          <w:rFonts w:ascii="Times New Roman" w:hAnsi="Times New Roman" w:cs="Times New Roman"/>
          <w:b/>
          <w:bCs/>
          <w:color w:val="000000"/>
          <w:spacing w:val="-1"/>
        </w:rPr>
        <w:t>MATERIALS AND METHODS</w:t>
      </w:r>
    </w:p>
    <w:p w14:paraId="784E07EB"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2.1</w:t>
      </w:r>
      <w:r w:rsidRPr="000C1191">
        <w:rPr>
          <w:rFonts w:ascii="Times New Roman" w:hAnsi="Times New Roman" w:cs="Times New Roman"/>
          <w:b/>
          <w:bCs/>
          <w:color w:val="000000"/>
          <w:spacing w:val="-1"/>
        </w:rPr>
        <w:tab/>
        <w:t>Plant materials</w:t>
      </w:r>
    </w:p>
    <w:p w14:paraId="6492C7D1" w14:textId="77777777" w:rsidR="009C2C91" w:rsidRPr="000C1191" w:rsidRDefault="001465AD">
      <w:pPr>
        <w:spacing w:line="360" w:lineRule="auto"/>
        <w:jc w:val="both"/>
        <w:rPr>
          <w:rFonts w:ascii="Times New Roman" w:hAnsi="Times New Roman" w:cs="Times New Roman"/>
          <w:color w:val="000000"/>
          <w:spacing w:val="-1"/>
          <w:sz w:val="20"/>
          <w:szCs w:val="20"/>
        </w:rPr>
      </w:pPr>
      <w:r w:rsidRPr="000C1191">
        <w:t xml:space="preserve">The leaves of </w:t>
      </w:r>
      <w:r w:rsidRPr="000C1191">
        <w:rPr>
          <w:i/>
        </w:rPr>
        <w:t>G. latifolium</w:t>
      </w:r>
      <w:r w:rsidRPr="000C1191">
        <w:t xml:space="preserve"> were collected from Eke Awka Market, Anambra State. The leaves of </w:t>
      </w:r>
      <w:r w:rsidRPr="000C1191">
        <w:rPr>
          <w:i/>
        </w:rPr>
        <w:t>G. latifolium</w:t>
      </w:r>
      <w:r w:rsidRPr="000C1191">
        <w:t xml:space="preserve"> were identified by a taxonomist in the Botany Department of Nnamdi Azikiwe University, Awka, and subsequently deposited in the herbarium with voucher number NAUTH 34A.</w:t>
      </w:r>
    </w:p>
    <w:p w14:paraId="6E088A18"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2.2</w:t>
      </w:r>
      <w:r w:rsidRPr="000C1191">
        <w:rPr>
          <w:rFonts w:ascii="Times New Roman" w:hAnsi="Times New Roman" w:cs="Times New Roman"/>
          <w:b/>
          <w:bCs/>
          <w:color w:val="000000"/>
          <w:spacing w:val="-1"/>
        </w:rPr>
        <w:tab/>
        <w:t>Sample Preparation and Extraction</w:t>
      </w:r>
    </w:p>
    <w:p w14:paraId="58A6AD82"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t xml:space="preserve">The leaves of </w:t>
      </w:r>
      <w:r w:rsidRPr="000C1191">
        <w:rPr>
          <w:i/>
        </w:rPr>
        <w:t>G. latifolium</w:t>
      </w:r>
      <w:r w:rsidRPr="000C1191">
        <w:t xml:space="preserve"> were washed with distilled water and air-dried in the sample drying room of the Applied Biochemistry Laboratory for 21 days. The dried leaves were ground into a fine powder using an electric blender and stored in a well-labelled plastic bag, which was later used intact for the formulation of rat rations.</w:t>
      </w:r>
    </w:p>
    <w:p w14:paraId="0D5B388F"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2.3</w:t>
      </w:r>
      <w:r w:rsidRPr="000C1191">
        <w:rPr>
          <w:rFonts w:ascii="Times New Roman" w:hAnsi="Times New Roman" w:cs="Times New Roman"/>
          <w:b/>
          <w:bCs/>
          <w:color w:val="000000"/>
          <w:spacing w:val="-1"/>
        </w:rPr>
        <w:tab/>
        <w:t>ANIMAL AND EXPERIMENTAL DESIGN</w:t>
      </w:r>
    </w:p>
    <w:p w14:paraId="7F9581BD"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t xml:space="preserve">A total of sixty (60) Wistar rats were procured from Onyewuchi Farms at Ifite Awka, Anambra State, and kept in the animal house of the Department of Biochemistry, Nnamdi Azikiwe University, for an </w:t>
      </w:r>
      <w:r w:rsidRPr="000C1191">
        <w:lastRenderedPageBreak/>
        <w:t>acclimatisation period of one week (7 days), during which they were fed only food and water. The sixty Wistar rats were randomly divided into five groups of twelve (12) rats each, as shown in Table 1 below.</w:t>
      </w:r>
    </w:p>
    <w:p w14:paraId="259F2DEB" w14:textId="77777777" w:rsidR="009C2C91" w:rsidRPr="000C1191" w:rsidRDefault="009C2C91">
      <w:pPr>
        <w:spacing w:line="360" w:lineRule="auto"/>
        <w:rPr>
          <w:rFonts w:ascii="Times New Roman" w:hAnsi="Times New Roman" w:cs="Times New Roman"/>
          <w:b/>
          <w:color w:val="000000"/>
          <w:spacing w:val="-1"/>
          <w:sz w:val="24"/>
          <w:szCs w:val="24"/>
        </w:rPr>
        <w:sectPr w:rsidR="009C2C91" w:rsidRPr="000C1191">
          <w:type w:val="continuous"/>
          <w:pgSz w:w="12240" w:h="15840"/>
          <w:pgMar w:top="1440" w:right="1440" w:bottom="1440" w:left="1440" w:header="720" w:footer="720" w:gutter="0"/>
          <w:cols w:space="720"/>
          <w:docGrid w:linePitch="360"/>
        </w:sectPr>
      </w:pPr>
    </w:p>
    <w:p w14:paraId="66B14664" w14:textId="77777777" w:rsidR="009C2C91" w:rsidRPr="000C1191" w:rsidRDefault="009C2C91">
      <w:pPr>
        <w:spacing w:line="360" w:lineRule="auto"/>
        <w:rPr>
          <w:rFonts w:ascii="Times New Roman" w:hAnsi="Times New Roman" w:cs="Times New Roman"/>
          <w:b/>
          <w:color w:val="000000"/>
          <w:spacing w:val="-1"/>
          <w:sz w:val="24"/>
          <w:szCs w:val="24"/>
        </w:rPr>
      </w:pPr>
    </w:p>
    <w:p w14:paraId="39E6691C" w14:textId="77777777" w:rsidR="009C2C91" w:rsidRPr="000C1191" w:rsidRDefault="001465AD">
      <w:pPr>
        <w:spacing w:line="360" w:lineRule="auto"/>
        <w:rPr>
          <w:rFonts w:ascii="Times New Roman" w:hAnsi="Times New Roman" w:cs="Times New Roman"/>
          <w:b/>
          <w:bCs/>
          <w:color w:val="000000"/>
          <w:spacing w:val="-1"/>
        </w:rPr>
      </w:pPr>
      <w:r w:rsidRPr="000C1191">
        <w:rPr>
          <w:rFonts w:ascii="Times New Roman" w:hAnsi="Times New Roman" w:cs="Times New Roman"/>
          <w:b/>
          <w:color w:val="000000"/>
          <w:spacing w:val="-1"/>
        </w:rPr>
        <w:t>Table 1.</w:t>
      </w:r>
      <w:r w:rsidRPr="000C1191">
        <w:rPr>
          <w:rFonts w:ascii="Times New Roman" w:hAnsi="Times New Roman" w:cs="Times New Roman"/>
          <w:color w:val="000000"/>
          <w:spacing w:val="-1"/>
        </w:rPr>
        <w:t xml:space="preserve"> </w:t>
      </w:r>
      <w:r w:rsidRPr="000C1191">
        <w:rPr>
          <w:rFonts w:ascii="Times New Roman" w:hAnsi="Times New Roman" w:cs="Times New Roman"/>
          <w:bCs/>
          <w:color w:val="000000"/>
          <w:spacing w:val="-1"/>
        </w:rPr>
        <w:t>Grouping of Animals</w:t>
      </w:r>
    </w:p>
    <w:tbl>
      <w:tblPr>
        <w:tblStyle w:val="TableGrid"/>
        <w:tblW w:w="11070" w:type="dxa"/>
        <w:tblInd w:w="-725" w:type="dxa"/>
        <w:tblLook w:val="04A0" w:firstRow="1" w:lastRow="0" w:firstColumn="1" w:lastColumn="0" w:noHBand="0" w:noVBand="1"/>
      </w:tblPr>
      <w:tblGrid>
        <w:gridCol w:w="2970"/>
        <w:gridCol w:w="1800"/>
        <w:gridCol w:w="6300"/>
      </w:tblGrid>
      <w:tr w:rsidR="009C2C91" w:rsidRPr="000C1191" w14:paraId="715E03B7" w14:textId="77777777">
        <w:tc>
          <w:tcPr>
            <w:tcW w:w="2970" w:type="dxa"/>
            <w:tcBorders>
              <w:top w:val="single" w:sz="4" w:space="0" w:color="auto"/>
              <w:left w:val="single" w:sz="4" w:space="0" w:color="auto"/>
              <w:bottom w:val="single" w:sz="4" w:space="0" w:color="auto"/>
              <w:right w:val="single" w:sz="4" w:space="0" w:color="auto"/>
            </w:tcBorders>
            <w:hideMark/>
          </w:tcPr>
          <w:p w14:paraId="575B1789"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Group</w:t>
            </w:r>
          </w:p>
        </w:tc>
        <w:tc>
          <w:tcPr>
            <w:tcW w:w="1800" w:type="dxa"/>
            <w:tcBorders>
              <w:top w:val="single" w:sz="4" w:space="0" w:color="auto"/>
              <w:left w:val="single" w:sz="4" w:space="0" w:color="auto"/>
              <w:bottom w:val="single" w:sz="4" w:space="0" w:color="auto"/>
              <w:right w:val="single" w:sz="4" w:space="0" w:color="auto"/>
            </w:tcBorders>
            <w:hideMark/>
          </w:tcPr>
          <w:p w14:paraId="5CA2BDBB"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No. of animals</w:t>
            </w:r>
          </w:p>
        </w:tc>
        <w:tc>
          <w:tcPr>
            <w:tcW w:w="6300" w:type="dxa"/>
            <w:tcBorders>
              <w:top w:val="single" w:sz="4" w:space="0" w:color="auto"/>
              <w:left w:val="single" w:sz="4" w:space="0" w:color="auto"/>
              <w:bottom w:val="single" w:sz="4" w:space="0" w:color="auto"/>
              <w:right w:val="single" w:sz="4" w:space="0" w:color="auto"/>
            </w:tcBorders>
            <w:hideMark/>
          </w:tcPr>
          <w:p w14:paraId="6A559C67"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Treatment</w:t>
            </w:r>
          </w:p>
        </w:tc>
      </w:tr>
      <w:tr w:rsidR="009C2C91" w:rsidRPr="000C1191" w14:paraId="627FDFB0" w14:textId="77777777">
        <w:trPr>
          <w:trHeight w:val="665"/>
        </w:trPr>
        <w:tc>
          <w:tcPr>
            <w:tcW w:w="2970" w:type="dxa"/>
            <w:tcBorders>
              <w:top w:val="single" w:sz="4" w:space="0" w:color="auto"/>
              <w:left w:val="single" w:sz="4" w:space="0" w:color="auto"/>
              <w:bottom w:val="single" w:sz="4" w:space="0" w:color="auto"/>
              <w:right w:val="single" w:sz="4" w:space="0" w:color="auto"/>
            </w:tcBorders>
            <w:hideMark/>
          </w:tcPr>
          <w:p w14:paraId="3EC17DB0"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 xml:space="preserve">Group A: </w:t>
            </w:r>
            <w:r w:rsidRPr="000C1191">
              <w:rPr>
                <w:rFonts w:ascii="Times New Roman" w:hAnsi="Times New Roman" w:cs="Times New Roman"/>
                <w:bCs/>
                <w:color w:val="000000"/>
                <w:spacing w:val="-1"/>
              </w:rPr>
              <w:t>(normal control)</w:t>
            </w:r>
          </w:p>
        </w:tc>
        <w:tc>
          <w:tcPr>
            <w:tcW w:w="1800" w:type="dxa"/>
            <w:tcBorders>
              <w:top w:val="single" w:sz="4" w:space="0" w:color="auto"/>
              <w:left w:val="single" w:sz="4" w:space="0" w:color="auto"/>
              <w:bottom w:val="single" w:sz="4" w:space="0" w:color="auto"/>
              <w:right w:val="single" w:sz="4" w:space="0" w:color="auto"/>
            </w:tcBorders>
            <w:hideMark/>
          </w:tcPr>
          <w:p w14:paraId="1FFFACAB" w14:textId="77777777" w:rsidR="009C2C91" w:rsidRPr="000C1191" w:rsidRDefault="001465AD">
            <w:pPr>
              <w:spacing w:line="360" w:lineRule="auto"/>
              <w:jc w:val="both"/>
              <w:rPr>
                <w:rFonts w:ascii="Times New Roman" w:hAnsi="Times New Roman" w:cs="Times New Roman"/>
                <w:bCs/>
                <w:color w:val="000000"/>
                <w:spacing w:val="-1"/>
              </w:rPr>
            </w:pPr>
            <w:r w:rsidRPr="000C1191">
              <w:rPr>
                <w:rFonts w:ascii="Times New Roman" w:hAnsi="Times New Roman" w:cs="Times New Roman"/>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2E8FECE5"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color w:val="000000"/>
                <w:spacing w:val="-1"/>
              </w:rPr>
              <w:t>Fed with normal feed and water</w:t>
            </w:r>
          </w:p>
        </w:tc>
      </w:tr>
      <w:tr w:rsidR="009C2C91" w:rsidRPr="000C1191" w14:paraId="1C21B212" w14:textId="77777777">
        <w:tc>
          <w:tcPr>
            <w:tcW w:w="2970" w:type="dxa"/>
            <w:tcBorders>
              <w:top w:val="single" w:sz="4" w:space="0" w:color="auto"/>
              <w:left w:val="single" w:sz="4" w:space="0" w:color="auto"/>
              <w:bottom w:val="single" w:sz="4" w:space="0" w:color="auto"/>
              <w:right w:val="single" w:sz="4" w:space="0" w:color="auto"/>
            </w:tcBorders>
            <w:hideMark/>
          </w:tcPr>
          <w:p w14:paraId="5EB53C40"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 xml:space="preserve">Group B: </w:t>
            </w:r>
            <w:r w:rsidRPr="000C1191">
              <w:rPr>
                <w:rFonts w:ascii="Times New Roman" w:hAnsi="Times New Roman" w:cs="Times New Roman"/>
                <w:bCs/>
                <w:color w:val="000000"/>
                <w:spacing w:val="-1"/>
              </w:rPr>
              <w:t>(standard positive control)</w:t>
            </w:r>
          </w:p>
        </w:tc>
        <w:tc>
          <w:tcPr>
            <w:tcW w:w="1800" w:type="dxa"/>
            <w:tcBorders>
              <w:top w:val="single" w:sz="4" w:space="0" w:color="auto"/>
              <w:left w:val="single" w:sz="4" w:space="0" w:color="auto"/>
              <w:bottom w:val="single" w:sz="4" w:space="0" w:color="auto"/>
              <w:right w:val="single" w:sz="4" w:space="0" w:color="auto"/>
            </w:tcBorders>
            <w:hideMark/>
          </w:tcPr>
          <w:p w14:paraId="69D550DE" w14:textId="77777777" w:rsidR="009C2C91" w:rsidRPr="000C1191" w:rsidRDefault="001465AD">
            <w:pPr>
              <w:spacing w:line="360" w:lineRule="auto"/>
              <w:jc w:val="both"/>
              <w:rPr>
                <w:rFonts w:ascii="Times New Roman" w:hAnsi="Times New Roman" w:cs="Times New Roman"/>
                <w:bCs/>
                <w:color w:val="000000"/>
                <w:spacing w:val="-1"/>
              </w:rPr>
            </w:pPr>
            <w:r w:rsidRPr="000C1191">
              <w:rPr>
                <w:rFonts w:ascii="Times New Roman" w:hAnsi="Times New Roman" w:cs="Times New Roman"/>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378C4AE3" w14:textId="77777777" w:rsidR="009C2C91" w:rsidRPr="000C1191" w:rsidRDefault="001465AD">
            <w:pPr>
              <w:spacing w:line="360" w:lineRule="auto"/>
              <w:jc w:val="both"/>
              <w:rPr>
                <w:rFonts w:ascii="Times New Roman" w:hAnsi="Times New Roman" w:cs="Times New Roman"/>
                <w:bCs/>
                <w:color w:val="000000"/>
                <w:spacing w:val="-1"/>
              </w:rPr>
            </w:pPr>
            <w:r w:rsidRPr="000C1191">
              <w:rPr>
                <w:rFonts w:ascii="Times New Roman" w:hAnsi="Times New Roman" w:cs="Times New Roman"/>
                <w:color w:val="000000"/>
                <w:spacing w:val="-1"/>
              </w:rPr>
              <w:t>fed with 30% of potato starch, 70% of normal feed and treated with Acarbose</w:t>
            </w:r>
          </w:p>
        </w:tc>
      </w:tr>
      <w:tr w:rsidR="009C2C91" w:rsidRPr="000C1191" w14:paraId="41A1D86B" w14:textId="77777777">
        <w:tc>
          <w:tcPr>
            <w:tcW w:w="2970" w:type="dxa"/>
            <w:tcBorders>
              <w:top w:val="single" w:sz="4" w:space="0" w:color="auto"/>
              <w:left w:val="single" w:sz="4" w:space="0" w:color="auto"/>
              <w:bottom w:val="single" w:sz="4" w:space="0" w:color="auto"/>
              <w:right w:val="single" w:sz="4" w:space="0" w:color="auto"/>
            </w:tcBorders>
            <w:hideMark/>
          </w:tcPr>
          <w:p w14:paraId="53B91A94"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 xml:space="preserve">Group C: </w:t>
            </w:r>
            <w:r w:rsidRPr="000C1191">
              <w:rPr>
                <w:rFonts w:ascii="Times New Roman" w:hAnsi="Times New Roman" w:cs="Times New Roman"/>
                <w:bCs/>
                <w:color w:val="000000"/>
                <w:spacing w:val="-1"/>
              </w:rPr>
              <w:t>(untreated negative control)</w:t>
            </w:r>
          </w:p>
        </w:tc>
        <w:tc>
          <w:tcPr>
            <w:tcW w:w="1800" w:type="dxa"/>
            <w:tcBorders>
              <w:top w:val="single" w:sz="4" w:space="0" w:color="auto"/>
              <w:left w:val="single" w:sz="4" w:space="0" w:color="auto"/>
              <w:bottom w:val="single" w:sz="4" w:space="0" w:color="auto"/>
              <w:right w:val="single" w:sz="4" w:space="0" w:color="auto"/>
            </w:tcBorders>
            <w:hideMark/>
          </w:tcPr>
          <w:p w14:paraId="7F3D88E3" w14:textId="77777777" w:rsidR="009C2C91" w:rsidRPr="000C1191" w:rsidRDefault="001465AD">
            <w:pPr>
              <w:spacing w:line="360" w:lineRule="auto"/>
              <w:jc w:val="both"/>
              <w:rPr>
                <w:rFonts w:ascii="Times New Roman" w:hAnsi="Times New Roman" w:cs="Times New Roman"/>
                <w:bCs/>
                <w:color w:val="000000"/>
                <w:spacing w:val="-1"/>
              </w:rPr>
            </w:pPr>
            <w:r w:rsidRPr="000C1191">
              <w:rPr>
                <w:rFonts w:ascii="Times New Roman" w:hAnsi="Times New Roman" w:cs="Times New Roman"/>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76B96698"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color w:val="000000"/>
                <w:spacing w:val="-1"/>
              </w:rPr>
              <w:t>fed with 30% potato starch and 70% normal feed</w:t>
            </w:r>
          </w:p>
        </w:tc>
      </w:tr>
      <w:tr w:rsidR="009C2C91" w:rsidRPr="000C1191" w14:paraId="6245B6A6" w14:textId="77777777">
        <w:tc>
          <w:tcPr>
            <w:tcW w:w="2970" w:type="dxa"/>
            <w:tcBorders>
              <w:top w:val="single" w:sz="4" w:space="0" w:color="auto"/>
              <w:left w:val="single" w:sz="4" w:space="0" w:color="auto"/>
              <w:bottom w:val="single" w:sz="4" w:space="0" w:color="auto"/>
              <w:right w:val="single" w:sz="4" w:space="0" w:color="auto"/>
            </w:tcBorders>
            <w:hideMark/>
          </w:tcPr>
          <w:p w14:paraId="78F85CCE"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 xml:space="preserve">Group D: </w:t>
            </w:r>
            <w:r w:rsidRPr="000C1191">
              <w:rPr>
                <w:rFonts w:ascii="Times New Roman" w:hAnsi="Times New Roman" w:cs="Times New Roman"/>
                <w:bCs/>
                <w:color w:val="000000"/>
                <w:spacing w:val="-1"/>
              </w:rPr>
              <w:t>(Test group 1)</w:t>
            </w:r>
          </w:p>
        </w:tc>
        <w:tc>
          <w:tcPr>
            <w:tcW w:w="1800" w:type="dxa"/>
            <w:tcBorders>
              <w:top w:val="single" w:sz="4" w:space="0" w:color="auto"/>
              <w:left w:val="single" w:sz="4" w:space="0" w:color="auto"/>
              <w:bottom w:val="single" w:sz="4" w:space="0" w:color="auto"/>
              <w:right w:val="single" w:sz="4" w:space="0" w:color="auto"/>
            </w:tcBorders>
            <w:hideMark/>
          </w:tcPr>
          <w:p w14:paraId="6B0D462A" w14:textId="77777777" w:rsidR="009C2C91" w:rsidRPr="000C1191" w:rsidRDefault="001465AD">
            <w:pPr>
              <w:spacing w:line="360" w:lineRule="auto"/>
              <w:jc w:val="both"/>
              <w:rPr>
                <w:rFonts w:ascii="Times New Roman" w:hAnsi="Times New Roman" w:cs="Times New Roman"/>
                <w:bCs/>
                <w:color w:val="000000"/>
                <w:spacing w:val="-1"/>
              </w:rPr>
            </w:pPr>
            <w:r w:rsidRPr="000C1191">
              <w:rPr>
                <w:rFonts w:ascii="Times New Roman" w:hAnsi="Times New Roman" w:cs="Times New Roman"/>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7749B8DC"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color w:val="000000"/>
                <w:spacing w:val="-1"/>
              </w:rPr>
              <w:t xml:space="preserve">fed with 10% </w:t>
            </w:r>
            <w:r w:rsidRPr="000C1191">
              <w:rPr>
                <w:rFonts w:ascii="Times New Roman" w:hAnsi="Times New Roman" w:cs="Times New Roman"/>
                <w:i/>
                <w:iCs/>
                <w:color w:val="000000"/>
                <w:spacing w:val="-1"/>
              </w:rPr>
              <w:t xml:space="preserve">G. latifolium </w:t>
            </w:r>
            <w:r w:rsidRPr="000C1191">
              <w:rPr>
                <w:rFonts w:ascii="Times New Roman" w:hAnsi="Times New Roman" w:cs="Times New Roman"/>
                <w:iCs/>
                <w:color w:val="000000"/>
                <w:spacing w:val="-1"/>
              </w:rPr>
              <w:t>(whole leaves)</w:t>
            </w:r>
            <w:r w:rsidRPr="000C1191">
              <w:rPr>
                <w:rFonts w:ascii="Times New Roman" w:hAnsi="Times New Roman" w:cs="Times New Roman"/>
                <w:color w:val="000000"/>
                <w:spacing w:val="-1"/>
              </w:rPr>
              <w:t>, 30% potato starch and 60% normal feed</w:t>
            </w:r>
          </w:p>
        </w:tc>
      </w:tr>
      <w:tr w:rsidR="009C2C91" w:rsidRPr="000C1191" w14:paraId="3BBE5FA4" w14:textId="77777777">
        <w:tc>
          <w:tcPr>
            <w:tcW w:w="2970" w:type="dxa"/>
            <w:tcBorders>
              <w:top w:val="single" w:sz="4" w:space="0" w:color="auto"/>
              <w:left w:val="single" w:sz="4" w:space="0" w:color="auto"/>
              <w:bottom w:val="single" w:sz="4" w:space="0" w:color="auto"/>
              <w:right w:val="single" w:sz="4" w:space="0" w:color="auto"/>
            </w:tcBorders>
            <w:hideMark/>
          </w:tcPr>
          <w:p w14:paraId="277CD958"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 xml:space="preserve">Group E: </w:t>
            </w:r>
            <w:r w:rsidRPr="000C1191">
              <w:rPr>
                <w:rFonts w:ascii="Times New Roman" w:hAnsi="Times New Roman" w:cs="Times New Roman"/>
                <w:bCs/>
                <w:color w:val="000000"/>
                <w:spacing w:val="-1"/>
              </w:rPr>
              <w:t>(Test group 2)</w:t>
            </w:r>
          </w:p>
        </w:tc>
        <w:tc>
          <w:tcPr>
            <w:tcW w:w="1800" w:type="dxa"/>
            <w:tcBorders>
              <w:top w:val="single" w:sz="4" w:space="0" w:color="auto"/>
              <w:left w:val="single" w:sz="4" w:space="0" w:color="auto"/>
              <w:bottom w:val="single" w:sz="4" w:space="0" w:color="auto"/>
              <w:right w:val="single" w:sz="4" w:space="0" w:color="auto"/>
            </w:tcBorders>
            <w:hideMark/>
          </w:tcPr>
          <w:p w14:paraId="7BAAD30A" w14:textId="77777777" w:rsidR="009C2C91" w:rsidRPr="000C1191" w:rsidRDefault="001465AD">
            <w:pPr>
              <w:spacing w:line="360" w:lineRule="auto"/>
              <w:jc w:val="both"/>
              <w:rPr>
                <w:rFonts w:ascii="Times New Roman" w:hAnsi="Times New Roman" w:cs="Times New Roman"/>
                <w:bCs/>
                <w:color w:val="000000"/>
                <w:spacing w:val="-1"/>
              </w:rPr>
            </w:pPr>
            <w:r w:rsidRPr="000C1191">
              <w:rPr>
                <w:rFonts w:ascii="Times New Roman" w:hAnsi="Times New Roman" w:cs="Times New Roman"/>
                <w:bCs/>
                <w:color w:val="000000"/>
                <w:spacing w:val="-1"/>
              </w:rPr>
              <w:t>12</w:t>
            </w:r>
          </w:p>
        </w:tc>
        <w:tc>
          <w:tcPr>
            <w:tcW w:w="6300" w:type="dxa"/>
            <w:tcBorders>
              <w:top w:val="single" w:sz="4" w:space="0" w:color="auto"/>
              <w:left w:val="single" w:sz="4" w:space="0" w:color="auto"/>
              <w:bottom w:val="single" w:sz="4" w:space="0" w:color="auto"/>
              <w:right w:val="single" w:sz="4" w:space="0" w:color="auto"/>
            </w:tcBorders>
            <w:hideMark/>
          </w:tcPr>
          <w:p w14:paraId="636F312C" w14:textId="77777777" w:rsidR="009C2C91" w:rsidRPr="000C1191" w:rsidRDefault="001465AD">
            <w:pPr>
              <w:spacing w:line="360" w:lineRule="auto"/>
              <w:jc w:val="both"/>
              <w:rPr>
                <w:rFonts w:ascii="Times New Roman" w:hAnsi="Times New Roman" w:cs="Times New Roman"/>
                <w:color w:val="000000"/>
                <w:spacing w:val="-1"/>
              </w:rPr>
            </w:pPr>
            <w:r w:rsidRPr="000C1191">
              <w:rPr>
                <w:rFonts w:ascii="Times New Roman" w:hAnsi="Times New Roman" w:cs="Times New Roman"/>
                <w:color w:val="000000"/>
                <w:spacing w:val="-1"/>
              </w:rPr>
              <w:t xml:space="preserve">(fed with 20% </w:t>
            </w:r>
            <w:r w:rsidRPr="000C1191">
              <w:rPr>
                <w:rFonts w:ascii="Times New Roman" w:hAnsi="Times New Roman" w:cs="Times New Roman"/>
                <w:i/>
                <w:iCs/>
                <w:color w:val="000000"/>
                <w:spacing w:val="-1"/>
              </w:rPr>
              <w:t xml:space="preserve">G. latifolium </w:t>
            </w:r>
            <w:r w:rsidRPr="000C1191">
              <w:rPr>
                <w:rFonts w:ascii="Times New Roman" w:hAnsi="Times New Roman" w:cs="Times New Roman"/>
                <w:iCs/>
                <w:color w:val="000000"/>
                <w:spacing w:val="-1"/>
              </w:rPr>
              <w:t>(whole leaves)</w:t>
            </w:r>
            <w:r w:rsidRPr="000C1191">
              <w:rPr>
                <w:rFonts w:ascii="Times New Roman" w:hAnsi="Times New Roman" w:cs="Times New Roman"/>
                <w:i/>
                <w:iCs/>
                <w:color w:val="000000"/>
                <w:spacing w:val="-1"/>
              </w:rPr>
              <w:t xml:space="preserve">, </w:t>
            </w:r>
            <w:r w:rsidRPr="000C1191">
              <w:rPr>
                <w:rFonts w:ascii="Times New Roman" w:hAnsi="Times New Roman" w:cs="Times New Roman"/>
                <w:iCs/>
                <w:color w:val="000000"/>
                <w:spacing w:val="-1"/>
              </w:rPr>
              <w:t>30% potato starch and 50% normal feed</w:t>
            </w:r>
            <w:r w:rsidRPr="000C1191">
              <w:rPr>
                <w:rFonts w:ascii="Times New Roman" w:hAnsi="Times New Roman" w:cs="Times New Roman"/>
                <w:color w:val="000000"/>
                <w:spacing w:val="-1"/>
              </w:rPr>
              <w:t>).</w:t>
            </w:r>
          </w:p>
        </w:tc>
      </w:tr>
    </w:tbl>
    <w:p w14:paraId="1167FDAF" w14:textId="77777777" w:rsidR="009C2C91" w:rsidRPr="000C1191" w:rsidRDefault="009C2C91">
      <w:pPr>
        <w:spacing w:line="360" w:lineRule="auto"/>
        <w:jc w:val="both"/>
        <w:rPr>
          <w:rFonts w:ascii="Times New Roman" w:hAnsi="Times New Roman" w:cs="Times New Roman"/>
          <w:bCs/>
          <w:color w:val="000000"/>
          <w:spacing w:val="-1"/>
        </w:rPr>
      </w:pPr>
    </w:p>
    <w:p w14:paraId="5D7BD3A7" w14:textId="77777777" w:rsidR="0063233B" w:rsidRPr="000C1191" w:rsidRDefault="0063233B" w:rsidP="0063233B">
      <w:pPr>
        <w:spacing w:line="480" w:lineRule="auto"/>
        <w:jc w:val="both"/>
        <w:rPr>
          <w:rFonts w:ascii="Times New Roman" w:hAnsi="Times New Roman" w:cs="Times New Roman"/>
          <w:b/>
          <w:bCs/>
          <w:color w:val="000000"/>
          <w:spacing w:val="-1"/>
          <w:sz w:val="20"/>
          <w:szCs w:val="20"/>
        </w:rPr>
      </w:pPr>
      <w:r w:rsidRPr="000C1191">
        <w:rPr>
          <w:rFonts w:ascii="Times New Roman" w:hAnsi="Times New Roman" w:cs="Times New Roman"/>
          <w:b/>
          <w:bCs/>
          <w:color w:val="000000"/>
          <w:spacing w:val="-1"/>
          <w:sz w:val="20"/>
          <w:szCs w:val="20"/>
        </w:rPr>
        <w:t>2.4 FEED FORMULATION</w:t>
      </w:r>
    </w:p>
    <w:p w14:paraId="72738688" w14:textId="77777777" w:rsidR="0063233B" w:rsidRPr="000C1191" w:rsidRDefault="0063233B" w:rsidP="0063233B">
      <w:pPr>
        <w:spacing w:line="48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 xml:space="preserve">The feed was fortified with finisher feed, potato starch; and ground </w:t>
      </w:r>
      <w:r w:rsidRPr="000C1191">
        <w:rPr>
          <w:rFonts w:ascii="Times New Roman" w:hAnsi="Times New Roman" w:cs="Times New Roman"/>
          <w:bCs/>
          <w:i/>
          <w:color w:val="000000"/>
          <w:spacing w:val="-1"/>
          <w:sz w:val="20"/>
          <w:szCs w:val="20"/>
        </w:rPr>
        <w:t>G. latifolium</w:t>
      </w:r>
      <w:r w:rsidRPr="000C1191">
        <w:rPr>
          <w:rFonts w:ascii="Times New Roman" w:hAnsi="Times New Roman" w:cs="Times New Roman"/>
          <w:bCs/>
          <w:color w:val="000000"/>
          <w:spacing w:val="-1"/>
          <w:sz w:val="20"/>
          <w:szCs w:val="20"/>
        </w:rPr>
        <w:t xml:space="preserve"> leaves in the ratio: 100:0:0, 70:30:0, 70:30:0, 60:30:10, 50:30:20 respectively according to each groups and their individual feed requirements.</w:t>
      </w:r>
    </w:p>
    <w:p w14:paraId="54FCF994" w14:textId="77777777" w:rsidR="0063233B" w:rsidRPr="000C1191" w:rsidRDefault="0063233B">
      <w:pPr>
        <w:spacing w:line="360" w:lineRule="auto"/>
        <w:jc w:val="both"/>
        <w:rPr>
          <w:rFonts w:ascii="Times New Roman" w:hAnsi="Times New Roman" w:cs="Times New Roman"/>
          <w:bCs/>
          <w:color w:val="000000"/>
          <w:spacing w:val="-1"/>
        </w:rPr>
      </w:pPr>
    </w:p>
    <w:p w14:paraId="07FF8B72" w14:textId="77777777" w:rsidR="009C2C91" w:rsidRPr="000C1191" w:rsidRDefault="009C2C91">
      <w:pPr>
        <w:spacing w:line="360" w:lineRule="auto"/>
        <w:jc w:val="both"/>
        <w:rPr>
          <w:rFonts w:ascii="Times New Roman" w:hAnsi="Times New Roman" w:cs="Times New Roman"/>
          <w:b/>
          <w:bCs/>
          <w:color w:val="000000"/>
          <w:spacing w:val="-1"/>
        </w:rPr>
        <w:sectPr w:rsidR="009C2C91" w:rsidRPr="000C1191">
          <w:type w:val="continuous"/>
          <w:pgSz w:w="12240" w:h="15840"/>
          <w:pgMar w:top="1440" w:right="1440" w:bottom="1440" w:left="1440" w:header="720" w:footer="720" w:gutter="0"/>
          <w:cols w:space="720"/>
          <w:docGrid w:linePitch="360"/>
        </w:sectPr>
      </w:pPr>
    </w:p>
    <w:p w14:paraId="71953E5F" w14:textId="77777777" w:rsidR="009C2C91" w:rsidRPr="000C1191" w:rsidRDefault="00DA2AEC">
      <w:pPr>
        <w:spacing w:line="360" w:lineRule="auto"/>
        <w:jc w:val="both"/>
        <w:rPr>
          <w:rFonts w:ascii="Times New Roman" w:hAnsi="Times New Roman" w:cs="Times New Roman"/>
          <w:bCs/>
          <w:color w:val="000000"/>
          <w:spacing w:val="-1"/>
        </w:rPr>
      </w:pPr>
      <w:r w:rsidRPr="000C1191">
        <w:rPr>
          <w:rFonts w:ascii="Times New Roman" w:hAnsi="Times New Roman" w:cs="Times New Roman"/>
          <w:b/>
          <w:bCs/>
          <w:color w:val="000000"/>
          <w:spacing w:val="-1"/>
        </w:rPr>
        <w:t>2.5</w:t>
      </w:r>
      <w:r w:rsidR="001465AD" w:rsidRPr="000C1191">
        <w:rPr>
          <w:rFonts w:ascii="Times New Roman" w:hAnsi="Times New Roman" w:cs="Times New Roman"/>
          <w:b/>
          <w:bCs/>
          <w:color w:val="000000"/>
          <w:spacing w:val="-1"/>
        </w:rPr>
        <w:tab/>
        <w:t>BIOCHEMICAL ASSAYS</w:t>
      </w:r>
    </w:p>
    <w:p w14:paraId="0586B7EE" w14:textId="77777777" w:rsidR="009C2C91" w:rsidRPr="000C1191" w:rsidRDefault="001465AD">
      <w:pPr>
        <w:widowControl w:val="0"/>
        <w:spacing w:after="0" w:line="360" w:lineRule="auto"/>
        <w:jc w:val="both"/>
        <w:rPr>
          <w:rFonts w:ascii="Times New Roman" w:hAnsi="Times New Roman" w:cs="Times New Roman"/>
          <w:color w:val="000000"/>
          <w:sz w:val="20"/>
          <w:szCs w:val="20"/>
        </w:rPr>
      </w:pPr>
      <w:r w:rsidRPr="000C1191">
        <w:t>Six randomly selected rats from each group were used for the assessment of organ-system functions (liver function test, haematological assay and kidney function test) at weeks two and four, respectively, following administration of the rats’ rations.</w:t>
      </w:r>
    </w:p>
    <w:p w14:paraId="1C4ACADA" w14:textId="77777777" w:rsidR="009C2C91" w:rsidRPr="000C1191" w:rsidRDefault="00DA2AEC">
      <w:pPr>
        <w:spacing w:line="360" w:lineRule="auto"/>
        <w:jc w:val="both"/>
        <w:rPr>
          <w:rFonts w:ascii="Times New Roman" w:hAnsi="Times New Roman" w:cs="Times New Roman"/>
          <w:bCs/>
          <w:color w:val="000000"/>
          <w:spacing w:val="-1"/>
        </w:rPr>
      </w:pPr>
      <w:r w:rsidRPr="000C1191">
        <w:rPr>
          <w:rFonts w:ascii="Times New Roman" w:hAnsi="Times New Roman" w:cs="Times New Roman"/>
          <w:b/>
          <w:bCs/>
          <w:color w:val="000000"/>
          <w:spacing w:val="-1"/>
        </w:rPr>
        <w:t>2.5</w:t>
      </w:r>
      <w:r w:rsidR="001465AD" w:rsidRPr="000C1191">
        <w:rPr>
          <w:rFonts w:ascii="Times New Roman" w:hAnsi="Times New Roman" w:cs="Times New Roman"/>
          <w:b/>
          <w:bCs/>
          <w:color w:val="000000"/>
          <w:spacing w:val="-1"/>
        </w:rPr>
        <w:t>.1</w:t>
      </w:r>
      <w:r w:rsidR="001465AD" w:rsidRPr="000C1191">
        <w:rPr>
          <w:rFonts w:ascii="Times New Roman" w:hAnsi="Times New Roman" w:cs="Times New Roman"/>
          <w:b/>
          <w:bCs/>
          <w:color w:val="000000"/>
          <w:spacing w:val="-1"/>
        </w:rPr>
        <w:tab/>
        <w:t>LIVER FUNCTION ASSESSMENT</w:t>
      </w:r>
    </w:p>
    <w:p w14:paraId="7C54D92B" w14:textId="77777777" w:rsidR="009C2C91" w:rsidRPr="000C1191" w:rsidRDefault="00DA2AEC">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2.5</w:t>
      </w:r>
      <w:r w:rsidR="001465AD" w:rsidRPr="000C1191">
        <w:rPr>
          <w:rFonts w:ascii="Times New Roman" w:hAnsi="Times New Roman" w:cs="Times New Roman"/>
          <w:b/>
          <w:bCs/>
          <w:color w:val="000000"/>
          <w:spacing w:val="-1"/>
        </w:rPr>
        <w:t>.1.1</w:t>
      </w:r>
      <w:r w:rsidR="001465AD" w:rsidRPr="000C1191">
        <w:rPr>
          <w:rFonts w:ascii="Times New Roman" w:hAnsi="Times New Roman" w:cs="Times New Roman"/>
          <w:b/>
          <w:bCs/>
          <w:color w:val="000000"/>
          <w:spacing w:val="-1"/>
        </w:rPr>
        <w:tab/>
        <w:t>Assay for Aspartate Amino Transferase (AST) activity</w:t>
      </w:r>
    </w:p>
    <w:p w14:paraId="5E1C4DDD"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b/>
        </w:rPr>
        <w:t>Principle:</w:t>
      </w:r>
      <w:r w:rsidRPr="000C1191">
        <w:t xml:space="preserve"> The kit is based on the conversion of aspartate to oxaloacetate by the aspartate amino transferase enzyme. The oxaloacetate reacts with 2,4-diphenylhydrazine, which is converted to an </w:t>
      </w:r>
      <w:r w:rsidRPr="000C1191">
        <w:lastRenderedPageBreak/>
        <w:t>oxaloacetate 2,4-diphenylhydrazone complex. The addition of sodium hydroxide solution dissolves this complex and allows 2,4-dinitrophenyhydrazone to be measured at 546 nm.</w:t>
      </w:r>
    </w:p>
    <w:p w14:paraId="7EE4123D"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
          <w:bCs/>
          <w:color w:val="000000"/>
          <w:spacing w:val="-1"/>
        </w:rPr>
        <w:t>Procedure</w:t>
      </w:r>
      <w:r w:rsidRPr="000C1191">
        <w:rPr>
          <w:rFonts w:ascii="Times New Roman" w:hAnsi="Times New Roman" w:cs="Times New Roman"/>
          <w:bCs/>
          <w:color w:val="000000"/>
          <w:spacing w:val="-1"/>
        </w:rPr>
        <w:t xml:space="preserve">: </w:t>
      </w:r>
      <w:r w:rsidRPr="000C1191">
        <w:rPr>
          <w:rFonts w:ascii="Times New Roman" w:hAnsi="Times New Roman"/>
          <w:sz w:val="20"/>
        </w:rPr>
        <w:t>Randox kit was used for AST activity determination. The method of Reitman and Frankel (1957) was adopted. The blood samples were centrifuged and the sera were used for the analysis. A 0.1 ml sample was pipetted into test tubes. A 0.5 ml volume of phosphate buffer was used for the sample and blank, mixed and incubated at 37</w:t>
      </w:r>
      <w:r w:rsidRPr="000C1191">
        <w:rPr>
          <w:rFonts w:ascii="Times New Roman" w:hAnsi="Times New Roman" w:cs="Times New Roman"/>
          <w:bCs/>
          <w:color w:val="000000"/>
          <w:spacing w:val="-1"/>
          <w:sz w:val="20"/>
          <w:szCs w:val="20"/>
          <w:vertAlign w:val="superscript"/>
        </w:rPr>
        <w:t>0</w:t>
      </w:r>
      <w:r w:rsidRPr="000C1191">
        <w:rPr>
          <w:rFonts w:ascii="Times New Roman" w:hAnsi="Times New Roman"/>
          <w:sz w:val="20"/>
        </w:rPr>
        <w:t>c for 30 minutes. 2,4-dinitrophenihydrazine was added to the sample test tubes, mixed and allowed to stand for exactly 20 minutes. Sodium hydroxide was added to the sample and blank at 546 nm after 5 minutes. The AST activity was determined by the calibration curve provided in the kit.</w:t>
      </w:r>
    </w:p>
    <w:p w14:paraId="0E9CB123" w14:textId="77777777" w:rsidR="009C2C91" w:rsidRPr="000C1191" w:rsidRDefault="00DA2AEC">
      <w:pPr>
        <w:spacing w:line="360" w:lineRule="auto"/>
        <w:jc w:val="both"/>
        <w:rPr>
          <w:rFonts w:ascii="Times New Roman" w:hAnsi="Times New Roman" w:cs="Times New Roman"/>
          <w:b/>
          <w:bCs/>
          <w:color w:val="000000"/>
          <w:spacing w:val="-1"/>
          <w:sz w:val="20"/>
          <w:szCs w:val="20"/>
        </w:rPr>
      </w:pPr>
      <w:r w:rsidRPr="000C1191">
        <w:rPr>
          <w:rFonts w:ascii="Times New Roman" w:hAnsi="Times New Roman" w:cs="Times New Roman"/>
          <w:b/>
          <w:bCs/>
          <w:color w:val="000000"/>
          <w:spacing w:val="-1"/>
          <w:sz w:val="20"/>
          <w:szCs w:val="20"/>
        </w:rPr>
        <w:t>2.5</w:t>
      </w:r>
      <w:r w:rsidR="001465AD" w:rsidRPr="000C1191">
        <w:rPr>
          <w:rFonts w:ascii="Times New Roman" w:hAnsi="Times New Roman" w:cs="Times New Roman"/>
          <w:b/>
          <w:bCs/>
          <w:color w:val="000000"/>
          <w:spacing w:val="-1"/>
          <w:sz w:val="20"/>
          <w:szCs w:val="20"/>
        </w:rPr>
        <w:t>.1.2</w:t>
      </w:r>
      <w:r w:rsidR="001465AD" w:rsidRPr="000C1191">
        <w:rPr>
          <w:rFonts w:ascii="Times New Roman" w:hAnsi="Times New Roman" w:cs="Times New Roman"/>
          <w:b/>
          <w:bCs/>
          <w:color w:val="000000"/>
          <w:spacing w:val="-1"/>
          <w:sz w:val="20"/>
          <w:szCs w:val="20"/>
        </w:rPr>
        <w:tab/>
        <w:t>Assay for Alanine Amino Transferase (ALT) activity</w:t>
      </w:r>
    </w:p>
    <w:p w14:paraId="2C4452AC"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b/>
        </w:rPr>
        <w:t>Principle:</w:t>
      </w:r>
      <w:r w:rsidRPr="000C1191">
        <w:t xml:space="preserve"> The kit is based on the conversion of alanine to pyruvate by the alanine amino transferase enzyme. The pyruvate reacts with 2,4-diphenylhydrazine, which is converted to a pyruvate 2,3-diphenylhydrazone complex. The addition of sodium hydroxide solution dissolves this complex and allows 2,4-dinitrophenylhydrazone to be measured at 546 nm.</w:t>
      </w:r>
    </w:p>
    <w:p w14:paraId="54246AD9"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
          <w:bCs/>
          <w:color w:val="000000"/>
          <w:spacing w:val="-1"/>
          <w:sz w:val="20"/>
          <w:szCs w:val="20"/>
        </w:rPr>
        <w:t>Procedure:</w:t>
      </w:r>
      <w:r w:rsidRPr="000C1191">
        <w:rPr>
          <w:rFonts w:ascii="Times New Roman" w:hAnsi="Times New Roman"/>
          <w:sz w:val="20"/>
        </w:rPr>
        <w:t xml:space="preserve"> Randox kit was used for AST activity determination. The method of Reitman and Frankel (1957) was adopted. The blood samples were centrifuged and the sera were used for the analysis. A 0.1 ml sample was pipetted into test tubes. About 0.5 ml of phosphate buffer was added to the sample and blank, mixed and incubated at 37</w:t>
      </w:r>
      <w:r w:rsidRPr="000C1191">
        <w:rPr>
          <w:rFonts w:ascii="Times New Roman" w:hAnsi="Times New Roman" w:cs="Times New Roman"/>
          <w:bCs/>
          <w:color w:val="000000"/>
          <w:spacing w:val="-1"/>
          <w:sz w:val="20"/>
          <w:szCs w:val="20"/>
          <w:vertAlign w:val="superscript"/>
        </w:rPr>
        <w:t>0</w:t>
      </w:r>
      <w:r w:rsidRPr="000C1191">
        <w:rPr>
          <w:rFonts w:ascii="Times New Roman" w:hAnsi="Times New Roman"/>
          <w:sz w:val="20"/>
        </w:rPr>
        <w:t>c for 30 minutes. 2,4-dinitrophenihydrazine was added to the sample test tubes, mixed and allowed to stand for exactly 20 minutes. Sodium hydroxide was added to the sample and blank at 546 nm after 5 minutes. The ALT activity was determined by the calibration curve provided in the kit.</w:t>
      </w:r>
    </w:p>
    <w:p w14:paraId="1423E2EC" w14:textId="77777777" w:rsidR="009C2C91" w:rsidRPr="000C1191" w:rsidRDefault="00DA2AEC">
      <w:pPr>
        <w:spacing w:line="360" w:lineRule="auto"/>
        <w:jc w:val="both"/>
        <w:rPr>
          <w:rFonts w:ascii="Times New Roman" w:hAnsi="Times New Roman" w:cs="Times New Roman"/>
          <w:bCs/>
          <w:color w:val="000000"/>
          <w:spacing w:val="-1"/>
        </w:rPr>
      </w:pPr>
      <w:r w:rsidRPr="000C1191">
        <w:rPr>
          <w:rFonts w:ascii="Times New Roman" w:hAnsi="Times New Roman" w:cs="Times New Roman"/>
          <w:b/>
          <w:bCs/>
          <w:color w:val="000000"/>
          <w:spacing w:val="-1"/>
        </w:rPr>
        <w:t>2.5</w:t>
      </w:r>
      <w:r w:rsidR="001465AD" w:rsidRPr="000C1191">
        <w:rPr>
          <w:rFonts w:ascii="Times New Roman" w:hAnsi="Times New Roman" w:cs="Times New Roman"/>
          <w:b/>
          <w:bCs/>
          <w:color w:val="000000"/>
          <w:spacing w:val="-1"/>
        </w:rPr>
        <w:t>.2</w:t>
      </w:r>
      <w:r w:rsidR="001465AD" w:rsidRPr="000C1191">
        <w:rPr>
          <w:rFonts w:ascii="Times New Roman" w:hAnsi="Times New Roman" w:cs="Times New Roman"/>
          <w:b/>
          <w:bCs/>
          <w:color w:val="000000"/>
          <w:spacing w:val="-1"/>
        </w:rPr>
        <w:tab/>
        <w:t>KIDNEY FUNCTION ASSESSMENT</w:t>
      </w:r>
    </w:p>
    <w:p w14:paraId="3FC53447" w14:textId="77777777" w:rsidR="009C2C91" w:rsidRPr="000C1191" w:rsidRDefault="00DA2AEC">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2.5</w:t>
      </w:r>
      <w:r w:rsidR="001465AD" w:rsidRPr="000C1191">
        <w:rPr>
          <w:rFonts w:ascii="Times New Roman" w:hAnsi="Times New Roman" w:cs="Times New Roman"/>
          <w:b/>
          <w:bCs/>
          <w:color w:val="000000"/>
          <w:spacing w:val="-1"/>
        </w:rPr>
        <w:t>.2.1</w:t>
      </w:r>
      <w:r w:rsidR="001465AD" w:rsidRPr="000C1191">
        <w:rPr>
          <w:rFonts w:ascii="Times New Roman" w:hAnsi="Times New Roman" w:cs="Times New Roman"/>
          <w:b/>
          <w:bCs/>
          <w:color w:val="000000"/>
          <w:spacing w:val="-1"/>
        </w:rPr>
        <w:tab/>
        <w:t>Blood urea concentration determination</w:t>
      </w:r>
    </w:p>
    <w:p w14:paraId="0B7358A5"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
          <w:bCs/>
          <w:color w:val="000000"/>
          <w:spacing w:val="-1"/>
          <w:sz w:val="20"/>
          <w:szCs w:val="20"/>
        </w:rPr>
        <w:t>Principle:</w:t>
      </w:r>
      <w:r w:rsidRPr="000C1191">
        <w:rPr>
          <w:rFonts w:ascii="Times New Roman" w:hAnsi="Times New Roman" w:cs="Times New Roman"/>
          <w:bCs/>
          <w:color w:val="000000"/>
          <w:spacing w:val="-1"/>
          <w:sz w:val="20"/>
          <w:szCs w:val="20"/>
        </w:rPr>
        <w:t xml:space="preserve"> Urea in serum is hydrolysed to ammonia in the presence of urease. The ammonia is then measured photometrically by Berthelot’s reaction.</w:t>
      </w:r>
    </w:p>
    <w:p w14:paraId="631C650A"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Urea + H</w:t>
      </w:r>
      <w:r w:rsidRPr="000C1191">
        <w:rPr>
          <w:rFonts w:ascii="Times New Roman" w:hAnsi="Times New Roman" w:cs="Times New Roman"/>
          <w:bCs/>
          <w:color w:val="000000"/>
          <w:spacing w:val="-1"/>
          <w:sz w:val="20"/>
          <w:szCs w:val="20"/>
          <w:vertAlign w:val="subscript"/>
        </w:rPr>
        <w:t>2</w:t>
      </w:r>
      <w:r w:rsidRPr="000C1191">
        <w:rPr>
          <w:rFonts w:ascii="Times New Roman" w:hAnsi="Times New Roman" w:cs="Times New Roman"/>
          <w:bCs/>
          <w:color w:val="000000"/>
          <w:spacing w:val="-1"/>
          <w:sz w:val="20"/>
          <w:szCs w:val="20"/>
        </w:rPr>
        <w:t>O -------</w:t>
      </w:r>
      <w:r w:rsidRPr="000C1191">
        <w:rPr>
          <w:rFonts w:ascii="Times New Roman" w:hAnsi="Times New Roman" w:cs="Times New Roman"/>
          <w:bCs/>
          <w:color w:val="000000"/>
          <w:spacing w:val="-1"/>
          <w:sz w:val="20"/>
          <w:szCs w:val="20"/>
        </w:rPr>
        <w:sym w:font="Wingdings" w:char="F0E0"/>
      </w:r>
      <w:r w:rsidRPr="000C1191">
        <w:rPr>
          <w:rFonts w:ascii="Times New Roman" w:hAnsi="Times New Roman" w:cs="Times New Roman"/>
          <w:bCs/>
          <w:color w:val="000000"/>
          <w:spacing w:val="-1"/>
          <w:sz w:val="20"/>
          <w:szCs w:val="20"/>
        </w:rPr>
        <w:t xml:space="preserve"> 2NH</w:t>
      </w:r>
      <w:r w:rsidRPr="000C1191">
        <w:rPr>
          <w:rFonts w:ascii="Times New Roman" w:hAnsi="Times New Roman" w:cs="Times New Roman"/>
          <w:bCs/>
          <w:color w:val="000000"/>
          <w:spacing w:val="-1"/>
          <w:sz w:val="20"/>
          <w:szCs w:val="20"/>
          <w:vertAlign w:val="subscript"/>
        </w:rPr>
        <w:t>3</w:t>
      </w:r>
      <w:r w:rsidRPr="000C1191">
        <w:rPr>
          <w:rFonts w:ascii="Times New Roman" w:hAnsi="Times New Roman" w:cs="Times New Roman"/>
          <w:bCs/>
          <w:color w:val="000000"/>
          <w:spacing w:val="-1"/>
          <w:sz w:val="20"/>
          <w:szCs w:val="20"/>
        </w:rPr>
        <w:t xml:space="preserve"> + CO</w:t>
      </w:r>
      <w:r w:rsidRPr="000C1191">
        <w:rPr>
          <w:rFonts w:ascii="Times New Roman" w:hAnsi="Times New Roman" w:cs="Times New Roman"/>
          <w:bCs/>
          <w:color w:val="000000"/>
          <w:spacing w:val="-1"/>
          <w:sz w:val="20"/>
          <w:szCs w:val="20"/>
          <w:vertAlign w:val="subscript"/>
        </w:rPr>
        <w:t>2</w:t>
      </w:r>
    </w:p>
    <w:p w14:paraId="535D2C30"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NH</w:t>
      </w:r>
      <w:r w:rsidRPr="000C1191">
        <w:rPr>
          <w:rFonts w:ascii="Times New Roman" w:hAnsi="Times New Roman" w:cs="Times New Roman"/>
          <w:bCs/>
          <w:color w:val="000000"/>
          <w:spacing w:val="-1"/>
          <w:sz w:val="20"/>
          <w:szCs w:val="20"/>
          <w:vertAlign w:val="subscript"/>
        </w:rPr>
        <w:t>3</w:t>
      </w:r>
      <w:r w:rsidRPr="000C1191">
        <w:rPr>
          <w:rFonts w:ascii="Times New Roman" w:hAnsi="Times New Roman" w:cs="Times New Roman"/>
          <w:bCs/>
          <w:color w:val="000000"/>
          <w:spacing w:val="-1"/>
          <w:sz w:val="20"/>
          <w:szCs w:val="20"/>
        </w:rPr>
        <w:t xml:space="preserve"> + hypochlorite + phenol --------</w:t>
      </w:r>
      <w:r w:rsidRPr="000C1191">
        <w:rPr>
          <w:rFonts w:ascii="Times New Roman" w:hAnsi="Times New Roman" w:cs="Times New Roman"/>
          <w:bCs/>
          <w:color w:val="000000"/>
          <w:spacing w:val="-1"/>
          <w:sz w:val="20"/>
          <w:szCs w:val="20"/>
        </w:rPr>
        <w:sym w:font="Wingdings" w:char="F0E0"/>
      </w:r>
      <w:r w:rsidRPr="000C1191">
        <w:rPr>
          <w:rFonts w:ascii="Times New Roman" w:hAnsi="Times New Roman" w:cs="Times New Roman"/>
          <w:bCs/>
          <w:color w:val="000000"/>
          <w:spacing w:val="-1"/>
          <w:sz w:val="20"/>
          <w:szCs w:val="20"/>
        </w:rPr>
        <w:t xml:space="preserve"> indophenol (blue compound)</w:t>
      </w:r>
    </w:p>
    <w:p w14:paraId="38751B6F" w14:textId="7EFA85F6"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
          <w:bCs/>
          <w:color w:val="000000"/>
          <w:spacing w:val="-1"/>
          <w:sz w:val="20"/>
          <w:szCs w:val="20"/>
        </w:rPr>
        <w:t>Procedure:</w:t>
      </w:r>
      <w:r w:rsidRPr="000C1191">
        <w:rPr>
          <w:rFonts w:ascii="Times New Roman" w:hAnsi="Times New Roman"/>
          <w:sz w:val="20"/>
        </w:rPr>
        <w:t xml:space="preserve">  Blood urea content was determined using commercial kits from Randox Laboratories using the method of </w:t>
      </w:r>
      <w:r w:rsidR="003C4C6F" w:rsidRPr="003C4C6F">
        <w:rPr>
          <w:rFonts w:ascii="Times New Roman" w:hAnsi="Times New Roman"/>
          <w:sz w:val="20"/>
        </w:rPr>
        <w:t>Fawcett</w:t>
      </w:r>
      <w:r w:rsidRPr="000C1191">
        <w:rPr>
          <w:rFonts w:ascii="Times New Roman" w:hAnsi="Times New Roman"/>
          <w:sz w:val="20"/>
        </w:rPr>
        <w:t xml:space="preserve"> and Scott (1960). The blood samples were allowed to clot and then centrifuged to obtain the sera which were used for the analysis. Ten microlitres (10 µl) each of blank, standard and sample (blood sera) were pipetted into 19 test tubes. Thereafter, 100 µl of sodium nitroprusside (R1b) and urease (R1a) were then added, mixed and incubated at 37</w:t>
      </w:r>
      <w:r w:rsidRPr="000C1191">
        <w:rPr>
          <w:rFonts w:ascii="Times New Roman" w:hAnsi="Times New Roman" w:cs="Times New Roman"/>
          <w:bCs/>
          <w:color w:val="000000"/>
          <w:spacing w:val="-1"/>
          <w:sz w:val="20"/>
          <w:szCs w:val="20"/>
          <w:vertAlign w:val="superscript"/>
        </w:rPr>
        <w:t>o</w:t>
      </w:r>
      <w:r w:rsidRPr="000C1191">
        <w:rPr>
          <w:rFonts w:ascii="Times New Roman" w:hAnsi="Times New Roman"/>
          <w:sz w:val="20"/>
        </w:rPr>
        <w:t xml:space="preserve">C for 10 minutes, 2.5 ml of phenol concentrate (R2) and hypochlorite concentrate (R3) were then added, mixed </w:t>
      </w:r>
      <w:r w:rsidRPr="000C1191">
        <w:rPr>
          <w:rFonts w:ascii="Times New Roman" w:hAnsi="Times New Roman"/>
          <w:sz w:val="20"/>
        </w:rPr>
        <w:lastRenderedPageBreak/>
        <w:t>and incubated at 37</w:t>
      </w:r>
      <w:r w:rsidRPr="000C1191">
        <w:rPr>
          <w:rFonts w:ascii="Times New Roman" w:hAnsi="Times New Roman" w:cs="Times New Roman"/>
          <w:bCs/>
          <w:color w:val="000000"/>
          <w:spacing w:val="-1"/>
          <w:sz w:val="20"/>
          <w:szCs w:val="20"/>
          <w:vertAlign w:val="superscript"/>
        </w:rPr>
        <w:t>o</w:t>
      </w:r>
      <w:r w:rsidRPr="000C1191">
        <w:rPr>
          <w:rFonts w:ascii="Times New Roman" w:hAnsi="Times New Roman"/>
          <w:sz w:val="20"/>
        </w:rPr>
        <w:t>C for 10 minutes. The absorbance of the sample and standard were read against the blank at 546 nm.</w:t>
      </w:r>
    </w:p>
    <w:p w14:paraId="7FAA3DAC"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 xml:space="preserve">Urea concentration = </w:t>
      </w:r>
      <w:r w:rsidRPr="000C1191">
        <w:rPr>
          <w:rFonts w:ascii="Times New Roman" w:hAnsi="Times New Roman" w:cs="Times New Roman"/>
          <w:bCs/>
          <w:color w:val="000000"/>
          <w:spacing w:val="-1"/>
          <w:sz w:val="20"/>
          <w:szCs w:val="20"/>
          <w:u w:val="thick"/>
        </w:rPr>
        <w:t>A sample × standard concentration (mg/dl)</w:t>
      </w:r>
    </w:p>
    <w:p w14:paraId="410CF335"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t>A standard</w:t>
      </w:r>
    </w:p>
    <w:p w14:paraId="28DB1EAF"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Where A sample = Absorbance of sample</w:t>
      </w:r>
    </w:p>
    <w:p w14:paraId="7934DEA9"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t>A standard= Absorbance of standard</w:t>
      </w:r>
    </w:p>
    <w:p w14:paraId="7C4EF758" w14:textId="77777777" w:rsidR="009C2C91" w:rsidRPr="000C1191" w:rsidRDefault="009C2C91">
      <w:pPr>
        <w:spacing w:line="360" w:lineRule="auto"/>
        <w:jc w:val="both"/>
        <w:rPr>
          <w:rFonts w:ascii="Times New Roman" w:hAnsi="Times New Roman" w:cs="Times New Roman"/>
          <w:bCs/>
          <w:color w:val="000000"/>
          <w:spacing w:val="-1"/>
        </w:rPr>
      </w:pPr>
    </w:p>
    <w:p w14:paraId="7C73F835" w14:textId="77777777" w:rsidR="009C2C91" w:rsidRPr="000C1191" w:rsidRDefault="00DA2AEC">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2.5</w:t>
      </w:r>
      <w:r w:rsidR="001465AD" w:rsidRPr="000C1191">
        <w:rPr>
          <w:rFonts w:ascii="Times New Roman" w:hAnsi="Times New Roman" w:cs="Times New Roman"/>
          <w:b/>
          <w:bCs/>
          <w:color w:val="000000"/>
          <w:spacing w:val="-1"/>
        </w:rPr>
        <w:t>.2.2</w:t>
      </w:r>
      <w:r w:rsidR="001465AD" w:rsidRPr="000C1191">
        <w:rPr>
          <w:rFonts w:ascii="Times New Roman" w:hAnsi="Times New Roman" w:cs="Times New Roman"/>
          <w:b/>
          <w:bCs/>
          <w:color w:val="000000"/>
          <w:spacing w:val="-1"/>
        </w:rPr>
        <w:tab/>
        <w:t>Creatinine concentration determination</w:t>
      </w:r>
    </w:p>
    <w:p w14:paraId="0805F23B"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
          <w:bCs/>
          <w:color w:val="000000"/>
          <w:spacing w:val="-1"/>
          <w:sz w:val="20"/>
          <w:szCs w:val="20"/>
        </w:rPr>
        <w:t>Principle:</w:t>
      </w:r>
      <w:r w:rsidRPr="000C1191">
        <w:rPr>
          <w:rFonts w:ascii="Times New Roman" w:hAnsi="Times New Roman"/>
          <w:sz w:val="20"/>
        </w:rPr>
        <w:t xml:space="preserve"> Creatinine content was determined using the commercial kits from Randox Laboratories using the colourimetric method described by Osigwe </w:t>
      </w:r>
      <w:r w:rsidRPr="000C1191">
        <w:rPr>
          <w:rFonts w:ascii="Times New Roman" w:hAnsi="Times New Roman"/>
          <w:i/>
          <w:sz w:val="20"/>
        </w:rPr>
        <w:t>et al.</w:t>
      </w:r>
      <w:r w:rsidRPr="000C1191">
        <w:rPr>
          <w:rFonts w:ascii="Times New Roman" w:hAnsi="Times New Roman"/>
          <w:sz w:val="20"/>
        </w:rPr>
        <w:t xml:space="preserve"> (2017). The clotted blood sample was centrifuged and the sera were used to carry out the analysis. Working reagents (picric acid and sodium hydroxide) of 1.0ml and 0.1ml of standard solution and sample were pipetted into 19 test tubes, mixed, and after 30 minutes, the absorbance A1 of the standard and sample was read at 492 nm. Exactly 2 minutes later, the absorbance A2 of the standard and sample was read again.</w:t>
      </w:r>
    </w:p>
    <w:p w14:paraId="672A8757"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 xml:space="preserve">Creatinine concentration = </w:t>
      </w:r>
      <w:r w:rsidRPr="000C1191">
        <w:rPr>
          <w:rFonts w:ascii="Times New Roman" w:hAnsi="Times New Roman" w:cs="Times New Roman"/>
          <w:bCs/>
          <w:color w:val="000000"/>
          <w:spacing w:val="-1"/>
          <w:sz w:val="20"/>
          <w:szCs w:val="20"/>
          <w:u w:val="thick"/>
        </w:rPr>
        <w:t>A2 – A1 (sample)</w:t>
      </w: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r>
      <w:r w:rsidRPr="000C1191">
        <w:rPr>
          <w:rFonts w:ascii="Times New Roman" w:hAnsi="Times New Roman" w:cs="Times New Roman"/>
          <w:b/>
          <w:bCs/>
          <w:color w:val="000000"/>
          <w:spacing w:val="-1"/>
          <w:sz w:val="20"/>
          <w:szCs w:val="20"/>
        </w:rPr>
        <w:t>×</w:t>
      </w:r>
      <w:r w:rsidRPr="000C1191">
        <w:rPr>
          <w:rFonts w:ascii="Times New Roman" w:hAnsi="Times New Roman" w:cs="Times New Roman"/>
          <w:bCs/>
          <w:color w:val="000000"/>
          <w:spacing w:val="-1"/>
          <w:sz w:val="20"/>
          <w:szCs w:val="20"/>
        </w:rPr>
        <w:t xml:space="preserve">  standard conc. (mg/dl)</w:t>
      </w:r>
    </w:p>
    <w:p w14:paraId="65970080"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t xml:space="preserve">      A2 – A1 (standard)</w:t>
      </w:r>
    </w:p>
    <w:p w14:paraId="6CFB1DEA"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Where A1(sample) = initial absorbance of sample</w:t>
      </w:r>
    </w:p>
    <w:p w14:paraId="78B79E07"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t>A1(standard) = initial absorbance of standard</w:t>
      </w:r>
    </w:p>
    <w:p w14:paraId="373674D8"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t>A2(sample) = final absorbance of sample</w:t>
      </w:r>
    </w:p>
    <w:p w14:paraId="3F2D5783"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rPr>
          <w:rFonts w:ascii="Times New Roman" w:hAnsi="Times New Roman" w:cs="Times New Roman"/>
          <w:bCs/>
          <w:color w:val="000000"/>
          <w:spacing w:val="-1"/>
          <w:sz w:val="20"/>
          <w:szCs w:val="20"/>
        </w:rPr>
        <w:tab/>
      </w:r>
      <w:r w:rsidRPr="000C1191">
        <w:rPr>
          <w:rFonts w:ascii="Times New Roman" w:hAnsi="Times New Roman" w:cs="Times New Roman"/>
          <w:bCs/>
          <w:color w:val="000000"/>
          <w:spacing w:val="-1"/>
          <w:sz w:val="20"/>
          <w:szCs w:val="20"/>
        </w:rPr>
        <w:tab/>
        <w:t>A2(standard) = final absorbance of standard.</w:t>
      </w:r>
    </w:p>
    <w:p w14:paraId="49831CA6" w14:textId="77777777" w:rsidR="009C2C91" w:rsidRPr="000C1191" w:rsidRDefault="00DA2AEC">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2.5</w:t>
      </w:r>
      <w:r w:rsidR="001465AD" w:rsidRPr="000C1191">
        <w:rPr>
          <w:rFonts w:ascii="Times New Roman" w:hAnsi="Times New Roman" w:cs="Times New Roman"/>
          <w:b/>
          <w:bCs/>
          <w:color w:val="000000"/>
          <w:spacing w:val="-1"/>
        </w:rPr>
        <w:t>.3</w:t>
      </w:r>
      <w:r w:rsidR="001465AD" w:rsidRPr="000C1191">
        <w:rPr>
          <w:rFonts w:ascii="Times New Roman" w:hAnsi="Times New Roman" w:cs="Times New Roman"/>
          <w:b/>
          <w:bCs/>
          <w:color w:val="000000"/>
          <w:spacing w:val="-1"/>
        </w:rPr>
        <w:tab/>
        <w:t>HAEMATOLOGICAL ANALYSIS</w:t>
      </w:r>
    </w:p>
    <w:p w14:paraId="45EEE0E6"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t>A blood sample (2 ml) was collected from each experimental animal per replicate through cardiac puncture into a sample bottle containing ethylenediaminetetraacetic acid (EDTA) and taken to the laboratory in the Department of Applied Biochemistry, Nnamdi Azikiwe University, Awka, for haematological analysis. The samples were analysed for packed cell volume (PCV) and haemoglobin count.</w:t>
      </w:r>
    </w:p>
    <w:p w14:paraId="7836B42A" w14:textId="77777777" w:rsidR="009C2C91" w:rsidRPr="000C1191" w:rsidRDefault="00DA2AEC">
      <w:pPr>
        <w:spacing w:line="360" w:lineRule="auto"/>
        <w:jc w:val="both"/>
        <w:rPr>
          <w:rFonts w:ascii="Times New Roman" w:hAnsi="Times New Roman" w:cs="Times New Roman"/>
          <w:bCs/>
          <w:color w:val="000000"/>
          <w:spacing w:val="-1"/>
        </w:rPr>
      </w:pPr>
      <w:r w:rsidRPr="000C1191">
        <w:rPr>
          <w:rFonts w:ascii="Times New Roman" w:hAnsi="Times New Roman" w:cs="Times New Roman"/>
          <w:b/>
          <w:bCs/>
          <w:color w:val="000000"/>
          <w:spacing w:val="-1"/>
        </w:rPr>
        <w:t>2.5</w:t>
      </w:r>
      <w:r w:rsidR="001465AD" w:rsidRPr="000C1191">
        <w:rPr>
          <w:rFonts w:ascii="Times New Roman" w:hAnsi="Times New Roman" w:cs="Times New Roman"/>
          <w:b/>
          <w:bCs/>
          <w:color w:val="000000"/>
          <w:spacing w:val="-1"/>
        </w:rPr>
        <w:t>.3.1</w:t>
      </w:r>
      <w:r w:rsidR="001465AD" w:rsidRPr="000C1191">
        <w:rPr>
          <w:rFonts w:ascii="Times New Roman" w:hAnsi="Times New Roman" w:cs="Times New Roman"/>
          <w:b/>
          <w:bCs/>
          <w:color w:val="000000"/>
          <w:spacing w:val="-1"/>
        </w:rPr>
        <w:tab/>
        <w:t>Estimation of packed cell volume (PCV) by micro haematocrit method.</w:t>
      </w:r>
    </w:p>
    <w:p w14:paraId="65AA9C94"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t xml:space="preserve">The sample was mixed thoroughly by gentle inversion, and a capillary tube was then placed in the EDTA bottle containing the blood sample. The EDTA bottle containing the anticoagulated whole blood was tilted to about 45o to assist the filling of the capillary tube before it was removed from the bottle. The exterior </w:t>
      </w:r>
      <w:r w:rsidRPr="000C1191">
        <w:lastRenderedPageBreak/>
        <w:t>of the capillary tube was cleaned with tissue paper, and the other end of the capillary tube was inserted into the plasticine. Once sealed, the capillary tube was placed in a test tube and spun in the haematocrit centrifuge for five minutes. Thereafter, the capillary tube, which had separated into red cells and plasma, was placed in a microhaematocrit reader by aligning the bottom of the red blood cell column with the 0% line and the top of the plasma with the 100% line. The measurement was taken at the RBC column and expressed as a percentage.</w:t>
      </w:r>
    </w:p>
    <w:p w14:paraId="5D45B434" w14:textId="77777777" w:rsidR="009C2C91" w:rsidRPr="000C1191" w:rsidRDefault="001465AD">
      <w:pPr>
        <w:spacing w:line="360" w:lineRule="auto"/>
        <w:jc w:val="both"/>
        <w:rPr>
          <w:rFonts w:ascii="Times New Roman" w:hAnsi="Times New Roman" w:cs="Times New Roman"/>
          <w:b/>
          <w:bCs/>
          <w:color w:val="000000"/>
          <w:spacing w:val="-1"/>
        </w:rPr>
      </w:pPr>
      <w:r w:rsidRPr="000C1191">
        <w:rPr>
          <w:rFonts w:ascii="Times New Roman" w:hAnsi="Times New Roman" w:cs="Times New Roman"/>
          <w:b/>
          <w:bCs/>
          <w:color w:val="000000"/>
          <w:spacing w:val="-1"/>
        </w:rPr>
        <w:t>2</w:t>
      </w:r>
      <w:r w:rsidR="00DA2AEC" w:rsidRPr="000C1191">
        <w:rPr>
          <w:rFonts w:ascii="Times New Roman" w:hAnsi="Times New Roman" w:cs="Times New Roman"/>
          <w:b/>
          <w:bCs/>
          <w:color w:val="000000"/>
          <w:spacing w:val="-1"/>
        </w:rPr>
        <w:t>.5</w:t>
      </w:r>
      <w:r w:rsidRPr="000C1191">
        <w:rPr>
          <w:rFonts w:ascii="Times New Roman" w:hAnsi="Times New Roman" w:cs="Times New Roman"/>
          <w:b/>
          <w:bCs/>
          <w:color w:val="000000"/>
          <w:spacing w:val="-1"/>
        </w:rPr>
        <w:t>.3.2</w:t>
      </w:r>
      <w:r w:rsidRPr="000C1191">
        <w:rPr>
          <w:rFonts w:ascii="Times New Roman" w:hAnsi="Times New Roman" w:cs="Times New Roman"/>
          <w:b/>
          <w:bCs/>
          <w:color w:val="000000"/>
          <w:spacing w:val="-1"/>
        </w:rPr>
        <w:tab/>
        <w:t xml:space="preserve">Estimation of </w:t>
      </w:r>
      <w:proofErr w:type="spellStart"/>
      <w:r w:rsidRPr="000C1191">
        <w:rPr>
          <w:rFonts w:ascii="Times New Roman" w:hAnsi="Times New Roman" w:cs="Times New Roman"/>
          <w:b/>
          <w:bCs/>
          <w:color w:val="000000"/>
          <w:spacing w:val="-1"/>
        </w:rPr>
        <w:t>haemoglobin</w:t>
      </w:r>
      <w:proofErr w:type="spellEnd"/>
      <w:r w:rsidRPr="000C1191">
        <w:rPr>
          <w:rFonts w:ascii="Times New Roman" w:hAnsi="Times New Roman" w:cs="Times New Roman"/>
          <w:b/>
          <w:bCs/>
          <w:color w:val="000000"/>
          <w:spacing w:val="-1"/>
        </w:rPr>
        <w:t xml:space="preserve"> (Hb) by </w:t>
      </w:r>
      <w:proofErr w:type="spellStart"/>
      <w:r w:rsidRPr="000C1191">
        <w:rPr>
          <w:rFonts w:ascii="Times New Roman" w:hAnsi="Times New Roman" w:cs="Times New Roman"/>
          <w:b/>
          <w:bCs/>
          <w:color w:val="000000"/>
          <w:spacing w:val="-1"/>
        </w:rPr>
        <w:t>sahli</w:t>
      </w:r>
      <w:proofErr w:type="spellEnd"/>
      <w:r w:rsidRPr="000C1191">
        <w:rPr>
          <w:rFonts w:ascii="Times New Roman" w:hAnsi="Times New Roman" w:cs="Times New Roman"/>
          <w:b/>
          <w:bCs/>
          <w:color w:val="000000"/>
          <w:spacing w:val="-1"/>
        </w:rPr>
        <w:t xml:space="preserve"> method</w:t>
      </w:r>
    </w:p>
    <w:p w14:paraId="561F11F2"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t>The haemoglobinometer tubes and pipette were properly cleaned and dried. The haemoglobinometer tube was filled with N/10 HCl up to its lower mark, i.e. the 2 g/dl or 10% mark, using a dropper. The Sahli’s pipette (20 µl) was filled and emptied into the haemoglobin tube containing N/10 HCl. It was mixed and left for 10 minutes to allow complete conversion of haemoglobin to haematin. Distilled water was added dropwise and stirred until the colour matched the standard glass of the comparator. The reading was taken at the lower meniscus, which directly gave the haemoglobin concentration in 100 ml of blood.</w:t>
      </w:r>
    </w:p>
    <w:p w14:paraId="01004FB4" w14:textId="77777777" w:rsidR="009C2C91" w:rsidRPr="000C1191" w:rsidRDefault="00DA2AEC">
      <w:pPr>
        <w:spacing w:line="360" w:lineRule="auto"/>
        <w:jc w:val="both"/>
        <w:rPr>
          <w:rFonts w:ascii="Times New Roman" w:hAnsi="Times New Roman" w:cs="Times New Roman"/>
          <w:bCs/>
          <w:color w:val="000000"/>
          <w:spacing w:val="-1"/>
        </w:rPr>
      </w:pPr>
      <w:r w:rsidRPr="000C1191">
        <w:rPr>
          <w:rFonts w:ascii="Times New Roman" w:hAnsi="Times New Roman" w:cs="Times New Roman"/>
          <w:b/>
          <w:bCs/>
          <w:color w:val="000000"/>
          <w:spacing w:val="-1"/>
        </w:rPr>
        <w:t>2.6</w:t>
      </w:r>
      <w:r w:rsidR="001465AD" w:rsidRPr="000C1191">
        <w:rPr>
          <w:rFonts w:ascii="Times New Roman" w:hAnsi="Times New Roman" w:cs="Times New Roman"/>
          <w:b/>
          <w:bCs/>
          <w:color w:val="000000"/>
          <w:spacing w:val="-1"/>
        </w:rPr>
        <w:tab/>
        <w:t>DATA ANALYSES</w:t>
      </w:r>
    </w:p>
    <w:p w14:paraId="03FE5741" w14:textId="77777777" w:rsidR="009C2C91" w:rsidRPr="000C1191" w:rsidRDefault="001465AD">
      <w:pPr>
        <w:spacing w:line="360" w:lineRule="auto"/>
        <w:jc w:val="both"/>
        <w:rPr>
          <w:rFonts w:ascii="Times New Roman" w:hAnsi="Times New Roman" w:cs="Times New Roman"/>
          <w:bCs/>
          <w:color w:val="000000"/>
          <w:spacing w:val="-1"/>
          <w:sz w:val="20"/>
          <w:szCs w:val="20"/>
        </w:rPr>
      </w:pPr>
      <w:r w:rsidRPr="000C1191">
        <w:t>The means and standard deviations of the data were calculated from three independent measurements of each sample. Data analyses were carried out using Microsoft Excel 2010 and the Statistical Package for the Social Sciences (SPSS), version 20, and p˂0.05 indicated significance.</w:t>
      </w:r>
    </w:p>
    <w:p w14:paraId="4F660831" w14:textId="77777777" w:rsidR="009C2C91" w:rsidRPr="000C1191" w:rsidRDefault="001465AD">
      <w:pPr>
        <w:spacing w:line="360" w:lineRule="auto"/>
        <w:jc w:val="both"/>
        <w:rPr>
          <w:rFonts w:ascii="Times New Roman" w:hAnsi="Times New Roman" w:cs="Times New Roman"/>
          <w:bCs/>
          <w:color w:val="000000"/>
          <w:spacing w:val="-1"/>
        </w:rPr>
      </w:pPr>
      <w:r w:rsidRPr="000C1191">
        <w:rPr>
          <w:rFonts w:ascii="Times New Roman" w:hAnsi="Times New Roman" w:cs="Times New Roman"/>
          <w:b/>
        </w:rPr>
        <w:t>3.</w:t>
      </w:r>
      <w:r w:rsidRPr="000C1191">
        <w:rPr>
          <w:rFonts w:ascii="Times New Roman" w:hAnsi="Times New Roman" w:cs="Times New Roman"/>
          <w:b/>
        </w:rPr>
        <w:tab/>
        <w:t>RESULTS</w:t>
      </w:r>
    </w:p>
    <w:p w14:paraId="18553240"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3.1</w:t>
      </w:r>
      <w:r w:rsidRPr="000C1191">
        <w:rPr>
          <w:rFonts w:ascii="Times New Roman" w:hAnsi="Times New Roman" w:cs="Times New Roman"/>
          <w:b/>
        </w:rPr>
        <w:tab/>
        <w:t>Biochemical Assays</w:t>
      </w:r>
    </w:p>
    <w:p w14:paraId="177591CD"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3.1.1</w:t>
      </w:r>
      <w:r w:rsidRPr="000C1191">
        <w:rPr>
          <w:rFonts w:ascii="Times New Roman" w:hAnsi="Times New Roman" w:cs="Times New Roman"/>
          <w:b/>
        </w:rPr>
        <w:tab/>
        <w:t>Liver function assessment</w:t>
      </w:r>
    </w:p>
    <w:p w14:paraId="14672311"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3.1.1.1</w:t>
      </w:r>
      <w:r w:rsidRPr="000C1191">
        <w:rPr>
          <w:rFonts w:ascii="Times New Roman" w:hAnsi="Times New Roman" w:cs="Times New Roman"/>
          <w:b/>
        </w:rPr>
        <w:tab/>
        <w:t>Alanine amino transferase and Aspartate amino transferase</w:t>
      </w:r>
    </w:p>
    <w:p w14:paraId="53B9027D" w14:textId="77777777" w:rsidR="009C2C91" w:rsidRPr="000C1191" w:rsidRDefault="002C1B01">
      <w:pPr>
        <w:spacing w:line="360" w:lineRule="auto"/>
        <w:jc w:val="both"/>
        <w:rPr>
          <w:rFonts w:ascii="Times New Roman" w:hAnsi="Times New Roman" w:cs="Times New Roman"/>
          <w:sz w:val="20"/>
          <w:szCs w:val="20"/>
        </w:rPr>
      </w:pPr>
      <w:r w:rsidRPr="000C1191">
        <w:t xml:space="preserve">Table 2 shows the results of ALT and AST levels in the experimental rats at two-week intervals for the duration of four weeks. Daily consumption of </w:t>
      </w:r>
      <w:r w:rsidRPr="000C1191">
        <w:rPr>
          <w:i/>
        </w:rPr>
        <w:t>G. latifolium</w:t>
      </w:r>
      <w:r w:rsidRPr="000C1191">
        <w:t xml:space="preserve"> at these concentrations (10% and 20%) significantly increased (p&lt;0.05) ALT activity after two weeks (60.13±7.32 and 41.87±5.84 U/L, respectively) when compared with the normal control group (34.84±5.61%). After four weeks, there was a slight reduction in ALT in the 10% </w:t>
      </w:r>
      <w:r w:rsidRPr="000C1191">
        <w:rPr>
          <w:i/>
        </w:rPr>
        <w:t>G. latifolium</w:t>
      </w:r>
      <w:r w:rsidRPr="000C1191">
        <w:t xml:space="preserve"> group (57.93±8.30 U/L) but a significant reduction (p&lt;0.05) in the 20% </w:t>
      </w:r>
      <w:r w:rsidRPr="000C1191">
        <w:rPr>
          <w:i/>
        </w:rPr>
        <w:t>G. latifolium</w:t>
      </w:r>
      <w:r w:rsidRPr="000C1191">
        <w:t xml:space="preserve"> group (29.80±7.98 U/L). In addition, there was a significant increase (p&lt;0.05) in AST activity in the </w:t>
      </w:r>
      <w:r w:rsidRPr="000C1191">
        <w:rPr>
          <w:i/>
        </w:rPr>
        <w:t>G. latifolium</w:t>
      </w:r>
      <w:r w:rsidRPr="000C1191">
        <w:t xml:space="preserve"> groups after two weeks of consumption, both in the 10% </w:t>
      </w:r>
      <w:r w:rsidRPr="000C1191">
        <w:rPr>
          <w:i/>
        </w:rPr>
        <w:t>G. latifolium</w:t>
      </w:r>
      <w:r w:rsidRPr="000C1191">
        <w:t xml:space="preserve"> group (180.13±11.93 U/L) and the 20% </w:t>
      </w:r>
      <w:r w:rsidRPr="000C1191">
        <w:rPr>
          <w:i/>
        </w:rPr>
        <w:t>G. latifolium</w:t>
      </w:r>
      <w:r w:rsidRPr="000C1191">
        <w:t xml:space="preserve"> group (152.75±17.20 U/L), when compared with the normal </w:t>
      </w:r>
      <w:r w:rsidRPr="000C1191">
        <w:lastRenderedPageBreak/>
        <w:t xml:space="preserve">control group (82.13±9.61 U/L). After four weeks, there was a reduction (85.67±7.26 U/L) in the 10% </w:t>
      </w:r>
      <w:r w:rsidRPr="000C1191">
        <w:rPr>
          <w:i/>
        </w:rPr>
        <w:t>G. latifolium</w:t>
      </w:r>
      <w:r w:rsidRPr="000C1191">
        <w:t xml:space="preserve"> group, although these activities were not significantly different from those of the positive control group (91.33±9.16 U/L), while the 20% </w:t>
      </w:r>
      <w:r w:rsidRPr="000C1191">
        <w:rPr>
          <w:i/>
        </w:rPr>
        <w:t>G. latifolium</w:t>
      </w:r>
      <w:r w:rsidRPr="000C1191">
        <w:t xml:space="preserve"> group (79.17±0.93 U/L) showed significantly reduced (p&lt;0.05) AST levels.</w:t>
      </w:r>
    </w:p>
    <w:p w14:paraId="7BA161E7" w14:textId="77777777" w:rsidR="009C2C91" w:rsidRPr="000C1191" w:rsidRDefault="009C2C91">
      <w:pPr>
        <w:spacing w:line="360" w:lineRule="auto"/>
        <w:rPr>
          <w:rFonts w:ascii="Times New Roman" w:hAnsi="Times New Roman" w:cs="Times New Roman"/>
          <w:b/>
        </w:rPr>
        <w:sectPr w:rsidR="009C2C91" w:rsidRPr="000C1191">
          <w:type w:val="continuous"/>
          <w:pgSz w:w="12240" w:h="15840"/>
          <w:pgMar w:top="1440" w:right="1440" w:bottom="1440" w:left="1440" w:header="720" w:footer="720" w:gutter="0"/>
          <w:cols w:space="720"/>
          <w:docGrid w:linePitch="360"/>
        </w:sectPr>
      </w:pPr>
    </w:p>
    <w:p w14:paraId="7935DBB7"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 xml:space="preserve">Table </w:t>
      </w:r>
      <w:r w:rsidR="003D61EF" w:rsidRPr="000C1191">
        <w:rPr>
          <w:rFonts w:ascii="Times New Roman" w:hAnsi="Times New Roman" w:cs="Times New Roman"/>
          <w:b/>
        </w:rPr>
        <w:t>2</w:t>
      </w:r>
      <w:r w:rsidRPr="000C1191">
        <w:rPr>
          <w:rFonts w:ascii="Times New Roman" w:hAnsi="Times New Roman" w:cs="Times New Roman"/>
          <w:b/>
        </w:rPr>
        <w:t>: Liver function assessment</w:t>
      </w:r>
    </w:p>
    <w:tbl>
      <w:tblPr>
        <w:tblStyle w:val="LightShading1"/>
        <w:tblW w:w="9575" w:type="dxa"/>
        <w:tblInd w:w="0" w:type="dxa"/>
        <w:shd w:val="clear" w:color="auto" w:fill="FFFFFF"/>
        <w:tblLook w:val="04A0" w:firstRow="1" w:lastRow="0" w:firstColumn="1" w:lastColumn="0" w:noHBand="0" w:noVBand="1"/>
      </w:tblPr>
      <w:tblGrid>
        <w:gridCol w:w="1915"/>
        <w:gridCol w:w="1915"/>
        <w:gridCol w:w="1915"/>
        <w:gridCol w:w="1915"/>
        <w:gridCol w:w="1915"/>
      </w:tblGrid>
      <w:tr w:rsidR="009C2C91" w:rsidRPr="000C1191" w14:paraId="76E6B9C8"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223B04FA"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Groups</w:t>
            </w:r>
          </w:p>
        </w:tc>
        <w:tc>
          <w:tcPr>
            <w:tcW w:w="1915" w:type="dxa"/>
            <w:shd w:val="clear" w:color="auto" w:fill="FFFFFF"/>
            <w:hideMark/>
          </w:tcPr>
          <w:p w14:paraId="4D3AAA49"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ALT (After 2 weeks)</w:t>
            </w:r>
          </w:p>
        </w:tc>
        <w:tc>
          <w:tcPr>
            <w:tcW w:w="1915" w:type="dxa"/>
            <w:shd w:val="clear" w:color="auto" w:fill="FFFFFF"/>
            <w:hideMark/>
          </w:tcPr>
          <w:p w14:paraId="5EA38696"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ALT ( After 4 weeks)</w:t>
            </w:r>
          </w:p>
        </w:tc>
        <w:tc>
          <w:tcPr>
            <w:tcW w:w="1915" w:type="dxa"/>
            <w:shd w:val="clear" w:color="auto" w:fill="FFFFFF"/>
            <w:hideMark/>
          </w:tcPr>
          <w:p w14:paraId="426F210D"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AST (After 2 weeks)</w:t>
            </w:r>
          </w:p>
        </w:tc>
        <w:tc>
          <w:tcPr>
            <w:tcW w:w="1915" w:type="dxa"/>
            <w:shd w:val="clear" w:color="auto" w:fill="FFFFFF"/>
            <w:hideMark/>
          </w:tcPr>
          <w:p w14:paraId="3C53D387"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AST (After 4 weeks)</w:t>
            </w:r>
          </w:p>
        </w:tc>
      </w:tr>
      <w:tr w:rsidR="009C2C91" w:rsidRPr="000C1191" w14:paraId="0C69C2BC"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0C722266"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Normal control</w:t>
            </w:r>
          </w:p>
        </w:tc>
        <w:tc>
          <w:tcPr>
            <w:tcW w:w="1915" w:type="dxa"/>
            <w:tcBorders>
              <w:top w:val="nil"/>
              <w:bottom w:val="nil"/>
            </w:tcBorders>
            <w:shd w:val="clear" w:color="auto" w:fill="FFFFFF"/>
            <w:hideMark/>
          </w:tcPr>
          <w:p w14:paraId="119E5689"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34.84±5.61</w:t>
            </w:r>
          </w:p>
        </w:tc>
        <w:tc>
          <w:tcPr>
            <w:tcW w:w="1915" w:type="dxa"/>
            <w:tcBorders>
              <w:top w:val="nil"/>
              <w:bottom w:val="nil"/>
            </w:tcBorders>
            <w:shd w:val="clear" w:color="auto" w:fill="FFFFFF"/>
            <w:hideMark/>
          </w:tcPr>
          <w:p w14:paraId="026A7115"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70.10±8.47</w:t>
            </w:r>
          </w:p>
        </w:tc>
        <w:tc>
          <w:tcPr>
            <w:tcW w:w="1915" w:type="dxa"/>
            <w:tcBorders>
              <w:top w:val="nil"/>
              <w:bottom w:val="nil"/>
            </w:tcBorders>
            <w:shd w:val="clear" w:color="auto" w:fill="FFFFFF"/>
            <w:hideMark/>
          </w:tcPr>
          <w:p w14:paraId="4880E5A8"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82.13±9.61</w:t>
            </w:r>
          </w:p>
        </w:tc>
        <w:tc>
          <w:tcPr>
            <w:tcW w:w="1915" w:type="dxa"/>
            <w:tcBorders>
              <w:top w:val="nil"/>
              <w:bottom w:val="nil"/>
            </w:tcBorders>
            <w:shd w:val="clear" w:color="auto" w:fill="FFFFFF"/>
            <w:hideMark/>
          </w:tcPr>
          <w:p w14:paraId="13F72C43"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72.00±8.44</w:t>
            </w:r>
          </w:p>
        </w:tc>
      </w:tr>
      <w:tr w:rsidR="009C2C91" w:rsidRPr="000C1191" w14:paraId="155A500A"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50606935"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Positive control</w:t>
            </w:r>
          </w:p>
        </w:tc>
        <w:tc>
          <w:tcPr>
            <w:tcW w:w="1915" w:type="dxa"/>
            <w:tcBorders>
              <w:top w:val="nil"/>
              <w:left w:val="nil"/>
              <w:bottom w:val="nil"/>
              <w:right w:val="nil"/>
            </w:tcBorders>
            <w:shd w:val="clear" w:color="auto" w:fill="FFFFFF"/>
            <w:hideMark/>
          </w:tcPr>
          <w:p w14:paraId="1DB0F7F6"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22.68±1.97</w:t>
            </w:r>
          </w:p>
        </w:tc>
        <w:tc>
          <w:tcPr>
            <w:tcW w:w="1915" w:type="dxa"/>
            <w:tcBorders>
              <w:top w:val="nil"/>
              <w:left w:val="nil"/>
              <w:bottom w:val="nil"/>
              <w:right w:val="nil"/>
            </w:tcBorders>
            <w:shd w:val="clear" w:color="auto" w:fill="FFFFFF"/>
            <w:hideMark/>
          </w:tcPr>
          <w:p w14:paraId="29256CD0"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56.00±6.43</w:t>
            </w:r>
          </w:p>
        </w:tc>
        <w:tc>
          <w:tcPr>
            <w:tcW w:w="1915" w:type="dxa"/>
            <w:tcBorders>
              <w:top w:val="nil"/>
              <w:left w:val="nil"/>
              <w:bottom w:val="nil"/>
              <w:right w:val="nil"/>
            </w:tcBorders>
            <w:shd w:val="clear" w:color="auto" w:fill="FFFFFF"/>
            <w:hideMark/>
          </w:tcPr>
          <w:p w14:paraId="1BCC363D"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106.33±9.37</w:t>
            </w:r>
          </w:p>
        </w:tc>
        <w:tc>
          <w:tcPr>
            <w:tcW w:w="1915" w:type="dxa"/>
            <w:tcBorders>
              <w:top w:val="nil"/>
              <w:left w:val="nil"/>
              <w:bottom w:val="nil"/>
              <w:right w:val="nil"/>
            </w:tcBorders>
            <w:shd w:val="clear" w:color="auto" w:fill="FFFFFF"/>
            <w:hideMark/>
          </w:tcPr>
          <w:p w14:paraId="0449915D"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91.33±9.16</w:t>
            </w:r>
          </w:p>
        </w:tc>
      </w:tr>
      <w:tr w:rsidR="009C2C91" w:rsidRPr="000C1191" w14:paraId="486C0E53"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44BD4C66"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Negative control</w:t>
            </w:r>
          </w:p>
        </w:tc>
        <w:tc>
          <w:tcPr>
            <w:tcW w:w="1915" w:type="dxa"/>
            <w:tcBorders>
              <w:top w:val="nil"/>
              <w:bottom w:val="nil"/>
            </w:tcBorders>
            <w:shd w:val="clear" w:color="auto" w:fill="FFFFFF"/>
            <w:hideMark/>
          </w:tcPr>
          <w:p w14:paraId="2D28CACF"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40.07±4.26</w:t>
            </w:r>
          </w:p>
        </w:tc>
        <w:tc>
          <w:tcPr>
            <w:tcW w:w="1915" w:type="dxa"/>
            <w:tcBorders>
              <w:top w:val="nil"/>
              <w:bottom w:val="nil"/>
            </w:tcBorders>
            <w:shd w:val="clear" w:color="auto" w:fill="FFFFFF"/>
            <w:hideMark/>
          </w:tcPr>
          <w:p w14:paraId="10F9344E"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61.13±4.70</w:t>
            </w:r>
          </w:p>
        </w:tc>
        <w:tc>
          <w:tcPr>
            <w:tcW w:w="1915" w:type="dxa"/>
            <w:tcBorders>
              <w:top w:val="nil"/>
              <w:bottom w:val="nil"/>
            </w:tcBorders>
            <w:shd w:val="clear" w:color="auto" w:fill="FFFFFF"/>
            <w:hideMark/>
          </w:tcPr>
          <w:p w14:paraId="4358444A"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96.58±9.56</w:t>
            </w:r>
          </w:p>
        </w:tc>
        <w:tc>
          <w:tcPr>
            <w:tcW w:w="1915" w:type="dxa"/>
            <w:tcBorders>
              <w:top w:val="nil"/>
              <w:bottom w:val="nil"/>
            </w:tcBorders>
            <w:shd w:val="clear" w:color="auto" w:fill="FFFFFF"/>
            <w:hideMark/>
          </w:tcPr>
          <w:p w14:paraId="2C40AE50"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113.67±11.78</w:t>
            </w:r>
          </w:p>
        </w:tc>
      </w:tr>
      <w:tr w:rsidR="009C2C91" w:rsidRPr="000C1191" w14:paraId="73693DD0"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746E6921"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 xml:space="preserve">10% </w:t>
            </w:r>
            <w:r w:rsidRPr="000C1191">
              <w:rPr>
                <w:rFonts w:ascii="Times New Roman" w:hAnsi="Times New Roman" w:cs="Times New Roman"/>
                <w:b w:val="0"/>
                <w:i/>
              </w:rPr>
              <w:t>G.latifolium</w:t>
            </w:r>
          </w:p>
        </w:tc>
        <w:tc>
          <w:tcPr>
            <w:tcW w:w="1915" w:type="dxa"/>
            <w:tcBorders>
              <w:top w:val="nil"/>
              <w:left w:val="nil"/>
              <w:bottom w:val="nil"/>
              <w:right w:val="nil"/>
            </w:tcBorders>
            <w:shd w:val="clear" w:color="auto" w:fill="FFFFFF"/>
            <w:hideMark/>
          </w:tcPr>
          <w:p w14:paraId="4AC4152B"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60.13±7.32</w:t>
            </w:r>
          </w:p>
        </w:tc>
        <w:tc>
          <w:tcPr>
            <w:tcW w:w="1915" w:type="dxa"/>
            <w:tcBorders>
              <w:top w:val="nil"/>
              <w:left w:val="nil"/>
              <w:bottom w:val="nil"/>
              <w:right w:val="nil"/>
            </w:tcBorders>
            <w:shd w:val="clear" w:color="auto" w:fill="FFFFFF"/>
            <w:hideMark/>
          </w:tcPr>
          <w:p w14:paraId="5F6CE7F6"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57.93±8.30</w:t>
            </w:r>
          </w:p>
        </w:tc>
        <w:tc>
          <w:tcPr>
            <w:tcW w:w="1915" w:type="dxa"/>
            <w:tcBorders>
              <w:top w:val="nil"/>
              <w:left w:val="nil"/>
              <w:bottom w:val="nil"/>
              <w:right w:val="nil"/>
            </w:tcBorders>
            <w:shd w:val="clear" w:color="auto" w:fill="FFFFFF"/>
            <w:hideMark/>
          </w:tcPr>
          <w:p w14:paraId="700BC44C"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180.13±11.93</w:t>
            </w:r>
          </w:p>
        </w:tc>
        <w:tc>
          <w:tcPr>
            <w:tcW w:w="1915" w:type="dxa"/>
            <w:tcBorders>
              <w:top w:val="nil"/>
              <w:left w:val="nil"/>
              <w:bottom w:val="nil"/>
              <w:right w:val="nil"/>
            </w:tcBorders>
            <w:shd w:val="clear" w:color="auto" w:fill="FFFFFF"/>
            <w:hideMark/>
          </w:tcPr>
          <w:p w14:paraId="0E768216"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85.67±7.26</w:t>
            </w:r>
          </w:p>
        </w:tc>
      </w:tr>
      <w:tr w:rsidR="009C2C91" w:rsidRPr="000C1191" w14:paraId="4DD6ADEC"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27753AC4"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 xml:space="preserve">20% </w:t>
            </w:r>
            <w:r w:rsidRPr="000C1191">
              <w:rPr>
                <w:rFonts w:ascii="Times New Roman" w:hAnsi="Times New Roman" w:cs="Times New Roman"/>
                <w:b w:val="0"/>
                <w:i/>
              </w:rPr>
              <w:t>G.latifolium</w:t>
            </w:r>
          </w:p>
        </w:tc>
        <w:tc>
          <w:tcPr>
            <w:tcW w:w="1915" w:type="dxa"/>
            <w:tcBorders>
              <w:top w:val="nil"/>
              <w:bottom w:val="single" w:sz="8" w:space="0" w:color="000000"/>
            </w:tcBorders>
            <w:shd w:val="clear" w:color="auto" w:fill="FFFFFF"/>
            <w:hideMark/>
          </w:tcPr>
          <w:p w14:paraId="575C41C0"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41.87±5.84</w:t>
            </w:r>
          </w:p>
        </w:tc>
        <w:tc>
          <w:tcPr>
            <w:tcW w:w="1915" w:type="dxa"/>
            <w:tcBorders>
              <w:top w:val="nil"/>
              <w:bottom w:val="single" w:sz="8" w:space="0" w:color="000000"/>
            </w:tcBorders>
            <w:shd w:val="clear" w:color="auto" w:fill="FFFFFF"/>
            <w:hideMark/>
          </w:tcPr>
          <w:p w14:paraId="095346B5"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29.80±7.98</w:t>
            </w:r>
            <w:r w:rsidR="00F31937" w:rsidRPr="000C1191">
              <w:rPr>
                <w:rFonts w:ascii="Times New Roman" w:hAnsi="Times New Roman" w:cs="Times New Roman"/>
                <w:vertAlign w:val="superscript"/>
              </w:rPr>
              <w:t>a</w:t>
            </w:r>
          </w:p>
        </w:tc>
        <w:tc>
          <w:tcPr>
            <w:tcW w:w="1915" w:type="dxa"/>
            <w:tcBorders>
              <w:top w:val="nil"/>
              <w:bottom w:val="single" w:sz="8" w:space="0" w:color="000000"/>
            </w:tcBorders>
            <w:shd w:val="clear" w:color="auto" w:fill="FFFFFF"/>
            <w:hideMark/>
          </w:tcPr>
          <w:p w14:paraId="5ACC4D11"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152.75±17.20</w:t>
            </w:r>
          </w:p>
        </w:tc>
        <w:tc>
          <w:tcPr>
            <w:tcW w:w="1915" w:type="dxa"/>
            <w:tcBorders>
              <w:top w:val="nil"/>
              <w:bottom w:val="single" w:sz="8" w:space="0" w:color="000000"/>
            </w:tcBorders>
            <w:shd w:val="clear" w:color="auto" w:fill="FFFFFF"/>
            <w:hideMark/>
          </w:tcPr>
          <w:p w14:paraId="6AB571AB"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79.17±0.93</w:t>
            </w:r>
            <w:r w:rsidR="00F31937" w:rsidRPr="000C1191">
              <w:rPr>
                <w:rFonts w:ascii="Times New Roman" w:hAnsi="Times New Roman" w:cs="Times New Roman"/>
                <w:vertAlign w:val="superscript"/>
              </w:rPr>
              <w:t>a</w:t>
            </w:r>
          </w:p>
        </w:tc>
      </w:tr>
    </w:tbl>
    <w:p w14:paraId="3FDB19CA" w14:textId="77777777" w:rsidR="009C2C91" w:rsidRPr="000C1191" w:rsidRDefault="009C2C91">
      <w:pPr>
        <w:spacing w:line="360" w:lineRule="auto"/>
        <w:rPr>
          <w:rFonts w:ascii="Times New Roman" w:hAnsi="Times New Roman" w:cs="Times New Roman"/>
          <w:b/>
        </w:rPr>
      </w:pPr>
    </w:p>
    <w:p w14:paraId="5379392B" w14:textId="77777777" w:rsidR="009C2C91" w:rsidRPr="000C1191" w:rsidRDefault="009C2C91">
      <w:pPr>
        <w:spacing w:line="360" w:lineRule="auto"/>
        <w:rPr>
          <w:rFonts w:ascii="Times New Roman" w:hAnsi="Times New Roman" w:cs="Times New Roman"/>
          <w:b/>
        </w:rPr>
        <w:sectPr w:rsidR="009C2C91" w:rsidRPr="000C1191">
          <w:type w:val="continuous"/>
          <w:pgSz w:w="12240" w:h="15840"/>
          <w:pgMar w:top="1440" w:right="1440" w:bottom="1440" w:left="1440" w:header="720" w:footer="720" w:gutter="0"/>
          <w:cols w:space="720"/>
          <w:docGrid w:linePitch="360"/>
        </w:sectPr>
      </w:pPr>
    </w:p>
    <w:p w14:paraId="6C92F7D7" w14:textId="77777777" w:rsidR="0019258B" w:rsidRPr="000C1191" w:rsidRDefault="0019258B">
      <w:pPr>
        <w:spacing w:line="360" w:lineRule="auto"/>
        <w:rPr>
          <w:rFonts w:ascii="Times New Roman" w:hAnsi="Times New Roman" w:cs="Times New Roman"/>
          <w:b/>
        </w:rPr>
      </w:pPr>
    </w:p>
    <w:p w14:paraId="5D3AEF69"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3.1.2</w:t>
      </w:r>
      <w:r w:rsidRPr="000C1191">
        <w:rPr>
          <w:rFonts w:ascii="Times New Roman" w:hAnsi="Times New Roman" w:cs="Times New Roman"/>
          <w:b/>
        </w:rPr>
        <w:tab/>
      </w:r>
      <w:proofErr w:type="spellStart"/>
      <w:r w:rsidRPr="000C1191">
        <w:rPr>
          <w:rFonts w:ascii="Times New Roman" w:hAnsi="Times New Roman" w:cs="Times New Roman"/>
          <w:b/>
        </w:rPr>
        <w:t>Haematological</w:t>
      </w:r>
      <w:proofErr w:type="spellEnd"/>
      <w:r w:rsidRPr="000C1191">
        <w:rPr>
          <w:rFonts w:ascii="Times New Roman" w:hAnsi="Times New Roman" w:cs="Times New Roman"/>
          <w:b/>
        </w:rPr>
        <w:t xml:space="preserve"> Assays</w:t>
      </w:r>
    </w:p>
    <w:p w14:paraId="38FF762C"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3.1.2.1</w:t>
      </w:r>
      <w:r w:rsidRPr="000C1191">
        <w:rPr>
          <w:rFonts w:ascii="Times New Roman" w:hAnsi="Times New Roman" w:cs="Times New Roman"/>
          <w:b/>
        </w:rPr>
        <w:tab/>
        <w:t>Red blood cell indices (Haemoglobin and Packed cell volume)</w:t>
      </w:r>
    </w:p>
    <w:p w14:paraId="3B654675" w14:textId="77777777" w:rsidR="009C2C91" w:rsidRPr="000C1191" w:rsidRDefault="001465AD">
      <w:pPr>
        <w:spacing w:line="360" w:lineRule="auto"/>
        <w:jc w:val="both"/>
        <w:rPr>
          <w:rFonts w:ascii="Times New Roman" w:hAnsi="Times New Roman" w:cs="Times New Roman"/>
          <w:sz w:val="20"/>
          <w:szCs w:val="20"/>
        </w:rPr>
        <w:sectPr w:rsidR="009C2C91" w:rsidRPr="000C1191">
          <w:type w:val="continuous"/>
          <w:pgSz w:w="12240" w:h="15840"/>
          <w:pgMar w:top="1440" w:right="1440" w:bottom="1440" w:left="1440" w:header="720" w:footer="720" w:gutter="0"/>
          <w:cols w:space="720"/>
          <w:docGrid w:linePitch="360"/>
        </w:sectPr>
      </w:pPr>
      <w:r w:rsidRPr="000C1191">
        <w:t xml:space="preserve">Table 3 shows the results of Hb and PCV in the experimental animals at two-week intervals for the duration of four weeks. The results showed that the 20% </w:t>
      </w:r>
      <w:r w:rsidRPr="000C1191">
        <w:rPr>
          <w:i/>
        </w:rPr>
        <w:t>G. latifolium</w:t>
      </w:r>
      <w:r w:rsidRPr="000C1191">
        <w:t xml:space="preserve"> group had the highest Hb (21.49±5.37 g/dl) and PCV (42.69±12.43%) levels after two weeks of daily consumption when compared with the other groups, while the positive control group had the lowest values (9.22±0.97 g/dl and 27.65±2.92% for Hb and PCV, respectively). After four weeks, the negative control group had higher PCV levels (57.85±8.38%), although these were not significantly higher (p&gt;0.05) than those of the other groups, with the normal control group (46.56±6.82%) having the lowest value. Also, after four weeks, the 10% and 20% </w:t>
      </w:r>
      <w:r w:rsidRPr="000C1191">
        <w:rPr>
          <w:i/>
        </w:rPr>
        <w:t>G. latifolium</w:t>
      </w:r>
      <w:r w:rsidRPr="000C1191">
        <w:t xml:space="preserve"> groups had increased PCV levels (50.62±4.09% and 55.27±3.58%, respectively) above those of the normal control group (46.56±6.82%) and positive control group (47.63±12.32%), and this increase was dose-dependent.</w:t>
      </w:r>
    </w:p>
    <w:p w14:paraId="374CD37E" w14:textId="77777777" w:rsidR="009C2C91" w:rsidRPr="000C1191" w:rsidRDefault="009C2C91">
      <w:pPr>
        <w:spacing w:line="360" w:lineRule="auto"/>
        <w:rPr>
          <w:rFonts w:ascii="Times New Roman" w:hAnsi="Times New Roman" w:cs="Times New Roman"/>
          <w:b/>
        </w:rPr>
      </w:pPr>
    </w:p>
    <w:p w14:paraId="195A4C36"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 xml:space="preserve">Table </w:t>
      </w:r>
      <w:r w:rsidR="003D61EF" w:rsidRPr="000C1191">
        <w:rPr>
          <w:rFonts w:ascii="Times New Roman" w:hAnsi="Times New Roman" w:cs="Times New Roman"/>
          <w:b/>
        </w:rPr>
        <w:t>3</w:t>
      </w:r>
      <w:r w:rsidRPr="000C1191">
        <w:rPr>
          <w:rFonts w:ascii="Times New Roman" w:hAnsi="Times New Roman" w:cs="Times New Roman"/>
          <w:b/>
        </w:rPr>
        <w:t>: Average red blood cell indices of the various groups during the experimental period</w:t>
      </w:r>
    </w:p>
    <w:tbl>
      <w:tblPr>
        <w:tblStyle w:val="LightShading1"/>
        <w:tblW w:w="0" w:type="auto"/>
        <w:tblInd w:w="0" w:type="dxa"/>
        <w:shd w:val="clear" w:color="auto" w:fill="FFFFFF"/>
        <w:tblLook w:val="04A0" w:firstRow="1" w:lastRow="0" w:firstColumn="1" w:lastColumn="0" w:noHBand="0" w:noVBand="1"/>
      </w:tblPr>
      <w:tblGrid>
        <w:gridCol w:w="1873"/>
        <w:gridCol w:w="1868"/>
        <w:gridCol w:w="1868"/>
        <w:gridCol w:w="1875"/>
        <w:gridCol w:w="1876"/>
      </w:tblGrid>
      <w:tr w:rsidR="009C2C91" w:rsidRPr="000C1191" w14:paraId="1AF9BF48"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382A7960"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lastRenderedPageBreak/>
              <w:t>Groups</w:t>
            </w:r>
          </w:p>
        </w:tc>
        <w:tc>
          <w:tcPr>
            <w:tcW w:w="1915" w:type="dxa"/>
            <w:shd w:val="clear" w:color="auto" w:fill="FFFFFF"/>
            <w:hideMark/>
          </w:tcPr>
          <w:p w14:paraId="507F35D6" w14:textId="77777777" w:rsidR="0019258B"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C1191">
              <w:rPr>
                <w:rFonts w:ascii="Times New Roman" w:hAnsi="Times New Roman" w:cs="Times New Roman"/>
                <w:b w:val="0"/>
              </w:rPr>
              <w:t xml:space="preserve">Hb count after 2 </w:t>
            </w:r>
          </w:p>
          <w:p w14:paraId="3B41240A"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weeks</w:t>
            </w:r>
          </w:p>
        </w:tc>
        <w:tc>
          <w:tcPr>
            <w:tcW w:w="1915" w:type="dxa"/>
            <w:shd w:val="clear" w:color="auto" w:fill="FFFFFF"/>
            <w:hideMark/>
          </w:tcPr>
          <w:p w14:paraId="4D10708B"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Hb count after 4 weeks</w:t>
            </w:r>
          </w:p>
        </w:tc>
        <w:tc>
          <w:tcPr>
            <w:tcW w:w="1915" w:type="dxa"/>
            <w:shd w:val="clear" w:color="auto" w:fill="FFFFFF"/>
            <w:hideMark/>
          </w:tcPr>
          <w:p w14:paraId="0ABA6755"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PCV levels after 2 weeks</w:t>
            </w:r>
          </w:p>
        </w:tc>
        <w:tc>
          <w:tcPr>
            <w:tcW w:w="1916" w:type="dxa"/>
            <w:shd w:val="clear" w:color="auto" w:fill="FFFFFF"/>
            <w:hideMark/>
          </w:tcPr>
          <w:p w14:paraId="2C1ACB65"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PCV levels after 4 weeks</w:t>
            </w:r>
          </w:p>
        </w:tc>
      </w:tr>
      <w:tr w:rsidR="009C2C91" w:rsidRPr="000C1191" w14:paraId="7FDD1A57"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7A2BDB9C"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Normal control</w:t>
            </w:r>
          </w:p>
        </w:tc>
        <w:tc>
          <w:tcPr>
            <w:tcW w:w="1915" w:type="dxa"/>
            <w:tcBorders>
              <w:top w:val="nil"/>
              <w:bottom w:val="nil"/>
            </w:tcBorders>
            <w:shd w:val="clear" w:color="auto" w:fill="FFFFFF"/>
            <w:hideMark/>
          </w:tcPr>
          <w:p w14:paraId="7F94E12F"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11.43±2.05</w:t>
            </w:r>
          </w:p>
        </w:tc>
        <w:tc>
          <w:tcPr>
            <w:tcW w:w="1915" w:type="dxa"/>
            <w:tcBorders>
              <w:top w:val="nil"/>
              <w:bottom w:val="nil"/>
            </w:tcBorders>
            <w:shd w:val="clear" w:color="auto" w:fill="FFFFFF"/>
            <w:hideMark/>
          </w:tcPr>
          <w:p w14:paraId="0D8FCF79"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15.52±2.27</w:t>
            </w:r>
          </w:p>
        </w:tc>
        <w:tc>
          <w:tcPr>
            <w:tcW w:w="1915" w:type="dxa"/>
            <w:tcBorders>
              <w:top w:val="nil"/>
              <w:bottom w:val="nil"/>
            </w:tcBorders>
            <w:shd w:val="clear" w:color="auto" w:fill="FFFFFF"/>
            <w:hideMark/>
          </w:tcPr>
          <w:p w14:paraId="6117111F"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34.29±6.14</w:t>
            </w:r>
          </w:p>
        </w:tc>
        <w:tc>
          <w:tcPr>
            <w:tcW w:w="1916" w:type="dxa"/>
            <w:tcBorders>
              <w:top w:val="nil"/>
              <w:bottom w:val="nil"/>
            </w:tcBorders>
            <w:shd w:val="clear" w:color="auto" w:fill="FFFFFF"/>
            <w:hideMark/>
          </w:tcPr>
          <w:p w14:paraId="4CF8CCFE"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46.56±6.82</w:t>
            </w:r>
          </w:p>
        </w:tc>
      </w:tr>
      <w:tr w:rsidR="009C2C91" w:rsidRPr="000C1191" w14:paraId="5653DAC8"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6048754A"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Positive control</w:t>
            </w:r>
          </w:p>
        </w:tc>
        <w:tc>
          <w:tcPr>
            <w:tcW w:w="1915" w:type="dxa"/>
            <w:tcBorders>
              <w:top w:val="nil"/>
              <w:left w:val="nil"/>
              <w:bottom w:val="nil"/>
              <w:right w:val="nil"/>
            </w:tcBorders>
            <w:shd w:val="clear" w:color="auto" w:fill="FFFFFF"/>
            <w:hideMark/>
          </w:tcPr>
          <w:p w14:paraId="56C8711F"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9.22±0.97</w:t>
            </w:r>
          </w:p>
        </w:tc>
        <w:tc>
          <w:tcPr>
            <w:tcW w:w="1915" w:type="dxa"/>
            <w:tcBorders>
              <w:top w:val="nil"/>
              <w:left w:val="nil"/>
              <w:bottom w:val="nil"/>
              <w:right w:val="nil"/>
            </w:tcBorders>
            <w:shd w:val="clear" w:color="auto" w:fill="FFFFFF"/>
            <w:hideMark/>
          </w:tcPr>
          <w:p w14:paraId="62A898E9"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19.55±4.98</w:t>
            </w:r>
          </w:p>
        </w:tc>
        <w:tc>
          <w:tcPr>
            <w:tcW w:w="1915" w:type="dxa"/>
            <w:tcBorders>
              <w:top w:val="nil"/>
              <w:left w:val="nil"/>
              <w:bottom w:val="nil"/>
              <w:right w:val="nil"/>
            </w:tcBorders>
            <w:shd w:val="clear" w:color="auto" w:fill="FFFFFF"/>
            <w:hideMark/>
          </w:tcPr>
          <w:p w14:paraId="78FF1D00"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27.65±2.92</w:t>
            </w:r>
          </w:p>
        </w:tc>
        <w:tc>
          <w:tcPr>
            <w:tcW w:w="1916" w:type="dxa"/>
            <w:tcBorders>
              <w:top w:val="nil"/>
              <w:left w:val="nil"/>
              <w:bottom w:val="nil"/>
              <w:right w:val="nil"/>
            </w:tcBorders>
            <w:shd w:val="clear" w:color="auto" w:fill="FFFFFF"/>
            <w:hideMark/>
          </w:tcPr>
          <w:p w14:paraId="6E087A97"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47.63±12.32</w:t>
            </w:r>
          </w:p>
        </w:tc>
      </w:tr>
      <w:tr w:rsidR="009C2C91" w:rsidRPr="000C1191" w14:paraId="0C700594"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69FD0218"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Negative control</w:t>
            </w:r>
          </w:p>
        </w:tc>
        <w:tc>
          <w:tcPr>
            <w:tcW w:w="1915" w:type="dxa"/>
            <w:tcBorders>
              <w:top w:val="nil"/>
              <w:bottom w:val="nil"/>
            </w:tcBorders>
            <w:shd w:val="clear" w:color="auto" w:fill="FFFFFF"/>
            <w:hideMark/>
          </w:tcPr>
          <w:p w14:paraId="2A4651F3"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13.83±1.65</w:t>
            </w:r>
          </w:p>
        </w:tc>
        <w:tc>
          <w:tcPr>
            <w:tcW w:w="1915" w:type="dxa"/>
            <w:tcBorders>
              <w:top w:val="nil"/>
              <w:bottom w:val="nil"/>
            </w:tcBorders>
            <w:shd w:val="clear" w:color="auto" w:fill="FFFFFF"/>
            <w:hideMark/>
          </w:tcPr>
          <w:p w14:paraId="66C29B16"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19.28±2.79</w:t>
            </w:r>
          </w:p>
        </w:tc>
        <w:tc>
          <w:tcPr>
            <w:tcW w:w="1915" w:type="dxa"/>
            <w:tcBorders>
              <w:top w:val="nil"/>
              <w:bottom w:val="nil"/>
            </w:tcBorders>
            <w:shd w:val="clear" w:color="auto" w:fill="FFFFFF"/>
            <w:hideMark/>
          </w:tcPr>
          <w:p w14:paraId="52C48397"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41.50±4.95</w:t>
            </w:r>
          </w:p>
        </w:tc>
        <w:tc>
          <w:tcPr>
            <w:tcW w:w="1916" w:type="dxa"/>
            <w:tcBorders>
              <w:top w:val="nil"/>
              <w:bottom w:val="nil"/>
            </w:tcBorders>
            <w:shd w:val="clear" w:color="auto" w:fill="FFFFFF"/>
            <w:hideMark/>
          </w:tcPr>
          <w:p w14:paraId="57F92793"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57.85±8.38</w:t>
            </w:r>
          </w:p>
        </w:tc>
      </w:tr>
      <w:tr w:rsidR="009C2C91" w:rsidRPr="000C1191" w14:paraId="66BB8C4B"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4092A3B5"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 xml:space="preserve">10% </w:t>
            </w:r>
            <w:r w:rsidRPr="000C1191">
              <w:rPr>
                <w:rFonts w:ascii="Times New Roman" w:hAnsi="Times New Roman" w:cs="Times New Roman"/>
                <w:b w:val="0"/>
                <w:i/>
              </w:rPr>
              <w:t>G.latifolium</w:t>
            </w:r>
          </w:p>
        </w:tc>
        <w:tc>
          <w:tcPr>
            <w:tcW w:w="1915" w:type="dxa"/>
            <w:tcBorders>
              <w:top w:val="nil"/>
              <w:left w:val="nil"/>
              <w:bottom w:val="nil"/>
              <w:right w:val="nil"/>
            </w:tcBorders>
            <w:shd w:val="clear" w:color="auto" w:fill="FFFFFF"/>
            <w:hideMark/>
          </w:tcPr>
          <w:p w14:paraId="549F1F49"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11.42±2.04</w:t>
            </w:r>
          </w:p>
        </w:tc>
        <w:tc>
          <w:tcPr>
            <w:tcW w:w="1915" w:type="dxa"/>
            <w:tcBorders>
              <w:top w:val="nil"/>
              <w:left w:val="nil"/>
              <w:bottom w:val="nil"/>
              <w:right w:val="nil"/>
            </w:tcBorders>
            <w:shd w:val="clear" w:color="auto" w:fill="FFFFFF"/>
            <w:hideMark/>
          </w:tcPr>
          <w:p w14:paraId="778006C3"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16.87±1.36</w:t>
            </w:r>
          </w:p>
        </w:tc>
        <w:tc>
          <w:tcPr>
            <w:tcW w:w="1915" w:type="dxa"/>
            <w:tcBorders>
              <w:top w:val="nil"/>
              <w:left w:val="nil"/>
              <w:bottom w:val="nil"/>
              <w:right w:val="nil"/>
            </w:tcBorders>
            <w:shd w:val="clear" w:color="auto" w:fill="FFFFFF"/>
            <w:hideMark/>
          </w:tcPr>
          <w:p w14:paraId="05905F7A"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41.38±9.54</w:t>
            </w:r>
          </w:p>
        </w:tc>
        <w:tc>
          <w:tcPr>
            <w:tcW w:w="1916" w:type="dxa"/>
            <w:tcBorders>
              <w:top w:val="nil"/>
              <w:left w:val="nil"/>
              <w:bottom w:val="nil"/>
              <w:right w:val="nil"/>
            </w:tcBorders>
            <w:shd w:val="clear" w:color="auto" w:fill="FFFFFF"/>
            <w:hideMark/>
          </w:tcPr>
          <w:p w14:paraId="0EAB8FE2"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50.62±4.09</w:t>
            </w:r>
          </w:p>
        </w:tc>
      </w:tr>
      <w:tr w:rsidR="009C2C91" w:rsidRPr="000C1191" w14:paraId="66188A9B"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4402061E"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 xml:space="preserve">20% </w:t>
            </w:r>
            <w:r w:rsidRPr="000C1191">
              <w:rPr>
                <w:rFonts w:ascii="Times New Roman" w:hAnsi="Times New Roman" w:cs="Times New Roman"/>
                <w:b w:val="0"/>
                <w:i/>
              </w:rPr>
              <w:t>G.latifolium</w:t>
            </w:r>
          </w:p>
        </w:tc>
        <w:tc>
          <w:tcPr>
            <w:tcW w:w="1915" w:type="dxa"/>
            <w:tcBorders>
              <w:top w:val="nil"/>
              <w:bottom w:val="single" w:sz="8" w:space="0" w:color="000000"/>
            </w:tcBorders>
            <w:shd w:val="clear" w:color="auto" w:fill="FFFFFF"/>
            <w:hideMark/>
          </w:tcPr>
          <w:p w14:paraId="1CB183D1"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21.49±5.37</w:t>
            </w:r>
          </w:p>
        </w:tc>
        <w:tc>
          <w:tcPr>
            <w:tcW w:w="1915" w:type="dxa"/>
            <w:tcBorders>
              <w:top w:val="nil"/>
              <w:bottom w:val="single" w:sz="8" w:space="0" w:color="000000"/>
            </w:tcBorders>
            <w:shd w:val="clear" w:color="auto" w:fill="FFFFFF"/>
            <w:hideMark/>
          </w:tcPr>
          <w:p w14:paraId="611AB760"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18.42±1.19</w:t>
            </w:r>
          </w:p>
        </w:tc>
        <w:tc>
          <w:tcPr>
            <w:tcW w:w="1915" w:type="dxa"/>
            <w:tcBorders>
              <w:top w:val="nil"/>
              <w:bottom w:val="single" w:sz="8" w:space="0" w:color="000000"/>
            </w:tcBorders>
            <w:shd w:val="clear" w:color="auto" w:fill="FFFFFF"/>
            <w:hideMark/>
          </w:tcPr>
          <w:p w14:paraId="58F9BE88"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42.69±12.43</w:t>
            </w:r>
          </w:p>
        </w:tc>
        <w:tc>
          <w:tcPr>
            <w:tcW w:w="1916" w:type="dxa"/>
            <w:tcBorders>
              <w:top w:val="nil"/>
              <w:bottom w:val="single" w:sz="8" w:space="0" w:color="000000"/>
            </w:tcBorders>
            <w:shd w:val="clear" w:color="auto" w:fill="FFFFFF"/>
            <w:hideMark/>
          </w:tcPr>
          <w:p w14:paraId="000F4D63"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55.27±3.58</w:t>
            </w:r>
          </w:p>
        </w:tc>
      </w:tr>
    </w:tbl>
    <w:p w14:paraId="568A4CA0" w14:textId="77777777" w:rsidR="009C2C91" w:rsidRPr="000C1191" w:rsidRDefault="009C2C91">
      <w:pPr>
        <w:spacing w:line="360" w:lineRule="auto"/>
        <w:rPr>
          <w:rFonts w:ascii="Times New Roman" w:hAnsi="Times New Roman" w:cs="Times New Roman"/>
          <w:b/>
        </w:rPr>
        <w:sectPr w:rsidR="009C2C91" w:rsidRPr="000C1191">
          <w:type w:val="continuous"/>
          <w:pgSz w:w="12240" w:h="15840"/>
          <w:pgMar w:top="1440" w:right="1440" w:bottom="1440" w:left="1440" w:header="720" w:footer="720" w:gutter="0"/>
          <w:cols w:space="720"/>
          <w:docGrid w:linePitch="360"/>
        </w:sectPr>
      </w:pPr>
    </w:p>
    <w:p w14:paraId="12AA8852"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3.1.3</w:t>
      </w:r>
      <w:r w:rsidRPr="000C1191">
        <w:rPr>
          <w:rFonts w:ascii="Times New Roman" w:hAnsi="Times New Roman" w:cs="Times New Roman"/>
          <w:b/>
        </w:rPr>
        <w:tab/>
        <w:t>Kidney function assessment</w:t>
      </w:r>
    </w:p>
    <w:p w14:paraId="333C5E5F"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3.1.3.1</w:t>
      </w:r>
      <w:r w:rsidRPr="000C1191">
        <w:rPr>
          <w:rFonts w:ascii="Times New Roman" w:hAnsi="Times New Roman" w:cs="Times New Roman"/>
          <w:b/>
        </w:rPr>
        <w:tab/>
        <w:t>Urea and creatinine level assessment</w:t>
      </w:r>
    </w:p>
    <w:p w14:paraId="2DFD3F46" w14:textId="77777777" w:rsidR="009C2C91" w:rsidRPr="000C1191" w:rsidRDefault="001465AD">
      <w:pPr>
        <w:spacing w:line="360" w:lineRule="auto"/>
        <w:jc w:val="both"/>
        <w:rPr>
          <w:rFonts w:ascii="Times New Roman" w:hAnsi="Times New Roman" w:cs="Times New Roman"/>
          <w:sz w:val="20"/>
          <w:szCs w:val="20"/>
        </w:rPr>
        <w:sectPr w:rsidR="009C2C91" w:rsidRPr="000C1191">
          <w:type w:val="continuous"/>
          <w:pgSz w:w="12240" w:h="15840"/>
          <w:pgMar w:top="1440" w:right="1440" w:bottom="1440" w:left="1440" w:header="720" w:footer="720" w:gutter="0"/>
          <w:cols w:space="720"/>
          <w:docGrid w:linePitch="360"/>
        </w:sectPr>
      </w:pPr>
      <w:r w:rsidRPr="000C1191">
        <w:t xml:space="preserve">Table 4 shows the results of urea and creatinine levels in the experimental rats at two-week intervals for the duration of four weeks. There was a significant increase (p&lt;0.05) in urea levels in the 10% (270.60±29.63 mg/dl) and 20% (177.33±26.53 mg/dl) </w:t>
      </w:r>
      <w:r w:rsidRPr="000C1191">
        <w:rPr>
          <w:i/>
        </w:rPr>
        <w:t>G. latifolium</w:t>
      </w:r>
      <w:r w:rsidRPr="000C1191">
        <w:t xml:space="preserve"> groups after two weeks, with the highest urea level observed in the 10% </w:t>
      </w:r>
      <w:r w:rsidRPr="000C1191">
        <w:rPr>
          <w:i/>
        </w:rPr>
        <w:t>G. latifolium</w:t>
      </w:r>
      <w:r w:rsidRPr="000C1191">
        <w:t xml:space="preserve"> group (270.60±29.63 mg/dl). After four weeks, there was a significant decrease (p&lt;0.05) in urea levels in the 10% (69.10±18.71 mg/dl) and 20% (36.54±16.63 mg/dl) </w:t>
      </w:r>
      <w:r w:rsidRPr="000C1191">
        <w:rPr>
          <w:i/>
        </w:rPr>
        <w:t>G. latifolium</w:t>
      </w:r>
      <w:r w:rsidRPr="000C1191">
        <w:t xml:space="preserve"> groups, with the 20% group showing a greater reduction when compared with the other groups. The 10% </w:t>
      </w:r>
      <w:r w:rsidRPr="000C1191">
        <w:rPr>
          <w:i/>
        </w:rPr>
        <w:t>G. latifolium</w:t>
      </w:r>
      <w:r w:rsidRPr="000C1191">
        <w:t xml:space="preserve"> group (1.80±0.46 mg/dl) had the highest creatinine level, while the positive control group had the lowest value (0.90±0.35 mg/dl). After week four, creatinine decreased in the 10% </w:t>
      </w:r>
      <w:r w:rsidRPr="000C1191">
        <w:rPr>
          <w:i/>
        </w:rPr>
        <w:t>G. latifolium</w:t>
      </w:r>
      <w:r w:rsidRPr="000C1191">
        <w:t xml:space="preserve"> group (0.80±0.59 mg/dl), whereas it increased in the 20% </w:t>
      </w:r>
      <w:r w:rsidRPr="000C1191">
        <w:rPr>
          <w:i/>
        </w:rPr>
        <w:t>G. latifolium</w:t>
      </w:r>
      <w:r w:rsidRPr="000C1191">
        <w:t xml:space="preserve"> group (2.32±0.00 mg/dl), although this increase was not significant.</w:t>
      </w:r>
    </w:p>
    <w:p w14:paraId="67713552" w14:textId="77777777" w:rsidR="009C2C91" w:rsidRPr="000C1191" w:rsidRDefault="009C2C91">
      <w:pPr>
        <w:spacing w:line="360" w:lineRule="auto"/>
        <w:rPr>
          <w:rFonts w:ascii="Times New Roman" w:hAnsi="Times New Roman" w:cs="Times New Roman"/>
          <w:b/>
        </w:rPr>
      </w:pPr>
    </w:p>
    <w:p w14:paraId="7D178345" w14:textId="77777777" w:rsidR="009C2C91" w:rsidRPr="000C1191" w:rsidRDefault="001465AD">
      <w:pPr>
        <w:spacing w:line="360" w:lineRule="auto"/>
        <w:rPr>
          <w:rFonts w:ascii="Times New Roman" w:hAnsi="Times New Roman" w:cs="Times New Roman"/>
          <w:b/>
        </w:rPr>
      </w:pPr>
      <w:r w:rsidRPr="000C1191">
        <w:rPr>
          <w:rFonts w:ascii="Times New Roman" w:hAnsi="Times New Roman" w:cs="Times New Roman"/>
          <w:b/>
        </w:rPr>
        <w:t xml:space="preserve">Table </w:t>
      </w:r>
      <w:r w:rsidR="003D61EF" w:rsidRPr="000C1191">
        <w:rPr>
          <w:rFonts w:ascii="Times New Roman" w:hAnsi="Times New Roman" w:cs="Times New Roman"/>
          <w:b/>
        </w:rPr>
        <w:t>4</w:t>
      </w:r>
      <w:r w:rsidRPr="000C1191">
        <w:rPr>
          <w:rFonts w:ascii="Times New Roman" w:hAnsi="Times New Roman" w:cs="Times New Roman"/>
          <w:b/>
        </w:rPr>
        <w:t>: Average kidney function parameters during the experimental period</w:t>
      </w:r>
    </w:p>
    <w:tbl>
      <w:tblPr>
        <w:tblStyle w:val="LightShading1"/>
        <w:tblW w:w="0" w:type="auto"/>
        <w:tblInd w:w="0" w:type="dxa"/>
        <w:shd w:val="clear" w:color="auto" w:fill="FFFFFF"/>
        <w:tblLook w:val="04A0" w:firstRow="1" w:lastRow="0" w:firstColumn="1" w:lastColumn="0" w:noHBand="0" w:noVBand="1"/>
      </w:tblPr>
      <w:tblGrid>
        <w:gridCol w:w="1873"/>
        <w:gridCol w:w="1883"/>
        <w:gridCol w:w="1879"/>
        <w:gridCol w:w="1862"/>
        <w:gridCol w:w="1863"/>
      </w:tblGrid>
      <w:tr w:rsidR="009C2C91" w:rsidRPr="000C1191" w14:paraId="234B8283" w14:textId="77777777" w:rsidTr="009C2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FFFFFF"/>
            <w:hideMark/>
          </w:tcPr>
          <w:p w14:paraId="0A13F145"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Groups</w:t>
            </w:r>
          </w:p>
        </w:tc>
        <w:tc>
          <w:tcPr>
            <w:tcW w:w="1915" w:type="dxa"/>
            <w:shd w:val="clear" w:color="auto" w:fill="FFFFFF"/>
            <w:hideMark/>
          </w:tcPr>
          <w:p w14:paraId="3A1B99A4"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Urea levels (After 2 weeks)</w:t>
            </w:r>
          </w:p>
        </w:tc>
        <w:tc>
          <w:tcPr>
            <w:tcW w:w="1915" w:type="dxa"/>
            <w:shd w:val="clear" w:color="auto" w:fill="FFFFFF"/>
            <w:hideMark/>
          </w:tcPr>
          <w:p w14:paraId="4FE1FD8C"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Urea levels (After 4 weeks)</w:t>
            </w:r>
          </w:p>
        </w:tc>
        <w:tc>
          <w:tcPr>
            <w:tcW w:w="1915" w:type="dxa"/>
            <w:shd w:val="clear" w:color="auto" w:fill="FFFFFF"/>
            <w:hideMark/>
          </w:tcPr>
          <w:p w14:paraId="2BC8BCF3"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Creatinine levels (After 2 weeks)</w:t>
            </w:r>
          </w:p>
        </w:tc>
        <w:tc>
          <w:tcPr>
            <w:tcW w:w="1916" w:type="dxa"/>
            <w:shd w:val="clear" w:color="auto" w:fill="FFFFFF"/>
            <w:hideMark/>
          </w:tcPr>
          <w:p w14:paraId="4F058EFE" w14:textId="77777777" w:rsidR="009C2C91" w:rsidRPr="000C1191" w:rsidRDefault="001465AD">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b w:val="0"/>
              </w:rPr>
              <w:t>Creatinine levels (After 4 weeks)</w:t>
            </w:r>
          </w:p>
        </w:tc>
      </w:tr>
      <w:tr w:rsidR="009C2C91" w:rsidRPr="000C1191" w14:paraId="03F3202D"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22DAA612"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Normal control</w:t>
            </w:r>
          </w:p>
        </w:tc>
        <w:tc>
          <w:tcPr>
            <w:tcW w:w="1915" w:type="dxa"/>
            <w:tcBorders>
              <w:top w:val="nil"/>
              <w:bottom w:val="nil"/>
            </w:tcBorders>
            <w:shd w:val="clear" w:color="auto" w:fill="FFFFFF"/>
            <w:hideMark/>
          </w:tcPr>
          <w:p w14:paraId="3921C925"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98.09±3.73</w:t>
            </w:r>
          </w:p>
        </w:tc>
        <w:tc>
          <w:tcPr>
            <w:tcW w:w="1915" w:type="dxa"/>
            <w:tcBorders>
              <w:top w:val="nil"/>
              <w:bottom w:val="nil"/>
            </w:tcBorders>
            <w:shd w:val="clear" w:color="auto" w:fill="FFFFFF"/>
            <w:hideMark/>
          </w:tcPr>
          <w:p w14:paraId="602E6AA7"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110.70±7.45</w:t>
            </w:r>
          </w:p>
        </w:tc>
        <w:tc>
          <w:tcPr>
            <w:tcW w:w="1915" w:type="dxa"/>
            <w:tcBorders>
              <w:top w:val="nil"/>
              <w:bottom w:val="nil"/>
            </w:tcBorders>
            <w:shd w:val="clear" w:color="auto" w:fill="FFFFFF"/>
            <w:hideMark/>
          </w:tcPr>
          <w:p w14:paraId="6FBE7D2E"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1.76±0.58</w:t>
            </w:r>
          </w:p>
        </w:tc>
        <w:tc>
          <w:tcPr>
            <w:tcW w:w="1916" w:type="dxa"/>
            <w:tcBorders>
              <w:top w:val="nil"/>
              <w:bottom w:val="nil"/>
            </w:tcBorders>
            <w:shd w:val="clear" w:color="auto" w:fill="FFFFFF"/>
            <w:hideMark/>
          </w:tcPr>
          <w:p w14:paraId="79D538DB"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1.24±0.49</w:t>
            </w:r>
          </w:p>
        </w:tc>
      </w:tr>
      <w:tr w:rsidR="009C2C91" w:rsidRPr="000C1191" w14:paraId="74D5BB6C"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21260024"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Positive control</w:t>
            </w:r>
          </w:p>
        </w:tc>
        <w:tc>
          <w:tcPr>
            <w:tcW w:w="1915" w:type="dxa"/>
            <w:tcBorders>
              <w:top w:val="nil"/>
              <w:left w:val="nil"/>
              <w:bottom w:val="nil"/>
              <w:right w:val="nil"/>
            </w:tcBorders>
            <w:shd w:val="clear" w:color="auto" w:fill="FFFFFF"/>
            <w:hideMark/>
          </w:tcPr>
          <w:p w14:paraId="49E03BD8"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107.41±2.67</w:t>
            </w:r>
          </w:p>
        </w:tc>
        <w:tc>
          <w:tcPr>
            <w:tcW w:w="1915" w:type="dxa"/>
            <w:tcBorders>
              <w:top w:val="nil"/>
              <w:left w:val="nil"/>
              <w:bottom w:val="nil"/>
              <w:right w:val="nil"/>
            </w:tcBorders>
            <w:shd w:val="clear" w:color="auto" w:fill="FFFFFF"/>
            <w:hideMark/>
          </w:tcPr>
          <w:p w14:paraId="3A64B459"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65.34±8.92</w:t>
            </w:r>
          </w:p>
        </w:tc>
        <w:tc>
          <w:tcPr>
            <w:tcW w:w="1915" w:type="dxa"/>
            <w:tcBorders>
              <w:top w:val="nil"/>
              <w:left w:val="nil"/>
              <w:bottom w:val="nil"/>
              <w:right w:val="nil"/>
            </w:tcBorders>
            <w:shd w:val="clear" w:color="auto" w:fill="FFFFFF"/>
            <w:hideMark/>
          </w:tcPr>
          <w:p w14:paraId="44677CDE"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0.90±0.35</w:t>
            </w:r>
          </w:p>
        </w:tc>
        <w:tc>
          <w:tcPr>
            <w:tcW w:w="1916" w:type="dxa"/>
            <w:tcBorders>
              <w:top w:val="nil"/>
              <w:left w:val="nil"/>
              <w:bottom w:val="nil"/>
              <w:right w:val="nil"/>
            </w:tcBorders>
            <w:shd w:val="clear" w:color="auto" w:fill="FFFFFF"/>
            <w:hideMark/>
          </w:tcPr>
          <w:p w14:paraId="512E35E0"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1.21±0.27</w:t>
            </w:r>
          </w:p>
        </w:tc>
      </w:tr>
      <w:tr w:rsidR="009C2C91" w:rsidRPr="000C1191" w14:paraId="1D45C07E"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nil"/>
            </w:tcBorders>
            <w:shd w:val="clear" w:color="auto" w:fill="FFFFFF"/>
            <w:hideMark/>
          </w:tcPr>
          <w:p w14:paraId="46841166"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Negative control</w:t>
            </w:r>
          </w:p>
        </w:tc>
        <w:tc>
          <w:tcPr>
            <w:tcW w:w="1915" w:type="dxa"/>
            <w:tcBorders>
              <w:top w:val="nil"/>
              <w:bottom w:val="nil"/>
            </w:tcBorders>
            <w:shd w:val="clear" w:color="auto" w:fill="FFFFFF"/>
            <w:hideMark/>
          </w:tcPr>
          <w:p w14:paraId="539C56F0"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53.94±3.75</w:t>
            </w:r>
          </w:p>
        </w:tc>
        <w:tc>
          <w:tcPr>
            <w:tcW w:w="1915" w:type="dxa"/>
            <w:tcBorders>
              <w:top w:val="nil"/>
              <w:bottom w:val="nil"/>
            </w:tcBorders>
            <w:shd w:val="clear" w:color="auto" w:fill="FFFFFF"/>
            <w:hideMark/>
          </w:tcPr>
          <w:p w14:paraId="2FC009B5"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77.18±8.21</w:t>
            </w:r>
          </w:p>
        </w:tc>
        <w:tc>
          <w:tcPr>
            <w:tcW w:w="1915" w:type="dxa"/>
            <w:tcBorders>
              <w:top w:val="nil"/>
              <w:bottom w:val="nil"/>
            </w:tcBorders>
            <w:shd w:val="clear" w:color="auto" w:fill="FFFFFF"/>
            <w:hideMark/>
          </w:tcPr>
          <w:p w14:paraId="75413A65"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1.30±0.55</w:t>
            </w:r>
          </w:p>
        </w:tc>
        <w:tc>
          <w:tcPr>
            <w:tcW w:w="1916" w:type="dxa"/>
            <w:tcBorders>
              <w:top w:val="nil"/>
              <w:bottom w:val="nil"/>
            </w:tcBorders>
            <w:shd w:val="clear" w:color="auto" w:fill="FFFFFF"/>
            <w:hideMark/>
          </w:tcPr>
          <w:p w14:paraId="626A2622"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1.22±0.38</w:t>
            </w:r>
          </w:p>
        </w:tc>
      </w:tr>
      <w:tr w:rsidR="009C2C91" w:rsidRPr="000C1191" w14:paraId="05929DA7" w14:textId="77777777" w:rsidTr="009C2C91">
        <w:tc>
          <w:tcPr>
            <w:cnfStyle w:val="001000000000" w:firstRow="0" w:lastRow="0" w:firstColumn="1" w:lastColumn="0" w:oddVBand="0" w:evenVBand="0" w:oddHBand="0" w:evenHBand="0" w:firstRowFirstColumn="0" w:firstRowLastColumn="0" w:lastRowFirstColumn="0" w:lastRowLastColumn="0"/>
            <w:tcW w:w="1915" w:type="dxa"/>
            <w:tcBorders>
              <w:top w:val="nil"/>
              <w:left w:val="nil"/>
              <w:bottom w:val="nil"/>
              <w:right w:val="nil"/>
            </w:tcBorders>
            <w:shd w:val="clear" w:color="auto" w:fill="FFFFFF"/>
            <w:hideMark/>
          </w:tcPr>
          <w:p w14:paraId="17F668F5"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 xml:space="preserve">10% </w:t>
            </w:r>
            <w:r w:rsidRPr="000C1191">
              <w:rPr>
                <w:rFonts w:ascii="Times New Roman" w:hAnsi="Times New Roman" w:cs="Times New Roman"/>
                <w:b w:val="0"/>
                <w:i/>
              </w:rPr>
              <w:t>G.latifolium</w:t>
            </w:r>
          </w:p>
        </w:tc>
        <w:tc>
          <w:tcPr>
            <w:tcW w:w="1915" w:type="dxa"/>
            <w:tcBorders>
              <w:top w:val="nil"/>
              <w:left w:val="nil"/>
              <w:bottom w:val="nil"/>
              <w:right w:val="nil"/>
            </w:tcBorders>
            <w:shd w:val="clear" w:color="auto" w:fill="FFFFFF"/>
            <w:hideMark/>
          </w:tcPr>
          <w:p w14:paraId="632547E8"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270.60±29.63</w:t>
            </w:r>
          </w:p>
        </w:tc>
        <w:tc>
          <w:tcPr>
            <w:tcW w:w="1915" w:type="dxa"/>
            <w:tcBorders>
              <w:top w:val="nil"/>
              <w:left w:val="nil"/>
              <w:bottom w:val="nil"/>
              <w:right w:val="nil"/>
            </w:tcBorders>
            <w:shd w:val="clear" w:color="auto" w:fill="FFFFFF"/>
            <w:hideMark/>
          </w:tcPr>
          <w:p w14:paraId="2844855F"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69.10±18.71</w:t>
            </w:r>
            <w:r w:rsidR="00F31937" w:rsidRPr="000C1191">
              <w:rPr>
                <w:rFonts w:ascii="Times New Roman" w:hAnsi="Times New Roman" w:cs="Times New Roman"/>
                <w:vertAlign w:val="superscript"/>
              </w:rPr>
              <w:t>a</w:t>
            </w:r>
          </w:p>
        </w:tc>
        <w:tc>
          <w:tcPr>
            <w:tcW w:w="1915" w:type="dxa"/>
            <w:tcBorders>
              <w:top w:val="nil"/>
              <w:left w:val="nil"/>
              <w:bottom w:val="nil"/>
              <w:right w:val="nil"/>
            </w:tcBorders>
            <w:shd w:val="clear" w:color="auto" w:fill="FFFFFF"/>
            <w:hideMark/>
          </w:tcPr>
          <w:p w14:paraId="67BD4B2D"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1.80±0.46</w:t>
            </w:r>
          </w:p>
        </w:tc>
        <w:tc>
          <w:tcPr>
            <w:tcW w:w="1916" w:type="dxa"/>
            <w:tcBorders>
              <w:top w:val="nil"/>
              <w:left w:val="nil"/>
              <w:bottom w:val="nil"/>
              <w:right w:val="nil"/>
            </w:tcBorders>
            <w:shd w:val="clear" w:color="auto" w:fill="FFFFFF"/>
            <w:hideMark/>
          </w:tcPr>
          <w:p w14:paraId="63F9E9FE" w14:textId="77777777" w:rsidR="009C2C91" w:rsidRPr="000C1191" w:rsidRDefault="001465A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0.80±0.59</w:t>
            </w:r>
          </w:p>
        </w:tc>
      </w:tr>
      <w:tr w:rsidR="009C2C91" w:rsidRPr="000C1191" w14:paraId="0735300C" w14:textId="77777777" w:rsidTr="009C2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il"/>
              <w:bottom w:val="single" w:sz="8" w:space="0" w:color="000000"/>
            </w:tcBorders>
            <w:shd w:val="clear" w:color="auto" w:fill="FFFFFF"/>
            <w:hideMark/>
          </w:tcPr>
          <w:p w14:paraId="64B6C41E" w14:textId="77777777" w:rsidR="009C2C91" w:rsidRPr="000C1191" w:rsidRDefault="001465AD">
            <w:pPr>
              <w:spacing w:line="360" w:lineRule="auto"/>
              <w:rPr>
                <w:rFonts w:ascii="Times New Roman" w:hAnsi="Times New Roman" w:cs="Times New Roman"/>
              </w:rPr>
            </w:pPr>
            <w:r w:rsidRPr="000C1191">
              <w:rPr>
                <w:rFonts w:ascii="Times New Roman" w:hAnsi="Times New Roman" w:cs="Times New Roman"/>
                <w:b w:val="0"/>
              </w:rPr>
              <w:t xml:space="preserve">20% </w:t>
            </w:r>
            <w:r w:rsidRPr="000C1191">
              <w:rPr>
                <w:rFonts w:ascii="Times New Roman" w:hAnsi="Times New Roman" w:cs="Times New Roman"/>
                <w:b w:val="0"/>
                <w:i/>
              </w:rPr>
              <w:t>G.latifolium</w:t>
            </w:r>
          </w:p>
        </w:tc>
        <w:tc>
          <w:tcPr>
            <w:tcW w:w="1915" w:type="dxa"/>
            <w:tcBorders>
              <w:top w:val="nil"/>
              <w:bottom w:val="single" w:sz="8" w:space="0" w:color="000000"/>
            </w:tcBorders>
            <w:shd w:val="clear" w:color="auto" w:fill="FFFFFF"/>
            <w:hideMark/>
          </w:tcPr>
          <w:p w14:paraId="528E926E"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177.33±26.53</w:t>
            </w:r>
          </w:p>
        </w:tc>
        <w:tc>
          <w:tcPr>
            <w:tcW w:w="1915" w:type="dxa"/>
            <w:tcBorders>
              <w:top w:val="nil"/>
              <w:bottom w:val="single" w:sz="8" w:space="0" w:color="000000"/>
            </w:tcBorders>
            <w:shd w:val="clear" w:color="auto" w:fill="FFFFFF"/>
            <w:hideMark/>
          </w:tcPr>
          <w:p w14:paraId="42947681"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36.54±16.63</w:t>
            </w:r>
            <w:r w:rsidR="00F31937" w:rsidRPr="000C1191">
              <w:rPr>
                <w:rFonts w:ascii="Times New Roman" w:hAnsi="Times New Roman" w:cs="Times New Roman"/>
                <w:vertAlign w:val="superscript"/>
              </w:rPr>
              <w:t>a</w:t>
            </w:r>
          </w:p>
        </w:tc>
        <w:tc>
          <w:tcPr>
            <w:tcW w:w="1915" w:type="dxa"/>
            <w:tcBorders>
              <w:top w:val="nil"/>
              <w:bottom w:val="single" w:sz="8" w:space="0" w:color="000000"/>
            </w:tcBorders>
            <w:shd w:val="clear" w:color="auto" w:fill="FFFFFF"/>
            <w:hideMark/>
          </w:tcPr>
          <w:p w14:paraId="549305F5"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1.02±0.37</w:t>
            </w:r>
          </w:p>
        </w:tc>
        <w:tc>
          <w:tcPr>
            <w:tcW w:w="1916" w:type="dxa"/>
            <w:tcBorders>
              <w:top w:val="nil"/>
              <w:bottom w:val="single" w:sz="8" w:space="0" w:color="000000"/>
            </w:tcBorders>
            <w:shd w:val="clear" w:color="auto" w:fill="FFFFFF"/>
            <w:hideMark/>
          </w:tcPr>
          <w:p w14:paraId="275872B4" w14:textId="77777777" w:rsidR="009C2C91" w:rsidRPr="000C1191" w:rsidRDefault="001465AD">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C1191">
              <w:rPr>
                <w:rFonts w:ascii="Times New Roman" w:hAnsi="Times New Roman" w:cs="Times New Roman"/>
              </w:rPr>
              <w:t>2.32±0.00</w:t>
            </w:r>
          </w:p>
        </w:tc>
      </w:tr>
    </w:tbl>
    <w:p w14:paraId="1E80E8DF" w14:textId="77777777" w:rsidR="009C2C91" w:rsidRPr="000C1191" w:rsidRDefault="009C2C91">
      <w:pPr>
        <w:spacing w:line="360" w:lineRule="auto"/>
        <w:jc w:val="both"/>
        <w:rPr>
          <w:rStyle w:val="Strong"/>
          <w:rFonts w:ascii="Times New Roman" w:hAnsi="Times New Roman" w:cs="Times New Roman"/>
        </w:rPr>
        <w:sectPr w:rsidR="009C2C91" w:rsidRPr="000C1191">
          <w:type w:val="continuous"/>
          <w:pgSz w:w="12240" w:h="15840"/>
          <w:pgMar w:top="1440" w:right="1440" w:bottom="1440" w:left="1440" w:header="720" w:footer="720" w:gutter="0"/>
          <w:cols w:space="720"/>
          <w:docGrid w:linePitch="360"/>
        </w:sectPr>
      </w:pPr>
    </w:p>
    <w:p w14:paraId="52726271" w14:textId="77777777" w:rsidR="009C2C91" w:rsidRPr="000C1191" w:rsidRDefault="001465AD">
      <w:pPr>
        <w:spacing w:line="360" w:lineRule="auto"/>
        <w:jc w:val="both"/>
        <w:rPr>
          <w:rFonts w:ascii="Times New Roman" w:hAnsi="Times New Roman" w:cs="Times New Roman"/>
          <w:sz w:val="20"/>
          <w:szCs w:val="20"/>
        </w:rPr>
      </w:pPr>
      <w:r w:rsidRPr="000C1191">
        <w:lastRenderedPageBreak/>
        <w:t>4.1</w:t>
      </w:r>
      <w:r w:rsidRPr="000C1191">
        <w:tab/>
        <w:t xml:space="preserve">Discussion </w:t>
      </w:r>
      <w:r w:rsidRPr="000C1191">
        <w:br/>
        <w:t xml:space="preserve">Daily intake of </w:t>
      </w:r>
      <w:r w:rsidRPr="000C1191">
        <w:rPr>
          <w:i/>
        </w:rPr>
        <w:t>G. latifolium</w:t>
      </w:r>
      <w:r w:rsidRPr="000C1191">
        <w:t xml:space="preserve"> initially elevated ALT and AST after two weeks, especially in the 10% group (60.13 ± 7.32; 180.13 ± 11.93), suggesting early hepatic stress possibly due to high saponin or alkaloid content. However, by week four, enzyme levels declined significantly, with the 20% group showing marked reductions (29.80 ± 7.98; 79.17 ± 0.93). These findings mirror earlier reports of hepatotoxicity at high doses and prolonged use of alcoholic extracts (Al-Hindi </w:t>
      </w:r>
      <w:r w:rsidRPr="000C1191">
        <w:rPr>
          <w:i/>
        </w:rPr>
        <w:t>et al</w:t>
      </w:r>
      <w:r w:rsidRPr="000C1191">
        <w:t xml:space="preserve">., 2019; Omodamiro </w:t>
      </w:r>
      <w:r w:rsidRPr="000C1191">
        <w:rPr>
          <w:i/>
        </w:rPr>
        <w:t>et al</w:t>
      </w:r>
      <w:r w:rsidRPr="000C1191">
        <w:t xml:space="preserve">., 2021), yet they contrast with studies highlighting hepatoprotective effects at moderate doses (Omodale </w:t>
      </w:r>
      <w:r w:rsidRPr="000C1191">
        <w:rPr>
          <w:i/>
        </w:rPr>
        <w:t>et al</w:t>
      </w:r>
      <w:r w:rsidRPr="000C1191">
        <w:t xml:space="preserve">., 2017; Ajiboye </w:t>
      </w:r>
      <w:r w:rsidRPr="000C1191">
        <w:rPr>
          <w:i/>
        </w:rPr>
        <w:t>et al</w:t>
      </w:r>
      <w:r w:rsidRPr="000C1191">
        <w:t xml:space="preserve">., 2022b; Enye </w:t>
      </w:r>
      <w:r w:rsidRPr="000C1191">
        <w:rPr>
          <w:i/>
        </w:rPr>
        <w:t>et al</w:t>
      </w:r>
      <w:r w:rsidRPr="000C1191">
        <w:t>., 2022). Variations likely reflect differences in extract type, dosage and duration.</w:t>
      </w:r>
    </w:p>
    <w:p w14:paraId="09376212" w14:textId="3DA1C8BB" w:rsidR="009C2C91" w:rsidRPr="000C1191" w:rsidRDefault="001465AD">
      <w:pPr>
        <w:spacing w:line="360" w:lineRule="auto"/>
        <w:jc w:val="both"/>
        <w:rPr>
          <w:rFonts w:ascii="Times New Roman" w:hAnsi="Times New Roman" w:cs="Times New Roman"/>
          <w:sz w:val="20"/>
          <w:szCs w:val="20"/>
        </w:rPr>
      </w:pPr>
      <w:r w:rsidRPr="000C1191">
        <w:t xml:space="preserve">Treatment with </w:t>
      </w:r>
      <w:r w:rsidRPr="000C1191">
        <w:rPr>
          <w:i/>
        </w:rPr>
        <w:t>G. latifolium</w:t>
      </w:r>
      <w:r w:rsidRPr="000C1191">
        <w:t xml:space="preserve"> significantly increased Hb (21.49 ± 5.37 g/dl) and PCV (42.69 ± 12.43%), particularly in the 20% group after two weeks, while the positive control had the lowest values. After four weeks, all treated groups maintained higher PCV than the controls in a dose-dependent pattern. This suggests that bioactive compounds (flavonoids, alkaloids and iron-rich phytoconstituents) may enhance erythropoiesis and haematopoietic function (Ajiboye </w:t>
      </w:r>
      <w:r w:rsidRPr="000C1191">
        <w:rPr>
          <w:i/>
        </w:rPr>
        <w:t>et al</w:t>
      </w:r>
      <w:r w:rsidRPr="000C1191">
        <w:t>., 202</w:t>
      </w:r>
      <w:r w:rsidR="003C4C6F">
        <w:t>2</w:t>
      </w:r>
      <w:r w:rsidRPr="000C1191">
        <w:t xml:space="preserve">). Similar haematopoietic improvements have been reported (Akinnuga </w:t>
      </w:r>
      <w:r w:rsidRPr="000C1191">
        <w:rPr>
          <w:i/>
        </w:rPr>
        <w:t>et al</w:t>
      </w:r>
      <w:r w:rsidRPr="000C1191">
        <w:t>., 20</w:t>
      </w:r>
      <w:r w:rsidR="003C4C6F">
        <w:t>11</w:t>
      </w:r>
      <w:r w:rsidRPr="000C1191">
        <w:t xml:space="preserve">; Ajiboye </w:t>
      </w:r>
      <w:r w:rsidRPr="000C1191">
        <w:rPr>
          <w:i/>
        </w:rPr>
        <w:t>et al</w:t>
      </w:r>
      <w:r w:rsidRPr="000C1191">
        <w:t>., 202</w:t>
      </w:r>
      <w:r w:rsidR="003C4C6F">
        <w:t>2</w:t>
      </w:r>
      <w:r w:rsidRPr="000C1191">
        <w:t xml:space="preserve">). However, Oguwike </w:t>
      </w:r>
      <w:r w:rsidRPr="000C1191">
        <w:rPr>
          <w:i/>
        </w:rPr>
        <w:t>et al</w:t>
      </w:r>
      <w:r w:rsidRPr="000C1191">
        <w:t>. (2013) reported reduced red cell indices with aqueous extracts, indicating that extract form and animal model may influence outcomes.</w:t>
      </w:r>
    </w:p>
    <w:p w14:paraId="2CB9F7ED" w14:textId="61EB72FF" w:rsidR="009C2C91" w:rsidRPr="000C1191" w:rsidRDefault="001465AD">
      <w:pPr>
        <w:spacing w:line="360" w:lineRule="auto"/>
        <w:jc w:val="both"/>
        <w:rPr>
          <w:rFonts w:ascii="Times New Roman" w:hAnsi="Times New Roman" w:cs="Times New Roman"/>
          <w:b/>
          <w:bCs/>
          <w:sz w:val="20"/>
          <w:szCs w:val="20"/>
        </w:rPr>
      </w:pPr>
      <w:r w:rsidRPr="000C1191">
        <w:t>Short-term consumption increased serum urea, especially in the 10% group after two weeks, but levels normalised by week four in the 20% group. Creatinine changes were minor and not statistically significant. These findings suggest that high doses may transiently stress renal function, with possible adaptation over time. Similar mild elevations have been noted (</w:t>
      </w:r>
      <w:r w:rsidR="003C4C6F" w:rsidRPr="003C4C6F">
        <w:t>Sulaiman et al., 2022</w:t>
      </w:r>
      <w:r w:rsidRPr="000C1191">
        <w:t xml:space="preserve">; Sulaiman </w:t>
      </w:r>
      <w:r w:rsidRPr="000C1191">
        <w:rPr>
          <w:i/>
        </w:rPr>
        <w:t>et al</w:t>
      </w:r>
      <w:r w:rsidRPr="000C1191">
        <w:t>., 2022), while other studies demonstrated nephroprotective effects. Pregnane compounds showed no renal toxicity (</w:t>
      </w:r>
      <w:r w:rsidR="003C4C6F" w:rsidRPr="003C4C6F">
        <w:t>Ani</w:t>
      </w:r>
      <w:r w:rsidR="003C4C6F" w:rsidRPr="003C4C6F">
        <w:t xml:space="preserve"> </w:t>
      </w:r>
      <w:r w:rsidRPr="000C1191">
        <w:rPr>
          <w:i/>
        </w:rPr>
        <w:t>et al</w:t>
      </w:r>
      <w:r w:rsidRPr="000C1191">
        <w:t>., 202</w:t>
      </w:r>
      <w:r w:rsidR="003C4C6F">
        <w:t>4</w:t>
      </w:r>
      <w:r w:rsidRPr="000C1191">
        <w:t xml:space="preserve">), and combined leaf-fruit extracts lowered urea and creatinine under oxidative stress (Okochi </w:t>
      </w:r>
      <w:r w:rsidRPr="000C1191">
        <w:rPr>
          <w:i/>
        </w:rPr>
        <w:t>et al</w:t>
      </w:r>
      <w:r w:rsidRPr="000C1191">
        <w:t>., 2025).</w:t>
      </w:r>
    </w:p>
    <w:p w14:paraId="7568F917" w14:textId="77777777" w:rsidR="009C2C91" w:rsidRPr="000C1191" w:rsidRDefault="009C2C91">
      <w:pPr>
        <w:spacing w:line="360" w:lineRule="auto"/>
        <w:jc w:val="both"/>
        <w:rPr>
          <w:rStyle w:val="Strong"/>
          <w:rFonts w:ascii="Times New Roman" w:hAnsi="Times New Roman" w:cs="Times New Roman"/>
        </w:rPr>
      </w:pPr>
    </w:p>
    <w:p w14:paraId="5728D7D2" w14:textId="77777777" w:rsidR="00FE3166" w:rsidRPr="000C1191"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0C1191">
        <w:rPr>
          <w:rFonts w:ascii="Times New Roman" w:eastAsia="Times New Roman" w:hAnsi="Times New Roman" w:cs="Times New Roman"/>
          <w:b/>
          <w:bCs/>
          <w:sz w:val="24"/>
          <w:szCs w:val="24"/>
          <w:lang w:eastAsia="en-GB"/>
        </w:rPr>
        <w:t>Conclusion</w:t>
      </w:r>
    </w:p>
    <w:p w14:paraId="54EC85DA" w14:textId="77777777" w:rsidR="00FE3166" w:rsidRPr="000C1191"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0C1191">
        <w:t xml:space="preserve">This study evaluated the effect of whole </w:t>
      </w:r>
      <w:r w:rsidRPr="000C1191">
        <w:rPr>
          <w:i/>
        </w:rPr>
        <w:t>Gongronema latifolium</w:t>
      </w:r>
      <w:r w:rsidRPr="000C1191">
        <w:t xml:space="preserve"> leaves on selected haematological and biochemical parameters in Wistar rats fed with potato starch. The findings showed that dietary inclusion of the leaves, particularly at 20%, was associated with increased haemoglobin and packed cell volume values during the experimental period. These changes suggest that the plant material may influence haematological status under the conditions of the study. However, the observed changes in alanine </w:t>
      </w:r>
      <w:r w:rsidRPr="000C1191">
        <w:lastRenderedPageBreak/>
        <w:t>aminotransferase, aspartate aminotransferase, urea and creatinine indicate that hepatic and renal responses also occurred following administration of the formulated diets.</w:t>
      </w:r>
    </w:p>
    <w:p w14:paraId="10D7F1FC" w14:textId="77777777" w:rsidR="00FE3166" w:rsidRPr="000C1191"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0C1191">
        <w:t xml:space="preserve">The increases in liver enzymes and urea after two weeks, followed by reductions at four weeks, suggest a possible adaptive physiological response, although this cannot be concluded definitively from the present data. The elevated creatinine value observed in the 20% group at week four also requires careful interpretation. Overall, the results indicate that </w:t>
      </w:r>
      <w:r w:rsidRPr="000C1191">
        <w:rPr>
          <w:i/>
        </w:rPr>
        <w:t>G. latifolium</w:t>
      </w:r>
      <w:r w:rsidRPr="000C1191">
        <w:t xml:space="preserve"> leaves may have beneficial effects on selected blood indices, but their use at higher dietary concentrations should be approached with caution. Further studies using broader biochemical markers, histological assessment and longer observation periods are needed to clarify dose-dependent safety and biological effects.</w:t>
      </w:r>
    </w:p>
    <w:p w14:paraId="476B18B4" w14:textId="77777777" w:rsidR="00FE3166" w:rsidRPr="000C1191" w:rsidRDefault="00FE3166" w:rsidP="00FE3166">
      <w:pPr>
        <w:spacing w:before="100" w:beforeAutospacing="1" w:after="100" w:afterAutospacing="1" w:line="240" w:lineRule="auto"/>
        <w:rPr>
          <w:rFonts w:ascii="Times New Roman" w:eastAsia="Times New Roman" w:hAnsi="Times New Roman" w:cs="Times New Roman"/>
          <w:sz w:val="24"/>
          <w:szCs w:val="24"/>
          <w:lang w:eastAsia="en-GB"/>
        </w:rPr>
      </w:pPr>
      <w:r w:rsidRPr="000C1191">
        <w:rPr>
          <w:rFonts w:ascii="Times New Roman" w:eastAsia="Times New Roman" w:hAnsi="Times New Roman" w:cs="Times New Roman"/>
          <w:b/>
          <w:bCs/>
          <w:sz w:val="24"/>
          <w:szCs w:val="24"/>
          <w:lang w:eastAsia="en-GB"/>
        </w:rPr>
        <w:t>Limitations</w:t>
      </w:r>
    </w:p>
    <w:p w14:paraId="644A875F" w14:textId="77777777" w:rsidR="00A5610D" w:rsidRDefault="00A5610D" w:rsidP="00DA2AEC">
      <w:pPr>
        <w:spacing w:line="360" w:lineRule="auto"/>
        <w:jc w:val="both"/>
      </w:pPr>
      <w:r>
        <w:t xml:space="preserve">The study assessed only selected </w:t>
      </w:r>
      <w:proofErr w:type="spellStart"/>
      <w:r>
        <w:t>haematological</w:t>
      </w:r>
      <w:proofErr w:type="spellEnd"/>
      <w:r>
        <w:t xml:space="preserve">, hepatic and renal parameters and did not include histopathological examination, which limits tissue-level interpretation. The age, sex, initial body weight and detailed housing conditions of the animals were not fully described. The feeding period lasted only four weeks, and only two dietary concentrations of </w:t>
      </w:r>
      <w:proofErr w:type="spellStart"/>
      <w:r>
        <w:rPr>
          <w:rStyle w:val="Emphasis"/>
        </w:rPr>
        <w:t>Gongronema</w:t>
      </w:r>
      <w:proofErr w:type="spellEnd"/>
      <w:r>
        <w:rPr>
          <w:rStyle w:val="Emphasis"/>
        </w:rPr>
        <w:t xml:space="preserve"> </w:t>
      </w:r>
      <w:proofErr w:type="spellStart"/>
      <w:r>
        <w:rPr>
          <w:rStyle w:val="Emphasis"/>
        </w:rPr>
        <w:t>latifolium</w:t>
      </w:r>
      <w:proofErr w:type="spellEnd"/>
      <w:r>
        <w:t xml:space="preserve"> leaves were tested. Therefore, longer studies with clearer animal-</w:t>
      </w:r>
      <w:proofErr w:type="spellStart"/>
      <w:r>
        <w:t>characterisation</w:t>
      </w:r>
      <w:proofErr w:type="spellEnd"/>
      <w:r>
        <w:t xml:space="preserve"> data, additional biomarkers and histological assessment are required to confirm safety and dose-response patterns.</w:t>
      </w:r>
    </w:p>
    <w:p w14:paraId="6D374D68" w14:textId="2DEFD1A6" w:rsidR="00DA2AEC" w:rsidRPr="000C1191" w:rsidRDefault="00DA2AEC" w:rsidP="00DA2AEC">
      <w:pPr>
        <w:spacing w:line="360" w:lineRule="auto"/>
        <w:jc w:val="both"/>
        <w:rPr>
          <w:rFonts w:ascii="Times New Roman" w:hAnsi="Times New Roman" w:cs="Times New Roman"/>
          <w:b/>
          <w:sz w:val="20"/>
          <w:szCs w:val="20"/>
        </w:rPr>
      </w:pPr>
      <w:r w:rsidRPr="000C1191">
        <w:rPr>
          <w:rFonts w:ascii="Times New Roman" w:hAnsi="Times New Roman" w:cs="Times New Roman"/>
          <w:b/>
          <w:sz w:val="20"/>
          <w:szCs w:val="20"/>
        </w:rPr>
        <w:t>ACKNOWLEDGEMENTS</w:t>
      </w:r>
    </w:p>
    <w:p w14:paraId="7DA177C1" w14:textId="77777777" w:rsidR="00DA2AEC" w:rsidRPr="000C1191" w:rsidRDefault="00DA2AEC" w:rsidP="00DA2AEC">
      <w:pPr>
        <w:spacing w:line="360" w:lineRule="auto"/>
        <w:jc w:val="both"/>
        <w:rPr>
          <w:rFonts w:ascii="Times New Roman" w:hAnsi="Times New Roman" w:cs="Times New Roman"/>
          <w:sz w:val="20"/>
          <w:szCs w:val="20"/>
        </w:rPr>
      </w:pPr>
      <w:r w:rsidRPr="000C1191">
        <w:t>The authors thank the Department of Applied Biochemistry Laboratory of Nnamdi Azikiwe University and the technicians, Mr Kennedy Onyewuchi and Miss Anurika, for their support and technical assistance.</w:t>
      </w:r>
    </w:p>
    <w:p w14:paraId="367C1363" w14:textId="77777777" w:rsidR="00DA2AEC" w:rsidRPr="000C1191" w:rsidRDefault="00DA2AEC" w:rsidP="00DA2AEC">
      <w:pPr>
        <w:pStyle w:val="Default"/>
        <w:spacing w:line="360" w:lineRule="auto"/>
        <w:rPr>
          <w:rFonts w:ascii="Times New Roman" w:hAnsi="Times New Roman" w:cs="Times New Roman"/>
          <w:sz w:val="20"/>
          <w:szCs w:val="20"/>
        </w:rPr>
      </w:pPr>
      <w:r w:rsidRPr="000C1191">
        <w:rPr>
          <w:rFonts w:ascii="Times New Roman" w:hAnsi="Times New Roman" w:cs="Times New Roman"/>
          <w:b/>
          <w:bCs/>
          <w:sz w:val="20"/>
          <w:szCs w:val="20"/>
        </w:rPr>
        <w:t xml:space="preserve">Ethical Approval </w:t>
      </w:r>
    </w:p>
    <w:p w14:paraId="51008293" w14:textId="77777777" w:rsidR="00FE3166" w:rsidRPr="000C1191" w:rsidRDefault="00DA2AEC" w:rsidP="00DA2AEC">
      <w:pPr>
        <w:rPr>
          <w:rFonts w:ascii="Times New Roman" w:hAnsi="Times New Roman" w:cs="Times New Roman"/>
          <w:sz w:val="20"/>
          <w:szCs w:val="20"/>
        </w:rPr>
      </w:pPr>
      <w:r w:rsidRPr="000C1191">
        <w:rPr>
          <w:rFonts w:ascii="Times New Roman" w:hAnsi="Times New Roman" w:cs="Times New Roman"/>
          <w:sz w:val="20"/>
          <w:szCs w:val="20"/>
        </w:rPr>
        <w:t xml:space="preserve">All experimental procedures were approved by the Animal Use Ethics Committee of Nnamdi Azikiwe University, </w:t>
      </w:r>
      <w:proofErr w:type="spellStart"/>
      <w:r w:rsidRPr="000C1191">
        <w:rPr>
          <w:rFonts w:ascii="Times New Roman" w:hAnsi="Times New Roman" w:cs="Times New Roman"/>
          <w:sz w:val="20"/>
          <w:szCs w:val="20"/>
        </w:rPr>
        <w:t>Awka</w:t>
      </w:r>
      <w:proofErr w:type="spellEnd"/>
      <w:r w:rsidRPr="000C1191">
        <w:rPr>
          <w:rFonts w:ascii="Times New Roman" w:hAnsi="Times New Roman" w:cs="Times New Roman"/>
          <w:sz w:val="20"/>
          <w:szCs w:val="20"/>
        </w:rPr>
        <w:t>. Rats’ care and management were performed according to accepted guidelines according to Nnamdi Azikiwe University Animal Research Ethics Committee (</w:t>
      </w:r>
      <w:proofErr w:type="spellStart"/>
      <w:r w:rsidRPr="000C1191">
        <w:rPr>
          <w:rFonts w:ascii="Times New Roman" w:hAnsi="Times New Roman" w:cs="Times New Roman"/>
          <w:sz w:val="20"/>
          <w:szCs w:val="20"/>
        </w:rPr>
        <w:t>aREC</w:t>
      </w:r>
      <w:r w:rsidRPr="000C1191">
        <w:rPr>
          <w:rFonts w:ascii="Times New Roman" w:hAnsi="Times New Roman" w:cs="Times New Roman"/>
          <w:sz w:val="20"/>
          <w:szCs w:val="20"/>
          <w:vertAlign w:val="subscript"/>
        </w:rPr>
        <w:t>NAU</w:t>
      </w:r>
      <w:proofErr w:type="spellEnd"/>
      <w:r w:rsidRPr="000C1191">
        <w:rPr>
          <w:rFonts w:ascii="Times New Roman" w:hAnsi="Times New Roman" w:cs="Times New Roman"/>
          <w:sz w:val="20"/>
          <w:szCs w:val="20"/>
        </w:rPr>
        <w:t>).</w:t>
      </w:r>
    </w:p>
    <w:p w14:paraId="1B9E116E" w14:textId="77777777" w:rsidR="00FE3166" w:rsidRPr="000C1191" w:rsidRDefault="00FE3166" w:rsidP="00FE3166">
      <w:pPr>
        <w:spacing w:after="0" w:line="240" w:lineRule="auto"/>
        <w:rPr>
          <w:rFonts w:ascii="Times New Roman" w:hAnsi="Times New Roman" w:cs="Times New Roman"/>
          <w:b/>
        </w:rPr>
      </w:pPr>
      <w:r w:rsidRPr="000C1191">
        <w:rPr>
          <w:rFonts w:ascii="Times New Roman" w:hAnsi="Times New Roman" w:cs="Times New Roman"/>
          <w:b/>
        </w:rPr>
        <w:t>Declaration of AI Use</w:t>
      </w:r>
    </w:p>
    <w:p w14:paraId="1A0F5C24" w14:textId="77777777" w:rsidR="00FE3166" w:rsidRPr="000C1191" w:rsidRDefault="00FE3166" w:rsidP="00FE3166">
      <w:pPr>
        <w:spacing w:after="0" w:line="240" w:lineRule="auto"/>
        <w:rPr>
          <w:rFonts w:ascii="Times New Roman" w:hAnsi="Times New Roman" w:cs="Times New Roman"/>
        </w:rPr>
      </w:pPr>
    </w:p>
    <w:p w14:paraId="5A4E86E0" w14:textId="77777777" w:rsidR="00FE3166" w:rsidRPr="000C1191" w:rsidRDefault="00FE3166" w:rsidP="00FE3166">
      <w:pPr>
        <w:spacing w:after="0" w:line="240" w:lineRule="auto"/>
        <w:jc w:val="both"/>
        <w:rPr>
          <w:rFonts w:ascii="Times New Roman" w:hAnsi="Times New Roman" w:cs="Times New Roman"/>
        </w:rPr>
      </w:pPr>
      <w:r w:rsidRPr="000C1191">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1992940" w14:textId="77777777" w:rsidR="009C2C91" w:rsidRPr="000C1191" w:rsidRDefault="009C2C91">
      <w:pPr>
        <w:pStyle w:val="Default"/>
        <w:spacing w:line="360" w:lineRule="auto"/>
        <w:rPr>
          <w:rFonts w:ascii="Times New Roman" w:hAnsi="Times New Roman" w:cs="Times New Roman"/>
          <w:b/>
          <w:bCs/>
          <w:sz w:val="22"/>
          <w:szCs w:val="22"/>
        </w:rPr>
      </w:pPr>
    </w:p>
    <w:p w14:paraId="3BD048FA" w14:textId="77777777" w:rsidR="009C2C91" w:rsidRPr="000C1191" w:rsidRDefault="001465AD">
      <w:pPr>
        <w:pStyle w:val="Default"/>
        <w:spacing w:line="360" w:lineRule="auto"/>
        <w:rPr>
          <w:rFonts w:ascii="Times New Roman" w:hAnsi="Times New Roman" w:cs="Times New Roman"/>
          <w:sz w:val="22"/>
          <w:szCs w:val="22"/>
        </w:rPr>
      </w:pPr>
      <w:r w:rsidRPr="000C1191">
        <w:rPr>
          <w:rFonts w:ascii="Times New Roman" w:hAnsi="Times New Roman" w:cs="Times New Roman"/>
          <w:b/>
          <w:bCs/>
          <w:sz w:val="22"/>
          <w:szCs w:val="22"/>
        </w:rPr>
        <w:t xml:space="preserve">Competing Interests </w:t>
      </w:r>
    </w:p>
    <w:p w14:paraId="408C78A9" w14:textId="77777777" w:rsidR="009C2C91" w:rsidRPr="000C1191" w:rsidRDefault="001465AD">
      <w:pPr>
        <w:spacing w:line="360" w:lineRule="auto"/>
        <w:jc w:val="both"/>
        <w:rPr>
          <w:rFonts w:ascii="Times New Roman" w:hAnsi="Times New Roman" w:cs="Times New Roman"/>
          <w:sz w:val="20"/>
          <w:szCs w:val="20"/>
        </w:rPr>
      </w:pPr>
      <w:r w:rsidRPr="000C1191">
        <w:rPr>
          <w:rFonts w:ascii="Times New Roman" w:hAnsi="Times New Roman" w:cs="Times New Roman"/>
          <w:sz w:val="20"/>
          <w:szCs w:val="20"/>
        </w:rPr>
        <w:t>Authors have declared that they have no known competing financial interests OR non-financial interests OR personal relationships that could have appeared to influence the work reported in this paper.</w:t>
      </w:r>
    </w:p>
    <w:p w14:paraId="67FDBD10" w14:textId="77777777" w:rsidR="009C2C91" w:rsidRPr="000C1191" w:rsidRDefault="001465AD">
      <w:pPr>
        <w:spacing w:line="360" w:lineRule="auto"/>
        <w:jc w:val="both"/>
        <w:rPr>
          <w:rFonts w:ascii="Times New Roman" w:hAnsi="Times New Roman" w:cs="Times New Roman"/>
          <w:sz w:val="20"/>
          <w:szCs w:val="20"/>
        </w:rPr>
      </w:pPr>
      <w:r w:rsidRPr="000C1191">
        <w:rPr>
          <w:rFonts w:ascii="Times New Roman" w:hAnsi="Times New Roman" w:cs="Times New Roman"/>
          <w:b/>
        </w:rPr>
        <w:lastRenderedPageBreak/>
        <w:t>REFERENCES</w:t>
      </w:r>
    </w:p>
    <w:p w14:paraId="65BEB46C" w14:textId="697F34D3"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Sulaiman, F. A., Yusuf, B. O., Omar, S. A., Muritala, H. F., Adisa, J. M., Olopade, A. A., </w:t>
      </w:r>
      <w:proofErr w:type="spellStart"/>
      <w:r w:rsidRPr="003C4C6F">
        <w:rPr>
          <w:rFonts w:ascii="Times New Roman" w:eastAsia="Times New Roman" w:hAnsi="Times New Roman" w:cs="Times New Roman"/>
          <w:sz w:val="24"/>
          <w:szCs w:val="24"/>
        </w:rPr>
        <w:t>Babajamu</w:t>
      </w:r>
      <w:proofErr w:type="spellEnd"/>
      <w:r w:rsidRPr="003C4C6F">
        <w:rPr>
          <w:rFonts w:ascii="Times New Roman" w:eastAsia="Times New Roman" w:hAnsi="Times New Roman" w:cs="Times New Roman"/>
          <w:sz w:val="24"/>
          <w:szCs w:val="24"/>
        </w:rPr>
        <w:t xml:space="preserve">, F. I., </w:t>
      </w:r>
      <w:proofErr w:type="spellStart"/>
      <w:r w:rsidRPr="003C4C6F">
        <w:rPr>
          <w:rFonts w:ascii="Times New Roman" w:eastAsia="Times New Roman" w:hAnsi="Times New Roman" w:cs="Times New Roman"/>
          <w:sz w:val="24"/>
          <w:szCs w:val="24"/>
        </w:rPr>
        <w:t>Jimba</w:t>
      </w:r>
      <w:proofErr w:type="spellEnd"/>
      <w:r w:rsidRPr="003C4C6F">
        <w:rPr>
          <w:rFonts w:ascii="Times New Roman" w:eastAsia="Times New Roman" w:hAnsi="Times New Roman" w:cs="Times New Roman"/>
          <w:sz w:val="24"/>
          <w:szCs w:val="24"/>
        </w:rPr>
        <w:t xml:space="preserve">, A. T., Babatunde, A. L., Adeniyi, B. A., Opaleye, B. R., </w:t>
      </w:r>
      <w:proofErr w:type="spellStart"/>
      <w:r w:rsidRPr="003C4C6F">
        <w:rPr>
          <w:rFonts w:ascii="Times New Roman" w:eastAsia="Times New Roman" w:hAnsi="Times New Roman" w:cs="Times New Roman"/>
          <w:sz w:val="24"/>
          <w:szCs w:val="24"/>
        </w:rPr>
        <w:t>Maimako</w:t>
      </w:r>
      <w:proofErr w:type="spellEnd"/>
      <w:r w:rsidRPr="003C4C6F">
        <w:rPr>
          <w:rFonts w:ascii="Times New Roman" w:eastAsia="Times New Roman" w:hAnsi="Times New Roman" w:cs="Times New Roman"/>
          <w:sz w:val="24"/>
          <w:szCs w:val="24"/>
        </w:rPr>
        <w:t xml:space="preserve">, R. F., Otohinoyi, D. A., Bello, K. O., Rotimi, D., </w:t>
      </w:r>
      <w:proofErr w:type="spellStart"/>
      <w:r w:rsidRPr="003C4C6F">
        <w:rPr>
          <w:rFonts w:ascii="Times New Roman" w:eastAsia="Times New Roman" w:hAnsi="Times New Roman" w:cs="Times New Roman"/>
          <w:sz w:val="24"/>
          <w:szCs w:val="24"/>
        </w:rPr>
        <w:t>Osemwegie</w:t>
      </w:r>
      <w:proofErr w:type="spellEnd"/>
      <w:r w:rsidRPr="003C4C6F">
        <w:rPr>
          <w:rFonts w:ascii="Times New Roman" w:eastAsia="Times New Roman" w:hAnsi="Times New Roman" w:cs="Times New Roman"/>
          <w:sz w:val="24"/>
          <w:szCs w:val="24"/>
        </w:rPr>
        <w:t xml:space="preserve">, O. O., &amp; Adeyemi, O. S. (2022). Ethanolic extracts of the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stem and leaves caused mild renal injury and modulated serum triglycerides in rats. </w:t>
      </w:r>
      <w:proofErr w:type="spellStart"/>
      <w:r w:rsidRPr="003C4C6F">
        <w:rPr>
          <w:rFonts w:ascii="Times New Roman" w:eastAsia="Times New Roman" w:hAnsi="Times New Roman" w:cs="Times New Roman"/>
          <w:i/>
          <w:iCs/>
          <w:sz w:val="24"/>
          <w:szCs w:val="24"/>
        </w:rPr>
        <w:t>Biointerface</w:t>
      </w:r>
      <w:proofErr w:type="spellEnd"/>
      <w:r w:rsidRPr="003C4C6F">
        <w:rPr>
          <w:rFonts w:ascii="Times New Roman" w:eastAsia="Times New Roman" w:hAnsi="Times New Roman" w:cs="Times New Roman"/>
          <w:i/>
          <w:iCs/>
          <w:sz w:val="24"/>
          <w:szCs w:val="24"/>
        </w:rPr>
        <w:t xml:space="preserve"> Research in Applied Chemistry, 12</w:t>
      </w:r>
      <w:r w:rsidRPr="003C4C6F">
        <w:rPr>
          <w:rFonts w:ascii="Times New Roman" w:eastAsia="Times New Roman" w:hAnsi="Times New Roman" w:cs="Times New Roman"/>
          <w:sz w:val="24"/>
          <w:szCs w:val="24"/>
        </w:rPr>
        <w:t>(4), 5045–5053. https://doi.org/10.33263/BRIAC124.50455053</w:t>
      </w:r>
    </w:p>
    <w:p w14:paraId="601C8E91" w14:textId="2EA12018"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Ajiboye, B. O., </w:t>
      </w:r>
      <w:proofErr w:type="spellStart"/>
      <w:r w:rsidRPr="003C4C6F">
        <w:rPr>
          <w:rFonts w:ascii="Times New Roman" w:eastAsia="Times New Roman" w:hAnsi="Times New Roman" w:cs="Times New Roman"/>
          <w:sz w:val="24"/>
          <w:szCs w:val="24"/>
        </w:rPr>
        <w:t>Oyinloye</w:t>
      </w:r>
      <w:proofErr w:type="spellEnd"/>
      <w:r w:rsidRPr="003C4C6F">
        <w:rPr>
          <w:rFonts w:ascii="Times New Roman" w:eastAsia="Times New Roman" w:hAnsi="Times New Roman" w:cs="Times New Roman"/>
          <w:sz w:val="24"/>
          <w:szCs w:val="24"/>
        </w:rPr>
        <w:t xml:space="preserve">, B. E., </w:t>
      </w:r>
      <w:proofErr w:type="spellStart"/>
      <w:r w:rsidRPr="003C4C6F">
        <w:rPr>
          <w:rFonts w:ascii="Times New Roman" w:eastAsia="Times New Roman" w:hAnsi="Times New Roman" w:cs="Times New Roman"/>
          <w:sz w:val="24"/>
          <w:szCs w:val="24"/>
        </w:rPr>
        <w:t>Agboinghale</w:t>
      </w:r>
      <w:proofErr w:type="spellEnd"/>
      <w:r w:rsidRPr="003C4C6F">
        <w:rPr>
          <w:rFonts w:ascii="Times New Roman" w:eastAsia="Times New Roman" w:hAnsi="Times New Roman" w:cs="Times New Roman"/>
          <w:sz w:val="24"/>
          <w:szCs w:val="24"/>
        </w:rPr>
        <w:t xml:space="preserve">, P. E., &amp; Ojo, O. A. (2022). Hepatoprotective and </w:t>
      </w:r>
      <w:proofErr w:type="spellStart"/>
      <w:r w:rsidRPr="003C4C6F">
        <w:rPr>
          <w:rFonts w:ascii="Times New Roman" w:eastAsia="Times New Roman" w:hAnsi="Times New Roman" w:cs="Times New Roman"/>
          <w:sz w:val="24"/>
          <w:szCs w:val="24"/>
        </w:rPr>
        <w:t>hematoprotective</w:t>
      </w:r>
      <w:proofErr w:type="spellEnd"/>
      <w:r w:rsidRPr="003C4C6F">
        <w:rPr>
          <w:rFonts w:ascii="Times New Roman" w:eastAsia="Times New Roman" w:hAnsi="Times New Roman" w:cs="Times New Roman"/>
          <w:sz w:val="24"/>
          <w:szCs w:val="24"/>
        </w:rPr>
        <w:t xml:space="preserve"> role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Benth. aqueous extract in alloxan-induced diabetic rats. </w:t>
      </w:r>
      <w:proofErr w:type="spellStart"/>
      <w:r w:rsidRPr="003C4C6F">
        <w:rPr>
          <w:rFonts w:ascii="Times New Roman" w:eastAsia="Times New Roman" w:hAnsi="Times New Roman" w:cs="Times New Roman"/>
          <w:i/>
          <w:iCs/>
          <w:sz w:val="24"/>
          <w:szCs w:val="24"/>
        </w:rPr>
        <w:t>Biointerface</w:t>
      </w:r>
      <w:proofErr w:type="spellEnd"/>
      <w:r w:rsidRPr="003C4C6F">
        <w:rPr>
          <w:rFonts w:ascii="Times New Roman" w:eastAsia="Times New Roman" w:hAnsi="Times New Roman" w:cs="Times New Roman"/>
          <w:i/>
          <w:iCs/>
          <w:sz w:val="24"/>
          <w:szCs w:val="24"/>
        </w:rPr>
        <w:t xml:space="preserve"> Research in Applied Chemistry, 12</w:t>
      </w:r>
      <w:r w:rsidRPr="003C4C6F">
        <w:rPr>
          <w:rFonts w:ascii="Times New Roman" w:eastAsia="Times New Roman" w:hAnsi="Times New Roman" w:cs="Times New Roman"/>
          <w:sz w:val="24"/>
          <w:szCs w:val="24"/>
        </w:rPr>
        <w:t xml:space="preserve">(1), 537–546. https://doi.org/10.33263/BRIAC121.537546 </w:t>
      </w:r>
    </w:p>
    <w:p w14:paraId="429629C4" w14:textId="5A0C54ED"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Ajiboye, B. O., </w:t>
      </w:r>
      <w:proofErr w:type="spellStart"/>
      <w:r w:rsidRPr="003C4C6F">
        <w:rPr>
          <w:rFonts w:ascii="Times New Roman" w:eastAsia="Times New Roman" w:hAnsi="Times New Roman" w:cs="Times New Roman"/>
          <w:sz w:val="24"/>
          <w:szCs w:val="24"/>
        </w:rPr>
        <w:t>Oyinloye</w:t>
      </w:r>
      <w:proofErr w:type="spellEnd"/>
      <w:r w:rsidRPr="003C4C6F">
        <w:rPr>
          <w:rFonts w:ascii="Times New Roman" w:eastAsia="Times New Roman" w:hAnsi="Times New Roman" w:cs="Times New Roman"/>
          <w:sz w:val="24"/>
          <w:szCs w:val="24"/>
        </w:rPr>
        <w:t xml:space="preserve">, B. E., </w:t>
      </w:r>
      <w:proofErr w:type="spellStart"/>
      <w:r w:rsidRPr="003C4C6F">
        <w:rPr>
          <w:rFonts w:ascii="Times New Roman" w:eastAsia="Times New Roman" w:hAnsi="Times New Roman" w:cs="Times New Roman"/>
          <w:sz w:val="24"/>
          <w:szCs w:val="24"/>
        </w:rPr>
        <w:t>Udebor</w:t>
      </w:r>
      <w:proofErr w:type="spellEnd"/>
      <w:r w:rsidRPr="003C4C6F">
        <w:rPr>
          <w:rFonts w:ascii="Times New Roman" w:eastAsia="Times New Roman" w:hAnsi="Times New Roman" w:cs="Times New Roman"/>
          <w:sz w:val="24"/>
          <w:szCs w:val="24"/>
        </w:rPr>
        <w:t xml:space="preserve">, E. A., Owolabi, O. V., Ejeje, J. N., </w:t>
      </w:r>
      <w:proofErr w:type="spellStart"/>
      <w:r w:rsidRPr="003C4C6F">
        <w:rPr>
          <w:rFonts w:ascii="Times New Roman" w:eastAsia="Times New Roman" w:hAnsi="Times New Roman" w:cs="Times New Roman"/>
          <w:sz w:val="24"/>
          <w:szCs w:val="24"/>
        </w:rPr>
        <w:t>Onikanni</w:t>
      </w:r>
      <w:proofErr w:type="spellEnd"/>
      <w:r w:rsidRPr="003C4C6F">
        <w:rPr>
          <w:rFonts w:ascii="Times New Roman" w:eastAsia="Times New Roman" w:hAnsi="Times New Roman" w:cs="Times New Roman"/>
          <w:sz w:val="24"/>
          <w:szCs w:val="24"/>
        </w:rPr>
        <w:t xml:space="preserve">, S. A., &amp; </w:t>
      </w:r>
      <w:proofErr w:type="spellStart"/>
      <w:r w:rsidRPr="003C4C6F">
        <w:rPr>
          <w:rFonts w:ascii="Times New Roman" w:eastAsia="Times New Roman" w:hAnsi="Times New Roman" w:cs="Times New Roman"/>
          <w:sz w:val="24"/>
          <w:szCs w:val="24"/>
        </w:rPr>
        <w:t>Omotuyi</w:t>
      </w:r>
      <w:proofErr w:type="spellEnd"/>
      <w:r w:rsidRPr="003C4C6F">
        <w:rPr>
          <w:rFonts w:ascii="Times New Roman" w:eastAsia="Times New Roman" w:hAnsi="Times New Roman" w:cs="Times New Roman"/>
          <w:sz w:val="24"/>
          <w:szCs w:val="24"/>
        </w:rPr>
        <w:t xml:space="preserve">, O. I. (2022a). Hepatoprotective potential of flavonoid-rich extracts from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Benth. leaf in type 2 diabetic rats via fetuin-A and tumor necrosis factor-alpha. </w:t>
      </w:r>
      <w:r w:rsidRPr="003C4C6F">
        <w:rPr>
          <w:rFonts w:ascii="Times New Roman" w:eastAsia="Times New Roman" w:hAnsi="Times New Roman" w:cs="Times New Roman"/>
          <w:i/>
          <w:iCs/>
          <w:sz w:val="24"/>
          <w:szCs w:val="24"/>
        </w:rPr>
        <w:t>Molecular Biology Reports, 49</w:t>
      </w:r>
      <w:r w:rsidRPr="003C4C6F">
        <w:rPr>
          <w:rFonts w:ascii="Times New Roman" w:eastAsia="Times New Roman" w:hAnsi="Times New Roman" w:cs="Times New Roman"/>
          <w:sz w:val="24"/>
          <w:szCs w:val="24"/>
        </w:rPr>
        <w:t xml:space="preserve">(9), 8391–8400. https://doi.org/10.1007/s11033-022-07657-x </w:t>
      </w:r>
    </w:p>
    <w:p w14:paraId="15CD1CEC" w14:textId="636FB098"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Ajiboye, B. O., </w:t>
      </w:r>
      <w:proofErr w:type="spellStart"/>
      <w:r w:rsidRPr="003C4C6F">
        <w:rPr>
          <w:rFonts w:ascii="Times New Roman" w:eastAsia="Times New Roman" w:hAnsi="Times New Roman" w:cs="Times New Roman"/>
          <w:sz w:val="24"/>
          <w:szCs w:val="24"/>
        </w:rPr>
        <w:t>Iwaloye</w:t>
      </w:r>
      <w:proofErr w:type="spellEnd"/>
      <w:r w:rsidRPr="003C4C6F">
        <w:rPr>
          <w:rFonts w:ascii="Times New Roman" w:eastAsia="Times New Roman" w:hAnsi="Times New Roman" w:cs="Times New Roman"/>
          <w:sz w:val="24"/>
          <w:szCs w:val="24"/>
        </w:rPr>
        <w:t xml:space="preserve">, O., Owolabi, O. V., Ejeje, J. N., </w:t>
      </w:r>
      <w:proofErr w:type="spellStart"/>
      <w:r w:rsidRPr="003C4C6F">
        <w:rPr>
          <w:rFonts w:ascii="Times New Roman" w:eastAsia="Times New Roman" w:hAnsi="Times New Roman" w:cs="Times New Roman"/>
          <w:sz w:val="24"/>
          <w:szCs w:val="24"/>
        </w:rPr>
        <w:t>Okerewa</w:t>
      </w:r>
      <w:proofErr w:type="spellEnd"/>
      <w:r w:rsidRPr="003C4C6F">
        <w:rPr>
          <w:rFonts w:ascii="Times New Roman" w:eastAsia="Times New Roman" w:hAnsi="Times New Roman" w:cs="Times New Roman"/>
          <w:sz w:val="24"/>
          <w:szCs w:val="24"/>
        </w:rPr>
        <w:t xml:space="preserve">, A., Johnson, O. O., </w:t>
      </w:r>
      <w:proofErr w:type="spellStart"/>
      <w:r w:rsidRPr="003C4C6F">
        <w:rPr>
          <w:rFonts w:ascii="Times New Roman" w:eastAsia="Times New Roman" w:hAnsi="Times New Roman" w:cs="Times New Roman"/>
          <w:sz w:val="24"/>
          <w:szCs w:val="24"/>
        </w:rPr>
        <w:t>Udebor</w:t>
      </w:r>
      <w:proofErr w:type="spellEnd"/>
      <w:r w:rsidRPr="003C4C6F">
        <w:rPr>
          <w:rFonts w:ascii="Times New Roman" w:eastAsia="Times New Roman" w:hAnsi="Times New Roman" w:cs="Times New Roman"/>
          <w:sz w:val="24"/>
          <w:szCs w:val="24"/>
        </w:rPr>
        <w:t xml:space="preserve">, A. E., &amp; </w:t>
      </w:r>
      <w:proofErr w:type="spellStart"/>
      <w:r w:rsidRPr="003C4C6F">
        <w:rPr>
          <w:rFonts w:ascii="Times New Roman" w:eastAsia="Times New Roman" w:hAnsi="Times New Roman" w:cs="Times New Roman"/>
          <w:sz w:val="24"/>
          <w:szCs w:val="24"/>
        </w:rPr>
        <w:t>Oyinloye</w:t>
      </w:r>
      <w:proofErr w:type="spellEnd"/>
      <w:r w:rsidRPr="003C4C6F">
        <w:rPr>
          <w:rFonts w:ascii="Times New Roman" w:eastAsia="Times New Roman" w:hAnsi="Times New Roman" w:cs="Times New Roman"/>
          <w:sz w:val="24"/>
          <w:szCs w:val="24"/>
        </w:rPr>
        <w:t xml:space="preserve">, B. E. (2022b). Screening of potential antidiabetic phytochemicals from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leaf against therapeutic targets of type 2 diabetes mellitus: Multi-targets drug design. </w:t>
      </w:r>
      <w:r w:rsidRPr="003C4C6F">
        <w:rPr>
          <w:rFonts w:ascii="Times New Roman" w:eastAsia="Times New Roman" w:hAnsi="Times New Roman" w:cs="Times New Roman"/>
          <w:i/>
          <w:iCs/>
          <w:sz w:val="24"/>
          <w:szCs w:val="24"/>
        </w:rPr>
        <w:t>SN Applied Sciences, 4</w:t>
      </w:r>
      <w:r w:rsidRPr="003C4C6F">
        <w:rPr>
          <w:rFonts w:ascii="Times New Roman" w:eastAsia="Times New Roman" w:hAnsi="Times New Roman" w:cs="Times New Roman"/>
          <w:sz w:val="24"/>
          <w:szCs w:val="24"/>
        </w:rPr>
        <w:t xml:space="preserve">, Article 1. https://doi.org/10.1007/s42452-021-04880-2 </w:t>
      </w:r>
    </w:p>
    <w:p w14:paraId="78DB3F9B" w14:textId="53CFF672"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Akinboboye, T. E., Olaniyi, T. D., Adeleke, G. E., </w:t>
      </w:r>
      <w:proofErr w:type="spellStart"/>
      <w:r w:rsidRPr="003C4C6F">
        <w:rPr>
          <w:rFonts w:ascii="Times New Roman" w:eastAsia="Times New Roman" w:hAnsi="Times New Roman" w:cs="Times New Roman"/>
          <w:sz w:val="24"/>
          <w:szCs w:val="24"/>
        </w:rPr>
        <w:t>Aborisade</w:t>
      </w:r>
      <w:proofErr w:type="spellEnd"/>
      <w:r w:rsidRPr="003C4C6F">
        <w:rPr>
          <w:rFonts w:ascii="Times New Roman" w:eastAsia="Times New Roman" w:hAnsi="Times New Roman" w:cs="Times New Roman"/>
          <w:sz w:val="24"/>
          <w:szCs w:val="24"/>
        </w:rPr>
        <w:t xml:space="preserve">, A. B., &amp; Adetutu, A. (2025). The hepatoprotective effects of </w:t>
      </w:r>
      <w:r w:rsidRPr="003C4C6F">
        <w:rPr>
          <w:rFonts w:ascii="Times New Roman" w:eastAsia="Times New Roman" w:hAnsi="Times New Roman" w:cs="Times New Roman"/>
          <w:i/>
          <w:iCs/>
          <w:sz w:val="24"/>
          <w:szCs w:val="24"/>
        </w:rPr>
        <w:t xml:space="preserve">Euphorbia </w:t>
      </w:r>
      <w:proofErr w:type="spellStart"/>
      <w:r w:rsidRPr="003C4C6F">
        <w:rPr>
          <w:rFonts w:ascii="Times New Roman" w:eastAsia="Times New Roman" w:hAnsi="Times New Roman" w:cs="Times New Roman"/>
          <w:i/>
          <w:iCs/>
          <w:sz w:val="24"/>
          <w:szCs w:val="24"/>
        </w:rPr>
        <w:t>hirta</w:t>
      </w:r>
      <w:proofErr w:type="spellEnd"/>
      <w:r w:rsidRPr="003C4C6F">
        <w:rPr>
          <w:rFonts w:ascii="Times New Roman" w:eastAsia="Times New Roman" w:hAnsi="Times New Roman" w:cs="Times New Roman"/>
          <w:sz w:val="24"/>
          <w:szCs w:val="24"/>
        </w:rPr>
        <w:t xml:space="preserve"> in ameliorating paracetamol-induced liver injury in rats. </w:t>
      </w:r>
      <w:r w:rsidRPr="003C4C6F">
        <w:rPr>
          <w:rFonts w:ascii="Times New Roman" w:eastAsia="Times New Roman" w:hAnsi="Times New Roman" w:cs="Times New Roman"/>
          <w:i/>
          <w:iCs/>
          <w:sz w:val="24"/>
          <w:szCs w:val="24"/>
        </w:rPr>
        <w:t>Asian Journal of Research in Biosciences, 7</w:t>
      </w:r>
      <w:r w:rsidRPr="003C4C6F">
        <w:rPr>
          <w:rFonts w:ascii="Times New Roman" w:eastAsia="Times New Roman" w:hAnsi="Times New Roman" w:cs="Times New Roman"/>
          <w:sz w:val="24"/>
          <w:szCs w:val="24"/>
        </w:rPr>
        <w:t xml:space="preserve">(1), 75–85. </w:t>
      </w:r>
      <w:hyperlink r:id="rId13" w:tgtFrame="_new" w:history="1">
        <w:r w:rsidRPr="003C4C6F">
          <w:rPr>
            <w:rFonts w:ascii="Times New Roman" w:eastAsia="Times New Roman" w:hAnsi="Times New Roman" w:cs="Times New Roman"/>
            <w:color w:val="0000FF"/>
            <w:sz w:val="24"/>
            <w:szCs w:val="24"/>
            <w:u w:val="single"/>
          </w:rPr>
          <w:t>https://doi.org/10.56557/ajorib/2025/v7i1112</w:t>
        </w:r>
      </w:hyperlink>
      <w:r w:rsidRPr="003C4C6F">
        <w:rPr>
          <w:rFonts w:ascii="Times New Roman" w:eastAsia="Times New Roman" w:hAnsi="Times New Roman" w:cs="Times New Roman"/>
          <w:sz w:val="24"/>
          <w:szCs w:val="24"/>
        </w:rPr>
        <w:t xml:space="preserve"> </w:t>
      </w:r>
    </w:p>
    <w:p w14:paraId="0E240E27" w14:textId="029E8095"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Akinnuga</w:t>
      </w:r>
      <w:proofErr w:type="spellEnd"/>
      <w:r w:rsidRPr="003C4C6F">
        <w:rPr>
          <w:rFonts w:ascii="Times New Roman" w:eastAsia="Times New Roman" w:hAnsi="Times New Roman" w:cs="Times New Roman"/>
          <w:sz w:val="24"/>
          <w:szCs w:val="24"/>
        </w:rPr>
        <w:t xml:space="preserve">, A. M., Bamidele, O., </w:t>
      </w:r>
      <w:proofErr w:type="spellStart"/>
      <w:r w:rsidRPr="003C4C6F">
        <w:rPr>
          <w:rFonts w:ascii="Times New Roman" w:eastAsia="Times New Roman" w:hAnsi="Times New Roman" w:cs="Times New Roman"/>
          <w:sz w:val="24"/>
          <w:szCs w:val="24"/>
        </w:rPr>
        <w:t>Ekechi</w:t>
      </w:r>
      <w:proofErr w:type="spellEnd"/>
      <w:r w:rsidRPr="003C4C6F">
        <w:rPr>
          <w:rFonts w:ascii="Times New Roman" w:eastAsia="Times New Roman" w:hAnsi="Times New Roman" w:cs="Times New Roman"/>
          <w:sz w:val="24"/>
          <w:szCs w:val="24"/>
        </w:rPr>
        <w:t xml:space="preserve">, P., &amp; Adeniyi, O. S. (2011). Effects of an ethanolic extract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on some </w:t>
      </w:r>
      <w:proofErr w:type="spellStart"/>
      <w:r w:rsidRPr="003C4C6F">
        <w:rPr>
          <w:rFonts w:ascii="Times New Roman" w:eastAsia="Times New Roman" w:hAnsi="Times New Roman" w:cs="Times New Roman"/>
          <w:sz w:val="24"/>
          <w:szCs w:val="24"/>
        </w:rPr>
        <w:t>haematological</w:t>
      </w:r>
      <w:proofErr w:type="spellEnd"/>
      <w:r w:rsidRPr="003C4C6F">
        <w:rPr>
          <w:rFonts w:ascii="Times New Roman" w:eastAsia="Times New Roman" w:hAnsi="Times New Roman" w:cs="Times New Roman"/>
          <w:sz w:val="24"/>
          <w:szCs w:val="24"/>
        </w:rPr>
        <w:t xml:space="preserve"> parameters in rats. </w:t>
      </w:r>
      <w:r w:rsidRPr="003C4C6F">
        <w:rPr>
          <w:rFonts w:ascii="Times New Roman" w:eastAsia="Times New Roman" w:hAnsi="Times New Roman" w:cs="Times New Roman"/>
          <w:i/>
          <w:iCs/>
          <w:sz w:val="24"/>
          <w:szCs w:val="24"/>
        </w:rPr>
        <w:t>African Journal of Biomedical Research, 14</w:t>
      </w:r>
      <w:r w:rsidRPr="003C4C6F">
        <w:rPr>
          <w:rFonts w:ascii="Times New Roman" w:eastAsia="Times New Roman" w:hAnsi="Times New Roman" w:cs="Times New Roman"/>
          <w:sz w:val="24"/>
          <w:szCs w:val="24"/>
        </w:rPr>
        <w:t xml:space="preserve">(2), 153–156. https://www.ajol.info/index.php/ajbr/article/view/95251 </w:t>
      </w:r>
    </w:p>
    <w:p w14:paraId="183FB6ED" w14:textId="4E027067"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Al-Hindi, B., Yusoff, N. A., Ahmad, M., </w:t>
      </w:r>
      <w:proofErr w:type="spellStart"/>
      <w:r w:rsidRPr="003C4C6F">
        <w:rPr>
          <w:rFonts w:ascii="Times New Roman" w:eastAsia="Times New Roman" w:hAnsi="Times New Roman" w:cs="Times New Roman"/>
          <w:sz w:val="24"/>
          <w:szCs w:val="24"/>
        </w:rPr>
        <w:t>Atangwho</w:t>
      </w:r>
      <w:proofErr w:type="spellEnd"/>
      <w:r w:rsidRPr="003C4C6F">
        <w:rPr>
          <w:rFonts w:ascii="Times New Roman" w:eastAsia="Times New Roman" w:hAnsi="Times New Roman" w:cs="Times New Roman"/>
          <w:sz w:val="24"/>
          <w:szCs w:val="24"/>
        </w:rPr>
        <w:t xml:space="preserve">, I. J., </w:t>
      </w:r>
      <w:proofErr w:type="spellStart"/>
      <w:r w:rsidRPr="003C4C6F">
        <w:rPr>
          <w:rFonts w:ascii="Times New Roman" w:eastAsia="Times New Roman" w:hAnsi="Times New Roman" w:cs="Times New Roman"/>
          <w:sz w:val="24"/>
          <w:szCs w:val="24"/>
        </w:rPr>
        <w:t>Asmawi</w:t>
      </w:r>
      <w:proofErr w:type="spellEnd"/>
      <w:r w:rsidRPr="003C4C6F">
        <w:rPr>
          <w:rFonts w:ascii="Times New Roman" w:eastAsia="Times New Roman" w:hAnsi="Times New Roman" w:cs="Times New Roman"/>
          <w:sz w:val="24"/>
          <w:szCs w:val="24"/>
        </w:rPr>
        <w:t xml:space="preserve">, M. Z., Al-Mansoub, M. A., Tabana, Y. M., Bello, I., &amp; Yam, M. F. (2019). Safety assessment of the ethanolic extract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Benth. leaves: A 90-day oral toxicity study in Sprague Dawley rats. </w:t>
      </w:r>
      <w:r w:rsidRPr="003C4C6F">
        <w:rPr>
          <w:rFonts w:ascii="Times New Roman" w:eastAsia="Times New Roman" w:hAnsi="Times New Roman" w:cs="Times New Roman"/>
          <w:i/>
          <w:iCs/>
          <w:sz w:val="24"/>
          <w:szCs w:val="24"/>
        </w:rPr>
        <w:t>BMC Complementary and Alternative Medicine, 19</w:t>
      </w:r>
      <w:r w:rsidRPr="003C4C6F">
        <w:rPr>
          <w:rFonts w:ascii="Times New Roman" w:eastAsia="Times New Roman" w:hAnsi="Times New Roman" w:cs="Times New Roman"/>
          <w:sz w:val="24"/>
          <w:szCs w:val="24"/>
        </w:rPr>
        <w:t xml:space="preserve">, Article 152. </w:t>
      </w:r>
      <w:hyperlink r:id="rId14" w:tgtFrame="_new" w:history="1">
        <w:r w:rsidRPr="003C4C6F">
          <w:rPr>
            <w:rFonts w:ascii="Times New Roman" w:eastAsia="Times New Roman" w:hAnsi="Times New Roman" w:cs="Times New Roman"/>
            <w:color w:val="0000FF"/>
            <w:sz w:val="24"/>
            <w:szCs w:val="24"/>
            <w:u w:val="single"/>
          </w:rPr>
          <w:t>https://doi.org/10.1186/s12906-019-2573-x</w:t>
        </w:r>
      </w:hyperlink>
      <w:r w:rsidRPr="003C4C6F">
        <w:rPr>
          <w:rFonts w:ascii="Times New Roman" w:eastAsia="Times New Roman" w:hAnsi="Times New Roman" w:cs="Times New Roman"/>
          <w:sz w:val="24"/>
          <w:szCs w:val="24"/>
        </w:rPr>
        <w:t xml:space="preserve"> </w:t>
      </w:r>
    </w:p>
    <w:p w14:paraId="5F5963E2" w14:textId="7A4B4313"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Anameze</w:t>
      </w:r>
      <w:proofErr w:type="spellEnd"/>
      <w:r w:rsidRPr="003C4C6F">
        <w:rPr>
          <w:rFonts w:ascii="Times New Roman" w:eastAsia="Times New Roman" w:hAnsi="Times New Roman" w:cs="Times New Roman"/>
          <w:sz w:val="24"/>
          <w:szCs w:val="24"/>
        </w:rPr>
        <w:t xml:space="preserve">, C. I., Emmy-Egbe, I. O., </w:t>
      </w:r>
      <w:proofErr w:type="spellStart"/>
      <w:r w:rsidRPr="003C4C6F">
        <w:rPr>
          <w:rFonts w:ascii="Times New Roman" w:eastAsia="Times New Roman" w:hAnsi="Times New Roman" w:cs="Times New Roman"/>
          <w:sz w:val="24"/>
          <w:szCs w:val="24"/>
        </w:rPr>
        <w:t>Anyaegbunam</w:t>
      </w:r>
      <w:proofErr w:type="spellEnd"/>
      <w:r w:rsidRPr="003C4C6F">
        <w:rPr>
          <w:rFonts w:ascii="Times New Roman" w:eastAsia="Times New Roman" w:hAnsi="Times New Roman" w:cs="Times New Roman"/>
          <w:sz w:val="24"/>
          <w:szCs w:val="24"/>
        </w:rPr>
        <w:t xml:space="preserve">, L. C., </w:t>
      </w:r>
      <w:proofErr w:type="spellStart"/>
      <w:r w:rsidRPr="003C4C6F">
        <w:rPr>
          <w:rFonts w:ascii="Times New Roman" w:eastAsia="Times New Roman" w:hAnsi="Times New Roman" w:cs="Times New Roman"/>
          <w:sz w:val="24"/>
          <w:szCs w:val="24"/>
        </w:rPr>
        <w:t>Ogomaka</w:t>
      </w:r>
      <w:proofErr w:type="spellEnd"/>
      <w:r w:rsidRPr="003C4C6F">
        <w:rPr>
          <w:rFonts w:ascii="Times New Roman" w:eastAsia="Times New Roman" w:hAnsi="Times New Roman" w:cs="Times New Roman"/>
          <w:sz w:val="24"/>
          <w:szCs w:val="24"/>
        </w:rPr>
        <w:t xml:space="preserve">, I. J., Uba, B. O., </w:t>
      </w:r>
      <w:proofErr w:type="spellStart"/>
      <w:r w:rsidRPr="003C4C6F">
        <w:rPr>
          <w:rFonts w:ascii="Times New Roman" w:eastAsia="Times New Roman" w:hAnsi="Times New Roman" w:cs="Times New Roman"/>
          <w:sz w:val="24"/>
          <w:szCs w:val="24"/>
        </w:rPr>
        <w:t>Odumodu</w:t>
      </w:r>
      <w:proofErr w:type="spellEnd"/>
      <w:r w:rsidRPr="003C4C6F">
        <w:rPr>
          <w:rFonts w:ascii="Times New Roman" w:eastAsia="Times New Roman" w:hAnsi="Times New Roman" w:cs="Times New Roman"/>
          <w:sz w:val="24"/>
          <w:szCs w:val="24"/>
        </w:rPr>
        <w:t xml:space="preserve">, O. A., </w:t>
      </w:r>
      <w:proofErr w:type="spellStart"/>
      <w:r w:rsidRPr="003C4C6F">
        <w:rPr>
          <w:rFonts w:ascii="Times New Roman" w:eastAsia="Times New Roman" w:hAnsi="Times New Roman" w:cs="Times New Roman"/>
          <w:sz w:val="24"/>
          <w:szCs w:val="24"/>
        </w:rPr>
        <w:t>Ezeigwe</w:t>
      </w:r>
      <w:proofErr w:type="spellEnd"/>
      <w:r w:rsidRPr="003C4C6F">
        <w:rPr>
          <w:rFonts w:ascii="Times New Roman" w:eastAsia="Times New Roman" w:hAnsi="Times New Roman" w:cs="Times New Roman"/>
          <w:sz w:val="24"/>
          <w:szCs w:val="24"/>
        </w:rPr>
        <w:t xml:space="preserve">, C., Kamalu, N. L., </w:t>
      </w:r>
      <w:proofErr w:type="spellStart"/>
      <w:r w:rsidRPr="003C4C6F">
        <w:rPr>
          <w:rFonts w:ascii="Times New Roman" w:eastAsia="Times New Roman" w:hAnsi="Times New Roman" w:cs="Times New Roman"/>
          <w:sz w:val="24"/>
          <w:szCs w:val="24"/>
        </w:rPr>
        <w:t>Chukwubude</w:t>
      </w:r>
      <w:proofErr w:type="spellEnd"/>
      <w:r w:rsidRPr="003C4C6F">
        <w:rPr>
          <w:rFonts w:ascii="Times New Roman" w:eastAsia="Times New Roman" w:hAnsi="Times New Roman" w:cs="Times New Roman"/>
          <w:sz w:val="24"/>
          <w:szCs w:val="24"/>
        </w:rPr>
        <w:t xml:space="preserve">, C. B., </w:t>
      </w:r>
      <w:proofErr w:type="spellStart"/>
      <w:r w:rsidRPr="003C4C6F">
        <w:rPr>
          <w:rFonts w:ascii="Times New Roman" w:eastAsia="Times New Roman" w:hAnsi="Times New Roman" w:cs="Times New Roman"/>
          <w:sz w:val="24"/>
          <w:szCs w:val="24"/>
        </w:rPr>
        <w:t>Akogu</w:t>
      </w:r>
      <w:proofErr w:type="spellEnd"/>
      <w:r w:rsidRPr="003C4C6F">
        <w:rPr>
          <w:rFonts w:ascii="Times New Roman" w:eastAsia="Times New Roman" w:hAnsi="Times New Roman" w:cs="Times New Roman"/>
          <w:sz w:val="24"/>
          <w:szCs w:val="24"/>
        </w:rPr>
        <w:t xml:space="preserve">, O., </w:t>
      </w:r>
      <w:proofErr w:type="spellStart"/>
      <w:r w:rsidRPr="003C4C6F">
        <w:rPr>
          <w:rFonts w:ascii="Times New Roman" w:eastAsia="Times New Roman" w:hAnsi="Times New Roman" w:cs="Times New Roman"/>
          <w:sz w:val="24"/>
          <w:szCs w:val="24"/>
        </w:rPr>
        <w:t>Ezekwueme</w:t>
      </w:r>
      <w:proofErr w:type="spellEnd"/>
      <w:r w:rsidRPr="003C4C6F">
        <w:rPr>
          <w:rFonts w:ascii="Times New Roman" w:eastAsia="Times New Roman" w:hAnsi="Times New Roman" w:cs="Times New Roman"/>
          <w:sz w:val="24"/>
          <w:szCs w:val="24"/>
        </w:rPr>
        <w:t xml:space="preserve">, E., Emmy-Egbe, C. C., </w:t>
      </w:r>
      <w:proofErr w:type="spellStart"/>
      <w:r w:rsidRPr="003C4C6F">
        <w:rPr>
          <w:rFonts w:ascii="Times New Roman" w:eastAsia="Times New Roman" w:hAnsi="Times New Roman" w:cs="Times New Roman"/>
          <w:sz w:val="24"/>
          <w:szCs w:val="24"/>
        </w:rPr>
        <w:t>Obiefoka</w:t>
      </w:r>
      <w:proofErr w:type="spellEnd"/>
      <w:r w:rsidRPr="003C4C6F">
        <w:rPr>
          <w:rFonts w:ascii="Times New Roman" w:eastAsia="Times New Roman" w:hAnsi="Times New Roman" w:cs="Times New Roman"/>
          <w:sz w:val="24"/>
          <w:szCs w:val="24"/>
        </w:rPr>
        <w:t xml:space="preserve">, O. S., </w:t>
      </w:r>
      <w:proofErr w:type="spellStart"/>
      <w:r w:rsidRPr="003C4C6F">
        <w:rPr>
          <w:rFonts w:ascii="Times New Roman" w:eastAsia="Times New Roman" w:hAnsi="Times New Roman" w:cs="Times New Roman"/>
          <w:sz w:val="24"/>
          <w:szCs w:val="24"/>
        </w:rPr>
        <w:t>Ezenwata</w:t>
      </w:r>
      <w:proofErr w:type="spellEnd"/>
      <w:r w:rsidRPr="003C4C6F">
        <w:rPr>
          <w:rFonts w:ascii="Times New Roman" w:eastAsia="Times New Roman" w:hAnsi="Times New Roman" w:cs="Times New Roman"/>
          <w:sz w:val="24"/>
          <w:szCs w:val="24"/>
        </w:rPr>
        <w:t xml:space="preserve">, S. I., &amp; </w:t>
      </w:r>
      <w:proofErr w:type="spellStart"/>
      <w:r w:rsidRPr="003C4C6F">
        <w:rPr>
          <w:rFonts w:ascii="Times New Roman" w:eastAsia="Times New Roman" w:hAnsi="Times New Roman" w:cs="Times New Roman"/>
          <w:sz w:val="24"/>
          <w:szCs w:val="24"/>
        </w:rPr>
        <w:t>Ilechukwu</w:t>
      </w:r>
      <w:proofErr w:type="spellEnd"/>
      <w:r w:rsidRPr="003C4C6F">
        <w:rPr>
          <w:rFonts w:ascii="Times New Roman" w:eastAsia="Times New Roman" w:hAnsi="Times New Roman" w:cs="Times New Roman"/>
          <w:sz w:val="24"/>
          <w:szCs w:val="24"/>
        </w:rPr>
        <w:t xml:space="preserve">, C. C. (2023). Qualitative and quantitative phytochemical analysis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leaf extract. </w:t>
      </w:r>
      <w:r w:rsidRPr="003C4C6F">
        <w:rPr>
          <w:rFonts w:ascii="Times New Roman" w:eastAsia="Times New Roman" w:hAnsi="Times New Roman" w:cs="Times New Roman"/>
          <w:i/>
          <w:iCs/>
          <w:sz w:val="24"/>
          <w:szCs w:val="24"/>
        </w:rPr>
        <w:t>IPS Journal of Applied Microbiology and Biotechnology, 2</w:t>
      </w:r>
      <w:r w:rsidRPr="003C4C6F">
        <w:rPr>
          <w:rFonts w:ascii="Times New Roman" w:eastAsia="Times New Roman" w:hAnsi="Times New Roman" w:cs="Times New Roman"/>
          <w:sz w:val="24"/>
          <w:szCs w:val="24"/>
        </w:rPr>
        <w:t xml:space="preserve">(1), 16–19. https://doi.org/10.54117/ijamb.v2i1.10 </w:t>
      </w:r>
    </w:p>
    <w:p w14:paraId="0359C161" w14:textId="00E84257"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Beshel, J. A., Palacios, J., Beshel, F. N., </w:t>
      </w:r>
      <w:proofErr w:type="spellStart"/>
      <w:r w:rsidRPr="003C4C6F">
        <w:rPr>
          <w:rFonts w:ascii="Times New Roman" w:eastAsia="Times New Roman" w:hAnsi="Times New Roman" w:cs="Times New Roman"/>
          <w:sz w:val="24"/>
          <w:szCs w:val="24"/>
        </w:rPr>
        <w:t>Nku</w:t>
      </w:r>
      <w:proofErr w:type="spellEnd"/>
      <w:r w:rsidRPr="003C4C6F">
        <w:rPr>
          <w:rFonts w:ascii="Times New Roman" w:eastAsia="Times New Roman" w:hAnsi="Times New Roman" w:cs="Times New Roman"/>
          <w:sz w:val="24"/>
          <w:szCs w:val="24"/>
        </w:rPr>
        <w:t xml:space="preserve">, C. O., </w:t>
      </w:r>
      <w:proofErr w:type="spellStart"/>
      <w:r w:rsidRPr="003C4C6F">
        <w:rPr>
          <w:rFonts w:ascii="Times New Roman" w:eastAsia="Times New Roman" w:hAnsi="Times New Roman" w:cs="Times New Roman"/>
          <w:sz w:val="24"/>
          <w:szCs w:val="24"/>
        </w:rPr>
        <w:t>Owu</w:t>
      </w:r>
      <w:proofErr w:type="spellEnd"/>
      <w:r w:rsidRPr="003C4C6F">
        <w:rPr>
          <w:rFonts w:ascii="Times New Roman" w:eastAsia="Times New Roman" w:hAnsi="Times New Roman" w:cs="Times New Roman"/>
          <w:sz w:val="24"/>
          <w:szCs w:val="24"/>
        </w:rPr>
        <w:t xml:space="preserve">, D. U., Nwokocha, M., </w:t>
      </w:r>
      <w:proofErr w:type="spellStart"/>
      <w:r w:rsidRPr="003C4C6F">
        <w:rPr>
          <w:rFonts w:ascii="Times New Roman" w:eastAsia="Times New Roman" w:hAnsi="Times New Roman" w:cs="Times New Roman"/>
          <w:sz w:val="24"/>
          <w:szCs w:val="24"/>
        </w:rPr>
        <w:t>Bórquez</w:t>
      </w:r>
      <w:proofErr w:type="spellEnd"/>
      <w:r w:rsidRPr="003C4C6F">
        <w:rPr>
          <w:rFonts w:ascii="Times New Roman" w:eastAsia="Times New Roman" w:hAnsi="Times New Roman" w:cs="Times New Roman"/>
          <w:sz w:val="24"/>
          <w:szCs w:val="24"/>
        </w:rPr>
        <w:t xml:space="preserve">, J., </w:t>
      </w:r>
      <w:proofErr w:type="spellStart"/>
      <w:r w:rsidRPr="003C4C6F">
        <w:rPr>
          <w:rFonts w:ascii="Times New Roman" w:eastAsia="Times New Roman" w:hAnsi="Times New Roman" w:cs="Times New Roman"/>
          <w:sz w:val="24"/>
          <w:szCs w:val="24"/>
        </w:rPr>
        <w:t>Simirgiotis</w:t>
      </w:r>
      <w:proofErr w:type="spellEnd"/>
      <w:r w:rsidRPr="003C4C6F">
        <w:rPr>
          <w:rFonts w:ascii="Times New Roman" w:eastAsia="Times New Roman" w:hAnsi="Times New Roman" w:cs="Times New Roman"/>
          <w:sz w:val="24"/>
          <w:szCs w:val="24"/>
        </w:rPr>
        <w:t xml:space="preserve">, M. J., &amp; Nwokocha, C. R. (2019). Blood pressure-reducing activity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Benth. (</w:t>
      </w:r>
      <w:proofErr w:type="spellStart"/>
      <w:r w:rsidRPr="003C4C6F">
        <w:rPr>
          <w:rFonts w:ascii="Times New Roman" w:eastAsia="Times New Roman" w:hAnsi="Times New Roman" w:cs="Times New Roman"/>
          <w:sz w:val="24"/>
          <w:szCs w:val="24"/>
        </w:rPr>
        <w:t>Apocynaceae</w:t>
      </w:r>
      <w:proofErr w:type="spellEnd"/>
      <w:r w:rsidRPr="003C4C6F">
        <w:rPr>
          <w:rFonts w:ascii="Times New Roman" w:eastAsia="Times New Roman" w:hAnsi="Times New Roman" w:cs="Times New Roman"/>
          <w:sz w:val="24"/>
          <w:szCs w:val="24"/>
        </w:rPr>
        <w:t xml:space="preserve">) and the identification of its main phytochemicals by UHPLC Q-Orbitrap mass spectrometry. </w:t>
      </w:r>
      <w:r w:rsidRPr="003C4C6F">
        <w:rPr>
          <w:rFonts w:ascii="Times New Roman" w:eastAsia="Times New Roman" w:hAnsi="Times New Roman" w:cs="Times New Roman"/>
          <w:i/>
          <w:iCs/>
          <w:sz w:val="24"/>
          <w:szCs w:val="24"/>
        </w:rPr>
        <w:t>Journal of Basic and Clinical Physiology and Pharmacology, 30</w:t>
      </w:r>
      <w:r w:rsidRPr="003C4C6F">
        <w:rPr>
          <w:rFonts w:ascii="Times New Roman" w:eastAsia="Times New Roman" w:hAnsi="Times New Roman" w:cs="Times New Roman"/>
          <w:sz w:val="24"/>
          <w:szCs w:val="24"/>
        </w:rPr>
        <w:t xml:space="preserve">(6), Article 20180178. https://doi.org/10.1515/jbcpp-2018-0178 </w:t>
      </w:r>
    </w:p>
    <w:p w14:paraId="255C4569" w14:textId="03876785"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lastRenderedPageBreak/>
        <w:t xml:space="preserve">Sylvester, M. C. U., Nwodo, O. F. C., Yakubu, O. E., Parker, E. J., Egba, S., </w:t>
      </w:r>
      <w:proofErr w:type="spellStart"/>
      <w:r w:rsidRPr="003C4C6F">
        <w:rPr>
          <w:rFonts w:ascii="Times New Roman" w:eastAsia="Times New Roman" w:hAnsi="Times New Roman" w:cs="Times New Roman"/>
          <w:sz w:val="24"/>
          <w:szCs w:val="24"/>
        </w:rPr>
        <w:t>Anaduaka</w:t>
      </w:r>
      <w:proofErr w:type="spellEnd"/>
      <w:r w:rsidRPr="003C4C6F">
        <w:rPr>
          <w:rFonts w:ascii="Times New Roman" w:eastAsia="Times New Roman" w:hAnsi="Times New Roman" w:cs="Times New Roman"/>
          <w:sz w:val="24"/>
          <w:szCs w:val="24"/>
        </w:rPr>
        <w:t xml:space="preserve">, E., Tatah, V. S., Ugwu, O. P., Ale, E. M., Ude, C. M., &amp; </w:t>
      </w:r>
      <w:proofErr w:type="spellStart"/>
      <w:r w:rsidRPr="003C4C6F">
        <w:rPr>
          <w:rFonts w:ascii="Times New Roman" w:eastAsia="Times New Roman" w:hAnsi="Times New Roman" w:cs="Times New Roman"/>
          <w:sz w:val="24"/>
          <w:szCs w:val="24"/>
        </w:rPr>
        <w:t>Iornenge</w:t>
      </w:r>
      <w:proofErr w:type="spellEnd"/>
      <w:r w:rsidRPr="003C4C6F">
        <w:rPr>
          <w:rFonts w:ascii="Times New Roman" w:eastAsia="Times New Roman" w:hAnsi="Times New Roman" w:cs="Times New Roman"/>
          <w:sz w:val="24"/>
          <w:szCs w:val="24"/>
        </w:rPr>
        <w:t xml:space="preserve">, T. J. (2022). Effects of methanol extract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leaves on </w:t>
      </w:r>
      <w:proofErr w:type="spellStart"/>
      <w:r w:rsidRPr="003C4C6F">
        <w:rPr>
          <w:rFonts w:ascii="Times New Roman" w:eastAsia="Times New Roman" w:hAnsi="Times New Roman" w:cs="Times New Roman"/>
          <w:sz w:val="24"/>
          <w:szCs w:val="24"/>
        </w:rPr>
        <w:t>glycaemic</w:t>
      </w:r>
      <w:proofErr w:type="spellEnd"/>
      <w:r w:rsidRPr="003C4C6F">
        <w:rPr>
          <w:rFonts w:ascii="Times New Roman" w:eastAsia="Times New Roman" w:hAnsi="Times New Roman" w:cs="Times New Roman"/>
          <w:sz w:val="24"/>
          <w:szCs w:val="24"/>
        </w:rPr>
        <w:t xml:space="preserve"> responses to carbohydrate diets in streptozotocin-induced diabetic rats. </w:t>
      </w:r>
      <w:r w:rsidRPr="003C4C6F">
        <w:rPr>
          <w:rFonts w:ascii="Times New Roman" w:eastAsia="Times New Roman" w:hAnsi="Times New Roman" w:cs="Times New Roman"/>
          <w:i/>
          <w:iCs/>
          <w:sz w:val="24"/>
          <w:szCs w:val="24"/>
        </w:rPr>
        <w:t>Journal of Biological Sciences, 22</w:t>
      </w:r>
      <w:r w:rsidRPr="003C4C6F">
        <w:rPr>
          <w:rFonts w:ascii="Times New Roman" w:eastAsia="Times New Roman" w:hAnsi="Times New Roman" w:cs="Times New Roman"/>
          <w:sz w:val="24"/>
          <w:szCs w:val="24"/>
        </w:rPr>
        <w:t>, 70–79. https://doi.org/10.3923/jbs.2022.70.79</w:t>
      </w:r>
    </w:p>
    <w:p w14:paraId="5FDF9633" w14:textId="31CD65CB"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lang w:val="nl-BE"/>
        </w:rPr>
        <w:t xml:space="preserve">Chukwudozie, I. K., Agbo, M. C., Ugwu, K. O., &amp; Ezeonu, I. M. (2021). </w:t>
      </w:r>
      <w:r w:rsidRPr="003C4C6F">
        <w:rPr>
          <w:rFonts w:ascii="Times New Roman" w:eastAsia="Times New Roman" w:hAnsi="Times New Roman" w:cs="Times New Roman"/>
          <w:sz w:val="24"/>
          <w:szCs w:val="24"/>
        </w:rPr>
        <w:t xml:space="preserve">Oral administration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leaf extract modulates gut microflora and blood glucose of induced diabetic rats. </w:t>
      </w:r>
      <w:r w:rsidRPr="003C4C6F">
        <w:rPr>
          <w:rFonts w:ascii="Times New Roman" w:eastAsia="Times New Roman" w:hAnsi="Times New Roman" w:cs="Times New Roman"/>
          <w:i/>
          <w:iCs/>
          <w:sz w:val="24"/>
          <w:szCs w:val="24"/>
        </w:rPr>
        <w:t>Journal of Pure and Applied Microbiology, 15</w:t>
      </w:r>
      <w:r w:rsidRPr="003C4C6F">
        <w:rPr>
          <w:rFonts w:ascii="Times New Roman" w:eastAsia="Times New Roman" w:hAnsi="Times New Roman" w:cs="Times New Roman"/>
          <w:sz w:val="24"/>
          <w:szCs w:val="24"/>
        </w:rPr>
        <w:t xml:space="preserve">(1), 346–355. https://doi.org/10.22207/JPAM.15.1.29 </w:t>
      </w:r>
    </w:p>
    <w:p w14:paraId="1F920031" w14:textId="4B072AA9"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Egbung</w:t>
      </w:r>
      <w:proofErr w:type="spellEnd"/>
      <w:r w:rsidRPr="003C4C6F">
        <w:rPr>
          <w:rFonts w:ascii="Times New Roman" w:eastAsia="Times New Roman" w:hAnsi="Times New Roman" w:cs="Times New Roman"/>
          <w:sz w:val="24"/>
          <w:szCs w:val="24"/>
        </w:rPr>
        <w:t xml:space="preserve">, G., </w:t>
      </w:r>
      <w:proofErr w:type="spellStart"/>
      <w:r w:rsidRPr="003C4C6F">
        <w:rPr>
          <w:rFonts w:ascii="Times New Roman" w:eastAsia="Times New Roman" w:hAnsi="Times New Roman" w:cs="Times New Roman"/>
          <w:sz w:val="24"/>
          <w:szCs w:val="24"/>
        </w:rPr>
        <w:t>Atangwho</w:t>
      </w:r>
      <w:proofErr w:type="spellEnd"/>
      <w:r w:rsidRPr="003C4C6F">
        <w:rPr>
          <w:rFonts w:ascii="Times New Roman" w:eastAsia="Times New Roman" w:hAnsi="Times New Roman" w:cs="Times New Roman"/>
          <w:sz w:val="24"/>
          <w:szCs w:val="24"/>
        </w:rPr>
        <w:t xml:space="preserve">, I. J., </w:t>
      </w:r>
      <w:proofErr w:type="spellStart"/>
      <w:r w:rsidRPr="003C4C6F">
        <w:rPr>
          <w:rFonts w:ascii="Times New Roman" w:eastAsia="Times New Roman" w:hAnsi="Times New Roman" w:cs="Times New Roman"/>
          <w:sz w:val="24"/>
          <w:szCs w:val="24"/>
        </w:rPr>
        <w:t>Iwara</w:t>
      </w:r>
      <w:proofErr w:type="spellEnd"/>
      <w:r w:rsidRPr="003C4C6F">
        <w:rPr>
          <w:rFonts w:ascii="Times New Roman" w:eastAsia="Times New Roman" w:hAnsi="Times New Roman" w:cs="Times New Roman"/>
          <w:sz w:val="24"/>
          <w:szCs w:val="24"/>
        </w:rPr>
        <w:t xml:space="preserve">, I. A., &amp; Eyong, U. E. (2011). Micronutrient and phytochemical composition of root bark and twig extracts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w:t>
      </w:r>
      <w:r w:rsidRPr="003C4C6F">
        <w:rPr>
          <w:rFonts w:ascii="Times New Roman" w:eastAsia="Times New Roman" w:hAnsi="Times New Roman" w:cs="Times New Roman"/>
          <w:i/>
          <w:iCs/>
          <w:sz w:val="24"/>
          <w:szCs w:val="24"/>
        </w:rPr>
        <w:t>Journal of Medicine and Medical Sciences, 2</w:t>
      </w:r>
      <w:r w:rsidRPr="003C4C6F">
        <w:rPr>
          <w:rFonts w:ascii="Times New Roman" w:eastAsia="Times New Roman" w:hAnsi="Times New Roman" w:cs="Times New Roman"/>
          <w:sz w:val="24"/>
          <w:szCs w:val="24"/>
        </w:rPr>
        <w:t xml:space="preserve">(11), 1185–1188. </w:t>
      </w:r>
      <w:hyperlink r:id="rId15" w:tgtFrame="_new" w:history="1">
        <w:r w:rsidRPr="003C4C6F">
          <w:rPr>
            <w:rFonts w:ascii="Times New Roman" w:eastAsia="Times New Roman" w:hAnsi="Times New Roman" w:cs="Times New Roman"/>
            <w:color w:val="0000FF"/>
            <w:sz w:val="24"/>
            <w:szCs w:val="24"/>
            <w:u w:val="single"/>
          </w:rPr>
          <w:t>https://www.interesjournals.org/articles/micronutrient-and-phytochemical-composition-of-root-bark-and-twig-extracts-of-gongronema-latifolium.pdf</w:t>
        </w:r>
      </w:hyperlink>
      <w:r w:rsidRPr="003C4C6F">
        <w:rPr>
          <w:rFonts w:ascii="Times New Roman" w:eastAsia="Times New Roman" w:hAnsi="Times New Roman" w:cs="Times New Roman"/>
          <w:sz w:val="24"/>
          <w:szCs w:val="24"/>
        </w:rPr>
        <w:t xml:space="preserve"> </w:t>
      </w:r>
    </w:p>
    <w:p w14:paraId="3F1E0D3A" w14:textId="1D8E8F5C"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lang w:val="nl-BE"/>
        </w:rPr>
        <w:t xml:space="preserve">Enye, J. C., Obeagu, E. I., Eze, R. I., &amp; Eze-Steven, P. E. (2022). </w:t>
      </w:r>
      <w:r w:rsidRPr="003C4C6F">
        <w:rPr>
          <w:rFonts w:ascii="Times New Roman" w:eastAsia="Times New Roman" w:hAnsi="Times New Roman" w:cs="Times New Roman"/>
          <w:sz w:val="24"/>
          <w:szCs w:val="24"/>
        </w:rPr>
        <w:t xml:space="preserve">Evaluation of the effects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ethanol leaf extract on the liver enzymes of the alloxan-induced diabetic albino rats. </w:t>
      </w:r>
      <w:r w:rsidRPr="003C4C6F">
        <w:rPr>
          <w:rFonts w:ascii="Times New Roman" w:eastAsia="Times New Roman" w:hAnsi="Times New Roman" w:cs="Times New Roman"/>
          <w:i/>
          <w:iCs/>
          <w:sz w:val="24"/>
          <w:szCs w:val="24"/>
        </w:rPr>
        <w:t>Journal of Bio Innovation, 11</w:t>
      </w:r>
      <w:r w:rsidRPr="003C4C6F">
        <w:rPr>
          <w:rFonts w:ascii="Times New Roman" w:eastAsia="Times New Roman" w:hAnsi="Times New Roman" w:cs="Times New Roman"/>
          <w:sz w:val="24"/>
          <w:szCs w:val="24"/>
        </w:rPr>
        <w:t xml:space="preserve">(6), 990–996. https://doi.org/10.46344/JBINO.2022.v11i06.05 </w:t>
      </w:r>
    </w:p>
    <w:p w14:paraId="7EEE3119" w14:textId="421D6FF6"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Ezeaku</w:t>
      </w:r>
      <w:proofErr w:type="spellEnd"/>
      <w:r w:rsidRPr="003C4C6F">
        <w:rPr>
          <w:rFonts w:ascii="Times New Roman" w:eastAsia="Times New Roman" w:hAnsi="Times New Roman" w:cs="Times New Roman"/>
          <w:sz w:val="24"/>
          <w:szCs w:val="24"/>
        </w:rPr>
        <w:t xml:space="preserve">, U. A., Okafor, C. S., </w:t>
      </w:r>
      <w:proofErr w:type="spellStart"/>
      <w:r w:rsidRPr="003C4C6F">
        <w:rPr>
          <w:rFonts w:ascii="Times New Roman" w:eastAsia="Times New Roman" w:hAnsi="Times New Roman" w:cs="Times New Roman"/>
          <w:sz w:val="24"/>
          <w:szCs w:val="24"/>
        </w:rPr>
        <w:t>Ezeigwe</w:t>
      </w:r>
      <w:proofErr w:type="spellEnd"/>
      <w:r w:rsidRPr="003C4C6F">
        <w:rPr>
          <w:rFonts w:ascii="Times New Roman" w:eastAsia="Times New Roman" w:hAnsi="Times New Roman" w:cs="Times New Roman"/>
          <w:sz w:val="24"/>
          <w:szCs w:val="24"/>
        </w:rPr>
        <w:t xml:space="preserve">, O. C., Okochi, C. V., Ekemezie, C. L., Chukwu, F. C., &amp; </w:t>
      </w:r>
      <w:proofErr w:type="spellStart"/>
      <w:r w:rsidRPr="003C4C6F">
        <w:rPr>
          <w:rFonts w:ascii="Times New Roman" w:eastAsia="Times New Roman" w:hAnsi="Times New Roman" w:cs="Times New Roman"/>
          <w:sz w:val="24"/>
          <w:szCs w:val="24"/>
        </w:rPr>
        <w:t>Agogbua</w:t>
      </w:r>
      <w:proofErr w:type="spellEnd"/>
      <w:r w:rsidRPr="003C4C6F">
        <w:rPr>
          <w:rFonts w:ascii="Times New Roman" w:eastAsia="Times New Roman" w:hAnsi="Times New Roman" w:cs="Times New Roman"/>
          <w:sz w:val="24"/>
          <w:szCs w:val="24"/>
        </w:rPr>
        <w:t xml:space="preserve">, I. C. (2025). In vitro antidiabetic and in vivo post-prandial hyperglycemic response profile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w:t>
      </w:r>
      <w:proofErr w:type="spellStart"/>
      <w:r w:rsidRPr="003C4C6F">
        <w:rPr>
          <w:rFonts w:ascii="Times New Roman" w:eastAsia="Times New Roman" w:hAnsi="Times New Roman" w:cs="Times New Roman"/>
          <w:sz w:val="24"/>
          <w:szCs w:val="24"/>
        </w:rPr>
        <w:t>utazi</w:t>
      </w:r>
      <w:proofErr w:type="spellEnd"/>
      <w:r w:rsidRPr="003C4C6F">
        <w:rPr>
          <w:rFonts w:ascii="Times New Roman" w:eastAsia="Times New Roman" w:hAnsi="Times New Roman" w:cs="Times New Roman"/>
          <w:sz w:val="24"/>
          <w:szCs w:val="24"/>
        </w:rPr>
        <w:t xml:space="preserve">) leaves in Wistar rats. </w:t>
      </w:r>
      <w:r w:rsidRPr="003C4C6F">
        <w:rPr>
          <w:rFonts w:ascii="Times New Roman" w:eastAsia="Times New Roman" w:hAnsi="Times New Roman" w:cs="Times New Roman"/>
          <w:i/>
          <w:iCs/>
          <w:sz w:val="24"/>
          <w:szCs w:val="24"/>
        </w:rPr>
        <w:t>Asian Journal of Research in Biochemistry, 15</w:t>
      </w:r>
      <w:r w:rsidRPr="003C4C6F">
        <w:rPr>
          <w:rFonts w:ascii="Times New Roman" w:eastAsia="Times New Roman" w:hAnsi="Times New Roman" w:cs="Times New Roman"/>
          <w:sz w:val="24"/>
          <w:szCs w:val="24"/>
        </w:rPr>
        <w:t xml:space="preserve">(6), 162–171. </w:t>
      </w:r>
      <w:hyperlink r:id="rId16" w:tgtFrame="_new" w:history="1">
        <w:r w:rsidRPr="003C4C6F">
          <w:rPr>
            <w:rFonts w:ascii="Times New Roman" w:eastAsia="Times New Roman" w:hAnsi="Times New Roman" w:cs="Times New Roman"/>
            <w:color w:val="0000FF"/>
            <w:sz w:val="24"/>
            <w:szCs w:val="24"/>
            <w:u w:val="single"/>
          </w:rPr>
          <w:t>https://doi.org/10.9734/ajrb/2025/v15i6457</w:t>
        </w:r>
      </w:hyperlink>
      <w:r w:rsidRPr="003C4C6F">
        <w:rPr>
          <w:rFonts w:ascii="Times New Roman" w:eastAsia="Times New Roman" w:hAnsi="Times New Roman" w:cs="Times New Roman"/>
          <w:sz w:val="24"/>
          <w:szCs w:val="24"/>
        </w:rPr>
        <w:t xml:space="preserve"> </w:t>
      </w:r>
    </w:p>
    <w:p w14:paraId="12DE93C8" w14:textId="417D4A36"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Farombi</w:t>
      </w:r>
      <w:proofErr w:type="spellEnd"/>
      <w:r w:rsidRPr="003C4C6F">
        <w:rPr>
          <w:rFonts w:ascii="Times New Roman" w:eastAsia="Times New Roman" w:hAnsi="Times New Roman" w:cs="Times New Roman"/>
          <w:sz w:val="24"/>
          <w:szCs w:val="24"/>
        </w:rPr>
        <w:t xml:space="preserve">, E. O. (2003). African indigenous plants with chemotherapeutic potentials and biotechnological approach to the production of bioactive prophylactic agents. </w:t>
      </w:r>
      <w:r w:rsidRPr="003C4C6F">
        <w:rPr>
          <w:rFonts w:ascii="Times New Roman" w:eastAsia="Times New Roman" w:hAnsi="Times New Roman" w:cs="Times New Roman"/>
          <w:i/>
          <w:iCs/>
          <w:sz w:val="24"/>
          <w:szCs w:val="24"/>
        </w:rPr>
        <w:t>African Journal of Biotechnology, 2</w:t>
      </w:r>
      <w:r w:rsidRPr="003C4C6F">
        <w:rPr>
          <w:rFonts w:ascii="Times New Roman" w:eastAsia="Times New Roman" w:hAnsi="Times New Roman" w:cs="Times New Roman"/>
          <w:sz w:val="24"/>
          <w:szCs w:val="24"/>
        </w:rPr>
        <w:t xml:space="preserve">(12), 662–671. https://doi.org/10.5897/AJB2003.000-1122 </w:t>
      </w:r>
    </w:p>
    <w:p w14:paraId="7FD81155" w14:textId="4347FBED"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Fawcett, J. K., &amp; Scott, J. E. (1960). A rapid and precise method for the determination of urea. </w:t>
      </w:r>
      <w:r w:rsidRPr="003C4C6F">
        <w:rPr>
          <w:rFonts w:ascii="Times New Roman" w:eastAsia="Times New Roman" w:hAnsi="Times New Roman" w:cs="Times New Roman"/>
          <w:i/>
          <w:iCs/>
          <w:sz w:val="24"/>
          <w:szCs w:val="24"/>
        </w:rPr>
        <w:t>Journal of Clinical Pathology, 13</w:t>
      </w:r>
      <w:r w:rsidRPr="003C4C6F">
        <w:rPr>
          <w:rFonts w:ascii="Times New Roman" w:eastAsia="Times New Roman" w:hAnsi="Times New Roman" w:cs="Times New Roman"/>
          <w:sz w:val="24"/>
          <w:szCs w:val="24"/>
        </w:rPr>
        <w:t xml:space="preserve">(2), 156–159. https://doi.org/10.1136/jcp.13.2.156  </w:t>
      </w:r>
    </w:p>
    <w:p w14:paraId="1F1DD421" w14:textId="13B581AD"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Gyebi, G. A., </w:t>
      </w:r>
      <w:proofErr w:type="spellStart"/>
      <w:r w:rsidRPr="003C4C6F">
        <w:rPr>
          <w:rFonts w:ascii="Times New Roman" w:eastAsia="Times New Roman" w:hAnsi="Times New Roman" w:cs="Times New Roman"/>
          <w:sz w:val="24"/>
          <w:szCs w:val="24"/>
        </w:rPr>
        <w:t>Ejoh</w:t>
      </w:r>
      <w:proofErr w:type="spellEnd"/>
      <w:r w:rsidRPr="003C4C6F">
        <w:rPr>
          <w:rFonts w:ascii="Times New Roman" w:eastAsia="Times New Roman" w:hAnsi="Times New Roman" w:cs="Times New Roman"/>
          <w:sz w:val="24"/>
          <w:szCs w:val="24"/>
        </w:rPr>
        <w:t xml:space="preserve">, J. C., Ogunyemi, O. M., Afolabi, S. O., Ibrahim, I. M., Anyanwu, G. O., </w:t>
      </w:r>
      <w:proofErr w:type="spellStart"/>
      <w:r w:rsidRPr="003C4C6F">
        <w:rPr>
          <w:rFonts w:ascii="Times New Roman" w:eastAsia="Times New Roman" w:hAnsi="Times New Roman" w:cs="Times New Roman"/>
          <w:sz w:val="24"/>
          <w:szCs w:val="24"/>
        </w:rPr>
        <w:t>Olorundare</w:t>
      </w:r>
      <w:proofErr w:type="spellEnd"/>
      <w:r w:rsidRPr="003C4C6F">
        <w:rPr>
          <w:rFonts w:ascii="Times New Roman" w:eastAsia="Times New Roman" w:hAnsi="Times New Roman" w:cs="Times New Roman"/>
          <w:sz w:val="24"/>
          <w:szCs w:val="24"/>
        </w:rPr>
        <w:t xml:space="preserve">, O. E., Adebayo, J. O., &amp; </w:t>
      </w:r>
      <w:proofErr w:type="spellStart"/>
      <w:r w:rsidRPr="003C4C6F">
        <w:rPr>
          <w:rFonts w:ascii="Times New Roman" w:eastAsia="Times New Roman" w:hAnsi="Times New Roman" w:cs="Times New Roman"/>
          <w:sz w:val="24"/>
          <w:szCs w:val="24"/>
        </w:rPr>
        <w:t>Koketsu</w:t>
      </w:r>
      <w:proofErr w:type="spellEnd"/>
      <w:r w:rsidRPr="003C4C6F">
        <w:rPr>
          <w:rFonts w:ascii="Times New Roman" w:eastAsia="Times New Roman" w:hAnsi="Times New Roman" w:cs="Times New Roman"/>
          <w:sz w:val="24"/>
          <w:szCs w:val="24"/>
        </w:rPr>
        <w:t xml:space="preserve">, M. (2025). Cholinergic inhibition and antioxidant potential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Benth. leaf in neurodegeneration: Experimental and in silico study. </w:t>
      </w:r>
      <w:r w:rsidRPr="003C4C6F">
        <w:rPr>
          <w:rFonts w:ascii="Times New Roman" w:eastAsia="Times New Roman" w:hAnsi="Times New Roman" w:cs="Times New Roman"/>
          <w:i/>
          <w:iCs/>
          <w:sz w:val="24"/>
          <w:szCs w:val="24"/>
        </w:rPr>
        <w:t>Cell Biochemistry and Biophysics, 83</w:t>
      </w:r>
      <w:r w:rsidRPr="003C4C6F">
        <w:rPr>
          <w:rFonts w:ascii="Times New Roman" w:eastAsia="Times New Roman" w:hAnsi="Times New Roman" w:cs="Times New Roman"/>
          <w:sz w:val="24"/>
          <w:szCs w:val="24"/>
        </w:rPr>
        <w:t xml:space="preserve">, 1–23. </w:t>
      </w:r>
      <w:hyperlink r:id="rId17" w:tgtFrame="_new" w:history="1">
        <w:r w:rsidRPr="003C4C6F">
          <w:rPr>
            <w:rFonts w:ascii="Times New Roman" w:eastAsia="Times New Roman" w:hAnsi="Times New Roman" w:cs="Times New Roman"/>
            <w:color w:val="0000FF"/>
            <w:sz w:val="24"/>
            <w:szCs w:val="24"/>
            <w:u w:val="single"/>
          </w:rPr>
          <w:t>https://doi.org/10.1007/s12013-024-01467-7</w:t>
        </w:r>
      </w:hyperlink>
      <w:r w:rsidRPr="003C4C6F">
        <w:rPr>
          <w:rFonts w:ascii="Times New Roman" w:eastAsia="Times New Roman" w:hAnsi="Times New Roman" w:cs="Times New Roman"/>
          <w:sz w:val="24"/>
          <w:szCs w:val="24"/>
        </w:rPr>
        <w:t xml:space="preserve"> </w:t>
      </w:r>
    </w:p>
    <w:p w14:paraId="565FBF58" w14:textId="5673D093"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Ani, O. G., </w:t>
      </w:r>
      <w:proofErr w:type="spellStart"/>
      <w:r w:rsidRPr="003C4C6F">
        <w:rPr>
          <w:rFonts w:ascii="Times New Roman" w:eastAsia="Times New Roman" w:hAnsi="Times New Roman" w:cs="Times New Roman"/>
          <w:sz w:val="24"/>
          <w:szCs w:val="24"/>
        </w:rPr>
        <w:t>Medayedupin</w:t>
      </w:r>
      <w:proofErr w:type="spellEnd"/>
      <w:r w:rsidRPr="003C4C6F">
        <w:rPr>
          <w:rFonts w:ascii="Times New Roman" w:eastAsia="Times New Roman" w:hAnsi="Times New Roman" w:cs="Times New Roman"/>
          <w:sz w:val="24"/>
          <w:szCs w:val="24"/>
        </w:rPr>
        <w:t xml:space="preserve">, O. A., Azeez, A. A., Gyebi, G. A., Boateng, I. D., &amp; Adebayo, J. O. (2024). Toxicity assessment of 3-O-[6-deoxy-3-O-methyl-β-D-allopyranosyl-(1→4)-β-D-oleandropyranosyl]-17β-marsdenin isolated from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leaf on selected brain and kidney function indices in mice. </w:t>
      </w:r>
      <w:r w:rsidRPr="003C4C6F">
        <w:rPr>
          <w:rFonts w:ascii="Times New Roman" w:eastAsia="Times New Roman" w:hAnsi="Times New Roman" w:cs="Times New Roman"/>
          <w:i/>
          <w:iCs/>
          <w:sz w:val="24"/>
          <w:szCs w:val="24"/>
        </w:rPr>
        <w:t>Toxicon, 247</w:t>
      </w:r>
      <w:r w:rsidRPr="003C4C6F">
        <w:rPr>
          <w:rFonts w:ascii="Times New Roman" w:eastAsia="Times New Roman" w:hAnsi="Times New Roman" w:cs="Times New Roman"/>
          <w:sz w:val="24"/>
          <w:szCs w:val="24"/>
        </w:rPr>
        <w:t xml:space="preserve">, Article 107830. https://doi.org/10.1016/j.toxicon.2024.107830 </w:t>
      </w:r>
    </w:p>
    <w:p w14:paraId="323C6624" w14:textId="281C62FA"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Katchy</w:t>
      </w:r>
      <w:proofErr w:type="spellEnd"/>
      <w:r w:rsidRPr="003C4C6F">
        <w:rPr>
          <w:rFonts w:ascii="Times New Roman" w:eastAsia="Times New Roman" w:hAnsi="Times New Roman" w:cs="Times New Roman"/>
          <w:sz w:val="24"/>
          <w:szCs w:val="24"/>
        </w:rPr>
        <w:t xml:space="preserve">, A. N., Iyare, C. O., Adeniyi, B. D., Okonkwo, V. O., Odama, R. I., Ezeh, C. O., &amp; Iyare, E. E. (2020). Consumption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aqueous leaf extract during lactation may improve metabolic homeostasis in young adult offspring. </w:t>
      </w:r>
      <w:r w:rsidRPr="003C4C6F">
        <w:rPr>
          <w:rFonts w:ascii="Times New Roman" w:eastAsia="Times New Roman" w:hAnsi="Times New Roman" w:cs="Times New Roman"/>
          <w:i/>
          <w:iCs/>
          <w:sz w:val="24"/>
          <w:szCs w:val="24"/>
        </w:rPr>
        <w:t>Pakistan Journal of Biological Sciences, 23</w:t>
      </w:r>
      <w:r w:rsidRPr="003C4C6F">
        <w:rPr>
          <w:rFonts w:ascii="Times New Roman" w:eastAsia="Times New Roman" w:hAnsi="Times New Roman" w:cs="Times New Roman"/>
          <w:sz w:val="24"/>
          <w:szCs w:val="24"/>
        </w:rPr>
        <w:t xml:space="preserve">(9), 1201–1209. https://doi.org/10.3923/pjbs.2020.1201.1209 </w:t>
      </w:r>
    </w:p>
    <w:p w14:paraId="52273E61" w14:textId="70E4A5E7"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Nnodim</w:t>
      </w:r>
      <w:proofErr w:type="spellEnd"/>
      <w:r w:rsidRPr="003C4C6F">
        <w:rPr>
          <w:rFonts w:ascii="Times New Roman" w:eastAsia="Times New Roman" w:hAnsi="Times New Roman" w:cs="Times New Roman"/>
          <w:sz w:val="24"/>
          <w:szCs w:val="24"/>
        </w:rPr>
        <w:t xml:space="preserve">, J., </w:t>
      </w:r>
      <w:proofErr w:type="spellStart"/>
      <w:r w:rsidRPr="003C4C6F">
        <w:rPr>
          <w:rFonts w:ascii="Times New Roman" w:eastAsia="Times New Roman" w:hAnsi="Times New Roman" w:cs="Times New Roman"/>
          <w:sz w:val="24"/>
          <w:szCs w:val="24"/>
        </w:rPr>
        <w:t>Uduji</w:t>
      </w:r>
      <w:proofErr w:type="spellEnd"/>
      <w:r w:rsidRPr="003C4C6F">
        <w:rPr>
          <w:rFonts w:ascii="Times New Roman" w:eastAsia="Times New Roman" w:hAnsi="Times New Roman" w:cs="Times New Roman"/>
          <w:sz w:val="24"/>
          <w:szCs w:val="24"/>
        </w:rPr>
        <w:t xml:space="preserve">, H., &amp; </w:t>
      </w:r>
      <w:proofErr w:type="spellStart"/>
      <w:r w:rsidRPr="003C4C6F">
        <w:rPr>
          <w:rFonts w:ascii="Times New Roman" w:eastAsia="Times New Roman" w:hAnsi="Times New Roman" w:cs="Times New Roman"/>
          <w:sz w:val="24"/>
          <w:szCs w:val="24"/>
        </w:rPr>
        <w:t>Uduji</w:t>
      </w:r>
      <w:proofErr w:type="spellEnd"/>
      <w:r w:rsidRPr="003C4C6F">
        <w:rPr>
          <w:rFonts w:ascii="Times New Roman" w:eastAsia="Times New Roman" w:hAnsi="Times New Roman" w:cs="Times New Roman"/>
          <w:sz w:val="24"/>
          <w:szCs w:val="24"/>
        </w:rPr>
        <w:t xml:space="preserve">, G. O. (2014). The role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in attenuation of chloroquine-induced nephrotoxicity and hepatotoxicity. </w:t>
      </w:r>
      <w:r w:rsidRPr="003C4C6F">
        <w:rPr>
          <w:rFonts w:ascii="Times New Roman" w:eastAsia="Times New Roman" w:hAnsi="Times New Roman" w:cs="Times New Roman"/>
          <w:i/>
          <w:iCs/>
          <w:sz w:val="24"/>
          <w:szCs w:val="24"/>
        </w:rPr>
        <w:t>Asian Pacific Journal of Nursing, 1</w:t>
      </w:r>
      <w:r w:rsidRPr="003C4C6F">
        <w:rPr>
          <w:rFonts w:ascii="Times New Roman" w:eastAsia="Times New Roman" w:hAnsi="Times New Roman" w:cs="Times New Roman"/>
          <w:sz w:val="24"/>
          <w:szCs w:val="24"/>
        </w:rPr>
        <w:t xml:space="preserve">(1), 20–23. https://mcmed.us/dart/abstract/157/APJN </w:t>
      </w:r>
    </w:p>
    <w:p w14:paraId="4690FE22" w14:textId="37DD356F"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Oguwike</w:t>
      </w:r>
      <w:proofErr w:type="spellEnd"/>
      <w:r w:rsidRPr="003C4C6F">
        <w:rPr>
          <w:rFonts w:ascii="Times New Roman" w:eastAsia="Times New Roman" w:hAnsi="Times New Roman" w:cs="Times New Roman"/>
          <w:sz w:val="24"/>
          <w:szCs w:val="24"/>
        </w:rPr>
        <w:t xml:space="preserve">, F. N., Okpala, C. N., &amp; </w:t>
      </w:r>
      <w:proofErr w:type="spellStart"/>
      <w:r w:rsidRPr="003C4C6F">
        <w:rPr>
          <w:rFonts w:ascii="Times New Roman" w:eastAsia="Times New Roman" w:hAnsi="Times New Roman" w:cs="Times New Roman"/>
          <w:sz w:val="24"/>
          <w:szCs w:val="24"/>
        </w:rPr>
        <w:t>Ofor</w:t>
      </w:r>
      <w:proofErr w:type="spellEnd"/>
      <w:r w:rsidRPr="003C4C6F">
        <w:rPr>
          <w:rFonts w:ascii="Times New Roman" w:eastAsia="Times New Roman" w:hAnsi="Times New Roman" w:cs="Times New Roman"/>
          <w:sz w:val="24"/>
          <w:szCs w:val="24"/>
        </w:rPr>
        <w:t xml:space="preserve">, C. C. (2013). </w:t>
      </w:r>
      <w:proofErr w:type="spellStart"/>
      <w:r w:rsidRPr="003C4C6F">
        <w:rPr>
          <w:rFonts w:ascii="Times New Roman" w:eastAsia="Times New Roman" w:hAnsi="Times New Roman" w:cs="Times New Roman"/>
          <w:sz w:val="24"/>
          <w:szCs w:val="24"/>
        </w:rPr>
        <w:t>Haemostatic</w:t>
      </w:r>
      <w:proofErr w:type="spellEnd"/>
      <w:r w:rsidRPr="003C4C6F">
        <w:rPr>
          <w:rFonts w:ascii="Times New Roman" w:eastAsia="Times New Roman" w:hAnsi="Times New Roman" w:cs="Times New Roman"/>
          <w:sz w:val="24"/>
          <w:szCs w:val="24"/>
        </w:rPr>
        <w:t xml:space="preserve"> and </w:t>
      </w:r>
      <w:proofErr w:type="spellStart"/>
      <w:r w:rsidRPr="003C4C6F">
        <w:rPr>
          <w:rFonts w:ascii="Times New Roman" w:eastAsia="Times New Roman" w:hAnsi="Times New Roman" w:cs="Times New Roman"/>
          <w:sz w:val="24"/>
          <w:szCs w:val="24"/>
        </w:rPr>
        <w:t>haematological</w:t>
      </w:r>
      <w:proofErr w:type="spellEnd"/>
      <w:r w:rsidRPr="003C4C6F">
        <w:rPr>
          <w:rFonts w:ascii="Times New Roman" w:eastAsia="Times New Roman" w:hAnsi="Times New Roman" w:cs="Times New Roman"/>
          <w:sz w:val="24"/>
          <w:szCs w:val="24"/>
        </w:rPr>
        <w:t xml:space="preserve"> indices of aqueous extract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on female albino rat. </w:t>
      </w:r>
      <w:r w:rsidRPr="003C4C6F">
        <w:rPr>
          <w:rFonts w:ascii="Times New Roman" w:eastAsia="Times New Roman" w:hAnsi="Times New Roman" w:cs="Times New Roman"/>
          <w:i/>
          <w:iCs/>
          <w:sz w:val="24"/>
          <w:szCs w:val="24"/>
        </w:rPr>
        <w:t xml:space="preserve">IOSR Journal of Dental and </w:t>
      </w:r>
      <w:r w:rsidRPr="003C4C6F">
        <w:rPr>
          <w:rFonts w:ascii="Times New Roman" w:eastAsia="Times New Roman" w:hAnsi="Times New Roman" w:cs="Times New Roman"/>
          <w:i/>
          <w:iCs/>
          <w:sz w:val="24"/>
          <w:szCs w:val="24"/>
        </w:rPr>
        <w:lastRenderedPageBreak/>
        <w:t>Medical Sciences, 8</w:t>
      </w:r>
      <w:r w:rsidRPr="003C4C6F">
        <w:rPr>
          <w:rFonts w:ascii="Times New Roman" w:eastAsia="Times New Roman" w:hAnsi="Times New Roman" w:cs="Times New Roman"/>
          <w:sz w:val="24"/>
          <w:szCs w:val="24"/>
        </w:rPr>
        <w:t xml:space="preserve">(1), 61–63. https://iosrjournals.org/iosr-jdms/papers/Vol8-issue1/L0816163.pdf </w:t>
      </w:r>
    </w:p>
    <w:p w14:paraId="43723199" w14:textId="0F247251"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Okoko, T., &amp; Silas-Olu, D. I. (2021). In-vitro anti-lipid peroxidation and other antioxidant potentials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leaf extract. </w:t>
      </w:r>
      <w:r w:rsidRPr="003C4C6F">
        <w:rPr>
          <w:rFonts w:ascii="Times New Roman" w:eastAsia="Times New Roman" w:hAnsi="Times New Roman" w:cs="Times New Roman"/>
          <w:i/>
          <w:iCs/>
          <w:sz w:val="24"/>
          <w:szCs w:val="24"/>
        </w:rPr>
        <w:t>Asian Journal of Research in Biochemistry, 8</w:t>
      </w:r>
      <w:r w:rsidRPr="003C4C6F">
        <w:rPr>
          <w:rFonts w:ascii="Times New Roman" w:eastAsia="Times New Roman" w:hAnsi="Times New Roman" w:cs="Times New Roman"/>
          <w:sz w:val="24"/>
          <w:szCs w:val="24"/>
        </w:rPr>
        <w:t xml:space="preserve">(1), 35–41. </w:t>
      </w:r>
      <w:hyperlink r:id="rId18" w:tgtFrame="_new" w:history="1">
        <w:r w:rsidRPr="003C4C6F">
          <w:rPr>
            <w:rFonts w:ascii="Times New Roman" w:eastAsia="Times New Roman" w:hAnsi="Times New Roman" w:cs="Times New Roman"/>
            <w:color w:val="0000FF"/>
            <w:sz w:val="24"/>
            <w:szCs w:val="24"/>
            <w:u w:val="single"/>
          </w:rPr>
          <w:t>https://doi.org/10.9734/ajrb/2021/v8i130172</w:t>
        </w:r>
      </w:hyperlink>
      <w:r w:rsidRPr="003C4C6F">
        <w:rPr>
          <w:rFonts w:ascii="Times New Roman" w:eastAsia="Times New Roman" w:hAnsi="Times New Roman" w:cs="Times New Roman"/>
          <w:sz w:val="24"/>
          <w:szCs w:val="24"/>
        </w:rPr>
        <w:t xml:space="preserve"> </w:t>
      </w:r>
    </w:p>
    <w:p w14:paraId="0EE58CDB" w14:textId="1FC7648D"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Okochi, C. V., Udedi, S. C., Asogwa, K. K., </w:t>
      </w:r>
      <w:proofErr w:type="spellStart"/>
      <w:r w:rsidRPr="003C4C6F">
        <w:rPr>
          <w:rFonts w:ascii="Times New Roman" w:eastAsia="Times New Roman" w:hAnsi="Times New Roman" w:cs="Times New Roman"/>
          <w:sz w:val="24"/>
          <w:szCs w:val="24"/>
        </w:rPr>
        <w:t>Otovbo</w:t>
      </w:r>
      <w:proofErr w:type="spellEnd"/>
      <w:r w:rsidRPr="003C4C6F">
        <w:rPr>
          <w:rFonts w:ascii="Times New Roman" w:eastAsia="Times New Roman" w:hAnsi="Times New Roman" w:cs="Times New Roman"/>
          <w:sz w:val="24"/>
          <w:szCs w:val="24"/>
        </w:rPr>
        <w:t xml:space="preserve">, E. J., Obi, M. S., &amp; </w:t>
      </w:r>
      <w:proofErr w:type="spellStart"/>
      <w:r w:rsidRPr="003C4C6F">
        <w:rPr>
          <w:rFonts w:ascii="Times New Roman" w:eastAsia="Times New Roman" w:hAnsi="Times New Roman" w:cs="Times New Roman"/>
          <w:sz w:val="24"/>
          <w:szCs w:val="24"/>
        </w:rPr>
        <w:t>Ezeaku</w:t>
      </w:r>
      <w:proofErr w:type="spellEnd"/>
      <w:r w:rsidRPr="003C4C6F">
        <w:rPr>
          <w:rFonts w:ascii="Times New Roman" w:eastAsia="Times New Roman" w:hAnsi="Times New Roman" w:cs="Times New Roman"/>
          <w:sz w:val="24"/>
          <w:szCs w:val="24"/>
        </w:rPr>
        <w:t xml:space="preserve">, U. A. (2025). Therapeutic potential of combined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fruit and leaf extracts against oxidative stress and organ damage. </w:t>
      </w:r>
      <w:r w:rsidRPr="003C4C6F">
        <w:rPr>
          <w:rFonts w:ascii="Times New Roman" w:eastAsia="Times New Roman" w:hAnsi="Times New Roman" w:cs="Times New Roman"/>
          <w:i/>
          <w:iCs/>
          <w:sz w:val="24"/>
          <w:szCs w:val="24"/>
        </w:rPr>
        <w:t>Asian Journal of Natural Product Biochemistry, 23</w:t>
      </w:r>
      <w:r w:rsidRPr="003C4C6F">
        <w:rPr>
          <w:rFonts w:ascii="Times New Roman" w:eastAsia="Times New Roman" w:hAnsi="Times New Roman" w:cs="Times New Roman"/>
          <w:sz w:val="24"/>
          <w:szCs w:val="24"/>
        </w:rPr>
        <w:t xml:space="preserve">, 38–46. </w:t>
      </w:r>
      <w:hyperlink r:id="rId19" w:tgtFrame="_new" w:history="1">
        <w:r w:rsidRPr="003C4C6F">
          <w:rPr>
            <w:rFonts w:ascii="Times New Roman" w:eastAsia="Times New Roman" w:hAnsi="Times New Roman" w:cs="Times New Roman"/>
            <w:color w:val="0000FF"/>
            <w:sz w:val="24"/>
            <w:szCs w:val="24"/>
            <w:u w:val="single"/>
          </w:rPr>
          <w:t>https://www.smujo.id/jnpb/article/view/20678</w:t>
        </w:r>
      </w:hyperlink>
      <w:r w:rsidRPr="003C4C6F">
        <w:rPr>
          <w:rFonts w:ascii="Times New Roman" w:eastAsia="Times New Roman" w:hAnsi="Times New Roman" w:cs="Times New Roman"/>
          <w:sz w:val="24"/>
          <w:szCs w:val="24"/>
        </w:rPr>
        <w:t xml:space="preserve"> </w:t>
      </w:r>
    </w:p>
    <w:p w14:paraId="175971F9" w14:textId="12C63DA6"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Okon, I. A., Beshel, J. A., Aytar, E. C., &amp; </w:t>
      </w:r>
      <w:proofErr w:type="spellStart"/>
      <w:r w:rsidRPr="003C4C6F">
        <w:rPr>
          <w:rFonts w:ascii="Times New Roman" w:eastAsia="Times New Roman" w:hAnsi="Times New Roman" w:cs="Times New Roman"/>
          <w:sz w:val="24"/>
          <w:szCs w:val="24"/>
        </w:rPr>
        <w:t>Owu</w:t>
      </w:r>
      <w:proofErr w:type="spellEnd"/>
      <w:r w:rsidRPr="003C4C6F">
        <w:rPr>
          <w:rFonts w:ascii="Times New Roman" w:eastAsia="Times New Roman" w:hAnsi="Times New Roman" w:cs="Times New Roman"/>
          <w:sz w:val="24"/>
          <w:szCs w:val="24"/>
        </w:rPr>
        <w:t xml:space="preserve">, D. U. (2025). In silico molecular docking study and antihypertensive property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Benth. ethanol leaf extract in dexamethasone-induced hypertension in Wistar rats. </w:t>
      </w:r>
      <w:r w:rsidRPr="003C4C6F">
        <w:rPr>
          <w:rFonts w:ascii="Times New Roman" w:eastAsia="Times New Roman" w:hAnsi="Times New Roman" w:cs="Times New Roman"/>
          <w:i/>
          <w:iCs/>
          <w:sz w:val="24"/>
          <w:szCs w:val="24"/>
        </w:rPr>
        <w:t>Phytomedicine Plus, 5</w:t>
      </w:r>
      <w:r w:rsidRPr="003C4C6F">
        <w:rPr>
          <w:rFonts w:ascii="Times New Roman" w:eastAsia="Times New Roman" w:hAnsi="Times New Roman" w:cs="Times New Roman"/>
          <w:sz w:val="24"/>
          <w:szCs w:val="24"/>
        </w:rPr>
        <w:t xml:space="preserve">(4), Article 100892. </w:t>
      </w:r>
      <w:hyperlink r:id="rId20" w:tgtFrame="_new" w:history="1">
        <w:r w:rsidRPr="003C4C6F">
          <w:rPr>
            <w:rFonts w:ascii="Times New Roman" w:eastAsia="Times New Roman" w:hAnsi="Times New Roman" w:cs="Times New Roman"/>
            <w:color w:val="0000FF"/>
            <w:sz w:val="24"/>
            <w:szCs w:val="24"/>
            <w:u w:val="single"/>
          </w:rPr>
          <w:t>https://doi.org/10.1016/j.phyplu.2025.100892</w:t>
        </w:r>
      </w:hyperlink>
      <w:r w:rsidRPr="003C4C6F">
        <w:rPr>
          <w:rFonts w:ascii="Times New Roman" w:eastAsia="Times New Roman" w:hAnsi="Times New Roman" w:cs="Times New Roman"/>
          <w:sz w:val="24"/>
          <w:szCs w:val="24"/>
        </w:rPr>
        <w:t xml:space="preserve"> </w:t>
      </w:r>
    </w:p>
    <w:p w14:paraId="5D760AB6" w14:textId="3415797C"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Omodale</w:t>
      </w:r>
      <w:proofErr w:type="spellEnd"/>
      <w:r w:rsidRPr="003C4C6F">
        <w:rPr>
          <w:rFonts w:ascii="Times New Roman" w:eastAsia="Times New Roman" w:hAnsi="Times New Roman" w:cs="Times New Roman"/>
          <w:sz w:val="24"/>
          <w:szCs w:val="24"/>
        </w:rPr>
        <w:t xml:space="preserve">, P., Enitan, S., Adejumo, E., Akinleye, W., &amp; Bella, A. (2017). Protective effect of aqueous root extract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against paracetamol-induced hepatotoxicity and chloroquine-induced nephrotoxicity in rats. </w:t>
      </w:r>
      <w:r w:rsidRPr="003C4C6F">
        <w:rPr>
          <w:rFonts w:ascii="Times New Roman" w:eastAsia="Times New Roman" w:hAnsi="Times New Roman" w:cs="Times New Roman"/>
          <w:i/>
          <w:iCs/>
          <w:sz w:val="24"/>
          <w:szCs w:val="24"/>
        </w:rPr>
        <w:t>International Journal of Herbal Medicine, 5</w:t>
      </w:r>
      <w:r w:rsidRPr="003C4C6F">
        <w:rPr>
          <w:rFonts w:ascii="Times New Roman" w:eastAsia="Times New Roman" w:hAnsi="Times New Roman" w:cs="Times New Roman"/>
          <w:sz w:val="24"/>
          <w:szCs w:val="24"/>
        </w:rPr>
        <w:t xml:space="preserve">(3), 115–120. </w:t>
      </w:r>
    </w:p>
    <w:p w14:paraId="1485DD3C" w14:textId="1B0B4958"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lang w:val="nl-BE"/>
        </w:rPr>
        <w:t xml:space="preserve">Omodamiro, O. D., Alaebo, P. O., Olukotun, B. G., &amp; Chikezie, P. C. (2021). </w:t>
      </w:r>
      <w:r w:rsidRPr="003C4C6F">
        <w:rPr>
          <w:rFonts w:ascii="Times New Roman" w:eastAsia="Times New Roman" w:hAnsi="Times New Roman" w:cs="Times New Roman"/>
          <w:sz w:val="24"/>
          <w:szCs w:val="24"/>
        </w:rPr>
        <w:t xml:space="preserve">Evaluation of hepatotoxicity effect of methanolic leaf extract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in albino rats. </w:t>
      </w:r>
      <w:r w:rsidRPr="003C4C6F">
        <w:rPr>
          <w:rFonts w:ascii="Times New Roman" w:eastAsia="Times New Roman" w:hAnsi="Times New Roman" w:cs="Times New Roman"/>
          <w:i/>
          <w:iCs/>
          <w:sz w:val="24"/>
          <w:szCs w:val="24"/>
        </w:rPr>
        <w:t>World Journal of Advanced Pharmaceutical and Life Sciences, 1</w:t>
      </w:r>
      <w:r w:rsidRPr="003C4C6F">
        <w:rPr>
          <w:rFonts w:ascii="Times New Roman" w:eastAsia="Times New Roman" w:hAnsi="Times New Roman" w:cs="Times New Roman"/>
          <w:sz w:val="24"/>
          <w:szCs w:val="24"/>
        </w:rPr>
        <w:t xml:space="preserve">(1), 014–022. </w:t>
      </w:r>
      <w:hyperlink r:id="rId21" w:tgtFrame="_new" w:history="1">
        <w:r w:rsidRPr="003C4C6F">
          <w:rPr>
            <w:rFonts w:ascii="Times New Roman" w:eastAsia="Times New Roman" w:hAnsi="Times New Roman" w:cs="Times New Roman"/>
            <w:color w:val="0000FF"/>
            <w:sz w:val="24"/>
            <w:szCs w:val="24"/>
            <w:u w:val="single"/>
          </w:rPr>
          <w:t>https://zealjournals.com/wjapls/content/evaluation-hepatotoxicity-effect-methanol-leave-extract-gongronema-latifolium-albino-rats</w:t>
        </w:r>
      </w:hyperlink>
      <w:r w:rsidRPr="003C4C6F">
        <w:rPr>
          <w:rFonts w:ascii="Times New Roman" w:eastAsia="Times New Roman" w:hAnsi="Times New Roman" w:cs="Times New Roman"/>
          <w:sz w:val="24"/>
          <w:szCs w:val="24"/>
        </w:rPr>
        <w:t xml:space="preserve"> </w:t>
      </w:r>
    </w:p>
    <w:p w14:paraId="6E84F699" w14:textId="36E25AF8"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Onuoha, S. C., &amp; Chinaka, N. C. (2013). Carbon tetrachloride-induced renal toxicity and the effect of aqueous extract of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in Wistar rats. </w:t>
      </w:r>
      <w:r w:rsidRPr="003C4C6F">
        <w:rPr>
          <w:rFonts w:ascii="Times New Roman" w:eastAsia="Times New Roman" w:hAnsi="Times New Roman" w:cs="Times New Roman"/>
          <w:i/>
          <w:iCs/>
          <w:sz w:val="24"/>
          <w:szCs w:val="24"/>
        </w:rPr>
        <w:t>Drug Discovery, 4</w:t>
      </w:r>
      <w:r w:rsidRPr="003C4C6F">
        <w:rPr>
          <w:rFonts w:ascii="Times New Roman" w:eastAsia="Times New Roman" w:hAnsi="Times New Roman" w:cs="Times New Roman"/>
          <w:sz w:val="24"/>
          <w:szCs w:val="24"/>
        </w:rPr>
        <w:t xml:space="preserve">(11), 15–16. </w:t>
      </w:r>
    </w:p>
    <w:p w14:paraId="7DF5476F" w14:textId="2AD241C2"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proofErr w:type="spellStart"/>
      <w:r w:rsidRPr="003C4C6F">
        <w:rPr>
          <w:rFonts w:ascii="Times New Roman" w:eastAsia="Times New Roman" w:hAnsi="Times New Roman" w:cs="Times New Roman"/>
          <w:sz w:val="24"/>
          <w:szCs w:val="24"/>
        </w:rPr>
        <w:t>Onwudiwe</w:t>
      </w:r>
      <w:proofErr w:type="spellEnd"/>
      <w:r w:rsidRPr="003C4C6F">
        <w:rPr>
          <w:rFonts w:ascii="Times New Roman" w:eastAsia="Times New Roman" w:hAnsi="Times New Roman" w:cs="Times New Roman"/>
          <w:sz w:val="24"/>
          <w:szCs w:val="24"/>
        </w:rPr>
        <w:t xml:space="preserve">, T. C., </w:t>
      </w:r>
      <w:proofErr w:type="spellStart"/>
      <w:r w:rsidRPr="003C4C6F">
        <w:rPr>
          <w:rFonts w:ascii="Times New Roman" w:eastAsia="Times New Roman" w:hAnsi="Times New Roman" w:cs="Times New Roman"/>
          <w:sz w:val="24"/>
          <w:szCs w:val="24"/>
        </w:rPr>
        <w:t>Azudialu</w:t>
      </w:r>
      <w:proofErr w:type="spellEnd"/>
      <w:r w:rsidRPr="003C4C6F">
        <w:rPr>
          <w:rFonts w:ascii="Times New Roman" w:eastAsia="Times New Roman" w:hAnsi="Times New Roman" w:cs="Times New Roman"/>
          <w:sz w:val="24"/>
          <w:szCs w:val="24"/>
        </w:rPr>
        <w:t xml:space="preserve">, B. C., Obi, I. M., </w:t>
      </w:r>
      <w:proofErr w:type="spellStart"/>
      <w:r w:rsidRPr="003C4C6F">
        <w:rPr>
          <w:rFonts w:ascii="Times New Roman" w:eastAsia="Times New Roman" w:hAnsi="Times New Roman" w:cs="Times New Roman"/>
          <w:sz w:val="24"/>
          <w:szCs w:val="24"/>
        </w:rPr>
        <w:t>Madubuogwu</w:t>
      </w:r>
      <w:proofErr w:type="spellEnd"/>
      <w:r w:rsidRPr="003C4C6F">
        <w:rPr>
          <w:rFonts w:ascii="Times New Roman" w:eastAsia="Times New Roman" w:hAnsi="Times New Roman" w:cs="Times New Roman"/>
          <w:sz w:val="24"/>
          <w:szCs w:val="24"/>
        </w:rPr>
        <w:t>, N. U., &amp; Ogbuagu, E. O. (2025). Evaluation of anti-nociceptive and anti-inflammatory activities of a folklore medicinal plant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in rodent models. </w:t>
      </w:r>
      <w:r w:rsidRPr="003C4C6F">
        <w:rPr>
          <w:rFonts w:ascii="Times New Roman" w:eastAsia="Times New Roman" w:hAnsi="Times New Roman" w:cs="Times New Roman"/>
          <w:i/>
          <w:iCs/>
          <w:sz w:val="24"/>
          <w:szCs w:val="24"/>
        </w:rPr>
        <w:t>The Journal of Phytopharmacology, 14</w:t>
      </w:r>
      <w:r w:rsidRPr="003C4C6F">
        <w:rPr>
          <w:rFonts w:ascii="Times New Roman" w:eastAsia="Times New Roman" w:hAnsi="Times New Roman" w:cs="Times New Roman"/>
          <w:sz w:val="24"/>
          <w:szCs w:val="24"/>
        </w:rPr>
        <w:t xml:space="preserve">(4), 208–214. </w:t>
      </w:r>
      <w:hyperlink r:id="rId22" w:tgtFrame="_new" w:history="1">
        <w:r w:rsidRPr="003C4C6F">
          <w:rPr>
            <w:rFonts w:ascii="Times New Roman" w:eastAsia="Times New Roman" w:hAnsi="Times New Roman" w:cs="Times New Roman"/>
            <w:color w:val="0000FF"/>
            <w:sz w:val="24"/>
            <w:szCs w:val="24"/>
            <w:u w:val="single"/>
          </w:rPr>
          <w:t>https://doi.org/10.31254/phyto.2025.14401</w:t>
        </w:r>
      </w:hyperlink>
      <w:r w:rsidRPr="003C4C6F">
        <w:rPr>
          <w:rFonts w:ascii="Times New Roman" w:eastAsia="Times New Roman" w:hAnsi="Times New Roman" w:cs="Times New Roman"/>
          <w:sz w:val="24"/>
          <w:szCs w:val="24"/>
        </w:rPr>
        <w:t xml:space="preserve"> </w:t>
      </w:r>
    </w:p>
    <w:p w14:paraId="45C27744" w14:textId="70AC8880"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lang w:val="nl-BE"/>
        </w:rPr>
        <w:t xml:space="preserve">Osigwe, C. C., Akah, P. A., &amp; Nworu, C. S. (2017). </w:t>
      </w:r>
      <w:r w:rsidRPr="003C4C6F">
        <w:rPr>
          <w:rFonts w:ascii="Times New Roman" w:eastAsia="Times New Roman" w:hAnsi="Times New Roman" w:cs="Times New Roman"/>
          <w:sz w:val="24"/>
          <w:szCs w:val="24"/>
        </w:rPr>
        <w:t xml:space="preserve">Biochemical and </w:t>
      </w:r>
      <w:proofErr w:type="spellStart"/>
      <w:r w:rsidRPr="003C4C6F">
        <w:rPr>
          <w:rFonts w:ascii="Times New Roman" w:eastAsia="Times New Roman" w:hAnsi="Times New Roman" w:cs="Times New Roman"/>
          <w:sz w:val="24"/>
          <w:szCs w:val="24"/>
        </w:rPr>
        <w:t>haematological</w:t>
      </w:r>
      <w:proofErr w:type="spellEnd"/>
      <w:r w:rsidRPr="003C4C6F">
        <w:rPr>
          <w:rFonts w:ascii="Times New Roman" w:eastAsia="Times New Roman" w:hAnsi="Times New Roman" w:cs="Times New Roman"/>
          <w:sz w:val="24"/>
          <w:szCs w:val="24"/>
        </w:rPr>
        <w:t xml:space="preserve"> effects of the leaf extract of </w:t>
      </w:r>
      <w:proofErr w:type="spellStart"/>
      <w:r w:rsidRPr="003C4C6F">
        <w:rPr>
          <w:rFonts w:ascii="Times New Roman" w:eastAsia="Times New Roman" w:hAnsi="Times New Roman" w:cs="Times New Roman"/>
          <w:i/>
          <w:iCs/>
          <w:sz w:val="24"/>
          <w:szCs w:val="24"/>
        </w:rPr>
        <w:t>Newbouldia</w:t>
      </w:r>
      <w:proofErr w:type="spellEnd"/>
      <w:r w:rsidRPr="003C4C6F">
        <w:rPr>
          <w:rFonts w:ascii="Times New Roman" w:eastAsia="Times New Roman" w:hAnsi="Times New Roman" w:cs="Times New Roman"/>
          <w:i/>
          <w:iCs/>
          <w:sz w:val="24"/>
          <w:szCs w:val="24"/>
        </w:rPr>
        <w:t xml:space="preserve"> laevis</w:t>
      </w:r>
      <w:r w:rsidRPr="003C4C6F">
        <w:rPr>
          <w:rFonts w:ascii="Times New Roman" w:eastAsia="Times New Roman" w:hAnsi="Times New Roman" w:cs="Times New Roman"/>
          <w:sz w:val="24"/>
          <w:szCs w:val="24"/>
        </w:rPr>
        <w:t xml:space="preserve"> in alloxan-induced diabetic rats. </w:t>
      </w:r>
      <w:r w:rsidRPr="003C4C6F">
        <w:rPr>
          <w:rFonts w:ascii="Times New Roman" w:eastAsia="Times New Roman" w:hAnsi="Times New Roman" w:cs="Times New Roman"/>
          <w:i/>
          <w:iCs/>
          <w:sz w:val="24"/>
          <w:szCs w:val="24"/>
        </w:rPr>
        <w:t>Journal of Biosciences and Medicines, 5</w:t>
      </w:r>
      <w:r w:rsidRPr="003C4C6F">
        <w:rPr>
          <w:rFonts w:ascii="Times New Roman" w:eastAsia="Times New Roman" w:hAnsi="Times New Roman" w:cs="Times New Roman"/>
          <w:sz w:val="24"/>
          <w:szCs w:val="24"/>
        </w:rPr>
        <w:t xml:space="preserve">(6), 233–241. https://doi.org/10.4236/jbm.2017.56003 </w:t>
      </w:r>
    </w:p>
    <w:p w14:paraId="506654FA" w14:textId="6E70F3C7" w:rsidR="003C4C6F" w:rsidRPr="003C4C6F" w:rsidRDefault="003C4C6F" w:rsidP="003C4C6F">
      <w:pPr>
        <w:spacing w:after="0" w:line="240" w:lineRule="auto"/>
        <w:ind w:left="540" w:hanging="540"/>
        <w:jc w:val="both"/>
        <w:rPr>
          <w:rFonts w:ascii="Times New Roman" w:eastAsia="Times New Roman" w:hAnsi="Times New Roman" w:cs="Times New Roman"/>
          <w:sz w:val="24"/>
          <w:szCs w:val="24"/>
        </w:rPr>
      </w:pPr>
      <w:r w:rsidRPr="003C4C6F">
        <w:rPr>
          <w:rFonts w:ascii="Times New Roman" w:eastAsia="Times New Roman" w:hAnsi="Times New Roman" w:cs="Times New Roman"/>
          <w:sz w:val="24"/>
          <w:szCs w:val="24"/>
        </w:rPr>
        <w:t xml:space="preserve">Reitman, S., &amp; Frankel, S. (1957). A colorimetric method for the determination of serum glutamic oxaloacetic and glutamic pyruvic transaminases. </w:t>
      </w:r>
      <w:r w:rsidRPr="003C4C6F">
        <w:rPr>
          <w:rFonts w:ascii="Times New Roman" w:eastAsia="Times New Roman" w:hAnsi="Times New Roman" w:cs="Times New Roman"/>
          <w:i/>
          <w:iCs/>
          <w:sz w:val="24"/>
          <w:szCs w:val="24"/>
        </w:rPr>
        <w:t>American Journal of Clinical Pathology, 28</w:t>
      </w:r>
      <w:r w:rsidRPr="003C4C6F">
        <w:rPr>
          <w:rFonts w:ascii="Times New Roman" w:eastAsia="Times New Roman" w:hAnsi="Times New Roman" w:cs="Times New Roman"/>
          <w:sz w:val="24"/>
          <w:szCs w:val="24"/>
        </w:rPr>
        <w:t xml:space="preserve">(1), 56–63. https://doi.org/10.1093/ajcp/28.1.56 </w:t>
      </w:r>
    </w:p>
    <w:p w14:paraId="1924C49A" w14:textId="03E10E3E" w:rsidR="009C2C91" w:rsidRPr="003C4C6F" w:rsidRDefault="003C4C6F" w:rsidP="003C4C6F">
      <w:pPr>
        <w:ind w:left="540" w:hanging="540"/>
        <w:jc w:val="both"/>
        <w:rPr>
          <w:rFonts w:ascii="Times New Roman" w:hAnsi="Times New Roman" w:cs="Times New Roman"/>
        </w:rPr>
      </w:pPr>
      <w:r w:rsidRPr="003C4C6F">
        <w:rPr>
          <w:rFonts w:ascii="Times New Roman" w:eastAsia="Times New Roman" w:hAnsi="Times New Roman" w:cs="Times New Roman"/>
          <w:sz w:val="24"/>
          <w:szCs w:val="24"/>
        </w:rPr>
        <w:t xml:space="preserve">Sulaiman, F. A., Yusuf, B. O., Omar, S. A., Muritala, H. F., Adisa, J. M., Olopade, A. A., </w:t>
      </w:r>
      <w:proofErr w:type="spellStart"/>
      <w:r w:rsidRPr="003C4C6F">
        <w:rPr>
          <w:rFonts w:ascii="Times New Roman" w:eastAsia="Times New Roman" w:hAnsi="Times New Roman" w:cs="Times New Roman"/>
          <w:sz w:val="24"/>
          <w:szCs w:val="24"/>
        </w:rPr>
        <w:t>Babajamu</w:t>
      </w:r>
      <w:proofErr w:type="spellEnd"/>
      <w:r w:rsidRPr="003C4C6F">
        <w:rPr>
          <w:rFonts w:ascii="Times New Roman" w:eastAsia="Times New Roman" w:hAnsi="Times New Roman" w:cs="Times New Roman"/>
          <w:sz w:val="24"/>
          <w:szCs w:val="24"/>
        </w:rPr>
        <w:t xml:space="preserve">, F. I., </w:t>
      </w:r>
      <w:proofErr w:type="spellStart"/>
      <w:r w:rsidRPr="003C4C6F">
        <w:rPr>
          <w:rFonts w:ascii="Times New Roman" w:eastAsia="Times New Roman" w:hAnsi="Times New Roman" w:cs="Times New Roman"/>
          <w:sz w:val="24"/>
          <w:szCs w:val="24"/>
        </w:rPr>
        <w:t>Jimba</w:t>
      </w:r>
      <w:proofErr w:type="spellEnd"/>
      <w:r w:rsidRPr="003C4C6F">
        <w:rPr>
          <w:rFonts w:ascii="Times New Roman" w:eastAsia="Times New Roman" w:hAnsi="Times New Roman" w:cs="Times New Roman"/>
          <w:sz w:val="24"/>
          <w:szCs w:val="24"/>
        </w:rPr>
        <w:t xml:space="preserve">, A. T., Babatunde, A. L., Adeniyi, B. A., Opaleye, B. R., </w:t>
      </w:r>
      <w:proofErr w:type="spellStart"/>
      <w:r w:rsidRPr="003C4C6F">
        <w:rPr>
          <w:rFonts w:ascii="Times New Roman" w:eastAsia="Times New Roman" w:hAnsi="Times New Roman" w:cs="Times New Roman"/>
          <w:sz w:val="24"/>
          <w:szCs w:val="24"/>
        </w:rPr>
        <w:t>Maimako</w:t>
      </w:r>
      <w:proofErr w:type="spellEnd"/>
      <w:r w:rsidRPr="003C4C6F">
        <w:rPr>
          <w:rFonts w:ascii="Times New Roman" w:eastAsia="Times New Roman" w:hAnsi="Times New Roman" w:cs="Times New Roman"/>
          <w:sz w:val="24"/>
          <w:szCs w:val="24"/>
        </w:rPr>
        <w:t xml:space="preserve">, R. F., Otohinoyi, D. A., Bello, K. O., Rotimi, D., </w:t>
      </w:r>
      <w:proofErr w:type="spellStart"/>
      <w:r w:rsidRPr="003C4C6F">
        <w:rPr>
          <w:rFonts w:ascii="Times New Roman" w:eastAsia="Times New Roman" w:hAnsi="Times New Roman" w:cs="Times New Roman"/>
          <w:sz w:val="24"/>
          <w:szCs w:val="24"/>
        </w:rPr>
        <w:t>Osemwegie</w:t>
      </w:r>
      <w:proofErr w:type="spellEnd"/>
      <w:r w:rsidRPr="003C4C6F">
        <w:rPr>
          <w:rFonts w:ascii="Times New Roman" w:eastAsia="Times New Roman" w:hAnsi="Times New Roman" w:cs="Times New Roman"/>
          <w:sz w:val="24"/>
          <w:szCs w:val="24"/>
        </w:rPr>
        <w:t xml:space="preserve">, O. O., &amp; Adeyemi, O. S. (2022). Ethanolic extracts of the </w:t>
      </w:r>
      <w:proofErr w:type="spellStart"/>
      <w:r w:rsidRPr="003C4C6F">
        <w:rPr>
          <w:rFonts w:ascii="Times New Roman" w:eastAsia="Times New Roman" w:hAnsi="Times New Roman" w:cs="Times New Roman"/>
          <w:i/>
          <w:iCs/>
          <w:sz w:val="24"/>
          <w:szCs w:val="24"/>
        </w:rPr>
        <w:t>Gongronema</w:t>
      </w:r>
      <w:proofErr w:type="spellEnd"/>
      <w:r w:rsidRPr="003C4C6F">
        <w:rPr>
          <w:rFonts w:ascii="Times New Roman" w:eastAsia="Times New Roman" w:hAnsi="Times New Roman" w:cs="Times New Roman"/>
          <w:i/>
          <w:iCs/>
          <w:sz w:val="24"/>
          <w:szCs w:val="24"/>
        </w:rPr>
        <w:t xml:space="preserve"> </w:t>
      </w:r>
      <w:proofErr w:type="spellStart"/>
      <w:r w:rsidRPr="003C4C6F">
        <w:rPr>
          <w:rFonts w:ascii="Times New Roman" w:eastAsia="Times New Roman" w:hAnsi="Times New Roman" w:cs="Times New Roman"/>
          <w:i/>
          <w:iCs/>
          <w:sz w:val="24"/>
          <w:szCs w:val="24"/>
        </w:rPr>
        <w:t>latifolium</w:t>
      </w:r>
      <w:proofErr w:type="spellEnd"/>
      <w:r w:rsidRPr="003C4C6F">
        <w:rPr>
          <w:rFonts w:ascii="Times New Roman" w:eastAsia="Times New Roman" w:hAnsi="Times New Roman" w:cs="Times New Roman"/>
          <w:sz w:val="24"/>
          <w:szCs w:val="24"/>
        </w:rPr>
        <w:t xml:space="preserve"> stem and leaves caused mild renal injury and modulated serum triglycerides in rats. </w:t>
      </w:r>
      <w:proofErr w:type="spellStart"/>
      <w:r w:rsidRPr="003C4C6F">
        <w:rPr>
          <w:rFonts w:ascii="Times New Roman" w:eastAsia="Times New Roman" w:hAnsi="Times New Roman" w:cs="Times New Roman"/>
          <w:i/>
          <w:iCs/>
          <w:sz w:val="24"/>
          <w:szCs w:val="24"/>
        </w:rPr>
        <w:t>Biointerface</w:t>
      </w:r>
      <w:proofErr w:type="spellEnd"/>
      <w:r w:rsidRPr="003C4C6F">
        <w:rPr>
          <w:rFonts w:ascii="Times New Roman" w:eastAsia="Times New Roman" w:hAnsi="Times New Roman" w:cs="Times New Roman"/>
          <w:i/>
          <w:iCs/>
          <w:sz w:val="24"/>
          <w:szCs w:val="24"/>
        </w:rPr>
        <w:t xml:space="preserve"> Research in Applied Chemistry, 12</w:t>
      </w:r>
      <w:r w:rsidRPr="003C4C6F">
        <w:rPr>
          <w:rFonts w:ascii="Times New Roman" w:eastAsia="Times New Roman" w:hAnsi="Times New Roman" w:cs="Times New Roman"/>
          <w:sz w:val="24"/>
          <w:szCs w:val="24"/>
        </w:rPr>
        <w:t>(4), 5045–5053. https://doi.org/10.33263/BRIAC124.50455053</w:t>
      </w:r>
    </w:p>
    <w:sectPr w:rsidR="009C2C91" w:rsidRPr="003C4C6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EBAE7" w14:textId="77777777" w:rsidR="00BA7C03" w:rsidRDefault="00BA7C03" w:rsidP="00080571">
      <w:pPr>
        <w:spacing w:after="0" w:line="240" w:lineRule="auto"/>
      </w:pPr>
      <w:r>
        <w:separator/>
      </w:r>
    </w:p>
  </w:endnote>
  <w:endnote w:type="continuationSeparator" w:id="0">
    <w:p w14:paraId="05A6823E" w14:textId="77777777" w:rsidR="00BA7C03" w:rsidRDefault="00BA7C03" w:rsidP="00080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CCF8" w14:textId="77777777" w:rsidR="00080571" w:rsidRDefault="00080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5ED4" w14:textId="77777777" w:rsidR="00080571" w:rsidRDefault="00080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2E72" w14:textId="77777777" w:rsidR="00080571" w:rsidRDefault="00080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3F87B" w14:textId="77777777" w:rsidR="00BA7C03" w:rsidRDefault="00BA7C03" w:rsidP="00080571">
      <w:pPr>
        <w:spacing w:after="0" w:line="240" w:lineRule="auto"/>
      </w:pPr>
      <w:r>
        <w:separator/>
      </w:r>
    </w:p>
  </w:footnote>
  <w:footnote w:type="continuationSeparator" w:id="0">
    <w:p w14:paraId="6CCC29E6" w14:textId="77777777" w:rsidR="00BA7C03" w:rsidRDefault="00BA7C03" w:rsidP="00080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22F6" w14:textId="77777777" w:rsidR="00080571" w:rsidRDefault="00000000">
    <w:pPr>
      <w:pStyle w:val="Header"/>
    </w:pPr>
    <w:r>
      <w:rPr>
        <w:noProof/>
      </w:rPr>
      <w:pict w14:anchorId="6F67DF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4B06" w14:textId="77777777" w:rsidR="00080571" w:rsidRDefault="00000000">
    <w:pPr>
      <w:pStyle w:val="Header"/>
    </w:pPr>
    <w:r>
      <w:rPr>
        <w:noProof/>
      </w:rPr>
      <w:pict w14:anchorId="7A394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3FE4" w14:textId="77777777" w:rsidR="00080571" w:rsidRDefault="00000000">
    <w:pPr>
      <w:pStyle w:val="Header"/>
    </w:pPr>
    <w:r>
      <w:rPr>
        <w:noProof/>
      </w:rPr>
      <w:pict w14:anchorId="37A9C9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03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560A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E310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FD74FE5C"/>
    <w:lvl w:ilvl="0" w:tplc="04090001">
      <w:start w:val="1"/>
      <w:numFmt w:val="bullet"/>
      <w:lvlText w:val=""/>
      <w:lvlJc w:val="left"/>
      <w:pPr>
        <w:ind w:left="1559" w:hanging="360"/>
      </w:pPr>
      <w:rPr>
        <w:rFonts w:ascii="Symbol" w:hAnsi="Symbol" w:hint="default"/>
      </w:rPr>
    </w:lvl>
    <w:lvl w:ilvl="1" w:tplc="04090003">
      <w:start w:val="1"/>
      <w:numFmt w:val="bullet"/>
      <w:lvlText w:val="o"/>
      <w:lvlJc w:val="left"/>
      <w:pPr>
        <w:ind w:left="2279" w:hanging="360"/>
      </w:pPr>
      <w:rPr>
        <w:rFonts w:ascii="Courier New" w:hAnsi="Courier New" w:cs="Courier New" w:hint="default"/>
      </w:rPr>
    </w:lvl>
    <w:lvl w:ilvl="2" w:tplc="04090005">
      <w:start w:val="1"/>
      <w:numFmt w:val="bullet"/>
      <w:lvlText w:val=""/>
      <w:lvlJc w:val="left"/>
      <w:pPr>
        <w:ind w:left="2999" w:hanging="360"/>
      </w:pPr>
      <w:rPr>
        <w:rFonts w:ascii="Wingdings" w:hAnsi="Wingdings" w:hint="default"/>
      </w:rPr>
    </w:lvl>
    <w:lvl w:ilvl="3" w:tplc="04090001">
      <w:start w:val="1"/>
      <w:numFmt w:val="bullet"/>
      <w:lvlText w:val=""/>
      <w:lvlJc w:val="left"/>
      <w:pPr>
        <w:ind w:left="3719" w:hanging="360"/>
      </w:pPr>
      <w:rPr>
        <w:rFonts w:ascii="Symbol" w:hAnsi="Symbol" w:hint="default"/>
      </w:rPr>
    </w:lvl>
    <w:lvl w:ilvl="4" w:tplc="04090003">
      <w:start w:val="1"/>
      <w:numFmt w:val="bullet"/>
      <w:lvlText w:val="o"/>
      <w:lvlJc w:val="left"/>
      <w:pPr>
        <w:ind w:left="4439" w:hanging="360"/>
      </w:pPr>
      <w:rPr>
        <w:rFonts w:ascii="Courier New" w:hAnsi="Courier New" w:cs="Courier New" w:hint="default"/>
      </w:rPr>
    </w:lvl>
    <w:lvl w:ilvl="5" w:tplc="04090005">
      <w:start w:val="1"/>
      <w:numFmt w:val="bullet"/>
      <w:lvlText w:val=""/>
      <w:lvlJc w:val="left"/>
      <w:pPr>
        <w:ind w:left="5159" w:hanging="360"/>
      </w:pPr>
      <w:rPr>
        <w:rFonts w:ascii="Wingdings" w:hAnsi="Wingdings" w:hint="default"/>
      </w:rPr>
    </w:lvl>
    <w:lvl w:ilvl="6" w:tplc="04090001">
      <w:start w:val="1"/>
      <w:numFmt w:val="bullet"/>
      <w:lvlText w:val=""/>
      <w:lvlJc w:val="left"/>
      <w:pPr>
        <w:ind w:left="5879" w:hanging="360"/>
      </w:pPr>
      <w:rPr>
        <w:rFonts w:ascii="Symbol" w:hAnsi="Symbol" w:hint="default"/>
      </w:rPr>
    </w:lvl>
    <w:lvl w:ilvl="7" w:tplc="04090003">
      <w:start w:val="1"/>
      <w:numFmt w:val="bullet"/>
      <w:lvlText w:val="o"/>
      <w:lvlJc w:val="left"/>
      <w:pPr>
        <w:ind w:left="6599" w:hanging="360"/>
      </w:pPr>
      <w:rPr>
        <w:rFonts w:ascii="Courier New" w:hAnsi="Courier New" w:cs="Courier New" w:hint="default"/>
      </w:rPr>
    </w:lvl>
    <w:lvl w:ilvl="8" w:tplc="04090005">
      <w:start w:val="1"/>
      <w:numFmt w:val="bullet"/>
      <w:lvlText w:val=""/>
      <w:lvlJc w:val="left"/>
      <w:pPr>
        <w:ind w:left="7319" w:hanging="360"/>
      </w:pPr>
      <w:rPr>
        <w:rFonts w:ascii="Wingdings" w:hAnsi="Wingdings" w:hint="default"/>
      </w:rPr>
    </w:lvl>
  </w:abstractNum>
  <w:abstractNum w:abstractNumId="3" w15:restartNumberingAfterBreak="0">
    <w:nsid w:val="0F2C4C3E"/>
    <w:multiLevelType w:val="hybridMultilevel"/>
    <w:tmpl w:val="484E3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01535"/>
    <w:multiLevelType w:val="hybridMultilevel"/>
    <w:tmpl w:val="EE56F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58A7D85"/>
    <w:multiLevelType w:val="hybridMultilevel"/>
    <w:tmpl w:val="75DE53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738916">
    <w:abstractNumId w:val="4"/>
  </w:num>
  <w:num w:numId="2" w16cid:durableId="840896991">
    <w:abstractNumId w:val="0"/>
  </w:num>
  <w:num w:numId="3" w16cid:durableId="102498518">
    <w:abstractNumId w:val="2"/>
  </w:num>
  <w:num w:numId="4" w16cid:durableId="1474366046">
    <w:abstractNumId w:val="1"/>
  </w:num>
  <w:num w:numId="5" w16cid:durableId="211693204">
    <w:abstractNumId w:val="3"/>
  </w:num>
  <w:num w:numId="6" w16cid:durableId="80022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xszAwMDMyMTYzsjRW0lEKTi0uzszPAykwrAUA2aSrmywAAAA="/>
  </w:docVars>
  <w:rsids>
    <w:rsidRoot w:val="009C2C91"/>
    <w:rsid w:val="0000506A"/>
    <w:rsid w:val="00080571"/>
    <w:rsid w:val="000C1191"/>
    <w:rsid w:val="000C6452"/>
    <w:rsid w:val="001465AD"/>
    <w:rsid w:val="0019258B"/>
    <w:rsid w:val="001B505B"/>
    <w:rsid w:val="002B6B62"/>
    <w:rsid w:val="002B7C84"/>
    <w:rsid w:val="002C1B01"/>
    <w:rsid w:val="002D1291"/>
    <w:rsid w:val="003202D1"/>
    <w:rsid w:val="003C4C6F"/>
    <w:rsid w:val="003D61EF"/>
    <w:rsid w:val="00402C7A"/>
    <w:rsid w:val="00405E5A"/>
    <w:rsid w:val="00521207"/>
    <w:rsid w:val="00542AB5"/>
    <w:rsid w:val="005B5336"/>
    <w:rsid w:val="005F2022"/>
    <w:rsid w:val="0063233B"/>
    <w:rsid w:val="00646488"/>
    <w:rsid w:val="0069023E"/>
    <w:rsid w:val="006D73A4"/>
    <w:rsid w:val="00722D7E"/>
    <w:rsid w:val="007D1E81"/>
    <w:rsid w:val="00801718"/>
    <w:rsid w:val="00855398"/>
    <w:rsid w:val="008A304E"/>
    <w:rsid w:val="008D338B"/>
    <w:rsid w:val="00963D8F"/>
    <w:rsid w:val="009C026F"/>
    <w:rsid w:val="009C2C91"/>
    <w:rsid w:val="00A5610D"/>
    <w:rsid w:val="00A61BA0"/>
    <w:rsid w:val="00AA635D"/>
    <w:rsid w:val="00BA7C03"/>
    <w:rsid w:val="00BF64A1"/>
    <w:rsid w:val="00C712C4"/>
    <w:rsid w:val="00C81326"/>
    <w:rsid w:val="00CA60D8"/>
    <w:rsid w:val="00D61BCD"/>
    <w:rsid w:val="00DA2AEC"/>
    <w:rsid w:val="00E005D4"/>
    <w:rsid w:val="00E0706F"/>
    <w:rsid w:val="00E16D95"/>
    <w:rsid w:val="00E81AB8"/>
    <w:rsid w:val="00E930A6"/>
    <w:rsid w:val="00EB5C16"/>
    <w:rsid w:val="00ED2306"/>
    <w:rsid w:val="00F22430"/>
    <w:rsid w:val="00F31937"/>
    <w:rsid w:val="00F3415F"/>
    <w:rsid w:val="00FB4ADB"/>
    <w:rsid w:val="00FE3166"/>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0A577"/>
  <w15:docId w15:val="{664C8F8C-782F-4D09-B0F8-4686BF51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relative">
    <w:name w:val="relative"/>
    <w:basedOn w:val="DefaultParagraphFont"/>
  </w:style>
  <w:style w:type="paragraph" w:styleId="ListParagraph">
    <w:name w:val="List Paragraph"/>
    <w:basedOn w:val="Normal"/>
    <w:uiPriority w:val="34"/>
    <w:qFormat/>
    <w:pPr>
      <w:spacing w:after="200" w:line="276" w:lineRule="auto"/>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nil"/>
      <w:tblBorders>
        <w:top w:val="single" w:sz="8" w:space="0" w:color="000000"/>
        <w:bottom w:val="single" w:sz="8" w:space="0" w:color="000000"/>
      </w:tblBorders>
    </w:tbl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unhideWhenUsed/>
    <w:rsid w:val="00521207"/>
    <w:rPr>
      <w:color w:val="0000FF" w:themeColor="hyperlink"/>
      <w:u w:val="single"/>
    </w:rPr>
  </w:style>
  <w:style w:type="character" w:customStyle="1" w:styleId="UnresolvedMention1">
    <w:name w:val="Unresolved Mention1"/>
    <w:basedOn w:val="DefaultParagraphFont"/>
    <w:uiPriority w:val="99"/>
    <w:semiHidden/>
    <w:unhideWhenUsed/>
    <w:rsid w:val="00521207"/>
    <w:rPr>
      <w:color w:val="605E5C"/>
      <w:shd w:val="clear" w:color="auto" w:fill="E1DFDD"/>
    </w:rPr>
  </w:style>
  <w:style w:type="paragraph" w:styleId="Header">
    <w:name w:val="header"/>
    <w:basedOn w:val="Normal"/>
    <w:link w:val="HeaderChar"/>
    <w:uiPriority w:val="99"/>
    <w:unhideWhenUsed/>
    <w:rsid w:val="00080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571"/>
  </w:style>
  <w:style w:type="paragraph" w:styleId="Footer">
    <w:name w:val="footer"/>
    <w:basedOn w:val="Normal"/>
    <w:link w:val="FooterChar"/>
    <w:uiPriority w:val="99"/>
    <w:unhideWhenUsed/>
    <w:rsid w:val="00080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56557/ajorib/2025/v7i1112" TargetMode="External"/><Relationship Id="rId18" Type="http://schemas.openxmlformats.org/officeDocument/2006/relationships/hyperlink" Target="https://doi.org/10.9734/ajrb/2021/v8i130172" TargetMode="External"/><Relationship Id="rId3" Type="http://schemas.openxmlformats.org/officeDocument/2006/relationships/settings" Target="settings.xml"/><Relationship Id="rId21" Type="http://schemas.openxmlformats.org/officeDocument/2006/relationships/hyperlink" Target="https://zealjournals.com/wjapls/content/evaluation-hepatotoxicity-effect-methanol-leave-extract-gongronema-latifolium-albino-rats?utm_source=chatgpt.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1007/s12013-024-01467-7" TargetMode="External"/><Relationship Id="rId2" Type="http://schemas.openxmlformats.org/officeDocument/2006/relationships/styles" Target="styles.xml"/><Relationship Id="rId16" Type="http://schemas.openxmlformats.org/officeDocument/2006/relationships/hyperlink" Target="https://doi.org/10.9734/ajrb/2025/v15i6457" TargetMode="External"/><Relationship Id="rId20" Type="http://schemas.openxmlformats.org/officeDocument/2006/relationships/hyperlink" Target="https://doi.org/10.1016/j.phyplu.2025.1008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nteresjournals.org/articles/micronutrient-and-phytochemical-composition-of-root-bark-and-twig-extracts-of-gongronema-latifolium.pdf?utm_source=chatgpt.com"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smujo.id/jnpb/article/view/2067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186/s12906-019-2573-x" TargetMode="External"/><Relationship Id="rId22" Type="http://schemas.openxmlformats.org/officeDocument/2006/relationships/hyperlink" Target="https://doi.org/10.31254/phyto.2025.14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15</Pages>
  <Words>5919</Words>
  <Characters>33742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dc:creator>
  <cp:lastModifiedBy>Editor-90</cp:lastModifiedBy>
  <cp:revision>89</cp:revision>
  <dcterms:created xsi:type="dcterms:W3CDTF">2026-06-21T21:21:00Z</dcterms:created>
  <dcterms:modified xsi:type="dcterms:W3CDTF">2026-07-03T06:41:00Z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0a8d160247ed48e389eb5b8fef94ee4e</vt:lpwstr>
  </property>
</Properties>
</file>