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4028" w14:textId="77777777" w:rsidR="00EF14F7" w:rsidRPr="00EF14F7" w:rsidRDefault="00EF14F7" w:rsidP="00EA17E7">
      <w:pPr>
        <w:spacing w:before="100" w:beforeAutospacing="1" w:after="100" w:afterAutospacing="1" w:line="240" w:lineRule="auto"/>
        <w:jc w:val="both"/>
        <w:outlineLvl w:val="1"/>
        <w:rPr>
          <w:rFonts w:ascii="Times New Roman" w:eastAsia="Times New Roman" w:hAnsi="Times New Roman" w:cs="Times New Roman"/>
          <w:b/>
          <w:bCs/>
          <w:i/>
          <w:iCs/>
          <w:sz w:val="36"/>
          <w:szCs w:val="36"/>
          <w:u w:val="single"/>
          <w:lang w:val="en-US" w:eastAsia="en-GB"/>
        </w:rPr>
      </w:pPr>
      <w:r w:rsidRPr="00EF14F7">
        <w:rPr>
          <w:rFonts w:ascii="Times New Roman" w:eastAsia="Times New Roman" w:hAnsi="Times New Roman" w:cs="Times New Roman"/>
          <w:b/>
          <w:bCs/>
          <w:i/>
          <w:iCs/>
          <w:sz w:val="36"/>
          <w:szCs w:val="36"/>
          <w:u w:val="single"/>
          <w:lang w:val="en-US" w:eastAsia="en-GB"/>
        </w:rPr>
        <w:t>Review Article</w:t>
      </w:r>
    </w:p>
    <w:p w14:paraId="08319D1F" w14:textId="77777777" w:rsidR="00A13324" w:rsidRPr="00A13324" w:rsidRDefault="00A13324" w:rsidP="00EA17E7">
      <w:pPr>
        <w:spacing w:before="100" w:beforeAutospacing="1" w:after="100" w:afterAutospacing="1" w:line="240" w:lineRule="auto"/>
        <w:jc w:val="both"/>
        <w:outlineLvl w:val="1"/>
        <w:rPr>
          <w:rFonts w:ascii="Times New Roman" w:eastAsia="Times New Roman" w:hAnsi="Times New Roman" w:cs="Times New Roman"/>
          <w:b/>
          <w:bCs/>
          <w:sz w:val="36"/>
          <w:szCs w:val="36"/>
          <w:lang w:eastAsia="en-GB"/>
        </w:rPr>
      </w:pPr>
      <w:r w:rsidRPr="00A13324">
        <w:rPr>
          <w:rFonts w:ascii="Times New Roman" w:eastAsia="Times New Roman" w:hAnsi="Times New Roman" w:cs="Times New Roman"/>
          <w:b/>
          <w:bCs/>
          <w:sz w:val="36"/>
          <w:szCs w:val="36"/>
          <w:lang w:eastAsia="en-GB"/>
        </w:rPr>
        <w:t>Artificial Intelligence and Machine Learning in Pest and Disease Surveillance: From Detection to Decision Support</w:t>
      </w:r>
    </w:p>
    <w:p w14:paraId="72656688"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Abstract</w:t>
      </w:r>
    </w:p>
    <w:p w14:paraId="371B590E"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Plant pests and diseases remain among the most persistent threats to global food security, reducing potential crop yields substantially every year and imposing heavy economic losses on producers across both smallholder and industrial farming systems. Conventional surveillance relies on manual scouting and visual diagnosis, approaches that are slow, subjective, and poorly suited to the scale and speed at which modern outbreaks develop. Over the past decade, artificial intelligence and machine learning have reshaped the surveillance landscape, offering tools that span image-based detection, sensor-driven monitoring, predictive modelling, and decision support. This review synthesises developments across this continuum, tracing the progression from convolutional neural networks and vision transformers used for leaf-level disease classification, through object detection frameworks and Internet of Things-enabled smart traps used for insect pest monitoring, to remote sensing and species distribution models used for landscape-scale forecasting, and finally to decision support systems that translate model outputs into actionable field guidance. Particular attention is given to persistent technical constraints, including the scarcity and imbalance of labelled field data, poor generalisation of models trained on curated datasets when deployed under variable field conditions, and the limited interpretability of deep architectures, alongside emerging responses such as transfer learning, generative data augmentation, and explainable artificial intelligence. The review further considers infrastructural and adoption barriers relevant to resource-constrained farming systems, including connectivity, computational cost, and the integration of artificial intelligence outputs into existing extension and decision-making structures. Drawing on this synthesis, priority directions for future research are identified, including federated and privacy-preserving learning across distributed agricultural datasets, multimodal sensor fusion, and closer coupling between predictive analytics and site-specific intervention. The findings indicate that while detection accuracy has advanced considerably, the translation of artificial intelligence outputs into reliable, trusted, and economically viable decision support remains the central unresolved challenge for the field.</w:t>
      </w:r>
    </w:p>
    <w:p w14:paraId="2F344C6C"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Keywords:</w:t>
      </w:r>
      <w:r w:rsidRPr="00A13324">
        <w:rPr>
          <w:rFonts w:ascii="Times New Roman" w:eastAsia="Times New Roman" w:hAnsi="Times New Roman" w:cs="Times New Roman"/>
          <w:sz w:val="24"/>
          <w:szCs w:val="24"/>
          <w:lang w:eastAsia="en-GB"/>
        </w:rPr>
        <w:t xml:space="preserve"> artificial intelligence; machine learning; deep learning; plant disease detection; pest surveillance; precision agriculture; decision support systems</w:t>
      </w:r>
    </w:p>
    <w:p w14:paraId="04649904"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224ED066"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1. Introduction</w:t>
      </w:r>
    </w:p>
    <w:p w14:paraId="449D9765"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1.1 Background</w:t>
      </w:r>
    </w:p>
    <w:p w14:paraId="6CC5DC53" w14:textId="79A0751D"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Agricultural production systems face a persistent and escalating challenge from plant pests and pathogens, one that has grown more acute as climate variability alters the range, phenology, and virulence of many organisms. Pests and diseases are estimated by the Food and Agriculture Organization of the United Nations to account for the loss of a substantial </w:t>
      </w:r>
      <w:r w:rsidRPr="00A13324">
        <w:rPr>
          <w:rFonts w:ascii="Times New Roman" w:eastAsia="Times New Roman" w:hAnsi="Times New Roman" w:cs="Times New Roman"/>
          <w:sz w:val="24"/>
          <w:szCs w:val="24"/>
          <w:lang w:eastAsia="en-GB"/>
        </w:rPr>
        <w:lastRenderedPageBreak/>
        <w:t xml:space="preserve">proportion of global crop production every year, with associated costs to the global economy running into hundreds of billions of United States dollars annually (Food and Agriculture Organization of the United Nations, </w:t>
      </w:r>
      <w:r w:rsidR="00884B63">
        <w:rPr>
          <w:rFonts w:ascii="Times New Roman" w:eastAsia="Times New Roman" w:hAnsi="Times New Roman" w:cs="Times New Roman"/>
          <w:sz w:val="24"/>
          <w:szCs w:val="24"/>
          <w:lang w:eastAsia="en-GB"/>
        </w:rPr>
        <w:t>n.d.</w:t>
      </w:r>
      <w:r w:rsidRPr="00A13324">
        <w:rPr>
          <w:rFonts w:ascii="Times New Roman" w:eastAsia="Times New Roman" w:hAnsi="Times New Roman" w:cs="Times New Roman"/>
          <w:sz w:val="24"/>
          <w:szCs w:val="24"/>
          <w:lang w:eastAsia="en-GB"/>
        </w:rPr>
        <w:t>). These losses are distributed unevenly, falling hardest on smallholder farmers in regions where extension services are thin and diagnostic expertise is scarce. The consequences extend beyond farm-level income, touching food security, trade, and rural livelihoods at a scale that has prompted sustained international attention to surveillance and early warning as pillars of plant health policy.</w:t>
      </w:r>
    </w:p>
    <w:p w14:paraId="3F55B8DA" w14:textId="6035163C"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Traditional surveillance of pests and diseases has depended on manual field scouting, visual symptom recognition by trained agronomists, and, where available, laboratory diagnostics such as polymerase chain reaction assays or serological testing. These methods, while often accurate under controlled conditions, are labour-intensive, slow to scale across large cropping areas, and dependent on a cadre of experts that remains thin relative to the number of farmers who need their services. The problem is compounded by the sheer diversity of causal agents involved: fungal, bacterial, and viral pathogens each present distinct symptom profiles and spread dynamics, and viral diseases alone account for a substantial share of global crop losses, adding further complexity to a diagnostic task that visual inspection alone struggles to resolve reliably (Jones &amp; Naidu, 2019). By the time symptoms are visible to the human eye, the causal agent may already have spread beyond the point where intervention is economically efficient.</w:t>
      </w:r>
      <w:r w:rsidR="00EA17E7">
        <w:rPr>
          <w:rFonts w:ascii="Times New Roman" w:eastAsia="Times New Roman" w:hAnsi="Times New Roman" w:cs="Times New Roman"/>
          <w:sz w:val="24"/>
          <w:szCs w:val="24"/>
          <w:lang w:eastAsia="en-GB"/>
        </w:rPr>
        <w:t xml:space="preserve"> </w:t>
      </w:r>
      <w:r w:rsidRPr="00EA17E7">
        <w:rPr>
          <w:bCs/>
          <w:highlight w:val="yellow"/>
        </w:rPr>
        <w:t>Recent work on remote sensing and artificial intelligence also positions landscape-scale pest monitoring as a complement to field scouting because these tools can connect spatial crop-health signals with early-warning and management models (Aziz et al., 2025).</w:t>
      </w:r>
    </w:p>
    <w:p w14:paraId="555CA7CE"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1.2 The Emergence of Artificial Intelligence in Plant Health Surveillance</w:t>
      </w:r>
    </w:p>
    <w:p w14:paraId="56A15A69" w14:textId="5865B7CB"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Advances in computer vision, sensor miniaturisation, and computational infrastructure have converged over the past decade to create a substantially different technical landscape for surveillance. Convolutional neural networks demonstrated an early and striking capacity to classify plant disease symptoms from leaf images with accuracy comparable to, and in some benchmark settings exceeding, that of trained specialists (Mohanty et al., 2016). This foundational demonstration catalysed a large and rapidly diversifying body of research applying deep learning to plant disease classification, object detection frameworks to insect pest identification, and a widening array of sensing modalities, from hyperspectral cameras to acoustic and volatile-compound sensors, to the broader task of crop health monitoring (Pacal et al., 2024).</w:t>
      </w:r>
      <w:r w:rsidR="00EA17E7">
        <w:rPr>
          <w:rFonts w:ascii="Times New Roman" w:eastAsia="Times New Roman" w:hAnsi="Times New Roman" w:cs="Times New Roman"/>
          <w:sz w:val="24"/>
          <w:szCs w:val="24"/>
          <w:lang w:eastAsia="en-GB"/>
        </w:rPr>
        <w:t xml:space="preserve"> </w:t>
      </w:r>
      <w:r w:rsidRPr="00EA17E7">
        <w:rPr>
          <w:bCs/>
          <w:highlight w:val="yellow"/>
        </w:rPr>
        <w:t>Recent computer-vision surveys further show that the field has expanded from convolutional classification toward transformer architectures, segmentation methods, transfer learning, and remote-sensing-supported detection pipelines for plant disease and pest surveillance (Ding et al., 2024; Wang et al., 2025).</w:t>
      </w:r>
    </w:p>
    <w:p w14:paraId="01568800"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Parallel to this growth in detection capability, an equally important stream of work has sought to connect these outputs to the practical needs of growers and plant protection services. Detecting a pathogen or an insect in an image is of limited value unless that detection can be translated into a timely and economically sound recommendation: whether and when to intervene, with what method, and at what intensity. This translation, from raw sensing to decision support, has proven considerably harder than the underlying detection problem, and it forms a central theme of the present review.</w:t>
      </w:r>
    </w:p>
    <w:p w14:paraId="6FAC2237"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1.3 Scope, Research Gap, and Objectives</w:t>
      </w:r>
    </w:p>
    <w:p w14:paraId="7F4CC3C3" w14:textId="0F9E75FB"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Several recent reviews have addressed either plant disease detection using deep learning or insect pest monitoring using computer vision as separate literatures, typically with a narrow technical focus on model architecture and benchmark accuracy. Comparatively fewer treatments consider pest and disease surveillance jointly, or extend the analysis beyond detection accuracy to examine how artificial intelligence outputs are, or could be, integrated into functioning decision support systems that growers and plant protection agencies can trust and act upon. There is likewise limited synthesis of the practical constraints, data scarcity, model generalisability, interpretability, computational cost, and connectivity, that determine whether a given technical advance is deployable outside the research setting in which it was developed.</w:t>
      </w:r>
      <w:r w:rsidR="00EA17E7">
        <w:rPr>
          <w:rFonts w:ascii="Times New Roman" w:eastAsia="Times New Roman" w:hAnsi="Times New Roman" w:cs="Times New Roman"/>
          <w:sz w:val="24"/>
          <w:szCs w:val="24"/>
          <w:lang w:eastAsia="en-GB"/>
        </w:rPr>
        <w:t xml:space="preserve"> </w:t>
      </w:r>
      <w:r w:rsidRPr="00EA17E7">
        <w:rPr>
          <w:bCs/>
          <w:highlight w:val="yellow"/>
        </w:rPr>
        <w:t>Recent crop-protection literature also emphasises that artificial intelligence outputs require linkage with risk assessment, forecasting, expert systems, and decision support before they can consistently guide timely management decisions (Vidya Madhuri et al., 2025).</w:t>
      </w:r>
      <w:r w:rsidR="00EA17E7" w:rsidRPr="00EA17E7">
        <w:rPr>
          <w:rFonts w:ascii="Times New Roman" w:eastAsia="Times New Roman" w:hAnsi="Times New Roman" w:cs="Times New Roman"/>
          <w:bCs/>
          <w:sz w:val="24"/>
          <w:szCs w:val="24"/>
          <w:lang w:eastAsia="en-GB"/>
        </w:rPr>
        <w:t xml:space="preserve"> </w:t>
      </w:r>
      <w:r w:rsidRPr="00EA17E7">
        <w:rPr>
          <w:bCs/>
          <w:highlight w:val="yellow"/>
        </w:rPr>
        <w:t>This reinforces the research gap addressed in the present review: the need to examine how detection models, sensor outputs, and predictive systems are integrated into actionable, trustworthy, and deployable decision-support workflows under field and resource-constrained conditions.</w:t>
      </w:r>
    </w:p>
    <w:p w14:paraId="3B06775D"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This review addresses that gap by tracing the continuum from sensing and detection through to decision support, treating pest and disease surveillance as a single, related problem space rather than two separate literatures. Its objectives are threefold: first, to characterise the principal machine learning and deep learning approaches applied across imaging, sensor, and remote sensing modalities for pest and disease surveillance; second, to critically evaluate the technical and practical barriers that constrain translation of these approaches into reliable decision support tools; and third, to identify priority directions for research capable of closing the gap between detection performance reported in controlled studies and dependable performance under field deployment conditions. The review is deliberately narrative rather than systematic in structure, reflecting the breadth of methods and application domains under consideration, and is intended to be of use to computer scientists, plant pathologists, entomologists, and agricultural policy audiences alike.</w:t>
      </w:r>
    </w:p>
    <w:p w14:paraId="3EFF1DAE" w14:textId="77777777" w:rsidR="00A13324" w:rsidRPr="00EA17E7" w:rsidRDefault="00A13324" w:rsidP="00EA17E7">
      <w:pPr>
        <w:spacing w:before="100" w:beforeAutospacing="1" w:after="100" w:afterAutospacing="1" w:line="240" w:lineRule="auto"/>
        <w:jc w:val="both"/>
        <w:rPr>
          <w:rFonts w:ascii="Times New Roman" w:eastAsia="Times New Roman" w:hAnsi="Times New Roman" w:cs="Times New Roman"/>
          <w:bCs/>
          <w:sz w:val="24"/>
          <w:szCs w:val="24"/>
          <w:lang w:eastAsia="en-GB"/>
        </w:rPr>
      </w:pPr>
      <w:r w:rsidRPr="00EA17E7">
        <w:rPr>
          <w:bCs/>
          <w:highlight w:val="yellow"/>
        </w:rPr>
        <w:t>The specific objectives are to characterise the principal artificial intelligence and machine learning approaches used across imaging, sensor, and remote sensing modalities; to evaluate the technical and practical barriers that limit their translation into reliable decision support tools; and to identify priority research directions for improving field-deployable pest and disease surveillance systems.</w:t>
      </w:r>
    </w:p>
    <w:p w14:paraId="021DF352"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520C3DAC"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2. Methods for Literature Selection</w:t>
      </w:r>
    </w:p>
    <w:p w14:paraId="3AA6C1C2"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2.1 Databases Searched</w:t>
      </w:r>
    </w:p>
    <w:p w14:paraId="2A640AE4"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Literature for this review was identified through structured searches of Web of Science, Scopus, Google Scholar, and PubMed, supplemented by five field-specific indexing resources selected for their coverage of agricultural technology, plant pathology, and entomology: AGRICOLA, CAB Abstracts, AGRIS, the IEEE Xplore digital library for engineering and computing literature relevant to sensor and computer vision methods, and the Directory of Open Access Journals for verification of open-access peer-reviewed sources. This combination was chosen to capture both the computational literature, in which much of the methodological innovation in deep learning and computer vision originates, and the applied agricultural and entomological literature, in which validation under field conditions and domain-specific framing of the pest and disease problem are more commonly reported.</w:t>
      </w:r>
    </w:p>
    <w:p w14:paraId="5B029761"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lastRenderedPageBreak/>
        <w:t>2.2 Search Strings and Date Range</w:t>
      </w:r>
    </w:p>
    <w:p w14:paraId="0D765A2E"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Search strings combined controlled vocabulary and free-text terms across three conceptual clusters, connected with Boolean operators: an artificial intelligence cluster ("artificial intelligence" OR "machine learning" OR "deep learning" OR "convolutional neural network" OR "computer vision"); a surveillance target cluster ("plant disease" OR "crop disease" OR "insect pest" OR "pest detection" OR "pest monitoring" OR "pest surveillance"); and an application cluster ("decision support" OR "precision agriculture" OR "early warning" OR "remote sensing" OR "Internet of Things"). The literature search covered publications from January 2015 to 26 March 2026. The 2015 start point was selected to capture the period immediately preceding, and including, the emergence of deep learning-based plant disease detection as a distinct research stream, allowing the review to trace the field's development from its early convolutional neural network applications through to current transformer-based and multimodal approaches.</w:t>
      </w:r>
    </w:p>
    <w:p w14:paraId="106E4672"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2.3 Inclusion and Exclusion Criteria</w:t>
      </w:r>
    </w:p>
    <w:p w14:paraId="71912B93"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Studies were included if they reported the application of a machine learning or deep learning method to the detection, classification, monitoring, forecasting, or management of plant pests or diseases, and were published as peer-reviewed journal articles in English. Reviews, systematic reviews, and primary research articles were both eligible where they met methodological and topical relevance criteria. Authoritative institutional reports from bodies such as the Food and Agriculture Organization of the United Nations were included where they supplied verifiable statistics on crop losses or plant health policy, provided a stable and verifiable uniform resource locator was available. Studies were excluded if they concerned only conventional statistical modelling without a machine learning component, addressed animal or human disease surveillance without direct relevance to plant health, were published as conference proceedings, theses, books, preprints, or patents, or were not available in a peer-reviewed, indexed form. Studies focused exclusively on weed identification were excluded unless they formed part of a broader pest and disease monitoring framework, keeping the review's scope aligned with its stated focus.</w:t>
      </w:r>
    </w:p>
    <w:p w14:paraId="69418E07"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2.4 Rationale for a Narrative Review Approach</w:t>
      </w:r>
    </w:p>
    <w:p w14:paraId="12F2847A"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 narrative rather than systematic review methodology was adopted because the objective of this article is to synthesise and critically integrate a technically and disciplinarily heterogeneous literature, spanning computer science, plant pathology, entomology, and agricultural engineering, in a manner that supports conceptual development of the detection-to-decision-support continuum. Systematic reviews are best suited to narrow, well-defined questions amenable to structured effectiveness comparison, whereas narrative reviews permit the broader synthesis, cross-disciplinary integration, and interpretive discussion required when the aim is to characterise the trajectory and coherence of a rapidly diversifying field rather than to quantify the effect size of a single intervention (Grant &amp; Booth, 2009). This choice does not relax the expectation of a transparent and reasonably comprehensive search; it allows the reviewer greater latitude in selecting illustrative and influential studies capable of representing the diversity of methodological approaches under consideration.</w:t>
      </w:r>
    </w:p>
    <w:p w14:paraId="7CD0FF4E"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2.5 Screening Workflow and Selection of Influential Studies</w:t>
      </w:r>
    </w:p>
    <w:p w14:paraId="78DF3C02"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Records retrieved from database searches were first screened by title and abstract to remove studies clearly outside scope, such as those addressing unrelated domains of computer vision or agricultural mechanisation without a pest or disease surveillance component. Duplicate records arising from overlapping database coverage were identified by matching digital object identifiers and title strings and were removed prior to full-text screening. Full texts of remaining records were then assessed against the inclusion and exclusion criteria above. Where multiple studies addressed a closely related technical problem, such as convolutional neural network classification of a particular crop disease, preference was given to studies published in higher-impact venues, studies reporting validation on field-collected rather than exclusively laboratory-curated images, and studies with substantial citation counts as an indicator of influence within the field, consistent with the guidance on identifying seminal contributions within a defined typology of review types (Grant &amp; Booth, 2009). No language restriction beyond the requirement for English-language publication was applied at the search stage, though the final selected corpus consists predominantly of English-language articles, reflecting the composition of the indexed databases searched.</w:t>
      </w:r>
    </w:p>
    <w:p w14:paraId="270E0F7D"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2.6 Summary of Search Strategy</w:t>
      </w:r>
    </w:p>
    <w:p w14:paraId="61750480"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1 summarises the principal elements of the search strategy described above, including the databases consulted, the date range applied, and the inclusion and exclusion criteria used to screen candidate studies. The table is intended to make the review's search process transparent and, so far as a narrative format allows, reproducible.</w:t>
      </w:r>
    </w:p>
    <w:p w14:paraId="613A9763"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1. Summary of the literature search strategy</w:t>
      </w:r>
    </w:p>
    <w:tbl>
      <w:tblPr>
        <w:tblStyle w:val="LightList-Accent5"/>
        <w:tblW w:w="0" w:type="auto"/>
        <w:tblLook w:val="04A0" w:firstRow="1" w:lastRow="0" w:firstColumn="1" w:lastColumn="0" w:noHBand="0" w:noVBand="1"/>
      </w:tblPr>
      <w:tblGrid>
        <w:gridCol w:w="1595"/>
        <w:gridCol w:w="7647"/>
      </w:tblGrid>
      <w:tr w:rsidR="00A13324" w:rsidRPr="00A13324" w14:paraId="23C7BA80"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E9898"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Element</w:t>
            </w:r>
          </w:p>
        </w:tc>
        <w:tc>
          <w:tcPr>
            <w:tcW w:w="0" w:type="auto"/>
            <w:hideMark/>
          </w:tcPr>
          <w:p w14:paraId="53C0BAB6"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Specification</w:t>
            </w:r>
          </w:p>
        </w:tc>
      </w:tr>
      <w:tr w:rsidR="00A13324" w:rsidRPr="00A13324" w14:paraId="2D05D481"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4A86EF"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Databases</w:t>
            </w:r>
          </w:p>
        </w:tc>
        <w:tc>
          <w:tcPr>
            <w:tcW w:w="0" w:type="auto"/>
            <w:hideMark/>
          </w:tcPr>
          <w:p w14:paraId="06274EC7"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Web of Science, Scopus, Google Scholar, PubMed, AGRICOLA, CAB Abstracts, AGRIS, IEEE Xplore, DOAJ</w:t>
            </w:r>
          </w:p>
        </w:tc>
      </w:tr>
      <w:tr w:rsidR="00A13324" w:rsidRPr="00A13324" w14:paraId="6A710AC7"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53B612C8"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Date range</w:t>
            </w:r>
          </w:p>
        </w:tc>
        <w:tc>
          <w:tcPr>
            <w:tcW w:w="0" w:type="auto"/>
            <w:hideMark/>
          </w:tcPr>
          <w:p w14:paraId="0AFB6C29"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January 2015 – 26 March 2026</w:t>
            </w:r>
          </w:p>
        </w:tc>
      </w:tr>
      <w:tr w:rsidR="00A13324" w:rsidRPr="00A13324" w14:paraId="5A71BF80"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B762BE"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Core search clusters</w:t>
            </w:r>
          </w:p>
        </w:tc>
        <w:tc>
          <w:tcPr>
            <w:tcW w:w="0" w:type="auto"/>
            <w:hideMark/>
          </w:tcPr>
          <w:p w14:paraId="4F53BC75"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Artificial intelligence/machine learning; pest/disease surveillance target; application domain (decision support, precision agriculture, remote sensing)</w:t>
            </w:r>
          </w:p>
        </w:tc>
      </w:tr>
      <w:tr w:rsidR="00A13324" w:rsidRPr="00A13324" w14:paraId="306621C1"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58CC7A06"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Inclusion criteria</w:t>
            </w:r>
          </w:p>
        </w:tc>
        <w:tc>
          <w:tcPr>
            <w:tcW w:w="0" w:type="auto"/>
            <w:hideMark/>
          </w:tcPr>
          <w:p w14:paraId="377220EE"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Peer-reviewed journal articles; English language; machine learning/deep learning component; direct relevance to plant pest or disease surveillance</w:t>
            </w:r>
          </w:p>
        </w:tc>
      </w:tr>
      <w:tr w:rsidR="00A13324" w:rsidRPr="00A13324" w14:paraId="2BDC7236"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29B40A"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Exclusion criteria</w:t>
            </w:r>
          </w:p>
        </w:tc>
        <w:tc>
          <w:tcPr>
            <w:tcW w:w="0" w:type="auto"/>
            <w:hideMark/>
          </w:tcPr>
          <w:p w14:paraId="2FECD60D"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Conference proceedings, theses, books, preprints, patents; non-peer-reviewed sources; studies without a machine learning component; weed-only studies outside a broader pest/disease framework</w:t>
            </w:r>
          </w:p>
        </w:tc>
      </w:tr>
      <w:tr w:rsidR="00A13324" w:rsidRPr="00A13324" w14:paraId="428A9E84"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43165204"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Review type</w:t>
            </w:r>
          </w:p>
        </w:tc>
        <w:tc>
          <w:tcPr>
            <w:tcW w:w="0" w:type="auto"/>
            <w:hideMark/>
          </w:tcPr>
          <w:p w14:paraId="4A553978"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Narrative, with structured multi-database search and documented screening</w:t>
            </w:r>
          </w:p>
        </w:tc>
      </w:tr>
      <w:tr w:rsidR="00A13324" w:rsidRPr="00A13324" w14:paraId="20699E1D"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EFF356"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Duplicate handling</w:t>
            </w:r>
          </w:p>
        </w:tc>
        <w:tc>
          <w:tcPr>
            <w:tcW w:w="0" w:type="auto"/>
            <w:hideMark/>
          </w:tcPr>
          <w:p w14:paraId="42570BB9"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Digital object identifier and title matching prior to full-text screening</w:t>
            </w:r>
          </w:p>
        </w:tc>
      </w:tr>
    </w:tbl>
    <w:p w14:paraId="0EE37337"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Source: search strategy design informed by Grant and Booth (2009).</w:t>
      </w:r>
    </w:p>
    <w:p w14:paraId="46C7ACB1"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7538E67A"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3. Foundations of Machine Learning and Deep Learning for Surveillance</w:t>
      </w:r>
    </w:p>
    <w:p w14:paraId="22EED0E8"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3.1 From Classical Machine Learning to Deep Architectures</w:t>
      </w:r>
    </w:p>
    <w:p w14:paraId="3ED10E0D"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Early applications of computational methods to pest and disease identification relied on classical machine learning algorithms operating on hand-engineered features, such as colour histograms, texture descriptors, and shape measurements extracted from leaf or insect images, classified using support vector machines, random forests, or k-nearest neighbour algorithms (</w:t>
      </w:r>
      <w:proofErr w:type="spellStart"/>
      <w:r w:rsidRPr="00A13324">
        <w:rPr>
          <w:rFonts w:ascii="Times New Roman" w:eastAsia="Times New Roman" w:hAnsi="Times New Roman" w:cs="Times New Roman"/>
          <w:sz w:val="24"/>
          <w:szCs w:val="24"/>
          <w:lang w:eastAsia="en-GB"/>
        </w:rPr>
        <w:t>Pydipati</w:t>
      </w:r>
      <w:proofErr w:type="spellEnd"/>
      <w:r w:rsidRPr="00A13324">
        <w:rPr>
          <w:rFonts w:ascii="Times New Roman" w:eastAsia="Times New Roman" w:hAnsi="Times New Roman" w:cs="Times New Roman"/>
          <w:sz w:val="24"/>
          <w:szCs w:val="24"/>
          <w:lang w:eastAsia="en-GB"/>
        </w:rPr>
        <w:t xml:space="preserve"> et al., 2006). These approaches demonstrated the feasibility of automated classification but required considerable domain expertise to design effective feature extractors and generalised poorly when lighting, background, or symptom presentation varied from the conditions under which the feature set was designed.</w:t>
      </w:r>
    </w:p>
    <w:p w14:paraId="7514E448"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The introduction of convolutional neural networks capable of learning hierarchical feature representations directly from raw pixel data removed much of this manual feature engineering burden and produced a substantial improvement in classification accuracy across plant disease benchmarks (Mohanty et al., 2016). Convolutional architectures such as residual networks, densely connected networks, and lightweight mobile architectures have since become the dominant approach for image-based classification of both plant disease symptoms and insect pests, with systematic reviews reporting their consistent superiority over classical feature-based methods across a wide range of crop and disease combinations (Pacal et al., 2024; Shoaib et al., 2023). More recently, vision transformer architectures, which model long-range spatial dependencies through self-attention mechanisms rather than local convolutional filters, have been applied to plant disease classification with competitive or superior performance in several benchmark comparisons, particularly where subtle or diffuse symptom patterns are involved.</w:t>
      </w:r>
    </w:p>
    <w:p w14:paraId="3D869D03"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3.2 Object Detection and Localisation Frameworks</w:t>
      </w:r>
    </w:p>
    <w:p w14:paraId="7042437E"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Classification models assign a single label to an image and are well suited to controlled settings in which a single symptom or specimen dominates the frame. Field deployment, however, more often requires localisation of multiple instances within a cluttered scene, for example several insects on a sticky trap or several disease lesions on a single leaf. Object detection frameworks address this requirement by simultaneously predicting bounding boxes and class labels for each instance present. Two-stage detectors such as Faster region-based convolutional neural networks offer high localisation accuracy at the cost of inference speed, whereas single-stage detectors in the You Only Look Once family have become increasingly favoured for pest and disease surveillance applications owing to their substantially faster inference, a property of particular importance for real-time deployment on embedded or mobile hardware in the field (</w:t>
      </w:r>
      <w:proofErr w:type="spellStart"/>
      <w:r w:rsidRPr="00A13324">
        <w:rPr>
          <w:rFonts w:ascii="Times New Roman" w:eastAsia="Times New Roman" w:hAnsi="Times New Roman" w:cs="Times New Roman"/>
          <w:sz w:val="24"/>
          <w:szCs w:val="24"/>
          <w:lang w:eastAsia="en-GB"/>
        </w:rPr>
        <w:t>Aldakheel</w:t>
      </w:r>
      <w:proofErr w:type="spellEnd"/>
      <w:r w:rsidRPr="00A13324">
        <w:rPr>
          <w:rFonts w:ascii="Times New Roman" w:eastAsia="Times New Roman" w:hAnsi="Times New Roman" w:cs="Times New Roman"/>
          <w:sz w:val="24"/>
          <w:szCs w:val="24"/>
          <w:lang w:eastAsia="en-GB"/>
        </w:rPr>
        <w:t xml:space="preserve"> et al., 2024).</w:t>
      </w:r>
    </w:p>
    <w:p w14:paraId="39243CF3"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Successive iterations of the You Only Look Once architecture have been adapted specifically for agricultural pest detection tasks. A maize-focused variant incorporating adjustments for small object detection and dense insect clustering achieved high precision while maintaining inference speeds compatible with field deployment (Yang et al., 2023). Comparable adaptations have addressed the particular challenge posed by pest datasets, in which target objects are frequently small relative to the image frame, occur at highly variable scales, and belong to visually similar classes that are difficult even for trained entomologists to distinguish without magnification. These architectural adaptations illustrate a broader pattern in the literature: general-purpose computer vision architectures require domain-specific modification to perform reliably on the particular visual statistics of pest and disease imagery, rather than being deployable unmodified from benchmark datasets designed for other object categories.</w:t>
      </w:r>
    </w:p>
    <w:p w14:paraId="3E42F9A3"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lastRenderedPageBreak/>
        <w:t>3.3 Summary of Core Model Families</w:t>
      </w:r>
    </w:p>
    <w:p w14:paraId="2A6FC75F"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2 draws together the model families discussed above, from classical feature-based classifiers through to modern object detectors, and links each to a representative study. The progression down the table broadly tracks the historical development of the field, with each successive family addressing a limitation of the one before it, whether that is manual feature engineering, limited representational capacity, or slow inference speed.</w:t>
      </w:r>
    </w:p>
    <w:p w14:paraId="1D40433B"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2. Principal machine learning and deep learning approaches applied to pest and disease surveillance</w:t>
      </w:r>
    </w:p>
    <w:tbl>
      <w:tblPr>
        <w:tblStyle w:val="LightList-Accent5"/>
        <w:tblW w:w="0" w:type="auto"/>
        <w:tblLook w:val="04A0" w:firstRow="1" w:lastRow="0" w:firstColumn="1" w:lastColumn="0" w:noHBand="0" w:noVBand="1"/>
      </w:tblPr>
      <w:tblGrid>
        <w:gridCol w:w="2723"/>
        <w:gridCol w:w="2336"/>
        <w:gridCol w:w="2661"/>
        <w:gridCol w:w="1522"/>
      </w:tblGrid>
      <w:tr w:rsidR="00A13324" w:rsidRPr="00A13324" w14:paraId="0E0B1D04"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5FFF5B"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Model family</w:t>
            </w:r>
          </w:p>
        </w:tc>
        <w:tc>
          <w:tcPr>
            <w:tcW w:w="0" w:type="auto"/>
            <w:hideMark/>
          </w:tcPr>
          <w:p w14:paraId="0ED4267F"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Representative task</w:t>
            </w:r>
          </w:p>
        </w:tc>
        <w:tc>
          <w:tcPr>
            <w:tcW w:w="0" w:type="auto"/>
            <w:hideMark/>
          </w:tcPr>
          <w:p w14:paraId="7BD580D8"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Key characteristics</w:t>
            </w:r>
          </w:p>
        </w:tc>
        <w:tc>
          <w:tcPr>
            <w:tcW w:w="0" w:type="auto"/>
            <w:hideMark/>
          </w:tcPr>
          <w:p w14:paraId="48BCCCD7"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55A82530"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64CBD0"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Classical machine learning (support vector machine, random forest)</w:t>
            </w:r>
          </w:p>
        </w:tc>
        <w:tc>
          <w:tcPr>
            <w:tcW w:w="0" w:type="auto"/>
            <w:hideMark/>
          </w:tcPr>
          <w:p w14:paraId="44EBCE97"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Feature-based disease/pest classification</w:t>
            </w:r>
          </w:p>
        </w:tc>
        <w:tc>
          <w:tcPr>
            <w:tcW w:w="0" w:type="auto"/>
            <w:hideMark/>
          </w:tcPr>
          <w:p w14:paraId="25616381"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Requires hand-engineered features; limited generalisation across conditions</w:t>
            </w:r>
          </w:p>
        </w:tc>
        <w:tc>
          <w:tcPr>
            <w:tcW w:w="0" w:type="auto"/>
            <w:hideMark/>
          </w:tcPr>
          <w:p w14:paraId="24330DE1"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Pydipati</w:t>
            </w:r>
            <w:proofErr w:type="spellEnd"/>
            <w:r w:rsidRPr="00A13324">
              <w:rPr>
                <w:rFonts w:ascii="Times New Roman" w:eastAsia="Times New Roman" w:hAnsi="Times New Roman" w:cs="Times New Roman"/>
                <w:sz w:val="24"/>
                <w:szCs w:val="24"/>
                <w:lang w:eastAsia="en-GB"/>
              </w:rPr>
              <w:t xml:space="preserve"> et al. (2006)</w:t>
            </w:r>
          </w:p>
        </w:tc>
      </w:tr>
      <w:tr w:rsidR="00A13324" w:rsidRPr="00A13324" w14:paraId="663425A6"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2EA781F9"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Convolutional neural networks</w:t>
            </w:r>
          </w:p>
        </w:tc>
        <w:tc>
          <w:tcPr>
            <w:tcW w:w="0" w:type="auto"/>
            <w:hideMark/>
          </w:tcPr>
          <w:p w14:paraId="6B31F7A2"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Leaf disease classification</w:t>
            </w:r>
          </w:p>
        </w:tc>
        <w:tc>
          <w:tcPr>
            <w:tcW w:w="0" w:type="auto"/>
            <w:hideMark/>
          </w:tcPr>
          <w:p w14:paraId="76F5FB4F"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Learns hierarchical features from raw images; strong benchmark performance</w:t>
            </w:r>
          </w:p>
        </w:tc>
        <w:tc>
          <w:tcPr>
            <w:tcW w:w="0" w:type="auto"/>
            <w:hideMark/>
          </w:tcPr>
          <w:p w14:paraId="55B6F079"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Mohanty et al. (2016)</w:t>
            </w:r>
          </w:p>
        </w:tc>
      </w:tr>
      <w:tr w:rsidR="00A13324" w:rsidRPr="00A13324" w14:paraId="1A022C4D"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954D62"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Vision transformers</w:t>
            </w:r>
          </w:p>
        </w:tc>
        <w:tc>
          <w:tcPr>
            <w:tcW w:w="0" w:type="auto"/>
            <w:hideMark/>
          </w:tcPr>
          <w:p w14:paraId="6FC6A102"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Disease classification with complex symptom patterns</w:t>
            </w:r>
          </w:p>
        </w:tc>
        <w:tc>
          <w:tcPr>
            <w:tcW w:w="0" w:type="auto"/>
            <w:hideMark/>
          </w:tcPr>
          <w:p w14:paraId="321BC609"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Models long-range spatial dependencies via self-attention</w:t>
            </w:r>
          </w:p>
        </w:tc>
        <w:tc>
          <w:tcPr>
            <w:tcW w:w="0" w:type="auto"/>
            <w:hideMark/>
          </w:tcPr>
          <w:p w14:paraId="6E8907EE"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Pacal et al. (2024)</w:t>
            </w:r>
          </w:p>
        </w:tc>
      </w:tr>
      <w:tr w:rsidR="00A13324" w:rsidRPr="00A13324" w14:paraId="67AF7ED1"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606A3CBE"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Two-stage object detectors (Faster region-based convolutional neural network)</w:t>
            </w:r>
          </w:p>
        </w:tc>
        <w:tc>
          <w:tcPr>
            <w:tcW w:w="0" w:type="auto"/>
            <w:hideMark/>
          </w:tcPr>
          <w:p w14:paraId="66A93CC2"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Multi-instance pest/disease localisation</w:t>
            </w:r>
          </w:p>
        </w:tc>
        <w:tc>
          <w:tcPr>
            <w:tcW w:w="0" w:type="auto"/>
            <w:hideMark/>
          </w:tcPr>
          <w:p w14:paraId="058CC25C"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High localisation accuracy; slower inference</w:t>
            </w:r>
          </w:p>
        </w:tc>
        <w:tc>
          <w:tcPr>
            <w:tcW w:w="0" w:type="auto"/>
            <w:hideMark/>
          </w:tcPr>
          <w:p w14:paraId="0408FBC6"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Aldakheel</w:t>
            </w:r>
            <w:proofErr w:type="spellEnd"/>
            <w:r w:rsidRPr="00A13324">
              <w:rPr>
                <w:rFonts w:ascii="Times New Roman" w:eastAsia="Times New Roman" w:hAnsi="Times New Roman" w:cs="Times New Roman"/>
                <w:sz w:val="24"/>
                <w:szCs w:val="24"/>
                <w:lang w:eastAsia="en-GB"/>
              </w:rPr>
              <w:t xml:space="preserve"> et al. (2024)</w:t>
            </w:r>
          </w:p>
        </w:tc>
      </w:tr>
      <w:tr w:rsidR="00A13324" w:rsidRPr="00A13324" w14:paraId="2710CEC0"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A1185A"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Single-stage object detectors (You Only Look Once family)</w:t>
            </w:r>
          </w:p>
        </w:tc>
        <w:tc>
          <w:tcPr>
            <w:tcW w:w="0" w:type="auto"/>
            <w:hideMark/>
          </w:tcPr>
          <w:p w14:paraId="09301B47"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Real-time pest detection</w:t>
            </w:r>
          </w:p>
        </w:tc>
        <w:tc>
          <w:tcPr>
            <w:tcW w:w="0" w:type="auto"/>
            <w:hideMark/>
          </w:tcPr>
          <w:p w14:paraId="15931975"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Fast inference suited to field and embedded deployment</w:t>
            </w:r>
          </w:p>
        </w:tc>
        <w:tc>
          <w:tcPr>
            <w:tcW w:w="0" w:type="auto"/>
            <w:hideMark/>
          </w:tcPr>
          <w:p w14:paraId="47446CDA"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Yang et al. (2023)</w:t>
            </w:r>
          </w:p>
        </w:tc>
      </w:tr>
    </w:tbl>
    <w:p w14:paraId="4AD85046"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 xml:space="preserve">Sources: </w:t>
      </w:r>
      <w:proofErr w:type="spellStart"/>
      <w:r w:rsidRPr="00A13324">
        <w:rPr>
          <w:rFonts w:ascii="Times New Roman" w:eastAsia="Times New Roman" w:hAnsi="Times New Roman" w:cs="Times New Roman"/>
          <w:i/>
          <w:iCs/>
          <w:sz w:val="24"/>
          <w:szCs w:val="24"/>
          <w:lang w:eastAsia="en-GB"/>
        </w:rPr>
        <w:t>Pydipati</w:t>
      </w:r>
      <w:proofErr w:type="spellEnd"/>
      <w:r w:rsidRPr="00A13324">
        <w:rPr>
          <w:rFonts w:ascii="Times New Roman" w:eastAsia="Times New Roman" w:hAnsi="Times New Roman" w:cs="Times New Roman"/>
          <w:i/>
          <w:iCs/>
          <w:sz w:val="24"/>
          <w:szCs w:val="24"/>
          <w:lang w:eastAsia="en-GB"/>
        </w:rPr>
        <w:t xml:space="preserve"> et al. (2006); Mohanty et al. (2016); Pacal et al. (2024); </w:t>
      </w:r>
      <w:proofErr w:type="spellStart"/>
      <w:r w:rsidRPr="00A13324">
        <w:rPr>
          <w:rFonts w:ascii="Times New Roman" w:eastAsia="Times New Roman" w:hAnsi="Times New Roman" w:cs="Times New Roman"/>
          <w:i/>
          <w:iCs/>
          <w:sz w:val="24"/>
          <w:szCs w:val="24"/>
          <w:lang w:eastAsia="en-GB"/>
        </w:rPr>
        <w:t>Aldakheel</w:t>
      </w:r>
      <w:proofErr w:type="spellEnd"/>
      <w:r w:rsidRPr="00A13324">
        <w:rPr>
          <w:rFonts w:ascii="Times New Roman" w:eastAsia="Times New Roman" w:hAnsi="Times New Roman" w:cs="Times New Roman"/>
          <w:i/>
          <w:iCs/>
          <w:sz w:val="24"/>
          <w:szCs w:val="24"/>
          <w:lang w:eastAsia="en-GB"/>
        </w:rPr>
        <w:t xml:space="preserve"> et al. (2024); Yang et al. (2023).</w:t>
      </w:r>
    </w:p>
    <w:p w14:paraId="678C73EE"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12485DE3"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4. Sensing Modalities and Data Acquisition for Surveillance</w:t>
      </w:r>
    </w:p>
    <w:p w14:paraId="7D467A91"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4.1 Imaging Sensors: From Visible Light to Hyperspectral Data</w:t>
      </w:r>
    </w:p>
    <w:p w14:paraId="13D91A38"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The overwhelming majority of published pest and disease detection studies rely on red-green-blue imagery captured by conventional cameras or smartphones, reflecting the low cost and wide availability of this sensing modality. Hyperspectral and multispectral imaging extend this capability by capturing reflectance across dozens or hundreds of narrow spectral bands, enabling detection of physiological changes associated with early-stage infection or infestation before visible symptoms appear. Hyperspectral approaches have demonstrated the capacity to distinguish among multiple insect pest species within cereal crops based on subtle </w:t>
      </w:r>
      <w:r w:rsidRPr="00A13324">
        <w:rPr>
          <w:rFonts w:ascii="Times New Roman" w:eastAsia="Times New Roman" w:hAnsi="Times New Roman" w:cs="Times New Roman"/>
          <w:sz w:val="24"/>
          <w:szCs w:val="24"/>
          <w:lang w:eastAsia="en-GB"/>
        </w:rPr>
        <w:lastRenderedPageBreak/>
        <w:t xml:space="preserve">spectral signatures arising from differences in colouration and surface morphology, achieving high classification accuracy for species with distinct spectral properties while showing somewhat reduced accuracy for smaller or darker-coloured insects whose spectral signal is weaker (Yamada et al., 2024). Comparable hyperspectral pipelines have been applied to early detection of fungal pathogens such as wheat stem rust, where machine learning classifiers trained on carefully </w:t>
      </w:r>
      <w:proofErr w:type="spellStart"/>
      <w:r w:rsidRPr="00A13324">
        <w:rPr>
          <w:rFonts w:ascii="Times New Roman" w:eastAsia="Times New Roman" w:hAnsi="Times New Roman" w:cs="Times New Roman"/>
          <w:sz w:val="24"/>
          <w:szCs w:val="24"/>
          <w:lang w:eastAsia="en-GB"/>
        </w:rPr>
        <w:t>preprocessed</w:t>
      </w:r>
      <w:proofErr w:type="spellEnd"/>
      <w:r w:rsidRPr="00A13324">
        <w:rPr>
          <w:rFonts w:ascii="Times New Roman" w:eastAsia="Times New Roman" w:hAnsi="Times New Roman" w:cs="Times New Roman"/>
          <w:sz w:val="24"/>
          <w:szCs w:val="24"/>
          <w:lang w:eastAsia="en-GB"/>
        </w:rPr>
        <w:t xml:space="preserve"> spectral data achieved substantial improvements in classification accuracy relative to raw spectral input, underscoring the importance of preprocessing pipelines in extracting usable signal from noisy hyperspectral data streams (Fedotov et al., 2025). Complementary work coupling proximal remote sensing with molecular diagnostics has shown that machine learning classifiers can detect wheat stripe rust during its latent, pre-symptomatic period, offering a diagnostic window considerably earlier than visual inspection alone (Liu et al., 2023), while vibrational spectroscopy combined with machine learning has similarly been used to flag corn leaf disease at a stage before symptoms become visually apparent (Ni et al., 2024). Taken together, these spectroscopic approaches point toward a diagnostic capability that operates ahead of, rather than merely alongside, visual symptom recognition.</w:t>
      </w:r>
    </w:p>
    <w:p w14:paraId="0ACF8E78"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4.2 Internet of Things Devices and Smart Traps</w:t>
      </w:r>
    </w:p>
    <w:p w14:paraId="579946F1"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 parallel stream of development has focused on networked sensor devices deployed directly in the field. Smart insect traps equipped with cameras, environmental sensors, and onboard or cloud-connected processing capability allow continuous, unattended monitoring of pest populations, replacing the labour-intensive practice of manual trap inspection. Reviews of Internet of Things-enabled disease monitoring systems emphasise the complementary strengths of networked sensing for data collection, storage, and communication, and deep learning for automated feature extraction and classification, arguing that the integration of these two technology streams constitutes a key enabling combination for scalable plant health monitoring (Dhaka et al., 2023). Multi-model architectures that combine Internet of Things sensor data with several deep learning classifiers running in parallel have likewise been proposed for early corn disease detection, with the intention of using agreement across models as an additional signal of diagnostic confidence rather than relying on any single classifier in isolation (Rashid et al., 2024). Comparable architectures for remote insect trap monitoring have paired convolutional detection models with wireless connectivity to deliver near real-time pest counts to central servers, substantially reducing the labour burden associated with manual trap inspection while introducing new engineering challenges around power supply, connectivity in remote agricultural settings, and on-device computational constraints.</w:t>
      </w:r>
    </w:p>
    <w:p w14:paraId="2E4371FB"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Broader reviews of smart sensor technologies for precision agriculture situate insect and disease sensing within a wider ecosystem of soil, weather, and crop-health sensors, arguing that the value of any individual sensing modality is substantially enhanced when integrated with complementary data streams within a unified monitoring architecture rather than deployed in isolation (Soussi et al., 2024).</w:t>
      </w:r>
    </w:p>
    <w:p w14:paraId="6C786945"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4.3 Unmanned Aerial Vehicles and Satellite Remote Sensing</w:t>
      </w:r>
    </w:p>
    <w:p w14:paraId="626B7A05"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At the field and landscape scale, unmanned aerial vehicles equipped with multispectral or thermal sensors have extended pest and disease surveillance beyond the point-based measurements available from ground sensors, enabling systematic mapping of disease progression or pest infestation across entire fields. Systematic reviews of remote sensing </w:t>
      </w:r>
      <w:r w:rsidRPr="00A13324">
        <w:rPr>
          <w:rFonts w:ascii="Times New Roman" w:eastAsia="Times New Roman" w:hAnsi="Times New Roman" w:cs="Times New Roman"/>
          <w:sz w:val="24"/>
          <w:szCs w:val="24"/>
          <w:lang w:eastAsia="en-GB"/>
        </w:rPr>
        <w:lastRenderedPageBreak/>
        <w:t>technologies applied to agricultural insect pest monitoring highlight their particular value for species exhibiting large-scale, migratory population dynamics, where ground-based sampling alone cannot capture the spatial extent of an emerging outbreak, drawing specific lessons from efforts to monitor and control locust populations across large and often inaccessible geographic areas (</w:t>
      </w: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 At still larger scales, satellite-derived vegetation indices and soil moisture products have been coupled with machine learning classifiers to identify environmental conditions favourable to outbreak development, an approach discussed further in Section 7 in relation to landscape-scale pest forecasting.</w:t>
      </w:r>
    </w:p>
    <w:p w14:paraId="5034F8B1"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4.4 Data Fusion Across Modalities</w:t>
      </w:r>
    </w:p>
    <w:p w14:paraId="1B358734"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 recurring theme across the sensing-focused studies reviewed in this section is the recognition that no single modality captures the full complexity of pest and disease dynamics: imaging sensors excel at symptom or specimen identification but offer limited insight into underlying environmental drivers, while environmental and meteorological sensors capture conditions favourable to outbreak development without directly confirming pest or pathogen presence. Integrating these complementary data streams, whether through simple rule-based fusion or through machine learning models trained on combined feature sets, has been consistently identified as a means of improving both detection sensitivity and the timeliness of early warning, though the practical implementation of such fusion pipelines remains considerably less mature than single-modality detection systems and is identified in Section 8 as an area warranting further methodological development.</w:t>
      </w:r>
    </w:p>
    <w:p w14:paraId="6F9094C1"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18A7992A"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5. From Detection to Diagnosis: Artificial Intelligence in Plant Disease Identification</w:t>
      </w:r>
    </w:p>
    <w:p w14:paraId="70ABAD35"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5.1 Convolutional Classification of Disease Symptoms</w:t>
      </w:r>
    </w:p>
    <w:p w14:paraId="0520B900"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The classification of plant disease symptoms from leaf imagery remains the most extensively studied application within this literature, with systematic reviews analysing well over one hundred primary studies published between 2020 and 2024 alone, spanning classification, detection, and segmentation tasks across a wide range of crop species (Pacal et al., 2024). Comparative studies evaluating multiple classification architectures side by side against shared performance benchmarks have similarly found that the relative ranking of models depends heavily on the specific crop, disease, and imaging condition under test, cautioning against treating any single architecture as universally superior (</w:t>
      </w:r>
      <w:proofErr w:type="spellStart"/>
      <w:r w:rsidRPr="00A13324">
        <w:rPr>
          <w:rFonts w:ascii="Times New Roman" w:eastAsia="Times New Roman" w:hAnsi="Times New Roman" w:cs="Times New Roman"/>
          <w:sz w:val="24"/>
          <w:szCs w:val="24"/>
          <w:lang w:eastAsia="en-GB"/>
        </w:rPr>
        <w:t>Demilie</w:t>
      </w:r>
      <w:proofErr w:type="spellEnd"/>
      <w:r w:rsidRPr="00A13324">
        <w:rPr>
          <w:rFonts w:ascii="Times New Roman" w:eastAsia="Times New Roman" w:hAnsi="Times New Roman" w:cs="Times New Roman"/>
          <w:sz w:val="24"/>
          <w:szCs w:val="24"/>
          <w:lang w:eastAsia="en-GB"/>
        </w:rPr>
        <w:t xml:space="preserve">, 2024). A representative example of this body of work applied a residual network architecture with more than one hundred layers to the classification of four corn leaf conditions, achieving very high training and testing accuracy while incorporating gradient-based visualisation to highlight the image regions driving each classification decision (Gopalan et al., 2025). Attention-based architectures have been applied to a related problem, that of correctly identifying compound infections in which more than one disease affects the same leaf simultaneously, a scenario poorly represented in single-label benchmark datasets but common under field conditions (Dong et al., 2024). Reported accuracy on curated benchmark datasets such as </w:t>
      </w:r>
      <w:proofErr w:type="spellStart"/>
      <w:r w:rsidRPr="00A13324">
        <w:rPr>
          <w:rFonts w:ascii="Times New Roman" w:eastAsia="Times New Roman" w:hAnsi="Times New Roman" w:cs="Times New Roman"/>
          <w:sz w:val="24"/>
          <w:szCs w:val="24"/>
          <w:lang w:eastAsia="en-GB"/>
        </w:rPr>
        <w:t>PlantVillage</w:t>
      </w:r>
      <w:proofErr w:type="spellEnd"/>
      <w:r w:rsidRPr="00A13324">
        <w:rPr>
          <w:rFonts w:ascii="Times New Roman" w:eastAsia="Times New Roman" w:hAnsi="Times New Roman" w:cs="Times New Roman"/>
          <w:sz w:val="24"/>
          <w:szCs w:val="24"/>
          <w:lang w:eastAsia="en-GB"/>
        </w:rPr>
        <w:t xml:space="preserve"> frequently exceeds ninety-five per cent, though, as discussed in Section 8, this performance often declines substantially when models are evaluated on field-collected imagery exhibiting greater variability in background, lighting, and symptom presentation than the curated training data.</w:t>
      </w:r>
    </w:p>
    <w:p w14:paraId="5365FA75"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Lightweight architectures optimised for deployment on mobile or resource-constrained devices have received particular attention given the practical requirement that diagnostic tools be usable by farmers and extension officers without access to high-performance computing infrastructure. Mobile-oriented systems trained to detect maize leaf diseases and deployed via smartphone applications have demonstrated that acceptable classification accuracy can be achieved even with the computational constraints imposed by mobile hardware, an important consideration for adoption in resource-limited farming contexts (Khan et al., 2023). Field evaluation of a comparable offline smartphone application, tested against expert diagnosticians, extension officers, and farmers in East Africa for the detection of cassava viral diseases, found that the application's diagnostic accuracy exceeded that of both extension officers and farmers and approached that of trained researchers, offering direct evidence that mobile artificial intelligence tools can meaningfully close the expertise gap in regions where diagnostic specialists are scarce (Mrisho et al., 2020).</w:t>
      </w:r>
    </w:p>
    <w:p w14:paraId="0A4642F5"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5.2 Transfer Learning and Data-Efficient Approaches</w:t>
      </w:r>
    </w:p>
    <w:p w14:paraId="44836C6C"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 persistent constraint on deep learning-based disease classification is the substantial volume of labelled training data typically required to achieve robust performance, a requirement poorly matched to the practical reality that field-collected, expert-annotated disease imagery remains scarce for many crop and pathogen combinations, particularly for minor or regionally specific diseases. Transfer learning, in which a model pretrained on a large generic image dataset is fine-tuned on a smaller domain-specific dataset, has become the default strategy for addressing this constraint. Foundational work demonstrated that both dataset size and the diversity of imaging conditions represented within that dataset substantially influence the effectiveness of transfer learning for plant disease classification, with models trained on narrow, homogeneous datasets showing markedly reduced generalisation when applied to images collected under different conditions (</w:t>
      </w: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2018). This finding has proven durable across subsequent years of research and underpins much of the current emphasis on dataset diversity, rather than dataset size alone, as the primary lever for improving model robustness.</w:t>
      </w:r>
    </w:p>
    <w:p w14:paraId="00E346A7"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Generative adversarial networks have emerged as a complementary strategy for addressing data scarcity, synthesising additional training images that expand the effective diversity of limited datasets without requiring additional field data collection. Systematic reviews of generative adversarial network applications in agricultural image augmentation report consistent improvements in downstream classification accuracy when synthetic images are incorporated into training pipelines, particularly for disease classes with very few available field examples (Lu et al., 2022). Architectures combining a generator, discriminator, and classifier within a single framework have demonstrated further gains by using the generative component not merely to augment training data but to directly balance class distributions within imbalanced plant disease datasets (Wang &amp; Cao, 2023). Earlier work applying generative adversarial networks under explicitly limited training conditions similarly demonstrated meaningful accuracy improvements over conventional data augmentation techniques such as rotation and flipping, which fail to capture the genuine visual diversity present in field conditions (Bi &amp; Hu, 2020).</w:t>
      </w:r>
    </w:p>
    <w:p w14:paraId="2A1A18DC"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5.3 Explainable Artificial Intelligence in Diagnostic Systems</w:t>
      </w:r>
    </w:p>
    <w:p w14:paraId="46387F7F"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The adoption of deep learning-based diagnostic tools by farmers, agronomists, and plant protection services depends substantially on the degree to which model outputs can be trusted and verified rather than treated as an opaque black box. This concern has motivated growing </w:t>
      </w:r>
      <w:r w:rsidRPr="00A13324">
        <w:rPr>
          <w:rFonts w:ascii="Times New Roman" w:eastAsia="Times New Roman" w:hAnsi="Times New Roman" w:cs="Times New Roman"/>
          <w:sz w:val="24"/>
          <w:szCs w:val="24"/>
          <w:lang w:eastAsia="en-GB"/>
        </w:rPr>
        <w:lastRenderedPageBreak/>
        <w:t>use of explainable artificial intelligence techniques within the plant disease detection literature, most commonly gradient-weighted class activation mapping, which generates visual heatmaps indicating the image regions most influential to a given classification decision. Application of this technique alongside a residual network classifier for corn leaf disease diagnosis demonstrated that the resulting heatmaps generally aligned with regions of visible disease symptoms, providing a mechanism by which farmers and agronomists could verify that the model's predictions were grounded in biologically meaningful evidence rather than spurious correlations with background or lighting artefacts (Gopalan et al., 2025). Comparable explainability approaches applied to corn disease classification using a different convolutional architecture have similarly emphasised the role of visual explanation in bridging the gap between raw model accuracy and the practical trust required for field adoption (Tariq et al., 2024). Complementary interpretability methods, including local interpretable model-agnostic explanations and integrated gradients, have been used alongside gradient-based visualisation to provide multiple, cross-validating perspectives on model decision-making, an approach that appears increasingly favoured over reliance on any single explanation technique in isolation.</w:t>
      </w:r>
    </w:p>
    <w:p w14:paraId="00800CBC"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5.4 Summary of Diagnostic Approaches</w:t>
      </w:r>
    </w:p>
    <w:p w14:paraId="4B753F25"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3 consolidates the diagnostic approaches discussed in this section, moving from core classification methods through to the data-efficiency and interpretability techniques that have grown up around them. Read as a whole, the table illustrates that progress in this area has come less from any single dominant architecture and more from a layered set of complementary techniques, each addressing a specific weakness in the classification pipeline.</w:t>
      </w:r>
    </w:p>
    <w:p w14:paraId="6C0446C8"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3. Summary of artificial intelligence approaches to plant disease diagnosis</w:t>
      </w:r>
    </w:p>
    <w:tbl>
      <w:tblPr>
        <w:tblStyle w:val="LightList-Accent5"/>
        <w:tblW w:w="0" w:type="auto"/>
        <w:tblLook w:val="04A0" w:firstRow="1" w:lastRow="0" w:firstColumn="1" w:lastColumn="0" w:noHBand="0" w:noVBand="1"/>
      </w:tblPr>
      <w:tblGrid>
        <w:gridCol w:w="2981"/>
        <w:gridCol w:w="1940"/>
        <w:gridCol w:w="2493"/>
        <w:gridCol w:w="1828"/>
      </w:tblGrid>
      <w:tr w:rsidR="00A13324" w:rsidRPr="00A13324" w14:paraId="2B0DF715"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1C51E0"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Approach</w:t>
            </w:r>
          </w:p>
        </w:tc>
        <w:tc>
          <w:tcPr>
            <w:tcW w:w="0" w:type="auto"/>
            <w:hideMark/>
          </w:tcPr>
          <w:p w14:paraId="087DFBE2"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Primary purpose</w:t>
            </w:r>
          </w:p>
        </w:tc>
        <w:tc>
          <w:tcPr>
            <w:tcW w:w="0" w:type="auto"/>
            <w:hideMark/>
          </w:tcPr>
          <w:p w14:paraId="6434CA2B"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Reported benefit</w:t>
            </w:r>
          </w:p>
        </w:tc>
        <w:tc>
          <w:tcPr>
            <w:tcW w:w="0" w:type="auto"/>
            <w:hideMark/>
          </w:tcPr>
          <w:p w14:paraId="583CAEE2"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5F881BB4"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CCB872"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Deep convolutional classification</w:t>
            </w:r>
          </w:p>
        </w:tc>
        <w:tc>
          <w:tcPr>
            <w:tcW w:w="0" w:type="auto"/>
            <w:hideMark/>
          </w:tcPr>
          <w:p w14:paraId="35CCC2C2"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Symptom-based disease identification</w:t>
            </w:r>
          </w:p>
        </w:tc>
        <w:tc>
          <w:tcPr>
            <w:tcW w:w="0" w:type="auto"/>
            <w:hideMark/>
          </w:tcPr>
          <w:p w14:paraId="0B58620C"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High accuracy on curated benchmark datasets</w:t>
            </w:r>
          </w:p>
        </w:tc>
        <w:tc>
          <w:tcPr>
            <w:tcW w:w="0" w:type="auto"/>
            <w:hideMark/>
          </w:tcPr>
          <w:p w14:paraId="58B62A78"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Mohanty et al. (2016); Gopalan et al. (2025)</w:t>
            </w:r>
          </w:p>
        </w:tc>
      </w:tr>
      <w:tr w:rsidR="00A13324" w:rsidRPr="00A13324" w14:paraId="7AC6106E"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039BA7A1"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Mobile-optimised lightweight models</w:t>
            </w:r>
          </w:p>
        </w:tc>
        <w:tc>
          <w:tcPr>
            <w:tcW w:w="0" w:type="auto"/>
            <w:hideMark/>
          </w:tcPr>
          <w:p w14:paraId="057A79CC"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On-device diagnosis for smallholder use</w:t>
            </w:r>
          </w:p>
        </w:tc>
        <w:tc>
          <w:tcPr>
            <w:tcW w:w="0" w:type="auto"/>
            <w:hideMark/>
          </w:tcPr>
          <w:p w14:paraId="469F4453"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Feasible deployment without high-performance computing</w:t>
            </w:r>
          </w:p>
        </w:tc>
        <w:tc>
          <w:tcPr>
            <w:tcW w:w="0" w:type="auto"/>
            <w:hideMark/>
          </w:tcPr>
          <w:p w14:paraId="670D0D59"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Khan et al. (2023); Mrisho et al. (2020)</w:t>
            </w:r>
          </w:p>
        </w:tc>
      </w:tr>
      <w:tr w:rsidR="00A13324" w:rsidRPr="00A13324" w14:paraId="3DA2B61F"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714AE4"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Transfer learning</w:t>
            </w:r>
          </w:p>
        </w:tc>
        <w:tc>
          <w:tcPr>
            <w:tcW w:w="0" w:type="auto"/>
            <w:hideMark/>
          </w:tcPr>
          <w:p w14:paraId="6452DB47"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Mitigating limited labelled data</w:t>
            </w:r>
          </w:p>
        </w:tc>
        <w:tc>
          <w:tcPr>
            <w:tcW w:w="0" w:type="auto"/>
            <w:hideMark/>
          </w:tcPr>
          <w:p w14:paraId="59B31373"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Faster convergence; improved generalisation when source data is diverse</w:t>
            </w:r>
          </w:p>
        </w:tc>
        <w:tc>
          <w:tcPr>
            <w:tcW w:w="0" w:type="auto"/>
            <w:hideMark/>
          </w:tcPr>
          <w:p w14:paraId="45FE08C1"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xml:space="preserve"> (2018)</w:t>
            </w:r>
          </w:p>
        </w:tc>
      </w:tr>
      <w:tr w:rsidR="00A13324" w:rsidRPr="00A13324" w14:paraId="6818ACB2"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26318D38"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Generative adversarial network augmentation</w:t>
            </w:r>
          </w:p>
        </w:tc>
        <w:tc>
          <w:tcPr>
            <w:tcW w:w="0" w:type="auto"/>
            <w:hideMark/>
          </w:tcPr>
          <w:p w14:paraId="56035B89"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Synthetic expansion of scarce datasets</w:t>
            </w:r>
          </w:p>
        </w:tc>
        <w:tc>
          <w:tcPr>
            <w:tcW w:w="0" w:type="auto"/>
            <w:hideMark/>
          </w:tcPr>
          <w:p w14:paraId="59DB6777"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Improved classification accuracy for underrepresented classes</w:t>
            </w:r>
          </w:p>
        </w:tc>
        <w:tc>
          <w:tcPr>
            <w:tcW w:w="0" w:type="auto"/>
            <w:hideMark/>
          </w:tcPr>
          <w:p w14:paraId="511D321F"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Lu et al. (2022); Wang &amp; Cao (2023); Bi &amp; Hu (2020)</w:t>
            </w:r>
          </w:p>
        </w:tc>
      </w:tr>
      <w:tr w:rsidR="00A13324" w:rsidRPr="00A13324" w14:paraId="75382595"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A615EA"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Explainable artificial intelligence (gradient-weighted class activation mapping, local interpretable model-agnostic explanations)</w:t>
            </w:r>
          </w:p>
        </w:tc>
        <w:tc>
          <w:tcPr>
            <w:tcW w:w="0" w:type="auto"/>
            <w:hideMark/>
          </w:tcPr>
          <w:p w14:paraId="1FA35F0B"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Interpretability and trust building</w:t>
            </w:r>
          </w:p>
        </w:tc>
        <w:tc>
          <w:tcPr>
            <w:tcW w:w="0" w:type="auto"/>
            <w:hideMark/>
          </w:tcPr>
          <w:p w14:paraId="5981E2D7"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Verifiable alignment between predictions and visible symptoms</w:t>
            </w:r>
          </w:p>
        </w:tc>
        <w:tc>
          <w:tcPr>
            <w:tcW w:w="0" w:type="auto"/>
            <w:hideMark/>
          </w:tcPr>
          <w:p w14:paraId="66E834A2"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Gopalan et al. (2025); Tariq et al. (2024)</w:t>
            </w:r>
          </w:p>
        </w:tc>
      </w:tr>
    </w:tbl>
    <w:p w14:paraId="0606B334"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lastRenderedPageBreak/>
        <w:t xml:space="preserve">Sources: Mohanty et al. (2016); </w:t>
      </w:r>
      <w:proofErr w:type="spellStart"/>
      <w:r w:rsidRPr="00A13324">
        <w:rPr>
          <w:rFonts w:ascii="Times New Roman" w:eastAsia="Times New Roman" w:hAnsi="Times New Roman" w:cs="Times New Roman"/>
          <w:i/>
          <w:iCs/>
          <w:sz w:val="24"/>
          <w:szCs w:val="24"/>
          <w:lang w:eastAsia="en-GB"/>
        </w:rPr>
        <w:t>Barbedo</w:t>
      </w:r>
      <w:proofErr w:type="spellEnd"/>
      <w:r w:rsidRPr="00A13324">
        <w:rPr>
          <w:rFonts w:ascii="Times New Roman" w:eastAsia="Times New Roman" w:hAnsi="Times New Roman" w:cs="Times New Roman"/>
          <w:i/>
          <w:iCs/>
          <w:sz w:val="24"/>
          <w:szCs w:val="24"/>
          <w:lang w:eastAsia="en-GB"/>
        </w:rPr>
        <w:t xml:space="preserve"> (2018); Khan et al. (2023); Lu et al. (2022); Wang and Cao (2023); Bi and Hu (2020); Gopalan et al. (2025); Tariq et al. (2024); Mrisho et al. (2020).</w:t>
      </w:r>
    </w:p>
    <w:p w14:paraId="4A157EEC"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35B303F1"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6. Artificial Intelligence Applications in Pest Detection and Monitoring</w:t>
      </w:r>
    </w:p>
    <w:p w14:paraId="2FAB1715"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6.1 Object Detection for Insect Pest Identification</w:t>
      </w:r>
    </w:p>
    <w:p w14:paraId="51A154FF"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Insect pest surveillance presents distinctive computer vision challenges relative to plant disease classification: pest specimens are frequently small relative to the image frame, occur in clusters that require accurate instance separation, and belong to species that are often visually similar to non-target or beneficial insects. Object detection architectures adapted specifically for these conditions have shown consistent improvement over generic detection frameworks. A maize-focused adaptation of the You Only Look Once architecture, incorporating modifications to improve detection of small and densely clustered targets, achieved high precision and real-time inference speed on field-collected pest imagery, illustrating the value of domain-specific architectural tuning over unmodified application of general-purpose detectors (Yang et al., 2023). Detection accuracy in this literature is consistently reported to decline for pest classes exhibiting fine-grained morphological similarity, motivating continued research into attention mechanisms and multi-scale feature extraction techniques capable of resolving these subtle distinctions.</w:t>
      </w:r>
    </w:p>
    <w:p w14:paraId="3546A8B5"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6.2 Smart Traps and Internet of Things-Enabled Monitoring</w:t>
      </w:r>
    </w:p>
    <w:p w14:paraId="72C2FB12"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The integration of computer vision detection models with networked trap infrastructure has enabled a shift from manual, periodic trap inspection toward continuous, automated pest population monitoring. Systems combining wireless sensor networks with deep learning-based image classification allow pest counts and species identification data to be transmitted to centralised servers in near real time, providing plant protection services and growers with substantially more current information than traditional weekly or biweekly manual scouting can offer (Dhaka et al., 2023). These systems nonetheless face persistent engineering constraints around power supply in remote field locations, connectivity in areas with limited cellular coverage, and the computational cost of running detection models on resource-constrained embedded hardware, factors that continue to limit the scale at which such systems have been deployed operationally relative to the scale demonstrated in research prototypes.</w:t>
      </w:r>
    </w:p>
    <w:p w14:paraId="3D26E124"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6.3 Landscape-Scale Forecasting of Migratory and Climate-Sensitive Pests</w:t>
      </w:r>
    </w:p>
    <w:p w14:paraId="179808CF"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For pest species capable of rapid, large-scale population growth and long-distance migration, most notably locust species, image-based detection at the individual specimen level is of limited practical value relative to landscape-scale forecasting of the environmental conditions likely to precede an outbreak. Reviews of remote sensing approaches to insect pest monitoring emphasise the particular importance of satellite-derived soil moisture, vegetation greenness, and temperature data as predictors of breeding conditions for such species, arguing that machine learning models trained on these environmental covariates offer meaningful lead time for intervention relative to reactive, ground-based detection alone (</w:t>
      </w: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 This forecasting orientation extends naturally to the broader challenge of anticipating </w:t>
      </w:r>
      <w:r w:rsidRPr="00A13324">
        <w:rPr>
          <w:rFonts w:ascii="Times New Roman" w:eastAsia="Times New Roman" w:hAnsi="Times New Roman" w:cs="Times New Roman"/>
          <w:sz w:val="24"/>
          <w:szCs w:val="24"/>
          <w:lang w:eastAsia="en-GB"/>
        </w:rPr>
        <w:lastRenderedPageBreak/>
        <w:t>how climate change will reshape pest distributions over coming decades, a topic addressed further in Section 7 in relation to predictive decision support.</w:t>
      </w:r>
    </w:p>
    <w:p w14:paraId="3E96A1CD"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6.4 Summary of Pest Monitoring Approaches</w:t>
      </w:r>
    </w:p>
    <w:p w14:paraId="33C9FC95"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4 brings together the pest surveillance approaches discussed above according to the spatial scale at which each operates, from individual specimen detection through to landscape-level environmental modelling. The progression across the table reflects a genuine trade-off in this literature: finer spatial resolution generally comes at the cost of narrower geographic coverage, and the choice of approach in practice depends on whether the target pest behaves as a localised, field-level problem or a wide-ranging, migratory one.</w:t>
      </w:r>
    </w:p>
    <w:p w14:paraId="66EBA210"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4. Summary of artificial intelligence approaches to insect pest surveillance</w:t>
      </w:r>
    </w:p>
    <w:tbl>
      <w:tblPr>
        <w:tblStyle w:val="LightList-Accent5"/>
        <w:tblW w:w="0" w:type="auto"/>
        <w:tblLook w:val="04A0" w:firstRow="1" w:lastRow="0" w:firstColumn="1" w:lastColumn="0" w:noHBand="0" w:noVBand="1"/>
      </w:tblPr>
      <w:tblGrid>
        <w:gridCol w:w="2741"/>
        <w:gridCol w:w="2418"/>
        <w:gridCol w:w="2450"/>
        <w:gridCol w:w="1633"/>
      </w:tblGrid>
      <w:tr w:rsidR="00A13324" w:rsidRPr="00A13324" w14:paraId="45D8B43A"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B53A04"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Approach</w:t>
            </w:r>
          </w:p>
        </w:tc>
        <w:tc>
          <w:tcPr>
            <w:tcW w:w="0" w:type="auto"/>
            <w:hideMark/>
          </w:tcPr>
          <w:p w14:paraId="5B7FB578"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Spatial scale</w:t>
            </w:r>
          </w:p>
        </w:tc>
        <w:tc>
          <w:tcPr>
            <w:tcW w:w="0" w:type="auto"/>
            <w:hideMark/>
          </w:tcPr>
          <w:p w14:paraId="4D61ACE9"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Primary data source</w:t>
            </w:r>
          </w:p>
        </w:tc>
        <w:tc>
          <w:tcPr>
            <w:tcW w:w="0" w:type="auto"/>
            <w:hideMark/>
          </w:tcPr>
          <w:p w14:paraId="37334B33"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453C6A84"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86E09A"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Domain-adapted object detection</w:t>
            </w:r>
          </w:p>
        </w:tc>
        <w:tc>
          <w:tcPr>
            <w:tcW w:w="0" w:type="auto"/>
            <w:hideMark/>
          </w:tcPr>
          <w:p w14:paraId="42632B05"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Individual specimen/trap image</w:t>
            </w:r>
          </w:p>
        </w:tc>
        <w:tc>
          <w:tcPr>
            <w:tcW w:w="0" w:type="auto"/>
            <w:hideMark/>
          </w:tcPr>
          <w:p w14:paraId="717625B2"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Red-green-blue camera imagery</w:t>
            </w:r>
          </w:p>
        </w:tc>
        <w:tc>
          <w:tcPr>
            <w:tcW w:w="0" w:type="auto"/>
            <w:hideMark/>
          </w:tcPr>
          <w:p w14:paraId="5C91176C"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Yang et al. (2023)</w:t>
            </w:r>
          </w:p>
        </w:tc>
      </w:tr>
      <w:tr w:rsidR="00A13324" w:rsidRPr="00A13324" w14:paraId="7A07088C"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39CF3374"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Hyperspectral species discrimination</w:t>
            </w:r>
          </w:p>
        </w:tc>
        <w:tc>
          <w:tcPr>
            <w:tcW w:w="0" w:type="auto"/>
            <w:hideMark/>
          </w:tcPr>
          <w:p w14:paraId="5CF5B963"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Individual specimen/canopy</w:t>
            </w:r>
          </w:p>
        </w:tc>
        <w:tc>
          <w:tcPr>
            <w:tcW w:w="0" w:type="auto"/>
            <w:hideMark/>
          </w:tcPr>
          <w:p w14:paraId="59D5F968"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Hyperspectral reflectance</w:t>
            </w:r>
          </w:p>
        </w:tc>
        <w:tc>
          <w:tcPr>
            <w:tcW w:w="0" w:type="auto"/>
            <w:hideMark/>
          </w:tcPr>
          <w:p w14:paraId="00CE00F3"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Yamada et al. (2024)</w:t>
            </w:r>
          </w:p>
        </w:tc>
      </w:tr>
      <w:tr w:rsidR="00A13324" w:rsidRPr="00A13324" w14:paraId="2E6C1F59"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DFCB62"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Internet of Things-enabled smart traps</w:t>
            </w:r>
          </w:p>
        </w:tc>
        <w:tc>
          <w:tcPr>
            <w:tcW w:w="0" w:type="auto"/>
            <w:hideMark/>
          </w:tcPr>
          <w:p w14:paraId="768A62F6"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Field/farm</w:t>
            </w:r>
          </w:p>
        </w:tc>
        <w:tc>
          <w:tcPr>
            <w:tcW w:w="0" w:type="auto"/>
            <w:hideMark/>
          </w:tcPr>
          <w:p w14:paraId="36037B04"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Networked camera and environmental sensors</w:t>
            </w:r>
          </w:p>
        </w:tc>
        <w:tc>
          <w:tcPr>
            <w:tcW w:w="0" w:type="auto"/>
            <w:hideMark/>
          </w:tcPr>
          <w:p w14:paraId="3E9327D6"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Dhaka et al. (2023)</w:t>
            </w:r>
          </w:p>
        </w:tc>
      </w:tr>
      <w:tr w:rsidR="00A13324" w:rsidRPr="00A13324" w14:paraId="7D04DCFF"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04FB74AC"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Satellite-based environmental suitability modelling</w:t>
            </w:r>
          </w:p>
        </w:tc>
        <w:tc>
          <w:tcPr>
            <w:tcW w:w="0" w:type="auto"/>
            <w:hideMark/>
          </w:tcPr>
          <w:p w14:paraId="3DB7AE12"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Landscape/regional</w:t>
            </w:r>
          </w:p>
        </w:tc>
        <w:tc>
          <w:tcPr>
            <w:tcW w:w="0" w:type="auto"/>
            <w:hideMark/>
          </w:tcPr>
          <w:p w14:paraId="4A9DBC3C"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Satellite vegetation and soil moisture indices</w:t>
            </w:r>
          </w:p>
        </w:tc>
        <w:tc>
          <w:tcPr>
            <w:tcW w:w="0" w:type="auto"/>
            <w:hideMark/>
          </w:tcPr>
          <w:p w14:paraId="204B1F84"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w:t>
            </w:r>
          </w:p>
        </w:tc>
      </w:tr>
    </w:tbl>
    <w:p w14:paraId="3E9F1EDE"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 xml:space="preserve">Sources: Yang et al. (2023); Yamada et al. (2024); Dhaka et al. (2023); </w:t>
      </w:r>
      <w:proofErr w:type="spellStart"/>
      <w:r w:rsidRPr="00A13324">
        <w:rPr>
          <w:rFonts w:ascii="Times New Roman" w:eastAsia="Times New Roman" w:hAnsi="Times New Roman" w:cs="Times New Roman"/>
          <w:i/>
          <w:iCs/>
          <w:sz w:val="24"/>
          <w:szCs w:val="24"/>
          <w:lang w:eastAsia="en-GB"/>
        </w:rPr>
        <w:t>Mpisane</w:t>
      </w:r>
      <w:proofErr w:type="spellEnd"/>
      <w:r w:rsidRPr="00A13324">
        <w:rPr>
          <w:rFonts w:ascii="Times New Roman" w:eastAsia="Times New Roman" w:hAnsi="Times New Roman" w:cs="Times New Roman"/>
          <w:i/>
          <w:iCs/>
          <w:sz w:val="24"/>
          <w:szCs w:val="24"/>
          <w:lang w:eastAsia="en-GB"/>
        </w:rPr>
        <w:t xml:space="preserve"> et al. (2025).</w:t>
      </w:r>
    </w:p>
    <w:p w14:paraId="79700AC7"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5A5A7638"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7. From Detection to Decision Support</w:t>
      </w:r>
    </w:p>
    <w:p w14:paraId="5B761AFC"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7.1 Architectures of Agricultural Decision Support Systems</w:t>
      </w:r>
    </w:p>
    <w:p w14:paraId="5CF60AD0"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 decision support system, in the agricultural context, is a computational tool that integrates data collection, processing, and analysis to generate actionable recommendations for growers, functioning as the interface between raw model outputs and the practical intervention decisions that determine field outcomes. The value of an increasingly sophisticated detection model is only realised when its output is embedded within a system capable of translating a classification or forecast into a specific, timed, and economically justified recommendation, whether that concerns the choice of fungicide, the timing of an insecticide application, or the decision to forgo intervention where predicted losses do not justify the cost of treatment. The field evaluation of the offline smartphone application discussed in Section 5.1 illustrates this point directly: the tool was designed not merely to classify a symptom but to deliver, in real time and without an internet connection, management advice tailored to the specific disease identified, a design choice explicitly aimed at reaching farmers and extension officers in areas with limited connectivity and few available specialists (Mrisho et al., 2020). Such design considerations matter because decision support tools requiring expensive hardware, stable </w:t>
      </w:r>
      <w:r w:rsidRPr="00A13324">
        <w:rPr>
          <w:rFonts w:ascii="Times New Roman" w:eastAsia="Times New Roman" w:hAnsi="Times New Roman" w:cs="Times New Roman"/>
          <w:sz w:val="24"/>
          <w:szCs w:val="24"/>
          <w:lang w:eastAsia="en-GB"/>
        </w:rPr>
        <w:lastRenderedPageBreak/>
        <w:t>high-bandwidth connectivity, or subscription-based cloud services risk excluding precisely the farming populations who stand to benefit most from timely, low-cost diagnostic support.</w:t>
      </w:r>
    </w:p>
    <w:p w14:paraId="6609C286"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7.2 Predictive and Forecasting Models for Anticipatory Management</w:t>
      </w:r>
    </w:p>
    <w:p w14:paraId="1F787D47"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Beyond reactive detection of existing pest or disease presence, a growing segment of the literature addresses predictive modelling intended to forecast outbreak risk ahead of onset, drawing on climatic, environmental, and historical outbreak data. The satellite-driven forecasting approaches for migratory pests discussed in Section 6.3 are one expression of this anticipatory logic, using environmental covariates to flag breeding conditions before a population reaches outbreak density (</w:t>
      </w: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 A longer-horizon version of the same problem concerns how the geographic range of a given pest species is likely to shift as climate conditions change. Species distribution modelling, using algorithms such as generalised additive models, classification and regression trees, and maximum entropy modelling, has been applied to project such shifts, and work using the invasive tomato red spider mite as a case study has shown that the resulting projections carry substantial uncertainty, arising not only from the choice of statistical modelling method but also from limited knowledge of a species' true prevalence and from biological variation between distinct populations of the same organism (Meynard et al., 2013). This finding is a useful corrective to any expectation that machine learning-based range projections can be treated as precise forecasts rather than as one input, with a quantifiable margin of error, into longer-term strategic planning around crop selection, quarantine policy, and surveillance resource allocation.</w:t>
      </w:r>
    </w:p>
    <w:p w14:paraId="6C6AC42A"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7.3 Precision Intervention and Variable-Rate Application</w:t>
      </w:r>
    </w:p>
    <w:p w14:paraId="56F46203"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At the point of intervention, artificial intelligence-derived detection and mapping outputs are increasingly coupled with variable-rate application technologies, most notably unmanned aerial spraying systems capable of adjusting pesticide application rate and location according to real-time or recently mapped pest and disease distribution data. Reviews of unmanned aerial vehicle-based variable-rate spraying systems highlight their capacity to concentrate chemical application on affected zones rather than applying uniform treatment across an entire field, a shift with meaningful implications for input cost reduction and environmental impact mitigation, while also noting that the control systems required to translate a detection map into a precise, spatially varying spray prescription introduce their own engineering complexity around flight path optimisation, droplet size control, and calibration under variable wind conditions (Hanif et al., 2022). The coupling of detection, mapping, and variable-rate application represents, in principle, the fullest realisation of the detection-to-decision-support continuum that this review addresses, though the operational literature validating this full pipeline under commercial farming conditions remains considerably thinner than the literature validating each individual component in isolation.</w:t>
      </w:r>
    </w:p>
    <w:p w14:paraId="7860F683" w14:textId="77777777" w:rsidR="00A13324" w:rsidRPr="00A13324" w:rsidRDefault="00A13324" w:rsidP="00EA17E7">
      <w:pPr>
        <w:spacing w:before="100" w:beforeAutospacing="1" w:after="100" w:afterAutospacing="1" w:line="240" w:lineRule="auto"/>
        <w:jc w:val="both"/>
        <w:outlineLvl w:val="3"/>
        <w:rPr>
          <w:rFonts w:ascii="Times New Roman" w:eastAsia="Times New Roman" w:hAnsi="Times New Roman" w:cs="Times New Roman"/>
          <w:b/>
          <w:bCs/>
          <w:sz w:val="24"/>
          <w:szCs w:val="24"/>
          <w:lang w:eastAsia="en-GB"/>
        </w:rPr>
      </w:pPr>
      <w:r w:rsidRPr="00A13324">
        <w:rPr>
          <w:rFonts w:ascii="Times New Roman" w:eastAsia="Times New Roman" w:hAnsi="Times New Roman" w:cs="Times New Roman"/>
          <w:b/>
          <w:bCs/>
          <w:sz w:val="24"/>
          <w:szCs w:val="24"/>
          <w:lang w:eastAsia="en-GB"/>
        </w:rPr>
        <w:t>7.4 Summary of Decision Support Approaches</w:t>
      </w:r>
    </w:p>
    <w:p w14:paraId="3ADDEF3C"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Table 5 sets out the decision support and predictive management approaches discussed in this section against the specific function each performs within the broader detection-to-intervention pipeline, together with the deployment consideration most likely to determine whether a given approach succeeds outside the research setting in which it was developed.</w:t>
      </w:r>
    </w:p>
    <w:p w14:paraId="6F2F9D25"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b/>
          <w:bCs/>
          <w:sz w:val="24"/>
          <w:szCs w:val="24"/>
          <w:lang w:eastAsia="en-GB"/>
        </w:rPr>
        <w:t>Table 5. Summary of decision support and predictive management approaches</w:t>
      </w:r>
    </w:p>
    <w:tbl>
      <w:tblPr>
        <w:tblStyle w:val="LightList-Accent5"/>
        <w:tblW w:w="0" w:type="auto"/>
        <w:tblLook w:val="04A0" w:firstRow="1" w:lastRow="0" w:firstColumn="1" w:lastColumn="0" w:noHBand="0" w:noVBand="1"/>
      </w:tblPr>
      <w:tblGrid>
        <w:gridCol w:w="2422"/>
        <w:gridCol w:w="2714"/>
        <w:gridCol w:w="2579"/>
        <w:gridCol w:w="1527"/>
      </w:tblGrid>
      <w:tr w:rsidR="00A13324" w:rsidRPr="00A13324" w14:paraId="4A483727" w14:textId="77777777" w:rsidTr="00A13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AC982B"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lastRenderedPageBreak/>
              <w:t>Approach</w:t>
            </w:r>
          </w:p>
        </w:tc>
        <w:tc>
          <w:tcPr>
            <w:tcW w:w="0" w:type="auto"/>
            <w:hideMark/>
          </w:tcPr>
          <w:p w14:paraId="485669AF"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Function within decision support pipeline</w:t>
            </w:r>
          </w:p>
        </w:tc>
        <w:tc>
          <w:tcPr>
            <w:tcW w:w="0" w:type="auto"/>
            <w:hideMark/>
          </w:tcPr>
          <w:p w14:paraId="36214407"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Key consideration for deployment</w:t>
            </w:r>
          </w:p>
        </w:tc>
        <w:tc>
          <w:tcPr>
            <w:tcW w:w="0" w:type="auto"/>
            <w:hideMark/>
          </w:tcPr>
          <w:p w14:paraId="353B9823" w14:textId="77777777" w:rsidR="00A13324" w:rsidRPr="00A13324" w:rsidRDefault="00A13324" w:rsidP="00EA17E7">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Illustrative reference</w:t>
            </w:r>
          </w:p>
        </w:tc>
      </w:tr>
      <w:tr w:rsidR="00A13324" w:rsidRPr="00A13324" w14:paraId="2C90372F"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F78B519"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Offline mobile diagnostic and advisory tools</w:t>
            </w:r>
          </w:p>
        </w:tc>
        <w:tc>
          <w:tcPr>
            <w:tcW w:w="0" w:type="auto"/>
            <w:hideMark/>
          </w:tcPr>
          <w:p w14:paraId="64C8696E"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Translating classification output into grower-facing guidance</w:t>
            </w:r>
          </w:p>
        </w:tc>
        <w:tc>
          <w:tcPr>
            <w:tcW w:w="0" w:type="auto"/>
            <w:hideMark/>
          </w:tcPr>
          <w:p w14:paraId="778189A2"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Accessibility for smallholder and low-connectivity users</w:t>
            </w:r>
          </w:p>
        </w:tc>
        <w:tc>
          <w:tcPr>
            <w:tcW w:w="0" w:type="auto"/>
            <w:hideMark/>
          </w:tcPr>
          <w:p w14:paraId="3F8A028A"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Mrisho et al. (2020)</w:t>
            </w:r>
          </w:p>
        </w:tc>
      </w:tr>
      <w:tr w:rsidR="00A13324" w:rsidRPr="00A13324" w14:paraId="661441FF"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33A1D1C1"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Satellite-driven environmental forecasting</w:t>
            </w:r>
          </w:p>
        </w:tc>
        <w:tc>
          <w:tcPr>
            <w:tcW w:w="0" w:type="auto"/>
            <w:hideMark/>
          </w:tcPr>
          <w:p w14:paraId="61F89E1F"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Anticipatory forecasting ahead of outbreak onset</w:t>
            </w:r>
          </w:p>
        </w:tc>
        <w:tc>
          <w:tcPr>
            <w:tcW w:w="0" w:type="auto"/>
            <w:hideMark/>
          </w:tcPr>
          <w:p w14:paraId="19D6F045"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Timeliness relative to migratory pest population growth</w:t>
            </w:r>
          </w:p>
        </w:tc>
        <w:tc>
          <w:tcPr>
            <w:tcW w:w="0" w:type="auto"/>
            <w:hideMark/>
          </w:tcPr>
          <w:p w14:paraId="65CC34D8"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proofErr w:type="spellStart"/>
            <w:r w:rsidRPr="00A13324">
              <w:rPr>
                <w:rFonts w:ascii="Times New Roman" w:eastAsia="Times New Roman" w:hAnsi="Times New Roman" w:cs="Times New Roman"/>
                <w:sz w:val="24"/>
                <w:szCs w:val="24"/>
                <w:lang w:eastAsia="en-GB"/>
              </w:rPr>
              <w:t>Mpisane</w:t>
            </w:r>
            <w:proofErr w:type="spellEnd"/>
            <w:r w:rsidRPr="00A13324">
              <w:rPr>
                <w:rFonts w:ascii="Times New Roman" w:eastAsia="Times New Roman" w:hAnsi="Times New Roman" w:cs="Times New Roman"/>
                <w:sz w:val="24"/>
                <w:szCs w:val="24"/>
                <w:lang w:eastAsia="en-GB"/>
              </w:rPr>
              <w:t xml:space="preserve"> et al. (2025)</w:t>
            </w:r>
          </w:p>
        </w:tc>
      </w:tr>
      <w:tr w:rsidR="00A13324" w:rsidRPr="00A13324" w14:paraId="3063A415" w14:textId="77777777" w:rsidTr="00A13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34B352"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Species distribution modelling under climate scenarios</w:t>
            </w:r>
          </w:p>
        </w:tc>
        <w:tc>
          <w:tcPr>
            <w:tcW w:w="0" w:type="auto"/>
            <w:hideMark/>
          </w:tcPr>
          <w:p w14:paraId="2AD028E8"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Strategic, longer-horizon range-shift projection</w:t>
            </w:r>
          </w:p>
        </w:tc>
        <w:tc>
          <w:tcPr>
            <w:tcW w:w="0" w:type="auto"/>
            <w:hideMark/>
          </w:tcPr>
          <w:p w14:paraId="0EBE1723"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Quantifiable uncertainty in projections; model and prevalence sensitivity</w:t>
            </w:r>
          </w:p>
        </w:tc>
        <w:tc>
          <w:tcPr>
            <w:tcW w:w="0" w:type="auto"/>
            <w:hideMark/>
          </w:tcPr>
          <w:p w14:paraId="2D8A5ECD" w14:textId="77777777" w:rsidR="00A13324" w:rsidRPr="00A13324" w:rsidRDefault="00A13324" w:rsidP="00EA17E7">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Meynard et al. (2013)</w:t>
            </w:r>
          </w:p>
        </w:tc>
      </w:tr>
      <w:tr w:rsidR="00A13324" w:rsidRPr="00A13324" w14:paraId="0DD43039" w14:textId="77777777" w:rsidTr="00A13324">
        <w:tc>
          <w:tcPr>
            <w:cnfStyle w:val="001000000000" w:firstRow="0" w:lastRow="0" w:firstColumn="1" w:lastColumn="0" w:oddVBand="0" w:evenVBand="0" w:oddHBand="0" w:evenHBand="0" w:firstRowFirstColumn="0" w:firstRowLastColumn="0" w:lastRowFirstColumn="0" w:lastRowLastColumn="0"/>
            <w:tcW w:w="0" w:type="auto"/>
            <w:hideMark/>
          </w:tcPr>
          <w:p w14:paraId="799A89A6" w14:textId="77777777" w:rsidR="00A13324" w:rsidRPr="00A13324" w:rsidRDefault="00A13324" w:rsidP="00EA17E7">
            <w:pPr>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Unmanned aerial vehicle variable-rate application</w:t>
            </w:r>
          </w:p>
        </w:tc>
        <w:tc>
          <w:tcPr>
            <w:tcW w:w="0" w:type="auto"/>
            <w:hideMark/>
          </w:tcPr>
          <w:p w14:paraId="389FA535"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Precision intervention following detection/mapping</w:t>
            </w:r>
          </w:p>
        </w:tc>
        <w:tc>
          <w:tcPr>
            <w:tcW w:w="0" w:type="auto"/>
            <w:hideMark/>
          </w:tcPr>
          <w:p w14:paraId="5F91BE7D"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Flight control complexity; calibration under field conditions</w:t>
            </w:r>
          </w:p>
        </w:tc>
        <w:tc>
          <w:tcPr>
            <w:tcW w:w="0" w:type="auto"/>
            <w:hideMark/>
          </w:tcPr>
          <w:p w14:paraId="7545B240" w14:textId="77777777" w:rsidR="00A13324" w:rsidRPr="00A13324" w:rsidRDefault="00A13324" w:rsidP="00EA17E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Hanif et al. (2022)</w:t>
            </w:r>
          </w:p>
        </w:tc>
      </w:tr>
    </w:tbl>
    <w:p w14:paraId="204AAEA2"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i/>
          <w:iCs/>
          <w:sz w:val="24"/>
          <w:szCs w:val="24"/>
          <w:lang w:eastAsia="en-GB"/>
        </w:rPr>
        <w:t xml:space="preserve">Sources: Mrisho et al. (2020); </w:t>
      </w:r>
      <w:proofErr w:type="spellStart"/>
      <w:r w:rsidRPr="00A13324">
        <w:rPr>
          <w:rFonts w:ascii="Times New Roman" w:eastAsia="Times New Roman" w:hAnsi="Times New Roman" w:cs="Times New Roman"/>
          <w:i/>
          <w:iCs/>
          <w:sz w:val="24"/>
          <w:szCs w:val="24"/>
          <w:lang w:eastAsia="en-GB"/>
        </w:rPr>
        <w:t>Mpisane</w:t>
      </w:r>
      <w:proofErr w:type="spellEnd"/>
      <w:r w:rsidRPr="00A13324">
        <w:rPr>
          <w:rFonts w:ascii="Times New Roman" w:eastAsia="Times New Roman" w:hAnsi="Times New Roman" w:cs="Times New Roman"/>
          <w:i/>
          <w:iCs/>
          <w:sz w:val="24"/>
          <w:szCs w:val="24"/>
          <w:lang w:eastAsia="en-GB"/>
        </w:rPr>
        <w:t xml:space="preserve"> et al. (2025); Meynard et al. (2013); Hanif et al. (2022).</w:t>
      </w:r>
    </w:p>
    <w:p w14:paraId="6C1A51F8"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48C77E1F"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8. Persistent Challenges Constraining Translation to Practice</w:t>
      </w:r>
    </w:p>
    <w:p w14:paraId="283E3BD0"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Despite the substantial technical progress documented above, several interlinked challenges continue to constrain the translation of research-grade artificial intelligence systems into dependable field-deployed surveillance and decision support tools. The first and most frequently cited concerns the gap between accuracy reported on curated, often laboratory-collected, benchmark datasets and accuracy achieved on genuinely field-collected imagery exhibiting variable lighting, cluttered backgrounds, occlusion, and mixed disease or pest presentations; foundational work identifying dataset size and diversity as the dominant determinants of transfer learning effectiveness remains directly relevant to this concern (</w:t>
      </w: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2018). A second, closely related challenge is class imbalance, since minor or regionally uncommon pests and diseases are systematically underrepresented in training datasets relative to major, well-studied threats, a problem that generative data augmentation techniques partially but not fully address (Wang &amp; Cao, 2023). Third, interpretability remains incomplete even where explainable artificial intelligence techniques are applied, since gradient-based visualisation methods indicate which image regions influenced a prediction without necessarily confirming that the underlying reasoning is biologically sound, a limitation acknowledged even within studies specifically designed to improve model transparency (Gopalan et al., 2025). Fourth, computational and infrastructural constraints, including limited connectivity, intermittent power supply, and the cost of high-performance computing hardware, continue to disproportionately limit deployment of otherwise promising systems in precisely the low-resource farming contexts where diagnostic support is most needed. Finally, the literature on decision support integration remains considerably less mature than the literature on detection accuracy in isolation, with comparatively few studies validating complete pipelines from sensing through to intervention under real commercial farming conditions rather than controlled research trials.</w:t>
      </w:r>
    </w:p>
    <w:p w14:paraId="76895827"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0E07B5D9"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9. Future Directions</w:t>
      </w:r>
    </w:p>
    <w:p w14:paraId="58D80C0A"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Building on the challenges identified above, several research directions appear particularly likely to advance the field toward reliable, field-deployable surveillance and decision support. Federated learning architectures, in which model training occurs across distributed data sources without centralising raw data on a single server, offer a promising route to expanding effective training data diversity across geographically dispersed farms while addressing the data ownership and privacy concerns that might otherwise discourage growers from contributing field imagery to shared model development efforts. Applied work on federated learning for crop disease detection has shown that decentralised training across distributed image sources can achieve classification performance comparable to centralised training on pooled data, indicating that this approach need not come at a significant accuracy cost while substantially improving the geographic and environmental diversity of the underlying training data (Mamba Kabala et al., 2023). Continued development of multimodal sensor fusion frameworks, combining imaging, environmental, and acoustic or chemical sensing modalities within unified predictive pipelines, represents a second priority, given the consistent finding that no single sensing modality captures the full complexity of pest and disease dynamics in isolation. Closer methodological integration between predictive forecasting models and precision intervention technologies, extending the variable-rate application literature discussed in Section 7.3 toward fully validated closed-loop systems tested under commercial farming conditions, would meaningfully narrow the gap between research demonstration and operational deployment. Finally, sustained investment in field-collected, expert-annotated, and geographically diverse benchmark datasets, spanning a wider range of crop, pest, and disease combinations than currently well-represented collections such as </w:t>
      </w:r>
      <w:proofErr w:type="spellStart"/>
      <w:r w:rsidRPr="00A13324">
        <w:rPr>
          <w:rFonts w:ascii="Times New Roman" w:eastAsia="Times New Roman" w:hAnsi="Times New Roman" w:cs="Times New Roman"/>
          <w:sz w:val="24"/>
          <w:szCs w:val="24"/>
          <w:lang w:eastAsia="en-GB"/>
        </w:rPr>
        <w:t>PlantVillage</w:t>
      </w:r>
      <w:proofErr w:type="spellEnd"/>
      <w:r w:rsidRPr="00A13324">
        <w:rPr>
          <w:rFonts w:ascii="Times New Roman" w:eastAsia="Times New Roman" w:hAnsi="Times New Roman" w:cs="Times New Roman"/>
          <w:sz w:val="24"/>
          <w:szCs w:val="24"/>
          <w:lang w:eastAsia="en-GB"/>
        </w:rPr>
        <w:t>, would directly address the generalisation limitations identified as the most consistently cited barrier throughout this review (</w:t>
      </w:r>
      <w:proofErr w:type="spellStart"/>
      <w:r w:rsidRPr="00A13324">
        <w:rPr>
          <w:rFonts w:ascii="Times New Roman" w:eastAsia="Times New Roman" w:hAnsi="Times New Roman" w:cs="Times New Roman"/>
          <w:sz w:val="24"/>
          <w:szCs w:val="24"/>
          <w:lang w:eastAsia="en-GB"/>
        </w:rPr>
        <w:t>Barbedo</w:t>
      </w:r>
      <w:proofErr w:type="spellEnd"/>
      <w:r w:rsidRPr="00A13324">
        <w:rPr>
          <w:rFonts w:ascii="Times New Roman" w:eastAsia="Times New Roman" w:hAnsi="Times New Roman" w:cs="Times New Roman"/>
          <w:sz w:val="24"/>
          <w:szCs w:val="24"/>
          <w:lang w:eastAsia="en-GB"/>
        </w:rPr>
        <w:t>, 2018; Pacal et al., 2024).</w:t>
      </w:r>
    </w:p>
    <w:p w14:paraId="7352BD09"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482B0791"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10. Conclusions</w:t>
      </w:r>
    </w:p>
    <w:p w14:paraId="35CE24E9"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 xml:space="preserve">Artificial intelligence and machine learning have fundamentally reshaped the technical landscape of plant pest and disease surveillance over the past decade, moving the field from manual visual inspection toward automated, image- and sensor-driven detection capable of operating at a scale and speed unattainable through traditional scouting alone. Convolutional neural networks and, more recently, vision transformer architectures have achieved consistently high accuracy in classifying disease symptoms and identifying insect pests from image data, while object detection frameworks have extended this capability to the localisation of multiple instances within complex field scenes. Sensing has diversified correspondingly, from conventional imaging toward hyperspectral, Internet of Things-enabled, and remote sensing modalities capable of capturing signals invisible to the unaided eye or accessible only at landscape scale. Yet the review's central finding is that detection accuracy, however impressive within controlled research settings, does not by itself constitute surveillance capability. The translation of detection outputs into decision support that farmers, agronomists, and plant protection services can trust and act upon remains considerably less developed than the underlying detection technology, constrained by persistent gaps in field generalisation, data scarcity for minor pests and diseases, incomplete interpretability, and infrastructural barriers that fall most heavily on the resource-limited </w:t>
      </w:r>
      <w:r w:rsidRPr="00A13324">
        <w:rPr>
          <w:rFonts w:ascii="Times New Roman" w:eastAsia="Times New Roman" w:hAnsi="Times New Roman" w:cs="Times New Roman"/>
          <w:sz w:val="24"/>
          <w:szCs w:val="24"/>
          <w:lang w:eastAsia="en-GB"/>
        </w:rPr>
        <w:lastRenderedPageBreak/>
        <w:t>farming systems where the need for accessible diagnostic support is greatest. Closing this gap will require not further incremental gains in benchmark classification accuracy, but sustained attention to data diversity, model transparency, and the practical integration of predictive analytics with the decision-making structures and intervention technologies that ultimately determine field outcomes.</w:t>
      </w:r>
    </w:p>
    <w:p w14:paraId="406AD350"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5D3987A4" w14:textId="77777777" w:rsidR="00A13324" w:rsidRP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11. Limitations</w:t>
      </w:r>
    </w:p>
    <w:p w14:paraId="031587C8" w14:textId="77777777" w:rsidR="00A13324" w:rsidRPr="00A13324" w:rsidRDefault="00A13324" w:rsidP="00EA17E7">
      <w:pPr>
        <w:spacing w:before="100" w:beforeAutospacing="1" w:after="100" w:afterAutospacing="1" w:line="240" w:lineRule="auto"/>
        <w:jc w:val="both"/>
        <w:rPr>
          <w:rFonts w:ascii="Times New Roman" w:eastAsia="Times New Roman" w:hAnsi="Times New Roman" w:cs="Times New Roman"/>
          <w:sz w:val="24"/>
          <w:szCs w:val="24"/>
          <w:lang w:eastAsia="en-GB"/>
        </w:rPr>
      </w:pPr>
      <w:r w:rsidRPr="00A13324">
        <w:rPr>
          <w:rFonts w:ascii="Times New Roman" w:eastAsia="Times New Roman" w:hAnsi="Times New Roman" w:cs="Times New Roman"/>
          <w:sz w:val="24"/>
          <w:szCs w:val="24"/>
          <w:lang w:eastAsia="en-GB"/>
        </w:rPr>
        <w:t>As a narrative rather than systematic review, this article does not report a fully quantified, reproducible search yield at each screening stage, and the selection of illustrative studies, while guided by explicit inclusion and exclusion criteria, retains an element of reviewer judgement regarding which contributions best represent a given technical approach. The literature search, while spanning multiple databases and field-specific indexing resources, was restricted to English-language, peer-reviewed journal publications, which may have led to the omission of relevant regionally focused research published in other languages or through non-indexed regional agricultural journals, particularly research addressing pest and disease challenges specific to smallholder farming contexts in parts of Africa, Asia, and Latin America. The rapid pace of publication in this field also means that the corpus reviewed, current as of the search cut-off date, will not capture subsequent developments, and given the exceptionally high volume of primary studies applying broadly similar convolutional or object detection architectures to individual crop-pest or crop-disease combinations, this review has necessarily prioritised depth of synthesis across major technical themes over exhaustive enumeration of every published application study.</w:t>
      </w:r>
    </w:p>
    <w:p w14:paraId="4B838CA3" w14:textId="77777777" w:rsidR="00EF14F7" w:rsidRPr="000839CE" w:rsidRDefault="00EF14F7" w:rsidP="00EA17E7">
      <w:pPr>
        <w:spacing w:after="0" w:line="240" w:lineRule="auto"/>
        <w:jc w:val="both"/>
        <w:rPr>
          <w:rFonts w:ascii="Times New Roman" w:hAnsi="Times New Roman" w:cs="Times New Roman"/>
          <w:b/>
        </w:rPr>
      </w:pPr>
      <w:r w:rsidRPr="000839CE">
        <w:rPr>
          <w:rFonts w:ascii="Times New Roman" w:hAnsi="Times New Roman" w:cs="Times New Roman"/>
          <w:b/>
        </w:rPr>
        <w:t>Declaration of AI Use</w:t>
      </w:r>
    </w:p>
    <w:p w14:paraId="10B7272E" w14:textId="77777777" w:rsidR="00EF14F7" w:rsidRPr="000839CE" w:rsidRDefault="00EF14F7" w:rsidP="00EA17E7">
      <w:pPr>
        <w:spacing w:after="0" w:line="240" w:lineRule="auto"/>
        <w:jc w:val="both"/>
        <w:rPr>
          <w:rFonts w:ascii="Times New Roman" w:hAnsi="Times New Roman" w:cs="Times New Roman"/>
        </w:rPr>
      </w:pPr>
    </w:p>
    <w:p w14:paraId="5D66BAA5" w14:textId="77777777" w:rsidR="00EF14F7" w:rsidRPr="000839CE" w:rsidRDefault="00EF14F7" w:rsidP="00EA17E7">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C06B807" w14:textId="77777777" w:rsidR="00A13324" w:rsidRPr="00A13324" w:rsidRDefault="00A13324" w:rsidP="00EA17E7">
      <w:pPr>
        <w:spacing w:after="0" w:line="240" w:lineRule="auto"/>
        <w:jc w:val="both"/>
        <w:rPr>
          <w:rFonts w:ascii="Times New Roman" w:eastAsia="Times New Roman" w:hAnsi="Times New Roman" w:cs="Times New Roman"/>
          <w:sz w:val="24"/>
          <w:szCs w:val="24"/>
          <w:lang w:eastAsia="en-GB"/>
        </w:rPr>
      </w:pPr>
    </w:p>
    <w:p w14:paraId="58CEE379" w14:textId="77777777" w:rsidR="00A13324" w:rsidRDefault="00A13324" w:rsidP="00EA17E7">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A13324">
        <w:rPr>
          <w:rFonts w:ascii="Times New Roman" w:eastAsia="Times New Roman" w:hAnsi="Times New Roman" w:cs="Times New Roman"/>
          <w:b/>
          <w:bCs/>
          <w:sz w:val="27"/>
          <w:szCs w:val="27"/>
          <w:lang w:eastAsia="en-GB"/>
        </w:rPr>
        <w:t>References</w:t>
      </w:r>
    </w:p>
    <w:p w14:paraId="51338D7E"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w:t>
      </w:r>
      <w:proofErr w:type="spellStart"/>
      <w:r w:rsidRPr="00420EA0">
        <w:rPr>
          <w:rFonts w:ascii="Times New Roman" w:eastAsia="Times New Roman" w:hAnsi="Times New Roman" w:cs="Times New Roman"/>
          <w:sz w:val="24"/>
          <w:szCs w:val="24"/>
          <w:lang w:val="en-US"/>
        </w:rPr>
        <w:t>Aldakheel</w:t>
      </w:r>
      <w:proofErr w:type="spellEnd"/>
      <w:r w:rsidRPr="00420EA0">
        <w:rPr>
          <w:rFonts w:ascii="Times New Roman" w:eastAsia="Times New Roman" w:hAnsi="Times New Roman" w:cs="Times New Roman"/>
          <w:sz w:val="24"/>
          <w:szCs w:val="24"/>
          <w:lang w:val="en-US"/>
        </w:rPr>
        <w:t xml:space="preserve">, E. A., Zakariah, M., &amp; </w:t>
      </w:r>
      <w:proofErr w:type="spellStart"/>
      <w:r w:rsidRPr="00420EA0">
        <w:rPr>
          <w:rFonts w:ascii="Times New Roman" w:eastAsia="Times New Roman" w:hAnsi="Times New Roman" w:cs="Times New Roman"/>
          <w:sz w:val="24"/>
          <w:szCs w:val="24"/>
          <w:lang w:val="en-US"/>
        </w:rPr>
        <w:t>Alabdalall</w:t>
      </w:r>
      <w:proofErr w:type="spellEnd"/>
      <w:r w:rsidRPr="00420EA0">
        <w:rPr>
          <w:rFonts w:ascii="Times New Roman" w:eastAsia="Times New Roman" w:hAnsi="Times New Roman" w:cs="Times New Roman"/>
          <w:sz w:val="24"/>
          <w:szCs w:val="24"/>
          <w:lang w:val="en-US"/>
        </w:rPr>
        <w:t xml:space="preserve">, A. H. (2024). Detection and identification of plant leaf diseases using YOLOv4. </w:t>
      </w:r>
      <w:r w:rsidRPr="00420EA0">
        <w:rPr>
          <w:rFonts w:ascii="Times New Roman" w:eastAsia="Times New Roman" w:hAnsi="Times New Roman" w:cs="Times New Roman"/>
          <w:i/>
          <w:iCs/>
          <w:sz w:val="24"/>
          <w:szCs w:val="24"/>
          <w:lang w:val="en-US"/>
        </w:rPr>
        <w:t>Frontiers in Plant Science, 15</w:t>
      </w:r>
      <w:r w:rsidRPr="00420EA0">
        <w:rPr>
          <w:rFonts w:ascii="Times New Roman" w:eastAsia="Times New Roman" w:hAnsi="Times New Roman" w:cs="Times New Roman"/>
          <w:sz w:val="24"/>
          <w:szCs w:val="24"/>
          <w:lang w:val="en-US"/>
        </w:rPr>
        <w:t xml:space="preserve">, 1355941. </w:t>
      </w:r>
      <w:hyperlink r:id="rId7" w:tgtFrame="_new" w:history="1">
        <w:r w:rsidRPr="00420EA0">
          <w:rPr>
            <w:rFonts w:ascii="Times New Roman" w:eastAsia="Times New Roman" w:hAnsi="Times New Roman" w:cs="Times New Roman"/>
            <w:color w:val="0000FF"/>
            <w:sz w:val="24"/>
            <w:szCs w:val="24"/>
            <w:u w:val="single"/>
            <w:lang w:val="en-US"/>
          </w:rPr>
          <w:t>https://doi.org/10.3389/fpls.2024.1355941</w:t>
        </w:r>
      </w:hyperlink>
      <w:r w:rsidRPr="00420EA0">
        <w:rPr>
          <w:rFonts w:ascii="Times New Roman" w:eastAsia="Times New Roman" w:hAnsi="Times New Roman" w:cs="Times New Roman"/>
          <w:sz w:val="24"/>
          <w:szCs w:val="24"/>
          <w:lang w:val="en-US"/>
        </w:rPr>
        <w:t xml:space="preserve"> </w:t>
      </w:r>
    </w:p>
    <w:p w14:paraId="41C7F211"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Aziz, D., Rafiq, S., Saini, P., Ahad, I., </w:t>
      </w:r>
      <w:proofErr w:type="spellStart"/>
      <w:r w:rsidRPr="00420EA0">
        <w:rPr>
          <w:rFonts w:ascii="Times New Roman" w:eastAsia="Times New Roman" w:hAnsi="Times New Roman" w:cs="Times New Roman"/>
          <w:sz w:val="24"/>
          <w:szCs w:val="24"/>
          <w:lang w:val="en-US"/>
        </w:rPr>
        <w:t>Gonal</w:t>
      </w:r>
      <w:proofErr w:type="spellEnd"/>
      <w:r w:rsidRPr="00420EA0">
        <w:rPr>
          <w:rFonts w:ascii="Times New Roman" w:eastAsia="Times New Roman" w:hAnsi="Times New Roman" w:cs="Times New Roman"/>
          <w:sz w:val="24"/>
          <w:szCs w:val="24"/>
          <w:lang w:val="en-US"/>
        </w:rPr>
        <w:t xml:space="preserve">, B., Rehman, S. A., Rashid, S., Saini, P., Rohela, G. K., Aalum, K., Singh, G., </w:t>
      </w:r>
      <w:proofErr w:type="spellStart"/>
      <w:r w:rsidRPr="00420EA0">
        <w:rPr>
          <w:rFonts w:ascii="Times New Roman" w:eastAsia="Times New Roman" w:hAnsi="Times New Roman" w:cs="Times New Roman"/>
          <w:sz w:val="24"/>
          <w:szCs w:val="24"/>
          <w:lang w:val="en-US"/>
        </w:rPr>
        <w:t>Gnanesh</w:t>
      </w:r>
      <w:proofErr w:type="spellEnd"/>
      <w:r w:rsidRPr="00420EA0">
        <w:rPr>
          <w:rFonts w:ascii="Times New Roman" w:eastAsia="Times New Roman" w:hAnsi="Times New Roman" w:cs="Times New Roman"/>
          <w:sz w:val="24"/>
          <w:szCs w:val="24"/>
          <w:lang w:val="en-US"/>
        </w:rPr>
        <w:t xml:space="preserve">, B. N., &amp; Iliya, M. N. (2025). Remote sensing and artificial intelligence: Revolutionizing pest management in agriculture. </w:t>
      </w:r>
      <w:r w:rsidRPr="00420EA0">
        <w:rPr>
          <w:rFonts w:ascii="Times New Roman" w:eastAsia="Times New Roman" w:hAnsi="Times New Roman" w:cs="Times New Roman"/>
          <w:i/>
          <w:iCs/>
          <w:sz w:val="24"/>
          <w:szCs w:val="24"/>
          <w:lang w:val="en-US"/>
        </w:rPr>
        <w:t>Frontiers in Sustainable Food Systems, 9</w:t>
      </w:r>
      <w:r w:rsidRPr="00420EA0">
        <w:rPr>
          <w:rFonts w:ascii="Times New Roman" w:eastAsia="Times New Roman" w:hAnsi="Times New Roman" w:cs="Times New Roman"/>
          <w:sz w:val="24"/>
          <w:szCs w:val="24"/>
          <w:lang w:val="en-US"/>
        </w:rPr>
        <w:t xml:space="preserve">, 1551460. </w:t>
      </w:r>
      <w:hyperlink r:id="rId8" w:tgtFrame="_new" w:history="1">
        <w:r w:rsidRPr="00420EA0">
          <w:rPr>
            <w:rFonts w:ascii="Times New Roman" w:eastAsia="Times New Roman" w:hAnsi="Times New Roman" w:cs="Times New Roman"/>
            <w:color w:val="0000FF"/>
            <w:sz w:val="24"/>
            <w:szCs w:val="24"/>
            <w:u w:val="single"/>
            <w:lang w:val="en-US"/>
          </w:rPr>
          <w:t>https://doi.org/10.3389/fsufs.2025.1551460</w:t>
        </w:r>
      </w:hyperlink>
      <w:r w:rsidRPr="00420EA0">
        <w:rPr>
          <w:rFonts w:ascii="Times New Roman" w:eastAsia="Times New Roman" w:hAnsi="Times New Roman" w:cs="Times New Roman"/>
          <w:sz w:val="24"/>
          <w:szCs w:val="24"/>
          <w:lang w:val="en-US"/>
        </w:rPr>
        <w:t xml:space="preserve"> </w:t>
      </w:r>
    </w:p>
    <w:p w14:paraId="2E9E411B"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w:t>
      </w:r>
      <w:proofErr w:type="spellStart"/>
      <w:r w:rsidRPr="00420EA0">
        <w:rPr>
          <w:rFonts w:ascii="Times New Roman" w:eastAsia="Times New Roman" w:hAnsi="Times New Roman" w:cs="Times New Roman"/>
          <w:sz w:val="24"/>
          <w:szCs w:val="24"/>
          <w:lang w:val="en-US"/>
        </w:rPr>
        <w:t>Barbedo</w:t>
      </w:r>
      <w:proofErr w:type="spellEnd"/>
      <w:r w:rsidRPr="00420EA0">
        <w:rPr>
          <w:rFonts w:ascii="Times New Roman" w:eastAsia="Times New Roman" w:hAnsi="Times New Roman" w:cs="Times New Roman"/>
          <w:sz w:val="24"/>
          <w:szCs w:val="24"/>
          <w:lang w:val="en-US"/>
        </w:rPr>
        <w:t xml:space="preserve">, J. G. A. (2018). Impact of dataset size and variety on the effectiveness of deep learning and transfer learning for plant disease classification. </w:t>
      </w:r>
      <w:r w:rsidRPr="00420EA0">
        <w:rPr>
          <w:rFonts w:ascii="Times New Roman" w:eastAsia="Times New Roman" w:hAnsi="Times New Roman" w:cs="Times New Roman"/>
          <w:i/>
          <w:iCs/>
          <w:sz w:val="24"/>
          <w:szCs w:val="24"/>
          <w:lang w:val="en-US"/>
        </w:rPr>
        <w:t>Computers and Electronics in Agriculture, 153</w:t>
      </w:r>
      <w:r w:rsidRPr="00420EA0">
        <w:rPr>
          <w:rFonts w:ascii="Times New Roman" w:eastAsia="Times New Roman" w:hAnsi="Times New Roman" w:cs="Times New Roman"/>
          <w:sz w:val="24"/>
          <w:szCs w:val="24"/>
          <w:lang w:val="en-US"/>
        </w:rPr>
        <w:t xml:space="preserve">, 46–53. </w:t>
      </w:r>
      <w:hyperlink r:id="rId9" w:tgtFrame="_new" w:history="1">
        <w:r w:rsidRPr="00420EA0">
          <w:rPr>
            <w:rFonts w:ascii="Times New Roman" w:eastAsia="Times New Roman" w:hAnsi="Times New Roman" w:cs="Times New Roman"/>
            <w:color w:val="0000FF"/>
            <w:sz w:val="24"/>
            <w:szCs w:val="24"/>
            <w:u w:val="single"/>
            <w:lang w:val="en-US"/>
          </w:rPr>
          <w:t>https://doi.org/10.1016/j.compag.2018.08.013</w:t>
        </w:r>
      </w:hyperlink>
      <w:r w:rsidRPr="00420EA0">
        <w:rPr>
          <w:rFonts w:ascii="Times New Roman" w:eastAsia="Times New Roman" w:hAnsi="Times New Roman" w:cs="Times New Roman"/>
          <w:sz w:val="24"/>
          <w:szCs w:val="24"/>
          <w:lang w:val="en-US"/>
        </w:rPr>
        <w:t xml:space="preserve"> </w:t>
      </w:r>
    </w:p>
    <w:p w14:paraId="083474DD"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lastRenderedPageBreak/>
        <w:t></w:t>
      </w:r>
      <w:r w:rsidRPr="00420EA0">
        <w:rPr>
          <w:rFonts w:ascii="Times New Roman" w:eastAsia="Times New Roman" w:hAnsi="Times New Roman" w:cs="Times New Roman"/>
          <w:sz w:val="24"/>
          <w:szCs w:val="24"/>
          <w:lang w:val="en-US"/>
        </w:rPr>
        <w:t xml:space="preserve">  Bi, L., &amp; Hu, G. (2020). Improving image-based plant disease classification with generative adversarial network under limited training set. </w:t>
      </w:r>
      <w:r w:rsidRPr="00420EA0">
        <w:rPr>
          <w:rFonts w:ascii="Times New Roman" w:eastAsia="Times New Roman" w:hAnsi="Times New Roman" w:cs="Times New Roman"/>
          <w:i/>
          <w:iCs/>
          <w:sz w:val="24"/>
          <w:szCs w:val="24"/>
          <w:lang w:val="en-US"/>
        </w:rPr>
        <w:t>Frontiers in Plant Science, 11</w:t>
      </w:r>
      <w:r w:rsidRPr="00420EA0">
        <w:rPr>
          <w:rFonts w:ascii="Times New Roman" w:eastAsia="Times New Roman" w:hAnsi="Times New Roman" w:cs="Times New Roman"/>
          <w:sz w:val="24"/>
          <w:szCs w:val="24"/>
          <w:lang w:val="en-US"/>
        </w:rPr>
        <w:t xml:space="preserve">, 583438. </w:t>
      </w:r>
      <w:hyperlink r:id="rId10" w:tgtFrame="_new" w:history="1">
        <w:r w:rsidRPr="00420EA0">
          <w:rPr>
            <w:rFonts w:ascii="Times New Roman" w:eastAsia="Times New Roman" w:hAnsi="Times New Roman" w:cs="Times New Roman"/>
            <w:color w:val="0000FF"/>
            <w:sz w:val="24"/>
            <w:szCs w:val="24"/>
            <w:u w:val="single"/>
            <w:lang w:val="en-US"/>
          </w:rPr>
          <w:t>https://doi.org/10.3389/fpls.2020.583438</w:t>
        </w:r>
      </w:hyperlink>
      <w:r w:rsidRPr="00420EA0">
        <w:rPr>
          <w:rFonts w:ascii="Times New Roman" w:eastAsia="Times New Roman" w:hAnsi="Times New Roman" w:cs="Times New Roman"/>
          <w:sz w:val="24"/>
          <w:szCs w:val="24"/>
          <w:lang w:val="en-US"/>
        </w:rPr>
        <w:t xml:space="preserve"> </w:t>
      </w:r>
    </w:p>
    <w:p w14:paraId="5F7403C5"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Demilie, W. B. (2024). Plant disease detection and classification techniques: A comparative study of the performances. </w:t>
      </w:r>
      <w:r w:rsidRPr="00420EA0">
        <w:rPr>
          <w:rFonts w:ascii="Times New Roman" w:eastAsia="Times New Roman" w:hAnsi="Times New Roman" w:cs="Times New Roman"/>
          <w:i/>
          <w:iCs/>
          <w:sz w:val="24"/>
          <w:szCs w:val="24"/>
          <w:lang w:val="en-US"/>
        </w:rPr>
        <w:t>Journal of Big Data, 11</w:t>
      </w:r>
      <w:r w:rsidRPr="00420EA0">
        <w:rPr>
          <w:rFonts w:ascii="Times New Roman" w:eastAsia="Times New Roman" w:hAnsi="Times New Roman" w:cs="Times New Roman"/>
          <w:sz w:val="24"/>
          <w:szCs w:val="24"/>
          <w:lang w:val="en-US"/>
        </w:rPr>
        <w:t xml:space="preserve">, Article 5. </w:t>
      </w:r>
      <w:hyperlink r:id="rId11" w:tgtFrame="_new" w:history="1">
        <w:r w:rsidRPr="00420EA0">
          <w:rPr>
            <w:rFonts w:ascii="Times New Roman" w:eastAsia="Times New Roman" w:hAnsi="Times New Roman" w:cs="Times New Roman"/>
            <w:color w:val="0000FF"/>
            <w:sz w:val="24"/>
            <w:szCs w:val="24"/>
            <w:u w:val="single"/>
            <w:lang w:val="en-US"/>
          </w:rPr>
          <w:t>https://doi.org/10.1186/s40537-023-00863-9</w:t>
        </w:r>
      </w:hyperlink>
      <w:r w:rsidRPr="00420EA0">
        <w:rPr>
          <w:rFonts w:ascii="Times New Roman" w:eastAsia="Times New Roman" w:hAnsi="Times New Roman" w:cs="Times New Roman"/>
          <w:sz w:val="24"/>
          <w:szCs w:val="24"/>
          <w:lang w:val="en-US"/>
        </w:rPr>
        <w:t xml:space="preserve"> </w:t>
      </w:r>
    </w:p>
    <w:p w14:paraId="00C19355"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Dhaka, V. S., Kundu, N., Rani, G., Zumpano, E., &amp; Vocaturo, E. (2023). Role of Internet of Things and deep learning techniques in plant disease detection and classification: A focused review. </w:t>
      </w:r>
      <w:r w:rsidRPr="00420EA0">
        <w:rPr>
          <w:rFonts w:ascii="Times New Roman" w:eastAsia="Times New Roman" w:hAnsi="Times New Roman" w:cs="Times New Roman"/>
          <w:i/>
          <w:iCs/>
          <w:sz w:val="24"/>
          <w:szCs w:val="24"/>
          <w:lang w:val="en-US"/>
        </w:rPr>
        <w:t>Sensors, 23</w:t>
      </w:r>
      <w:r w:rsidRPr="00420EA0">
        <w:rPr>
          <w:rFonts w:ascii="Times New Roman" w:eastAsia="Times New Roman" w:hAnsi="Times New Roman" w:cs="Times New Roman"/>
          <w:sz w:val="24"/>
          <w:szCs w:val="24"/>
          <w:lang w:val="en-US"/>
        </w:rPr>
        <w:t xml:space="preserve">(18), 7877. </w:t>
      </w:r>
      <w:hyperlink r:id="rId12" w:tgtFrame="_new" w:history="1">
        <w:r w:rsidRPr="00420EA0">
          <w:rPr>
            <w:rFonts w:ascii="Times New Roman" w:eastAsia="Times New Roman" w:hAnsi="Times New Roman" w:cs="Times New Roman"/>
            <w:color w:val="0000FF"/>
            <w:sz w:val="24"/>
            <w:szCs w:val="24"/>
            <w:u w:val="single"/>
            <w:lang w:val="en-US"/>
          </w:rPr>
          <w:t>https://doi.org/10.3390/s23187877</w:t>
        </w:r>
      </w:hyperlink>
      <w:r w:rsidRPr="00420EA0">
        <w:rPr>
          <w:rFonts w:ascii="Times New Roman" w:eastAsia="Times New Roman" w:hAnsi="Times New Roman" w:cs="Times New Roman"/>
          <w:sz w:val="24"/>
          <w:szCs w:val="24"/>
          <w:lang w:val="en-US"/>
        </w:rPr>
        <w:t xml:space="preserve"> </w:t>
      </w:r>
    </w:p>
    <w:p w14:paraId="1D3DD389"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Ding, W., Abdel-Basset, M., </w:t>
      </w:r>
      <w:proofErr w:type="spellStart"/>
      <w:r w:rsidRPr="00420EA0">
        <w:rPr>
          <w:rFonts w:ascii="Times New Roman" w:eastAsia="Times New Roman" w:hAnsi="Times New Roman" w:cs="Times New Roman"/>
          <w:sz w:val="24"/>
          <w:szCs w:val="24"/>
          <w:lang w:val="en-US"/>
        </w:rPr>
        <w:t>Alrashdi</w:t>
      </w:r>
      <w:proofErr w:type="spellEnd"/>
      <w:r w:rsidRPr="00420EA0">
        <w:rPr>
          <w:rFonts w:ascii="Times New Roman" w:eastAsia="Times New Roman" w:hAnsi="Times New Roman" w:cs="Times New Roman"/>
          <w:sz w:val="24"/>
          <w:szCs w:val="24"/>
          <w:lang w:val="en-US"/>
        </w:rPr>
        <w:t xml:space="preserve">, I., &amp; Hawash, H. (2024). Next generation of computer vision for plant disease monitoring in precision agriculture: A contemporary survey, taxonomy, experiments, and future direction. </w:t>
      </w:r>
      <w:r w:rsidRPr="00420EA0">
        <w:rPr>
          <w:rFonts w:ascii="Times New Roman" w:eastAsia="Times New Roman" w:hAnsi="Times New Roman" w:cs="Times New Roman"/>
          <w:i/>
          <w:iCs/>
          <w:sz w:val="24"/>
          <w:szCs w:val="24"/>
          <w:lang w:val="en-US"/>
        </w:rPr>
        <w:t>Information Sciences, 665</w:t>
      </w:r>
      <w:r w:rsidRPr="00420EA0">
        <w:rPr>
          <w:rFonts w:ascii="Times New Roman" w:eastAsia="Times New Roman" w:hAnsi="Times New Roman" w:cs="Times New Roman"/>
          <w:sz w:val="24"/>
          <w:szCs w:val="24"/>
          <w:lang w:val="en-US"/>
        </w:rPr>
        <w:t xml:space="preserve">, 120338. </w:t>
      </w:r>
      <w:hyperlink r:id="rId13" w:tgtFrame="_new" w:history="1">
        <w:r w:rsidRPr="00420EA0">
          <w:rPr>
            <w:rFonts w:ascii="Times New Roman" w:eastAsia="Times New Roman" w:hAnsi="Times New Roman" w:cs="Times New Roman"/>
            <w:color w:val="0000FF"/>
            <w:sz w:val="24"/>
            <w:szCs w:val="24"/>
            <w:u w:val="single"/>
            <w:lang w:val="en-US"/>
          </w:rPr>
          <w:t>https://doi.org/10.1016/j.ins.2024.120338</w:t>
        </w:r>
      </w:hyperlink>
      <w:r w:rsidRPr="00420EA0">
        <w:rPr>
          <w:rFonts w:ascii="Times New Roman" w:eastAsia="Times New Roman" w:hAnsi="Times New Roman" w:cs="Times New Roman"/>
          <w:sz w:val="24"/>
          <w:szCs w:val="24"/>
          <w:lang w:val="en-US"/>
        </w:rPr>
        <w:t xml:space="preserve"> </w:t>
      </w:r>
    </w:p>
    <w:p w14:paraId="67E8F653"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Dong, P., Li, K., Wang, M., Li, F., Guo, W., &amp; Si, H. (2024). Maize leaf compound disease recognition based on attention mechanism. </w:t>
      </w:r>
      <w:r w:rsidRPr="00420EA0">
        <w:rPr>
          <w:rFonts w:ascii="Times New Roman" w:eastAsia="Times New Roman" w:hAnsi="Times New Roman" w:cs="Times New Roman"/>
          <w:i/>
          <w:iCs/>
          <w:sz w:val="24"/>
          <w:szCs w:val="24"/>
          <w:lang w:val="en-US"/>
        </w:rPr>
        <w:t>Agriculture, 14</w:t>
      </w:r>
      <w:r w:rsidRPr="00420EA0">
        <w:rPr>
          <w:rFonts w:ascii="Times New Roman" w:eastAsia="Times New Roman" w:hAnsi="Times New Roman" w:cs="Times New Roman"/>
          <w:sz w:val="24"/>
          <w:szCs w:val="24"/>
          <w:lang w:val="en-US"/>
        </w:rPr>
        <w:t xml:space="preserve">(1), 74. </w:t>
      </w:r>
      <w:hyperlink r:id="rId14" w:tgtFrame="_new" w:history="1">
        <w:r w:rsidRPr="00420EA0">
          <w:rPr>
            <w:rFonts w:ascii="Times New Roman" w:eastAsia="Times New Roman" w:hAnsi="Times New Roman" w:cs="Times New Roman"/>
            <w:color w:val="0000FF"/>
            <w:sz w:val="24"/>
            <w:szCs w:val="24"/>
            <w:u w:val="single"/>
            <w:lang w:val="en-US"/>
          </w:rPr>
          <w:t>https://doi.org/10.3390/agriculture14010074</w:t>
        </w:r>
      </w:hyperlink>
      <w:r w:rsidRPr="00420EA0">
        <w:rPr>
          <w:rFonts w:ascii="Times New Roman" w:eastAsia="Times New Roman" w:hAnsi="Times New Roman" w:cs="Times New Roman"/>
          <w:sz w:val="24"/>
          <w:szCs w:val="24"/>
          <w:lang w:val="en-US"/>
        </w:rPr>
        <w:t xml:space="preserve"> </w:t>
      </w:r>
    </w:p>
    <w:p w14:paraId="6F3EC566"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Fedotov, A., Eremenko, D., Kuznetsova, D., Baranova, O., &amp; Terentev, A. (2025). Advanced hyperspectral image processing and machine learning approaches for early detection of wheat stem rust. </w:t>
      </w:r>
      <w:r w:rsidRPr="00420EA0">
        <w:rPr>
          <w:rFonts w:ascii="Times New Roman" w:eastAsia="Times New Roman" w:hAnsi="Times New Roman" w:cs="Times New Roman"/>
          <w:i/>
          <w:iCs/>
          <w:sz w:val="24"/>
          <w:szCs w:val="24"/>
          <w:lang w:val="en-US"/>
        </w:rPr>
        <w:t>Frontiers in Plant Science, 16</w:t>
      </w:r>
      <w:r w:rsidRPr="00420EA0">
        <w:rPr>
          <w:rFonts w:ascii="Times New Roman" w:eastAsia="Times New Roman" w:hAnsi="Times New Roman" w:cs="Times New Roman"/>
          <w:sz w:val="24"/>
          <w:szCs w:val="24"/>
          <w:lang w:val="en-US"/>
        </w:rPr>
        <w:t xml:space="preserve">, 1725017. </w:t>
      </w:r>
      <w:hyperlink r:id="rId15" w:tgtFrame="_new" w:history="1">
        <w:r w:rsidRPr="00420EA0">
          <w:rPr>
            <w:rFonts w:ascii="Times New Roman" w:eastAsia="Times New Roman" w:hAnsi="Times New Roman" w:cs="Times New Roman"/>
            <w:color w:val="0000FF"/>
            <w:sz w:val="24"/>
            <w:szCs w:val="24"/>
            <w:u w:val="single"/>
            <w:lang w:val="en-US"/>
          </w:rPr>
          <w:t>https://doi.org/10.3389/fpls.2025.1725017</w:t>
        </w:r>
      </w:hyperlink>
      <w:r w:rsidRPr="00420EA0">
        <w:rPr>
          <w:rFonts w:ascii="Times New Roman" w:eastAsia="Times New Roman" w:hAnsi="Times New Roman" w:cs="Times New Roman"/>
          <w:sz w:val="24"/>
          <w:szCs w:val="24"/>
          <w:lang w:val="en-US"/>
        </w:rPr>
        <w:t xml:space="preserve"> </w:t>
      </w:r>
    </w:p>
    <w:p w14:paraId="5627CA25" w14:textId="0D7F0BE5"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Food and Agriculture Organization of the United Nations. (n.d.). </w:t>
      </w:r>
      <w:r w:rsidRPr="00420EA0">
        <w:rPr>
          <w:rFonts w:ascii="Times New Roman" w:eastAsia="Times New Roman" w:hAnsi="Times New Roman" w:cs="Times New Roman"/>
          <w:i/>
          <w:iCs/>
          <w:sz w:val="24"/>
          <w:szCs w:val="24"/>
          <w:lang w:val="en-US"/>
        </w:rPr>
        <w:t>Plant production and protection</w:t>
      </w:r>
      <w:r w:rsidRPr="00420EA0">
        <w:rPr>
          <w:rFonts w:ascii="Times New Roman" w:eastAsia="Times New Roman" w:hAnsi="Times New Roman" w:cs="Times New Roman"/>
          <w:sz w:val="24"/>
          <w:szCs w:val="24"/>
          <w:lang w:val="en-US"/>
        </w:rPr>
        <w:t xml:space="preserve">. </w:t>
      </w:r>
      <w:hyperlink r:id="rId16" w:tgtFrame="_new" w:history="1">
        <w:r w:rsidRPr="00420EA0">
          <w:rPr>
            <w:rFonts w:ascii="Times New Roman" w:eastAsia="Times New Roman" w:hAnsi="Times New Roman" w:cs="Times New Roman"/>
            <w:color w:val="0000FF"/>
            <w:sz w:val="24"/>
            <w:szCs w:val="24"/>
            <w:u w:val="single"/>
            <w:lang w:val="en-US"/>
          </w:rPr>
          <w:t>https://www.fao.org/plant-production-protection/about/en</w:t>
        </w:r>
      </w:hyperlink>
      <w:r w:rsidRPr="00420EA0">
        <w:rPr>
          <w:rFonts w:ascii="Times New Roman" w:eastAsia="Times New Roman" w:hAnsi="Times New Roman" w:cs="Times New Roman"/>
          <w:sz w:val="24"/>
          <w:szCs w:val="24"/>
          <w:lang w:val="en-US"/>
        </w:rPr>
        <w:t xml:space="preserve">  </w:t>
      </w:r>
    </w:p>
    <w:p w14:paraId="4F82E374"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Gopalan, K., Srinivasan, S., Pragya, Singh, M., Mathivanan, S. K., &amp; Moorthy, U. (2025). Corn leaf disease diagnosis: Enhancing accuracy with ResNet152 and Grad-CAM for explainable AI. </w:t>
      </w:r>
      <w:r w:rsidRPr="00420EA0">
        <w:rPr>
          <w:rFonts w:ascii="Times New Roman" w:eastAsia="Times New Roman" w:hAnsi="Times New Roman" w:cs="Times New Roman"/>
          <w:i/>
          <w:iCs/>
          <w:sz w:val="24"/>
          <w:szCs w:val="24"/>
          <w:lang w:val="en-US"/>
        </w:rPr>
        <w:t>BMC Plant Biology, 25</w:t>
      </w:r>
      <w:r w:rsidRPr="00420EA0">
        <w:rPr>
          <w:rFonts w:ascii="Times New Roman" w:eastAsia="Times New Roman" w:hAnsi="Times New Roman" w:cs="Times New Roman"/>
          <w:sz w:val="24"/>
          <w:szCs w:val="24"/>
          <w:lang w:val="en-US"/>
        </w:rPr>
        <w:t xml:space="preserve">, Article 440. </w:t>
      </w:r>
      <w:hyperlink r:id="rId17" w:tgtFrame="_new" w:history="1">
        <w:r w:rsidRPr="00420EA0">
          <w:rPr>
            <w:rFonts w:ascii="Times New Roman" w:eastAsia="Times New Roman" w:hAnsi="Times New Roman" w:cs="Times New Roman"/>
            <w:color w:val="0000FF"/>
            <w:sz w:val="24"/>
            <w:szCs w:val="24"/>
            <w:u w:val="single"/>
            <w:lang w:val="en-US"/>
          </w:rPr>
          <w:t>https://doi.org/10.1186/s12870-025-06386-0</w:t>
        </w:r>
      </w:hyperlink>
      <w:r w:rsidRPr="00420EA0">
        <w:rPr>
          <w:rFonts w:ascii="Times New Roman" w:eastAsia="Times New Roman" w:hAnsi="Times New Roman" w:cs="Times New Roman"/>
          <w:sz w:val="24"/>
          <w:szCs w:val="24"/>
          <w:lang w:val="en-US"/>
        </w:rPr>
        <w:t xml:space="preserve"> </w:t>
      </w:r>
    </w:p>
    <w:p w14:paraId="6B5CB633"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Grant, M. J., &amp; Booth, A. (2009). A typology of reviews: An analysis of 14 review types and associated methodologies. </w:t>
      </w:r>
      <w:r w:rsidRPr="00420EA0">
        <w:rPr>
          <w:rFonts w:ascii="Times New Roman" w:eastAsia="Times New Roman" w:hAnsi="Times New Roman" w:cs="Times New Roman"/>
          <w:i/>
          <w:iCs/>
          <w:sz w:val="24"/>
          <w:szCs w:val="24"/>
          <w:lang w:val="en-US"/>
        </w:rPr>
        <w:t>Health Information &amp; Libraries Journal, 26</w:t>
      </w:r>
      <w:r w:rsidRPr="00420EA0">
        <w:rPr>
          <w:rFonts w:ascii="Times New Roman" w:eastAsia="Times New Roman" w:hAnsi="Times New Roman" w:cs="Times New Roman"/>
          <w:sz w:val="24"/>
          <w:szCs w:val="24"/>
          <w:lang w:val="en-US"/>
        </w:rPr>
        <w:t xml:space="preserve">(2), 91–108. </w:t>
      </w:r>
      <w:hyperlink r:id="rId18" w:tgtFrame="_new" w:history="1">
        <w:r w:rsidRPr="00420EA0">
          <w:rPr>
            <w:rFonts w:ascii="Times New Roman" w:eastAsia="Times New Roman" w:hAnsi="Times New Roman" w:cs="Times New Roman"/>
            <w:color w:val="0000FF"/>
            <w:sz w:val="24"/>
            <w:szCs w:val="24"/>
            <w:u w:val="single"/>
            <w:lang w:val="en-US"/>
          </w:rPr>
          <w:t>https://doi.org/10.1111/j.1471-1842.2009.00848.x</w:t>
        </w:r>
      </w:hyperlink>
      <w:r w:rsidRPr="00420EA0">
        <w:rPr>
          <w:rFonts w:ascii="Times New Roman" w:eastAsia="Times New Roman" w:hAnsi="Times New Roman" w:cs="Times New Roman"/>
          <w:sz w:val="24"/>
          <w:szCs w:val="24"/>
          <w:lang w:val="en-US"/>
        </w:rPr>
        <w:t xml:space="preserve"> </w:t>
      </w:r>
    </w:p>
    <w:p w14:paraId="5EC6B34B"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Hanif, A. S., Han, X., &amp; Yu, S.-H. (2022). Independent control spraying system for UAV-based precise variable sprayer: A review. </w:t>
      </w:r>
      <w:r w:rsidRPr="00420EA0">
        <w:rPr>
          <w:rFonts w:ascii="Times New Roman" w:eastAsia="Times New Roman" w:hAnsi="Times New Roman" w:cs="Times New Roman"/>
          <w:i/>
          <w:iCs/>
          <w:sz w:val="24"/>
          <w:szCs w:val="24"/>
          <w:lang w:val="en-US"/>
        </w:rPr>
        <w:t>Drones, 6</w:t>
      </w:r>
      <w:r w:rsidRPr="00420EA0">
        <w:rPr>
          <w:rFonts w:ascii="Times New Roman" w:eastAsia="Times New Roman" w:hAnsi="Times New Roman" w:cs="Times New Roman"/>
          <w:sz w:val="24"/>
          <w:szCs w:val="24"/>
          <w:lang w:val="en-US"/>
        </w:rPr>
        <w:t xml:space="preserve">(12), 383. </w:t>
      </w:r>
      <w:hyperlink r:id="rId19" w:tgtFrame="_new" w:history="1">
        <w:r w:rsidRPr="00420EA0">
          <w:rPr>
            <w:rFonts w:ascii="Times New Roman" w:eastAsia="Times New Roman" w:hAnsi="Times New Roman" w:cs="Times New Roman"/>
            <w:color w:val="0000FF"/>
            <w:sz w:val="24"/>
            <w:szCs w:val="24"/>
            <w:u w:val="single"/>
            <w:lang w:val="en-US"/>
          </w:rPr>
          <w:t>https://doi.org/10.3390/drones6120383</w:t>
        </w:r>
      </w:hyperlink>
      <w:r w:rsidRPr="00420EA0">
        <w:rPr>
          <w:rFonts w:ascii="Times New Roman" w:eastAsia="Times New Roman" w:hAnsi="Times New Roman" w:cs="Times New Roman"/>
          <w:sz w:val="24"/>
          <w:szCs w:val="24"/>
          <w:lang w:val="en-US"/>
        </w:rPr>
        <w:t xml:space="preserve"> </w:t>
      </w:r>
    </w:p>
    <w:p w14:paraId="07D92C53"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Jones, R. A. C., &amp; Naidu, R. A. (2019). Global dimensions of plant virus diseases: Current status and future perspectives. </w:t>
      </w:r>
      <w:r w:rsidRPr="00420EA0">
        <w:rPr>
          <w:rFonts w:ascii="Times New Roman" w:eastAsia="Times New Roman" w:hAnsi="Times New Roman" w:cs="Times New Roman"/>
          <w:i/>
          <w:iCs/>
          <w:sz w:val="24"/>
          <w:szCs w:val="24"/>
          <w:lang w:val="en-US"/>
        </w:rPr>
        <w:t>Annual Review of Virology, 6</w:t>
      </w:r>
      <w:r w:rsidRPr="00420EA0">
        <w:rPr>
          <w:rFonts w:ascii="Times New Roman" w:eastAsia="Times New Roman" w:hAnsi="Times New Roman" w:cs="Times New Roman"/>
          <w:sz w:val="24"/>
          <w:szCs w:val="24"/>
          <w:lang w:val="en-US"/>
        </w:rPr>
        <w:t xml:space="preserve">, 387–409. </w:t>
      </w:r>
      <w:hyperlink r:id="rId20" w:tgtFrame="_new" w:history="1">
        <w:r w:rsidRPr="00420EA0">
          <w:rPr>
            <w:rFonts w:ascii="Times New Roman" w:eastAsia="Times New Roman" w:hAnsi="Times New Roman" w:cs="Times New Roman"/>
            <w:color w:val="0000FF"/>
            <w:sz w:val="24"/>
            <w:szCs w:val="24"/>
            <w:u w:val="single"/>
            <w:lang w:val="en-US"/>
          </w:rPr>
          <w:t>https://doi.org/10.1146/annurev-virology-092818-015606</w:t>
        </w:r>
      </w:hyperlink>
      <w:r w:rsidRPr="00420EA0">
        <w:rPr>
          <w:rFonts w:ascii="Times New Roman" w:eastAsia="Times New Roman" w:hAnsi="Times New Roman" w:cs="Times New Roman"/>
          <w:sz w:val="24"/>
          <w:szCs w:val="24"/>
          <w:lang w:val="en-US"/>
        </w:rPr>
        <w:t xml:space="preserve"> </w:t>
      </w:r>
    </w:p>
    <w:p w14:paraId="31862B18"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Khan, F., Zafar, N., Tahir, M. N., Aqib, M., Waheed, H., &amp; Haroon, Z. (2023). A mobile-based system for maize plant leaf disease detection and classification using deep learning. </w:t>
      </w:r>
      <w:r w:rsidRPr="00420EA0">
        <w:rPr>
          <w:rFonts w:ascii="Times New Roman" w:eastAsia="Times New Roman" w:hAnsi="Times New Roman" w:cs="Times New Roman"/>
          <w:i/>
          <w:iCs/>
          <w:sz w:val="24"/>
          <w:szCs w:val="24"/>
          <w:lang w:val="en-US"/>
        </w:rPr>
        <w:t>Frontiers in Plant Science, 14</w:t>
      </w:r>
      <w:r w:rsidRPr="00420EA0">
        <w:rPr>
          <w:rFonts w:ascii="Times New Roman" w:eastAsia="Times New Roman" w:hAnsi="Times New Roman" w:cs="Times New Roman"/>
          <w:sz w:val="24"/>
          <w:szCs w:val="24"/>
          <w:lang w:val="en-US"/>
        </w:rPr>
        <w:t xml:space="preserve">, 1079366. </w:t>
      </w:r>
      <w:hyperlink r:id="rId21" w:tgtFrame="_new" w:history="1">
        <w:r w:rsidRPr="00420EA0">
          <w:rPr>
            <w:rFonts w:ascii="Times New Roman" w:eastAsia="Times New Roman" w:hAnsi="Times New Roman" w:cs="Times New Roman"/>
            <w:color w:val="0000FF"/>
            <w:sz w:val="24"/>
            <w:szCs w:val="24"/>
            <w:u w:val="single"/>
            <w:lang w:val="en-US"/>
          </w:rPr>
          <w:t>https://doi.org/10.3389/fpls.2023.1079366</w:t>
        </w:r>
      </w:hyperlink>
      <w:r w:rsidRPr="00420EA0">
        <w:rPr>
          <w:rFonts w:ascii="Times New Roman" w:eastAsia="Times New Roman" w:hAnsi="Times New Roman" w:cs="Times New Roman"/>
          <w:sz w:val="24"/>
          <w:szCs w:val="24"/>
          <w:lang w:val="en-US"/>
        </w:rPr>
        <w:t xml:space="preserve"> </w:t>
      </w:r>
    </w:p>
    <w:p w14:paraId="03300161"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Liu, Q., Sun, T., Wen, X., Zeng, M., &amp; Chen, J. (2023). Detecting the minimum limit on wheat stripe rust in the latent period using proximal remote sensing coupled with duplex real-time PCR and machine learning. </w:t>
      </w:r>
      <w:r w:rsidRPr="00420EA0">
        <w:rPr>
          <w:rFonts w:ascii="Times New Roman" w:eastAsia="Times New Roman" w:hAnsi="Times New Roman" w:cs="Times New Roman"/>
          <w:i/>
          <w:iCs/>
          <w:sz w:val="24"/>
          <w:szCs w:val="24"/>
          <w:lang w:val="en-US"/>
        </w:rPr>
        <w:t>Plants, 12</w:t>
      </w:r>
      <w:r w:rsidRPr="00420EA0">
        <w:rPr>
          <w:rFonts w:ascii="Times New Roman" w:eastAsia="Times New Roman" w:hAnsi="Times New Roman" w:cs="Times New Roman"/>
          <w:sz w:val="24"/>
          <w:szCs w:val="24"/>
          <w:lang w:val="en-US"/>
        </w:rPr>
        <w:t xml:space="preserve">(15), 2814. </w:t>
      </w:r>
      <w:hyperlink r:id="rId22" w:tgtFrame="_new" w:history="1">
        <w:r w:rsidRPr="00420EA0">
          <w:rPr>
            <w:rFonts w:ascii="Times New Roman" w:eastAsia="Times New Roman" w:hAnsi="Times New Roman" w:cs="Times New Roman"/>
            <w:color w:val="0000FF"/>
            <w:sz w:val="24"/>
            <w:szCs w:val="24"/>
            <w:u w:val="single"/>
            <w:lang w:val="en-US"/>
          </w:rPr>
          <w:t>https://doi.org/10.3390/plants12152814</w:t>
        </w:r>
      </w:hyperlink>
      <w:r w:rsidRPr="00420EA0">
        <w:rPr>
          <w:rFonts w:ascii="Times New Roman" w:eastAsia="Times New Roman" w:hAnsi="Times New Roman" w:cs="Times New Roman"/>
          <w:sz w:val="24"/>
          <w:szCs w:val="24"/>
          <w:lang w:val="en-US"/>
        </w:rPr>
        <w:t xml:space="preserve"> </w:t>
      </w:r>
    </w:p>
    <w:p w14:paraId="63B1888E"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Lu, Y., Chen, D., Olaniyi, E., &amp; Huang, Y. (2022). Generative adversarial networks (GANs) for image augmentation in agriculture: A systematic review. </w:t>
      </w:r>
      <w:r w:rsidRPr="00420EA0">
        <w:rPr>
          <w:rFonts w:ascii="Times New Roman" w:eastAsia="Times New Roman" w:hAnsi="Times New Roman" w:cs="Times New Roman"/>
          <w:i/>
          <w:iCs/>
          <w:sz w:val="24"/>
          <w:szCs w:val="24"/>
          <w:lang w:val="en-US"/>
        </w:rPr>
        <w:t>Computers and Electronics in Agriculture, 200</w:t>
      </w:r>
      <w:r w:rsidRPr="00420EA0">
        <w:rPr>
          <w:rFonts w:ascii="Times New Roman" w:eastAsia="Times New Roman" w:hAnsi="Times New Roman" w:cs="Times New Roman"/>
          <w:sz w:val="24"/>
          <w:szCs w:val="24"/>
          <w:lang w:val="en-US"/>
        </w:rPr>
        <w:t xml:space="preserve">, 107208. </w:t>
      </w:r>
      <w:hyperlink r:id="rId23" w:tgtFrame="_new" w:history="1">
        <w:r w:rsidRPr="00420EA0">
          <w:rPr>
            <w:rFonts w:ascii="Times New Roman" w:eastAsia="Times New Roman" w:hAnsi="Times New Roman" w:cs="Times New Roman"/>
            <w:color w:val="0000FF"/>
            <w:sz w:val="24"/>
            <w:szCs w:val="24"/>
            <w:u w:val="single"/>
            <w:lang w:val="en-US"/>
          </w:rPr>
          <w:t>https://doi.org/10.1016/j.compag.2022.107208</w:t>
        </w:r>
      </w:hyperlink>
      <w:r w:rsidRPr="00420EA0">
        <w:rPr>
          <w:rFonts w:ascii="Times New Roman" w:eastAsia="Times New Roman" w:hAnsi="Times New Roman" w:cs="Times New Roman"/>
          <w:sz w:val="24"/>
          <w:szCs w:val="24"/>
          <w:lang w:val="en-US"/>
        </w:rPr>
        <w:t xml:space="preserve"> </w:t>
      </w:r>
    </w:p>
    <w:p w14:paraId="2CD090C6"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Mamba Kabala, D., Hafiane, A., </w:t>
      </w:r>
      <w:proofErr w:type="spellStart"/>
      <w:r w:rsidRPr="00420EA0">
        <w:rPr>
          <w:rFonts w:ascii="Times New Roman" w:eastAsia="Times New Roman" w:hAnsi="Times New Roman" w:cs="Times New Roman"/>
          <w:sz w:val="24"/>
          <w:szCs w:val="24"/>
          <w:lang w:val="en-US"/>
        </w:rPr>
        <w:t>Bobelin</w:t>
      </w:r>
      <w:proofErr w:type="spellEnd"/>
      <w:r w:rsidRPr="00420EA0">
        <w:rPr>
          <w:rFonts w:ascii="Times New Roman" w:eastAsia="Times New Roman" w:hAnsi="Times New Roman" w:cs="Times New Roman"/>
          <w:sz w:val="24"/>
          <w:szCs w:val="24"/>
          <w:lang w:val="en-US"/>
        </w:rPr>
        <w:t xml:space="preserve">, L., &amp; Canals, R. (2023). Image-based crop disease detection with federated learning. </w:t>
      </w:r>
      <w:r w:rsidRPr="00420EA0">
        <w:rPr>
          <w:rFonts w:ascii="Times New Roman" w:eastAsia="Times New Roman" w:hAnsi="Times New Roman" w:cs="Times New Roman"/>
          <w:i/>
          <w:iCs/>
          <w:sz w:val="24"/>
          <w:szCs w:val="24"/>
          <w:lang w:val="en-US"/>
        </w:rPr>
        <w:t>Scientific Reports, 13</w:t>
      </w:r>
      <w:r w:rsidRPr="00420EA0">
        <w:rPr>
          <w:rFonts w:ascii="Times New Roman" w:eastAsia="Times New Roman" w:hAnsi="Times New Roman" w:cs="Times New Roman"/>
          <w:sz w:val="24"/>
          <w:szCs w:val="24"/>
          <w:lang w:val="en-US"/>
        </w:rPr>
        <w:t xml:space="preserve">, Article 19220. </w:t>
      </w:r>
      <w:hyperlink r:id="rId24" w:tgtFrame="_new" w:history="1">
        <w:r w:rsidRPr="00420EA0">
          <w:rPr>
            <w:rFonts w:ascii="Times New Roman" w:eastAsia="Times New Roman" w:hAnsi="Times New Roman" w:cs="Times New Roman"/>
            <w:color w:val="0000FF"/>
            <w:sz w:val="24"/>
            <w:szCs w:val="24"/>
            <w:u w:val="single"/>
            <w:lang w:val="en-US"/>
          </w:rPr>
          <w:t>https://doi.org/10.1038/s41598-023-46218-5</w:t>
        </w:r>
      </w:hyperlink>
      <w:r w:rsidRPr="00420EA0">
        <w:rPr>
          <w:rFonts w:ascii="Times New Roman" w:eastAsia="Times New Roman" w:hAnsi="Times New Roman" w:cs="Times New Roman"/>
          <w:sz w:val="24"/>
          <w:szCs w:val="24"/>
          <w:lang w:val="en-US"/>
        </w:rPr>
        <w:t xml:space="preserve"> </w:t>
      </w:r>
    </w:p>
    <w:p w14:paraId="584EB699"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lastRenderedPageBreak/>
        <w:t></w:t>
      </w:r>
      <w:r w:rsidRPr="00420EA0">
        <w:rPr>
          <w:rFonts w:ascii="Times New Roman" w:eastAsia="Times New Roman" w:hAnsi="Times New Roman" w:cs="Times New Roman"/>
          <w:sz w:val="24"/>
          <w:szCs w:val="24"/>
          <w:lang w:val="en-US"/>
        </w:rPr>
        <w:t xml:space="preserve">  Meynard, C. N., </w:t>
      </w:r>
      <w:proofErr w:type="spellStart"/>
      <w:r w:rsidRPr="00420EA0">
        <w:rPr>
          <w:rFonts w:ascii="Times New Roman" w:eastAsia="Times New Roman" w:hAnsi="Times New Roman" w:cs="Times New Roman"/>
          <w:sz w:val="24"/>
          <w:szCs w:val="24"/>
          <w:lang w:val="en-US"/>
        </w:rPr>
        <w:t>Migeon</w:t>
      </w:r>
      <w:proofErr w:type="spellEnd"/>
      <w:r w:rsidRPr="00420EA0">
        <w:rPr>
          <w:rFonts w:ascii="Times New Roman" w:eastAsia="Times New Roman" w:hAnsi="Times New Roman" w:cs="Times New Roman"/>
          <w:sz w:val="24"/>
          <w:szCs w:val="24"/>
          <w:lang w:val="en-US"/>
        </w:rPr>
        <w:t xml:space="preserve">, A., &amp; </w:t>
      </w:r>
      <w:proofErr w:type="spellStart"/>
      <w:r w:rsidRPr="00420EA0">
        <w:rPr>
          <w:rFonts w:ascii="Times New Roman" w:eastAsia="Times New Roman" w:hAnsi="Times New Roman" w:cs="Times New Roman"/>
          <w:sz w:val="24"/>
          <w:szCs w:val="24"/>
          <w:lang w:val="en-US"/>
        </w:rPr>
        <w:t>Navajas</w:t>
      </w:r>
      <w:proofErr w:type="spellEnd"/>
      <w:r w:rsidRPr="00420EA0">
        <w:rPr>
          <w:rFonts w:ascii="Times New Roman" w:eastAsia="Times New Roman" w:hAnsi="Times New Roman" w:cs="Times New Roman"/>
          <w:sz w:val="24"/>
          <w:szCs w:val="24"/>
          <w:lang w:val="en-US"/>
        </w:rPr>
        <w:t xml:space="preserve">, M. (2013). Uncertainties in predicting species distributions under climate change: A case study using </w:t>
      </w:r>
      <w:proofErr w:type="spellStart"/>
      <w:r w:rsidRPr="00420EA0">
        <w:rPr>
          <w:rFonts w:ascii="Times New Roman" w:eastAsia="Times New Roman" w:hAnsi="Times New Roman" w:cs="Times New Roman"/>
          <w:i/>
          <w:iCs/>
          <w:sz w:val="24"/>
          <w:szCs w:val="24"/>
          <w:lang w:val="en-US"/>
        </w:rPr>
        <w:t>Tetranychus</w:t>
      </w:r>
      <w:proofErr w:type="spellEnd"/>
      <w:r w:rsidRPr="00420EA0">
        <w:rPr>
          <w:rFonts w:ascii="Times New Roman" w:eastAsia="Times New Roman" w:hAnsi="Times New Roman" w:cs="Times New Roman"/>
          <w:i/>
          <w:iCs/>
          <w:sz w:val="24"/>
          <w:szCs w:val="24"/>
          <w:lang w:val="en-US"/>
        </w:rPr>
        <w:t xml:space="preserve"> </w:t>
      </w:r>
      <w:proofErr w:type="spellStart"/>
      <w:r w:rsidRPr="00420EA0">
        <w:rPr>
          <w:rFonts w:ascii="Times New Roman" w:eastAsia="Times New Roman" w:hAnsi="Times New Roman" w:cs="Times New Roman"/>
          <w:i/>
          <w:iCs/>
          <w:sz w:val="24"/>
          <w:szCs w:val="24"/>
          <w:lang w:val="en-US"/>
        </w:rPr>
        <w:t>evansi</w:t>
      </w:r>
      <w:proofErr w:type="spellEnd"/>
      <w:r w:rsidRPr="00420EA0">
        <w:rPr>
          <w:rFonts w:ascii="Times New Roman" w:eastAsia="Times New Roman" w:hAnsi="Times New Roman" w:cs="Times New Roman"/>
          <w:sz w:val="24"/>
          <w:szCs w:val="24"/>
          <w:lang w:val="en-US"/>
        </w:rPr>
        <w:t xml:space="preserve"> (Acari: Tetranychidae), a widespread agricultural pest. </w:t>
      </w:r>
      <w:r w:rsidRPr="00420EA0">
        <w:rPr>
          <w:rFonts w:ascii="Times New Roman" w:eastAsia="Times New Roman" w:hAnsi="Times New Roman" w:cs="Times New Roman"/>
          <w:i/>
          <w:iCs/>
          <w:sz w:val="24"/>
          <w:szCs w:val="24"/>
          <w:lang w:val="en-US"/>
        </w:rPr>
        <w:t>PLOS ONE, 8</w:t>
      </w:r>
      <w:r w:rsidRPr="00420EA0">
        <w:rPr>
          <w:rFonts w:ascii="Times New Roman" w:eastAsia="Times New Roman" w:hAnsi="Times New Roman" w:cs="Times New Roman"/>
          <w:sz w:val="24"/>
          <w:szCs w:val="24"/>
          <w:lang w:val="en-US"/>
        </w:rPr>
        <w:t xml:space="preserve">(6), e66445. </w:t>
      </w:r>
      <w:hyperlink r:id="rId25" w:tgtFrame="_new" w:history="1">
        <w:r w:rsidRPr="00420EA0">
          <w:rPr>
            <w:rFonts w:ascii="Times New Roman" w:eastAsia="Times New Roman" w:hAnsi="Times New Roman" w:cs="Times New Roman"/>
            <w:color w:val="0000FF"/>
            <w:sz w:val="24"/>
            <w:szCs w:val="24"/>
            <w:u w:val="single"/>
            <w:lang w:val="en-US"/>
          </w:rPr>
          <w:t>https://doi.org/10.1371/journal.pone.0066445</w:t>
        </w:r>
      </w:hyperlink>
      <w:r w:rsidRPr="00420EA0">
        <w:rPr>
          <w:rFonts w:ascii="Times New Roman" w:eastAsia="Times New Roman" w:hAnsi="Times New Roman" w:cs="Times New Roman"/>
          <w:sz w:val="24"/>
          <w:szCs w:val="24"/>
          <w:lang w:val="en-US"/>
        </w:rPr>
        <w:t xml:space="preserve"> </w:t>
      </w:r>
    </w:p>
    <w:p w14:paraId="5EBFEE09"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Mohanty, S. P., Hughes, D. P., &amp; </w:t>
      </w:r>
      <w:proofErr w:type="spellStart"/>
      <w:r w:rsidRPr="00420EA0">
        <w:rPr>
          <w:rFonts w:ascii="Times New Roman" w:eastAsia="Times New Roman" w:hAnsi="Times New Roman" w:cs="Times New Roman"/>
          <w:sz w:val="24"/>
          <w:szCs w:val="24"/>
          <w:lang w:val="en-US"/>
        </w:rPr>
        <w:t>Salathé</w:t>
      </w:r>
      <w:proofErr w:type="spellEnd"/>
      <w:r w:rsidRPr="00420EA0">
        <w:rPr>
          <w:rFonts w:ascii="Times New Roman" w:eastAsia="Times New Roman" w:hAnsi="Times New Roman" w:cs="Times New Roman"/>
          <w:sz w:val="24"/>
          <w:szCs w:val="24"/>
          <w:lang w:val="en-US"/>
        </w:rPr>
        <w:t xml:space="preserve">, M. (2016). Using deep learning for image-based plant disease detection. </w:t>
      </w:r>
      <w:r w:rsidRPr="00420EA0">
        <w:rPr>
          <w:rFonts w:ascii="Times New Roman" w:eastAsia="Times New Roman" w:hAnsi="Times New Roman" w:cs="Times New Roman"/>
          <w:i/>
          <w:iCs/>
          <w:sz w:val="24"/>
          <w:szCs w:val="24"/>
          <w:lang w:val="en-US"/>
        </w:rPr>
        <w:t>Frontiers in Plant Science, 7</w:t>
      </w:r>
      <w:r w:rsidRPr="00420EA0">
        <w:rPr>
          <w:rFonts w:ascii="Times New Roman" w:eastAsia="Times New Roman" w:hAnsi="Times New Roman" w:cs="Times New Roman"/>
          <w:sz w:val="24"/>
          <w:szCs w:val="24"/>
          <w:lang w:val="en-US"/>
        </w:rPr>
        <w:t xml:space="preserve">, 1419. </w:t>
      </w:r>
      <w:hyperlink r:id="rId26" w:tgtFrame="_new" w:history="1">
        <w:r w:rsidRPr="00420EA0">
          <w:rPr>
            <w:rFonts w:ascii="Times New Roman" w:eastAsia="Times New Roman" w:hAnsi="Times New Roman" w:cs="Times New Roman"/>
            <w:color w:val="0000FF"/>
            <w:sz w:val="24"/>
            <w:szCs w:val="24"/>
            <w:u w:val="single"/>
            <w:lang w:val="en-US"/>
          </w:rPr>
          <w:t>https://doi.org/10.3389/fpls.2016.01419</w:t>
        </w:r>
      </w:hyperlink>
      <w:r w:rsidRPr="00420EA0">
        <w:rPr>
          <w:rFonts w:ascii="Times New Roman" w:eastAsia="Times New Roman" w:hAnsi="Times New Roman" w:cs="Times New Roman"/>
          <w:sz w:val="24"/>
          <w:szCs w:val="24"/>
          <w:lang w:val="en-US"/>
        </w:rPr>
        <w:t xml:space="preserve"> </w:t>
      </w:r>
    </w:p>
    <w:p w14:paraId="041BC30A"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w:t>
      </w:r>
      <w:proofErr w:type="spellStart"/>
      <w:r w:rsidRPr="00420EA0">
        <w:rPr>
          <w:rFonts w:ascii="Times New Roman" w:eastAsia="Times New Roman" w:hAnsi="Times New Roman" w:cs="Times New Roman"/>
          <w:sz w:val="24"/>
          <w:szCs w:val="24"/>
          <w:lang w:val="en-US"/>
        </w:rPr>
        <w:t>Mpisane</w:t>
      </w:r>
      <w:proofErr w:type="spellEnd"/>
      <w:r w:rsidRPr="00420EA0">
        <w:rPr>
          <w:rFonts w:ascii="Times New Roman" w:eastAsia="Times New Roman" w:hAnsi="Times New Roman" w:cs="Times New Roman"/>
          <w:sz w:val="24"/>
          <w:szCs w:val="24"/>
          <w:lang w:val="en-US"/>
        </w:rPr>
        <w:t xml:space="preserve">, K., Kganyago, M., </w:t>
      </w:r>
      <w:proofErr w:type="spellStart"/>
      <w:r w:rsidRPr="00420EA0">
        <w:rPr>
          <w:rFonts w:ascii="Times New Roman" w:eastAsia="Times New Roman" w:hAnsi="Times New Roman" w:cs="Times New Roman"/>
          <w:sz w:val="24"/>
          <w:szCs w:val="24"/>
          <w:lang w:val="en-US"/>
        </w:rPr>
        <w:t>Munghemezulu</w:t>
      </w:r>
      <w:proofErr w:type="spellEnd"/>
      <w:r w:rsidRPr="00420EA0">
        <w:rPr>
          <w:rFonts w:ascii="Times New Roman" w:eastAsia="Times New Roman" w:hAnsi="Times New Roman" w:cs="Times New Roman"/>
          <w:sz w:val="24"/>
          <w:szCs w:val="24"/>
          <w:lang w:val="en-US"/>
        </w:rPr>
        <w:t xml:space="preserve">, C., Price, R., &amp; Nduku, L. (2025). A systematic review of remote sensing technologies and techniques for agricultural insect pest monitoring: Lessons for </w:t>
      </w:r>
      <w:proofErr w:type="spellStart"/>
      <w:r w:rsidRPr="00420EA0">
        <w:rPr>
          <w:rFonts w:ascii="Times New Roman" w:eastAsia="Times New Roman" w:hAnsi="Times New Roman" w:cs="Times New Roman"/>
          <w:i/>
          <w:iCs/>
          <w:sz w:val="24"/>
          <w:szCs w:val="24"/>
          <w:lang w:val="en-US"/>
        </w:rPr>
        <w:t>Locustana</w:t>
      </w:r>
      <w:proofErr w:type="spellEnd"/>
      <w:r w:rsidRPr="00420EA0">
        <w:rPr>
          <w:rFonts w:ascii="Times New Roman" w:eastAsia="Times New Roman" w:hAnsi="Times New Roman" w:cs="Times New Roman"/>
          <w:i/>
          <w:iCs/>
          <w:sz w:val="24"/>
          <w:szCs w:val="24"/>
          <w:lang w:val="en-US"/>
        </w:rPr>
        <w:t xml:space="preserve"> </w:t>
      </w:r>
      <w:proofErr w:type="spellStart"/>
      <w:r w:rsidRPr="00420EA0">
        <w:rPr>
          <w:rFonts w:ascii="Times New Roman" w:eastAsia="Times New Roman" w:hAnsi="Times New Roman" w:cs="Times New Roman"/>
          <w:i/>
          <w:iCs/>
          <w:sz w:val="24"/>
          <w:szCs w:val="24"/>
          <w:lang w:val="en-US"/>
        </w:rPr>
        <w:t>pardalina</w:t>
      </w:r>
      <w:proofErr w:type="spellEnd"/>
      <w:r w:rsidRPr="00420EA0">
        <w:rPr>
          <w:rFonts w:ascii="Times New Roman" w:eastAsia="Times New Roman" w:hAnsi="Times New Roman" w:cs="Times New Roman"/>
          <w:sz w:val="24"/>
          <w:szCs w:val="24"/>
          <w:lang w:val="en-US"/>
        </w:rPr>
        <w:t xml:space="preserve"> (brown locust) control in South Africa. </w:t>
      </w:r>
      <w:r w:rsidRPr="00420EA0">
        <w:rPr>
          <w:rFonts w:ascii="Times New Roman" w:eastAsia="Times New Roman" w:hAnsi="Times New Roman" w:cs="Times New Roman"/>
          <w:i/>
          <w:iCs/>
          <w:sz w:val="24"/>
          <w:szCs w:val="24"/>
          <w:lang w:val="en-US"/>
        </w:rPr>
        <w:t>Frontiers in Remote Sensing, 6</w:t>
      </w:r>
      <w:r w:rsidRPr="00420EA0">
        <w:rPr>
          <w:rFonts w:ascii="Times New Roman" w:eastAsia="Times New Roman" w:hAnsi="Times New Roman" w:cs="Times New Roman"/>
          <w:sz w:val="24"/>
          <w:szCs w:val="24"/>
          <w:lang w:val="en-US"/>
        </w:rPr>
        <w:t xml:space="preserve">, 1571149. </w:t>
      </w:r>
      <w:hyperlink r:id="rId27" w:tgtFrame="_new" w:history="1">
        <w:r w:rsidRPr="00420EA0">
          <w:rPr>
            <w:rFonts w:ascii="Times New Roman" w:eastAsia="Times New Roman" w:hAnsi="Times New Roman" w:cs="Times New Roman"/>
            <w:color w:val="0000FF"/>
            <w:sz w:val="24"/>
            <w:szCs w:val="24"/>
            <w:u w:val="single"/>
            <w:lang w:val="en-US"/>
          </w:rPr>
          <w:t>https://doi.org/10.3389/frsen.2025.1571149</w:t>
        </w:r>
      </w:hyperlink>
      <w:r w:rsidRPr="00420EA0">
        <w:rPr>
          <w:rFonts w:ascii="Times New Roman" w:eastAsia="Times New Roman" w:hAnsi="Times New Roman" w:cs="Times New Roman"/>
          <w:sz w:val="24"/>
          <w:szCs w:val="24"/>
          <w:lang w:val="en-US"/>
        </w:rPr>
        <w:t xml:space="preserve"> </w:t>
      </w:r>
    </w:p>
    <w:p w14:paraId="3815FC19"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Mrisho, L. M., </w:t>
      </w:r>
      <w:proofErr w:type="spellStart"/>
      <w:r w:rsidRPr="00420EA0">
        <w:rPr>
          <w:rFonts w:ascii="Times New Roman" w:eastAsia="Times New Roman" w:hAnsi="Times New Roman" w:cs="Times New Roman"/>
          <w:sz w:val="24"/>
          <w:szCs w:val="24"/>
          <w:lang w:val="en-US"/>
        </w:rPr>
        <w:t>Mbilinyi</w:t>
      </w:r>
      <w:proofErr w:type="spellEnd"/>
      <w:r w:rsidRPr="00420EA0">
        <w:rPr>
          <w:rFonts w:ascii="Times New Roman" w:eastAsia="Times New Roman" w:hAnsi="Times New Roman" w:cs="Times New Roman"/>
          <w:sz w:val="24"/>
          <w:szCs w:val="24"/>
          <w:lang w:val="en-US"/>
        </w:rPr>
        <w:t xml:space="preserve">, N. A., </w:t>
      </w:r>
      <w:proofErr w:type="spellStart"/>
      <w:r w:rsidRPr="00420EA0">
        <w:rPr>
          <w:rFonts w:ascii="Times New Roman" w:eastAsia="Times New Roman" w:hAnsi="Times New Roman" w:cs="Times New Roman"/>
          <w:sz w:val="24"/>
          <w:szCs w:val="24"/>
          <w:lang w:val="en-US"/>
        </w:rPr>
        <w:t>Ndalahwa</w:t>
      </w:r>
      <w:proofErr w:type="spellEnd"/>
      <w:r w:rsidRPr="00420EA0">
        <w:rPr>
          <w:rFonts w:ascii="Times New Roman" w:eastAsia="Times New Roman" w:hAnsi="Times New Roman" w:cs="Times New Roman"/>
          <w:sz w:val="24"/>
          <w:szCs w:val="24"/>
          <w:lang w:val="en-US"/>
        </w:rPr>
        <w:t xml:space="preserve">, M., Ramcharan, A. M., Kehs, A. K., McCloskey, P. C., Murithi, H., Hughes, D. P., &amp; Legg, J. P. (2020). Accuracy of a smartphone-based object detection model, </w:t>
      </w:r>
      <w:proofErr w:type="spellStart"/>
      <w:r w:rsidRPr="00420EA0">
        <w:rPr>
          <w:rFonts w:ascii="Times New Roman" w:eastAsia="Times New Roman" w:hAnsi="Times New Roman" w:cs="Times New Roman"/>
          <w:sz w:val="24"/>
          <w:szCs w:val="24"/>
          <w:lang w:val="en-US"/>
        </w:rPr>
        <w:t>PlantVillage</w:t>
      </w:r>
      <w:proofErr w:type="spellEnd"/>
      <w:r w:rsidRPr="00420EA0">
        <w:rPr>
          <w:rFonts w:ascii="Times New Roman" w:eastAsia="Times New Roman" w:hAnsi="Times New Roman" w:cs="Times New Roman"/>
          <w:sz w:val="24"/>
          <w:szCs w:val="24"/>
          <w:lang w:val="en-US"/>
        </w:rPr>
        <w:t xml:space="preserve"> Nuru, in identifying the foliar symptoms of the viral diseases of cassava–CMD and CBSD. </w:t>
      </w:r>
      <w:r w:rsidRPr="00420EA0">
        <w:rPr>
          <w:rFonts w:ascii="Times New Roman" w:eastAsia="Times New Roman" w:hAnsi="Times New Roman" w:cs="Times New Roman"/>
          <w:i/>
          <w:iCs/>
          <w:sz w:val="24"/>
          <w:szCs w:val="24"/>
          <w:lang w:val="en-US"/>
        </w:rPr>
        <w:t>Frontiers in Plant Science, 11</w:t>
      </w:r>
      <w:r w:rsidRPr="00420EA0">
        <w:rPr>
          <w:rFonts w:ascii="Times New Roman" w:eastAsia="Times New Roman" w:hAnsi="Times New Roman" w:cs="Times New Roman"/>
          <w:sz w:val="24"/>
          <w:szCs w:val="24"/>
          <w:lang w:val="en-US"/>
        </w:rPr>
        <w:t xml:space="preserve">, 590889. </w:t>
      </w:r>
      <w:hyperlink r:id="rId28" w:tgtFrame="_new" w:history="1">
        <w:r w:rsidRPr="00420EA0">
          <w:rPr>
            <w:rFonts w:ascii="Times New Roman" w:eastAsia="Times New Roman" w:hAnsi="Times New Roman" w:cs="Times New Roman"/>
            <w:color w:val="0000FF"/>
            <w:sz w:val="24"/>
            <w:szCs w:val="24"/>
            <w:u w:val="single"/>
            <w:lang w:val="en-US"/>
          </w:rPr>
          <w:t>https://doi.org/10.3389/fpls.2020.590889</w:t>
        </w:r>
      </w:hyperlink>
      <w:r w:rsidRPr="00420EA0">
        <w:rPr>
          <w:rFonts w:ascii="Times New Roman" w:eastAsia="Times New Roman" w:hAnsi="Times New Roman" w:cs="Times New Roman"/>
          <w:sz w:val="24"/>
          <w:szCs w:val="24"/>
          <w:lang w:val="en-US"/>
        </w:rPr>
        <w:t xml:space="preserve"> </w:t>
      </w:r>
    </w:p>
    <w:p w14:paraId="3E751E07"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Ni, Q., Zuo, Y., Zhi, Z., Shi, Y., Liu, G., &amp; Ou, Q. (2024). Diagnosis of corn leaf diseases by FTIR spectroscopy combined with machine learning. </w:t>
      </w:r>
      <w:r w:rsidRPr="00420EA0">
        <w:rPr>
          <w:rFonts w:ascii="Times New Roman" w:eastAsia="Times New Roman" w:hAnsi="Times New Roman" w:cs="Times New Roman"/>
          <w:i/>
          <w:iCs/>
          <w:sz w:val="24"/>
          <w:szCs w:val="24"/>
          <w:lang w:val="en-US"/>
        </w:rPr>
        <w:t>Vibrational Spectroscopy, 135</w:t>
      </w:r>
      <w:r w:rsidRPr="00420EA0">
        <w:rPr>
          <w:rFonts w:ascii="Times New Roman" w:eastAsia="Times New Roman" w:hAnsi="Times New Roman" w:cs="Times New Roman"/>
          <w:sz w:val="24"/>
          <w:szCs w:val="24"/>
          <w:lang w:val="en-US"/>
        </w:rPr>
        <w:t xml:space="preserve">, 103744. </w:t>
      </w:r>
      <w:hyperlink r:id="rId29" w:tgtFrame="_new" w:history="1">
        <w:r w:rsidRPr="00420EA0">
          <w:rPr>
            <w:rFonts w:ascii="Times New Roman" w:eastAsia="Times New Roman" w:hAnsi="Times New Roman" w:cs="Times New Roman"/>
            <w:color w:val="0000FF"/>
            <w:sz w:val="24"/>
            <w:szCs w:val="24"/>
            <w:u w:val="single"/>
            <w:lang w:val="en-US"/>
          </w:rPr>
          <w:t>https://doi.org/10.1016/j.vibspec.2024.103744</w:t>
        </w:r>
      </w:hyperlink>
      <w:r w:rsidRPr="00420EA0">
        <w:rPr>
          <w:rFonts w:ascii="Times New Roman" w:eastAsia="Times New Roman" w:hAnsi="Times New Roman" w:cs="Times New Roman"/>
          <w:sz w:val="24"/>
          <w:szCs w:val="24"/>
          <w:lang w:val="en-US"/>
        </w:rPr>
        <w:t xml:space="preserve"> </w:t>
      </w:r>
    </w:p>
    <w:p w14:paraId="2E0DCF4E"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Pacal, I., </w:t>
      </w:r>
      <w:proofErr w:type="spellStart"/>
      <w:r w:rsidRPr="00420EA0">
        <w:rPr>
          <w:rFonts w:ascii="Times New Roman" w:eastAsia="Times New Roman" w:hAnsi="Times New Roman" w:cs="Times New Roman"/>
          <w:sz w:val="24"/>
          <w:szCs w:val="24"/>
          <w:lang w:val="en-US"/>
        </w:rPr>
        <w:t>Kunduracioglu</w:t>
      </w:r>
      <w:proofErr w:type="spellEnd"/>
      <w:r w:rsidRPr="00420EA0">
        <w:rPr>
          <w:rFonts w:ascii="Times New Roman" w:eastAsia="Times New Roman" w:hAnsi="Times New Roman" w:cs="Times New Roman"/>
          <w:sz w:val="24"/>
          <w:szCs w:val="24"/>
          <w:lang w:val="en-US"/>
        </w:rPr>
        <w:t xml:space="preserve">, I., Alma, M. H., Deveci, M., Kadry, S., Nedoma, J., Slany, V., &amp; Martinek, R. (2024). A systematic review of deep learning techniques for plant diseases. </w:t>
      </w:r>
      <w:r w:rsidRPr="00420EA0">
        <w:rPr>
          <w:rFonts w:ascii="Times New Roman" w:eastAsia="Times New Roman" w:hAnsi="Times New Roman" w:cs="Times New Roman"/>
          <w:i/>
          <w:iCs/>
          <w:sz w:val="24"/>
          <w:szCs w:val="24"/>
          <w:lang w:val="en-US"/>
        </w:rPr>
        <w:t>Artificial Intelligence Review, 57</w:t>
      </w:r>
      <w:r w:rsidRPr="00420EA0">
        <w:rPr>
          <w:rFonts w:ascii="Times New Roman" w:eastAsia="Times New Roman" w:hAnsi="Times New Roman" w:cs="Times New Roman"/>
          <w:sz w:val="24"/>
          <w:szCs w:val="24"/>
          <w:lang w:val="en-US"/>
        </w:rPr>
        <w:t xml:space="preserve">, Article 304. </w:t>
      </w:r>
      <w:hyperlink r:id="rId30" w:tgtFrame="_new" w:history="1">
        <w:r w:rsidRPr="00420EA0">
          <w:rPr>
            <w:rFonts w:ascii="Times New Roman" w:eastAsia="Times New Roman" w:hAnsi="Times New Roman" w:cs="Times New Roman"/>
            <w:color w:val="0000FF"/>
            <w:sz w:val="24"/>
            <w:szCs w:val="24"/>
            <w:u w:val="single"/>
            <w:lang w:val="en-US"/>
          </w:rPr>
          <w:t>https://doi.org/10.1007/s10462-024-10944-7</w:t>
        </w:r>
      </w:hyperlink>
      <w:r w:rsidRPr="00420EA0">
        <w:rPr>
          <w:rFonts w:ascii="Times New Roman" w:eastAsia="Times New Roman" w:hAnsi="Times New Roman" w:cs="Times New Roman"/>
          <w:sz w:val="24"/>
          <w:szCs w:val="24"/>
          <w:lang w:val="en-US"/>
        </w:rPr>
        <w:t xml:space="preserve"> </w:t>
      </w:r>
    </w:p>
    <w:p w14:paraId="62D6B83A"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w:t>
      </w:r>
      <w:proofErr w:type="spellStart"/>
      <w:r w:rsidRPr="00420EA0">
        <w:rPr>
          <w:rFonts w:ascii="Times New Roman" w:eastAsia="Times New Roman" w:hAnsi="Times New Roman" w:cs="Times New Roman"/>
          <w:sz w:val="24"/>
          <w:szCs w:val="24"/>
          <w:lang w:val="en-US"/>
        </w:rPr>
        <w:t>Pydipati</w:t>
      </w:r>
      <w:proofErr w:type="spellEnd"/>
      <w:r w:rsidRPr="00420EA0">
        <w:rPr>
          <w:rFonts w:ascii="Times New Roman" w:eastAsia="Times New Roman" w:hAnsi="Times New Roman" w:cs="Times New Roman"/>
          <w:sz w:val="24"/>
          <w:szCs w:val="24"/>
          <w:lang w:val="en-US"/>
        </w:rPr>
        <w:t xml:space="preserve">, R., Burks, T. F., &amp; Lee, W. S. (2006). Identification of citrus disease using color texture features and discriminant analysis. </w:t>
      </w:r>
      <w:r w:rsidRPr="00420EA0">
        <w:rPr>
          <w:rFonts w:ascii="Times New Roman" w:eastAsia="Times New Roman" w:hAnsi="Times New Roman" w:cs="Times New Roman"/>
          <w:i/>
          <w:iCs/>
          <w:sz w:val="24"/>
          <w:szCs w:val="24"/>
          <w:lang w:val="en-US"/>
        </w:rPr>
        <w:t>Computers and Electronics in Agriculture, 52</w:t>
      </w:r>
      <w:r w:rsidRPr="00420EA0">
        <w:rPr>
          <w:rFonts w:ascii="Times New Roman" w:eastAsia="Times New Roman" w:hAnsi="Times New Roman" w:cs="Times New Roman"/>
          <w:sz w:val="24"/>
          <w:szCs w:val="24"/>
          <w:lang w:val="en-US"/>
        </w:rPr>
        <w:t xml:space="preserve">(1–2), 49–59. </w:t>
      </w:r>
      <w:hyperlink r:id="rId31" w:tgtFrame="_new" w:history="1">
        <w:r w:rsidRPr="00420EA0">
          <w:rPr>
            <w:rFonts w:ascii="Times New Roman" w:eastAsia="Times New Roman" w:hAnsi="Times New Roman" w:cs="Times New Roman"/>
            <w:color w:val="0000FF"/>
            <w:sz w:val="24"/>
            <w:szCs w:val="24"/>
            <w:u w:val="single"/>
            <w:lang w:val="en-US"/>
          </w:rPr>
          <w:t>https://doi.org/10.1016/j.compag.2006.01.004</w:t>
        </w:r>
      </w:hyperlink>
      <w:r w:rsidRPr="00420EA0">
        <w:rPr>
          <w:rFonts w:ascii="Times New Roman" w:eastAsia="Times New Roman" w:hAnsi="Times New Roman" w:cs="Times New Roman"/>
          <w:sz w:val="24"/>
          <w:szCs w:val="24"/>
          <w:lang w:val="en-US"/>
        </w:rPr>
        <w:t xml:space="preserve"> </w:t>
      </w:r>
    </w:p>
    <w:p w14:paraId="6266818E"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Rashid, R., Aslam, W., Aziz, R., &amp; </w:t>
      </w:r>
      <w:proofErr w:type="spellStart"/>
      <w:r w:rsidRPr="00420EA0">
        <w:rPr>
          <w:rFonts w:ascii="Times New Roman" w:eastAsia="Times New Roman" w:hAnsi="Times New Roman" w:cs="Times New Roman"/>
          <w:sz w:val="24"/>
          <w:szCs w:val="24"/>
          <w:lang w:val="en-US"/>
        </w:rPr>
        <w:t>Aldehim</w:t>
      </w:r>
      <w:proofErr w:type="spellEnd"/>
      <w:r w:rsidRPr="00420EA0">
        <w:rPr>
          <w:rFonts w:ascii="Times New Roman" w:eastAsia="Times New Roman" w:hAnsi="Times New Roman" w:cs="Times New Roman"/>
          <w:sz w:val="24"/>
          <w:szCs w:val="24"/>
          <w:lang w:val="en-US"/>
        </w:rPr>
        <w:t xml:space="preserve">, G. (2024). An early and smart detection of corn plant leaf diseases using IoT and deep learning multi-models. </w:t>
      </w:r>
      <w:r w:rsidRPr="00420EA0">
        <w:rPr>
          <w:rFonts w:ascii="Times New Roman" w:eastAsia="Times New Roman" w:hAnsi="Times New Roman" w:cs="Times New Roman"/>
          <w:i/>
          <w:iCs/>
          <w:sz w:val="24"/>
          <w:szCs w:val="24"/>
          <w:lang w:val="en-US"/>
        </w:rPr>
        <w:t>IEEE Access, 12</w:t>
      </w:r>
      <w:r w:rsidRPr="00420EA0">
        <w:rPr>
          <w:rFonts w:ascii="Times New Roman" w:eastAsia="Times New Roman" w:hAnsi="Times New Roman" w:cs="Times New Roman"/>
          <w:sz w:val="24"/>
          <w:szCs w:val="24"/>
          <w:lang w:val="en-US"/>
        </w:rPr>
        <w:t xml:space="preserve">, 23149–23162. </w:t>
      </w:r>
      <w:hyperlink r:id="rId32" w:tgtFrame="_new" w:history="1">
        <w:r w:rsidRPr="00420EA0">
          <w:rPr>
            <w:rFonts w:ascii="Times New Roman" w:eastAsia="Times New Roman" w:hAnsi="Times New Roman" w:cs="Times New Roman"/>
            <w:color w:val="0000FF"/>
            <w:sz w:val="24"/>
            <w:szCs w:val="24"/>
            <w:u w:val="single"/>
            <w:lang w:val="en-US"/>
          </w:rPr>
          <w:t>https://doi.org/10.1109/ACCESS.2024.3357099</w:t>
        </w:r>
      </w:hyperlink>
      <w:r w:rsidRPr="00420EA0">
        <w:rPr>
          <w:rFonts w:ascii="Times New Roman" w:eastAsia="Times New Roman" w:hAnsi="Times New Roman" w:cs="Times New Roman"/>
          <w:sz w:val="24"/>
          <w:szCs w:val="24"/>
          <w:lang w:val="en-US"/>
        </w:rPr>
        <w:t xml:space="preserve"> </w:t>
      </w:r>
    </w:p>
    <w:p w14:paraId="1185016D"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Shoaib, M., Shah, B., El-</w:t>
      </w:r>
      <w:proofErr w:type="spellStart"/>
      <w:r w:rsidRPr="00420EA0">
        <w:rPr>
          <w:rFonts w:ascii="Times New Roman" w:eastAsia="Times New Roman" w:hAnsi="Times New Roman" w:cs="Times New Roman"/>
          <w:sz w:val="24"/>
          <w:szCs w:val="24"/>
          <w:lang w:val="en-US"/>
        </w:rPr>
        <w:t>Sappagh</w:t>
      </w:r>
      <w:proofErr w:type="spellEnd"/>
      <w:r w:rsidRPr="00420EA0">
        <w:rPr>
          <w:rFonts w:ascii="Times New Roman" w:eastAsia="Times New Roman" w:hAnsi="Times New Roman" w:cs="Times New Roman"/>
          <w:sz w:val="24"/>
          <w:szCs w:val="24"/>
          <w:lang w:val="en-US"/>
        </w:rPr>
        <w:t xml:space="preserve">, S., Ali, A., Ullah, A., </w:t>
      </w:r>
      <w:proofErr w:type="spellStart"/>
      <w:r w:rsidRPr="00420EA0">
        <w:rPr>
          <w:rFonts w:ascii="Times New Roman" w:eastAsia="Times New Roman" w:hAnsi="Times New Roman" w:cs="Times New Roman"/>
          <w:sz w:val="24"/>
          <w:szCs w:val="24"/>
          <w:lang w:val="en-US"/>
        </w:rPr>
        <w:t>Alenezi</w:t>
      </w:r>
      <w:proofErr w:type="spellEnd"/>
      <w:r w:rsidRPr="00420EA0">
        <w:rPr>
          <w:rFonts w:ascii="Times New Roman" w:eastAsia="Times New Roman" w:hAnsi="Times New Roman" w:cs="Times New Roman"/>
          <w:sz w:val="24"/>
          <w:szCs w:val="24"/>
          <w:lang w:val="en-US"/>
        </w:rPr>
        <w:t xml:space="preserve">, F., Gechev, T., Hussain, T., &amp; Ali, F. (2023). An advanced deep learning models-based plant disease detection: A review of recent research. </w:t>
      </w:r>
      <w:r w:rsidRPr="00420EA0">
        <w:rPr>
          <w:rFonts w:ascii="Times New Roman" w:eastAsia="Times New Roman" w:hAnsi="Times New Roman" w:cs="Times New Roman"/>
          <w:i/>
          <w:iCs/>
          <w:sz w:val="24"/>
          <w:szCs w:val="24"/>
          <w:lang w:val="en-US"/>
        </w:rPr>
        <w:t>Frontiers in Plant Science, 14</w:t>
      </w:r>
      <w:r w:rsidRPr="00420EA0">
        <w:rPr>
          <w:rFonts w:ascii="Times New Roman" w:eastAsia="Times New Roman" w:hAnsi="Times New Roman" w:cs="Times New Roman"/>
          <w:sz w:val="24"/>
          <w:szCs w:val="24"/>
          <w:lang w:val="en-US"/>
        </w:rPr>
        <w:t xml:space="preserve">, 1158933. </w:t>
      </w:r>
      <w:hyperlink r:id="rId33" w:tgtFrame="_new" w:history="1">
        <w:r w:rsidRPr="00420EA0">
          <w:rPr>
            <w:rFonts w:ascii="Times New Roman" w:eastAsia="Times New Roman" w:hAnsi="Times New Roman" w:cs="Times New Roman"/>
            <w:color w:val="0000FF"/>
            <w:sz w:val="24"/>
            <w:szCs w:val="24"/>
            <w:u w:val="single"/>
            <w:lang w:val="en-US"/>
          </w:rPr>
          <w:t>https://doi.org/10.3389/fpls.2023.1158933</w:t>
        </w:r>
      </w:hyperlink>
      <w:r w:rsidRPr="00420EA0">
        <w:rPr>
          <w:rFonts w:ascii="Times New Roman" w:eastAsia="Times New Roman" w:hAnsi="Times New Roman" w:cs="Times New Roman"/>
          <w:sz w:val="24"/>
          <w:szCs w:val="24"/>
          <w:lang w:val="en-US"/>
        </w:rPr>
        <w:t xml:space="preserve"> </w:t>
      </w:r>
    </w:p>
    <w:p w14:paraId="36946819"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Soussi, A., Zero, E., </w:t>
      </w:r>
      <w:proofErr w:type="spellStart"/>
      <w:r w:rsidRPr="00420EA0">
        <w:rPr>
          <w:rFonts w:ascii="Times New Roman" w:eastAsia="Times New Roman" w:hAnsi="Times New Roman" w:cs="Times New Roman"/>
          <w:sz w:val="24"/>
          <w:szCs w:val="24"/>
          <w:lang w:val="en-US"/>
        </w:rPr>
        <w:t>Sacile</w:t>
      </w:r>
      <w:proofErr w:type="spellEnd"/>
      <w:r w:rsidRPr="00420EA0">
        <w:rPr>
          <w:rFonts w:ascii="Times New Roman" w:eastAsia="Times New Roman" w:hAnsi="Times New Roman" w:cs="Times New Roman"/>
          <w:sz w:val="24"/>
          <w:szCs w:val="24"/>
          <w:lang w:val="en-US"/>
        </w:rPr>
        <w:t xml:space="preserve">, R., </w:t>
      </w:r>
      <w:proofErr w:type="spellStart"/>
      <w:r w:rsidRPr="00420EA0">
        <w:rPr>
          <w:rFonts w:ascii="Times New Roman" w:eastAsia="Times New Roman" w:hAnsi="Times New Roman" w:cs="Times New Roman"/>
          <w:sz w:val="24"/>
          <w:szCs w:val="24"/>
          <w:lang w:val="en-US"/>
        </w:rPr>
        <w:t>Trinchero</w:t>
      </w:r>
      <w:proofErr w:type="spellEnd"/>
      <w:r w:rsidRPr="00420EA0">
        <w:rPr>
          <w:rFonts w:ascii="Times New Roman" w:eastAsia="Times New Roman" w:hAnsi="Times New Roman" w:cs="Times New Roman"/>
          <w:sz w:val="24"/>
          <w:szCs w:val="24"/>
          <w:lang w:val="en-US"/>
        </w:rPr>
        <w:t xml:space="preserve">, D., &amp; Fossa, M. (2024). Smart sensors and smart data for precision agriculture: A review. </w:t>
      </w:r>
      <w:r w:rsidRPr="00420EA0">
        <w:rPr>
          <w:rFonts w:ascii="Times New Roman" w:eastAsia="Times New Roman" w:hAnsi="Times New Roman" w:cs="Times New Roman"/>
          <w:i/>
          <w:iCs/>
          <w:sz w:val="24"/>
          <w:szCs w:val="24"/>
          <w:lang w:val="en-US"/>
        </w:rPr>
        <w:t>Sensors, 24</w:t>
      </w:r>
      <w:r w:rsidRPr="00420EA0">
        <w:rPr>
          <w:rFonts w:ascii="Times New Roman" w:eastAsia="Times New Roman" w:hAnsi="Times New Roman" w:cs="Times New Roman"/>
          <w:sz w:val="24"/>
          <w:szCs w:val="24"/>
          <w:lang w:val="en-US"/>
        </w:rPr>
        <w:t xml:space="preserve">(8), 2647. </w:t>
      </w:r>
      <w:hyperlink r:id="rId34" w:tgtFrame="_new" w:history="1">
        <w:r w:rsidRPr="00420EA0">
          <w:rPr>
            <w:rFonts w:ascii="Times New Roman" w:eastAsia="Times New Roman" w:hAnsi="Times New Roman" w:cs="Times New Roman"/>
            <w:color w:val="0000FF"/>
            <w:sz w:val="24"/>
            <w:szCs w:val="24"/>
            <w:u w:val="single"/>
            <w:lang w:val="en-US"/>
          </w:rPr>
          <w:t>https://doi.org/10.3390/s24082647</w:t>
        </w:r>
      </w:hyperlink>
      <w:r w:rsidRPr="00420EA0">
        <w:rPr>
          <w:rFonts w:ascii="Times New Roman" w:eastAsia="Times New Roman" w:hAnsi="Times New Roman" w:cs="Times New Roman"/>
          <w:sz w:val="24"/>
          <w:szCs w:val="24"/>
          <w:lang w:val="en-US"/>
        </w:rPr>
        <w:t xml:space="preserve"> </w:t>
      </w:r>
    </w:p>
    <w:p w14:paraId="766A5514"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Tariq, M., Ali, U., Abbas, S., Hassan, S., Naqvi, R. A., Khan, M. A., &amp; Jeong, D. (2024). Corn leaf disease: Insightful diagnosis using VGG16 empowered by explainable AI. </w:t>
      </w:r>
      <w:r w:rsidRPr="00420EA0">
        <w:rPr>
          <w:rFonts w:ascii="Times New Roman" w:eastAsia="Times New Roman" w:hAnsi="Times New Roman" w:cs="Times New Roman"/>
          <w:i/>
          <w:iCs/>
          <w:sz w:val="24"/>
          <w:szCs w:val="24"/>
          <w:lang w:val="en-US"/>
        </w:rPr>
        <w:t>Frontiers in Plant Science, 15</w:t>
      </w:r>
      <w:r w:rsidRPr="00420EA0">
        <w:rPr>
          <w:rFonts w:ascii="Times New Roman" w:eastAsia="Times New Roman" w:hAnsi="Times New Roman" w:cs="Times New Roman"/>
          <w:sz w:val="24"/>
          <w:szCs w:val="24"/>
          <w:lang w:val="en-US"/>
        </w:rPr>
        <w:t xml:space="preserve">, 1402835. </w:t>
      </w:r>
      <w:hyperlink r:id="rId35" w:tgtFrame="_new" w:history="1">
        <w:r w:rsidRPr="00420EA0">
          <w:rPr>
            <w:rFonts w:ascii="Times New Roman" w:eastAsia="Times New Roman" w:hAnsi="Times New Roman" w:cs="Times New Roman"/>
            <w:color w:val="0000FF"/>
            <w:sz w:val="24"/>
            <w:szCs w:val="24"/>
            <w:u w:val="single"/>
            <w:lang w:val="en-US"/>
          </w:rPr>
          <w:t>https://doi.org/10.3389/fpls.2024.1402835</w:t>
        </w:r>
      </w:hyperlink>
      <w:r w:rsidRPr="00420EA0">
        <w:rPr>
          <w:rFonts w:ascii="Times New Roman" w:eastAsia="Times New Roman" w:hAnsi="Times New Roman" w:cs="Times New Roman"/>
          <w:sz w:val="24"/>
          <w:szCs w:val="24"/>
          <w:lang w:val="en-US"/>
        </w:rPr>
        <w:t xml:space="preserve"> </w:t>
      </w:r>
    </w:p>
    <w:p w14:paraId="684EE3D6"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Vidya Madhuri, E., Rupali, J. S., Sharan, S. P., Sai Pooja, N., Sujatha, G. S., Singh, D. P., Ahmad, K., Kumar, A., &amp; Prabha, R. (2025). Transforming pest management with artificial intelligence technologies: The future of crop protection. </w:t>
      </w:r>
      <w:r w:rsidRPr="00420EA0">
        <w:rPr>
          <w:rFonts w:ascii="Times New Roman" w:eastAsia="Times New Roman" w:hAnsi="Times New Roman" w:cs="Times New Roman"/>
          <w:i/>
          <w:iCs/>
          <w:sz w:val="24"/>
          <w:szCs w:val="24"/>
          <w:lang w:val="en-US"/>
        </w:rPr>
        <w:t>Journal of Crop Health, 77</w:t>
      </w:r>
      <w:r w:rsidRPr="00420EA0">
        <w:rPr>
          <w:rFonts w:ascii="Times New Roman" w:eastAsia="Times New Roman" w:hAnsi="Times New Roman" w:cs="Times New Roman"/>
          <w:sz w:val="24"/>
          <w:szCs w:val="24"/>
          <w:lang w:val="en-US"/>
        </w:rPr>
        <w:t xml:space="preserve">, Article 48. </w:t>
      </w:r>
      <w:hyperlink r:id="rId36" w:tgtFrame="_new" w:history="1">
        <w:r w:rsidRPr="00420EA0">
          <w:rPr>
            <w:rFonts w:ascii="Times New Roman" w:eastAsia="Times New Roman" w:hAnsi="Times New Roman" w:cs="Times New Roman"/>
            <w:color w:val="0000FF"/>
            <w:sz w:val="24"/>
            <w:szCs w:val="24"/>
            <w:u w:val="single"/>
            <w:lang w:val="en-US"/>
          </w:rPr>
          <w:t>https://doi.org/10.1007/s10343-025-01109-9</w:t>
        </w:r>
      </w:hyperlink>
      <w:r w:rsidRPr="00420EA0">
        <w:rPr>
          <w:rFonts w:ascii="Times New Roman" w:eastAsia="Times New Roman" w:hAnsi="Times New Roman" w:cs="Times New Roman"/>
          <w:sz w:val="24"/>
          <w:szCs w:val="24"/>
          <w:lang w:val="en-US"/>
        </w:rPr>
        <w:t xml:space="preserve"> </w:t>
      </w:r>
    </w:p>
    <w:p w14:paraId="35878772"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Wang, S., Xu, D., Liang, H., Bai, Y., Li, X., Zhou, J., Su, C., &amp; Wei, W. (2025). Advances in deep learning applications for plant disease and pest detection: A review. </w:t>
      </w:r>
      <w:r w:rsidRPr="00420EA0">
        <w:rPr>
          <w:rFonts w:ascii="Times New Roman" w:eastAsia="Times New Roman" w:hAnsi="Times New Roman" w:cs="Times New Roman"/>
          <w:i/>
          <w:iCs/>
          <w:sz w:val="24"/>
          <w:szCs w:val="24"/>
          <w:lang w:val="en-US"/>
        </w:rPr>
        <w:t>Remote Sensing, 17</w:t>
      </w:r>
      <w:r w:rsidRPr="00420EA0">
        <w:rPr>
          <w:rFonts w:ascii="Times New Roman" w:eastAsia="Times New Roman" w:hAnsi="Times New Roman" w:cs="Times New Roman"/>
          <w:sz w:val="24"/>
          <w:szCs w:val="24"/>
          <w:lang w:val="en-US"/>
        </w:rPr>
        <w:t xml:space="preserve">(4), 698. </w:t>
      </w:r>
      <w:hyperlink r:id="rId37" w:tgtFrame="_new" w:history="1">
        <w:r w:rsidRPr="00420EA0">
          <w:rPr>
            <w:rFonts w:ascii="Times New Roman" w:eastAsia="Times New Roman" w:hAnsi="Times New Roman" w:cs="Times New Roman"/>
            <w:color w:val="0000FF"/>
            <w:sz w:val="24"/>
            <w:szCs w:val="24"/>
            <w:u w:val="single"/>
            <w:lang w:val="en-US"/>
          </w:rPr>
          <w:t>https://doi.org/10.3390/rs17040698</w:t>
        </w:r>
      </w:hyperlink>
      <w:r w:rsidRPr="00420EA0">
        <w:rPr>
          <w:rFonts w:ascii="Times New Roman" w:eastAsia="Times New Roman" w:hAnsi="Times New Roman" w:cs="Times New Roman"/>
          <w:sz w:val="24"/>
          <w:szCs w:val="24"/>
          <w:lang w:val="en-US"/>
        </w:rPr>
        <w:t xml:space="preserve"> </w:t>
      </w:r>
    </w:p>
    <w:p w14:paraId="2B64002D"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Wang, X., &amp; Cao, W. (2023). GACN: Generative adversarial classified network for balancing plant disease dataset and plant disease recognition. </w:t>
      </w:r>
      <w:r w:rsidRPr="00420EA0">
        <w:rPr>
          <w:rFonts w:ascii="Times New Roman" w:eastAsia="Times New Roman" w:hAnsi="Times New Roman" w:cs="Times New Roman"/>
          <w:i/>
          <w:iCs/>
          <w:sz w:val="24"/>
          <w:szCs w:val="24"/>
          <w:lang w:val="en-US"/>
        </w:rPr>
        <w:t>Sensors, 23</w:t>
      </w:r>
      <w:r w:rsidRPr="00420EA0">
        <w:rPr>
          <w:rFonts w:ascii="Times New Roman" w:eastAsia="Times New Roman" w:hAnsi="Times New Roman" w:cs="Times New Roman"/>
          <w:sz w:val="24"/>
          <w:szCs w:val="24"/>
          <w:lang w:val="en-US"/>
        </w:rPr>
        <w:t xml:space="preserve">(15), 6844. </w:t>
      </w:r>
      <w:hyperlink r:id="rId38" w:tgtFrame="_new" w:history="1">
        <w:r w:rsidRPr="00420EA0">
          <w:rPr>
            <w:rFonts w:ascii="Times New Roman" w:eastAsia="Times New Roman" w:hAnsi="Times New Roman" w:cs="Times New Roman"/>
            <w:color w:val="0000FF"/>
            <w:sz w:val="24"/>
            <w:szCs w:val="24"/>
            <w:u w:val="single"/>
            <w:lang w:val="en-US"/>
          </w:rPr>
          <w:t>https://doi.org/10.3390/s23156844</w:t>
        </w:r>
      </w:hyperlink>
      <w:r w:rsidRPr="00420EA0">
        <w:rPr>
          <w:rFonts w:ascii="Times New Roman" w:eastAsia="Times New Roman" w:hAnsi="Times New Roman" w:cs="Times New Roman"/>
          <w:sz w:val="24"/>
          <w:szCs w:val="24"/>
          <w:lang w:val="en-US"/>
        </w:rPr>
        <w:t xml:space="preserve"> </w:t>
      </w:r>
    </w:p>
    <w:p w14:paraId="36677712" w14:textId="77777777" w:rsidR="00420EA0" w:rsidRPr="00420EA0" w:rsidRDefault="00420EA0" w:rsidP="00420EA0">
      <w:pPr>
        <w:spacing w:after="0" w:line="240" w:lineRule="auto"/>
        <w:rPr>
          <w:rFonts w:ascii="Times New Roman" w:eastAsia="Times New Roman" w:hAnsi="Times New Roman" w:cs="Times New Roman"/>
          <w:sz w:val="24"/>
          <w:szCs w:val="24"/>
          <w:lang w:val="en-US"/>
        </w:rPr>
      </w:pPr>
      <w:r w:rsidRPr="00420EA0">
        <w:rPr>
          <w:rFonts w:ascii="Times New Roman" w:eastAsia="Times New Roman" w:hAnsi="Symbol" w:cs="Times New Roman"/>
          <w:sz w:val="24"/>
          <w:szCs w:val="24"/>
          <w:lang w:val="en-US"/>
        </w:rPr>
        <w:lastRenderedPageBreak/>
        <w:t></w:t>
      </w:r>
      <w:r w:rsidRPr="00420EA0">
        <w:rPr>
          <w:rFonts w:ascii="Times New Roman" w:eastAsia="Times New Roman" w:hAnsi="Times New Roman" w:cs="Times New Roman"/>
          <w:sz w:val="24"/>
          <w:szCs w:val="24"/>
          <w:lang w:val="en-US"/>
        </w:rPr>
        <w:t xml:space="preserve">  Yamada, M., Thiesen, L. V., </w:t>
      </w:r>
      <w:proofErr w:type="spellStart"/>
      <w:r w:rsidRPr="00420EA0">
        <w:rPr>
          <w:rFonts w:ascii="Times New Roman" w:eastAsia="Times New Roman" w:hAnsi="Times New Roman" w:cs="Times New Roman"/>
          <w:sz w:val="24"/>
          <w:szCs w:val="24"/>
          <w:lang w:val="en-US"/>
        </w:rPr>
        <w:t>Iost</w:t>
      </w:r>
      <w:proofErr w:type="spellEnd"/>
      <w:r w:rsidRPr="00420EA0">
        <w:rPr>
          <w:rFonts w:ascii="Times New Roman" w:eastAsia="Times New Roman" w:hAnsi="Times New Roman" w:cs="Times New Roman"/>
          <w:sz w:val="24"/>
          <w:szCs w:val="24"/>
          <w:lang w:val="en-US"/>
        </w:rPr>
        <w:t xml:space="preserve"> Filho, F. H., &amp; Yamamoto, P. T. (2024). Hyperspectral imaging and machine learning: A promising tool for the early detection of </w:t>
      </w:r>
      <w:proofErr w:type="spellStart"/>
      <w:r w:rsidRPr="00420EA0">
        <w:rPr>
          <w:rFonts w:ascii="Times New Roman" w:eastAsia="Times New Roman" w:hAnsi="Times New Roman" w:cs="Times New Roman"/>
          <w:i/>
          <w:iCs/>
          <w:sz w:val="24"/>
          <w:szCs w:val="24"/>
          <w:lang w:val="en-US"/>
        </w:rPr>
        <w:t>Tetranychus</w:t>
      </w:r>
      <w:proofErr w:type="spellEnd"/>
      <w:r w:rsidRPr="00420EA0">
        <w:rPr>
          <w:rFonts w:ascii="Times New Roman" w:eastAsia="Times New Roman" w:hAnsi="Times New Roman" w:cs="Times New Roman"/>
          <w:i/>
          <w:iCs/>
          <w:sz w:val="24"/>
          <w:szCs w:val="24"/>
          <w:lang w:val="en-US"/>
        </w:rPr>
        <w:t xml:space="preserve"> </w:t>
      </w:r>
      <w:proofErr w:type="spellStart"/>
      <w:r w:rsidRPr="00420EA0">
        <w:rPr>
          <w:rFonts w:ascii="Times New Roman" w:eastAsia="Times New Roman" w:hAnsi="Times New Roman" w:cs="Times New Roman"/>
          <w:i/>
          <w:iCs/>
          <w:sz w:val="24"/>
          <w:szCs w:val="24"/>
          <w:lang w:val="en-US"/>
        </w:rPr>
        <w:t>urticae</w:t>
      </w:r>
      <w:proofErr w:type="spellEnd"/>
      <w:r w:rsidRPr="00420EA0">
        <w:rPr>
          <w:rFonts w:ascii="Times New Roman" w:eastAsia="Times New Roman" w:hAnsi="Times New Roman" w:cs="Times New Roman"/>
          <w:sz w:val="24"/>
          <w:szCs w:val="24"/>
          <w:lang w:val="en-US"/>
        </w:rPr>
        <w:t xml:space="preserve"> Koch infestation in cotton. </w:t>
      </w:r>
      <w:r w:rsidRPr="00420EA0">
        <w:rPr>
          <w:rFonts w:ascii="Times New Roman" w:eastAsia="Times New Roman" w:hAnsi="Times New Roman" w:cs="Times New Roman"/>
          <w:i/>
          <w:iCs/>
          <w:sz w:val="24"/>
          <w:szCs w:val="24"/>
          <w:lang w:val="en-US"/>
        </w:rPr>
        <w:t>Agriculture, 14</w:t>
      </w:r>
      <w:r w:rsidRPr="00420EA0">
        <w:rPr>
          <w:rFonts w:ascii="Times New Roman" w:eastAsia="Times New Roman" w:hAnsi="Times New Roman" w:cs="Times New Roman"/>
          <w:sz w:val="24"/>
          <w:szCs w:val="24"/>
          <w:lang w:val="en-US"/>
        </w:rPr>
        <w:t xml:space="preserve">(9), 1573. </w:t>
      </w:r>
      <w:hyperlink r:id="rId39" w:tgtFrame="_new" w:history="1">
        <w:r w:rsidRPr="00420EA0">
          <w:rPr>
            <w:rFonts w:ascii="Times New Roman" w:eastAsia="Times New Roman" w:hAnsi="Times New Roman" w:cs="Times New Roman"/>
            <w:color w:val="0000FF"/>
            <w:sz w:val="24"/>
            <w:szCs w:val="24"/>
            <w:u w:val="single"/>
            <w:lang w:val="en-US"/>
          </w:rPr>
          <w:t>https://doi.org/10.3390/agriculture14091573</w:t>
        </w:r>
      </w:hyperlink>
      <w:r w:rsidRPr="00420EA0">
        <w:rPr>
          <w:rFonts w:ascii="Times New Roman" w:eastAsia="Times New Roman" w:hAnsi="Times New Roman" w:cs="Times New Roman"/>
          <w:sz w:val="24"/>
          <w:szCs w:val="24"/>
          <w:lang w:val="en-US"/>
        </w:rPr>
        <w:t xml:space="preserve"> </w:t>
      </w:r>
    </w:p>
    <w:p w14:paraId="3F46DE69" w14:textId="3A4FB446" w:rsidR="00420EA0" w:rsidRPr="00A13324" w:rsidRDefault="00420EA0" w:rsidP="00420EA0">
      <w:pPr>
        <w:spacing w:before="100" w:beforeAutospacing="1" w:after="100" w:afterAutospacing="1" w:line="240" w:lineRule="auto"/>
        <w:jc w:val="both"/>
        <w:outlineLvl w:val="2"/>
        <w:rPr>
          <w:rFonts w:ascii="Times New Roman" w:eastAsia="Times New Roman" w:hAnsi="Times New Roman" w:cs="Times New Roman"/>
          <w:b/>
          <w:bCs/>
          <w:sz w:val="27"/>
          <w:szCs w:val="27"/>
          <w:lang w:eastAsia="en-GB"/>
        </w:rPr>
      </w:pPr>
      <w:r w:rsidRPr="00420EA0">
        <w:rPr>
          <w:rFonts w:ascii="Times New Roman" w:eastAsia="Times New Roman" w:hAnsi="Symbol" w:cs="Times New Roman"/>
          <w:sz w:val="24"/>
          <w:szCs w:val="24"/>
          <w:lang w:val="en-US"/>
        </w:rPr>
        <w:t></w:t>
      </w:r>
      <w:r w:rsidRPr="00420EA0">
        <w:rPr>
          <w:rFonts w:ascii="Times New Roman" w:eastAsia="Times New Roman" w:hAnsi="Times New Roman" w:cs="Times New Roman"/>
          <w:sz w:val="24"/>
          <w:szCs w:val="24"/>
          <w:lang w:val="en-US"/>
        </w:rPr>
        <w:t xml:space="preserve">  Yang, S., Xing, Z., Wang, H., Dong, X., Gao, X., Liu, Z., Zhang, X., Li, S., &amp; Zhao, Y. (2023). Maize-YOLO: A new high-precision and real-time method for maize pest detection. </w:t>
      </w:r>
      <w:r w:rsidRPr="00420EA0">
        <w:rPr>
          <w:rFonts w:ascii="Times New Roman" w:eastAsia="Times New Roman" w:hAnsi="Times New Roman" w:cs="Times New Roman"/>
          <w:i/>
          <w:iCs/>
          <w:sz w:val="24"/>
          <w:szCs w:val="24"/>
          <w:lang w:val="en-US"/>
        </w:rPr>
        <w:t>Insects, 14</w:t>
      </w:r>
      <w:r w:rsidRPr="00420EA0">
        <w:rPr>
          <w:rFonts w:ascii="Times New Roman" w:eastAsia="Times New Roman" w:hAnsi="Times New Roman" w:cs="Times New Roman"/>
          <w:sz w:val="24"/>
          <w:szCs w:val="24"/>
          <w:lang w:val="en-US"/>
        </w:rPr>
        <w:t xml:space="preserve">(3), 278. </w:t>
      </w:r>
      <w:hyperlink r:id="rId40" w:tgtFrame="_new" w:history="1">
        <w:r w:rsidRPr="00420EA0">
          <w:rPr>
            <w:rFonts w:ascii="Times New Roman" w:eastAsia="Times New Roman" w:hAnsi="Times New Roman" w:cs="Times New Roman"/>
            <w:color w:val="0000FF"/>
            <w:sz w:val="24"/>
            <w:szCs w:val="24"/>
            <w:u w:val="single"/>
            <w:lang w:val="en-US"/>
          </w:rPr>
          <w:t>https://doi.org/10.3390/insects14030278</w:t>
        </w:r>
      </w:hyperlink>
    </w:p>
    <w:sectPr w:rsidR="00420EA0" w:rsidRPr="00A13324" w:rsidSect="004841B3">
      <w:headerReference w:type="even" r:id="rId41"/>
      <w:headerReference w:type="default" r:id="rId42"/>
      <w:footerReference w:type="even" r:id="rId43"/>
      <w:footerReference w:type="default" r:id="rId44"/>
      <w:headerReference w:type="first" r:id="rId45"/>
      <w:foot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7F823" w14:textId="77777777" w:rsidR="00EB1638" w:rsidRDefault="00EB1638" w:rsidP="00B64EEF">
      <w:pPr>
        <w:spacing w:after="0" w:line="240" w:lineRule="auto"/>
      </w:pPr>
      <w:r>
        <w:separator/>
      </w:r>
    </w:p>
  </w:endnote>
  <w:endnote w:type="continuationSeparator" w:id="0">
    <w:p w14:paraId="178D1E87" w14:textId="77777777" w:rsidR="00EB1638" w:rsidRDefault="00EB1638" w:rsidP="00B64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41ADA" w14:textId="77777777" w:rsidR="00B64EEF" w:rsidRDefault="00B64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D850" w14:textId="77777777" w:rsidR="00B64EEF" w:rsidRDefault="00B64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DF6C" w14:textId="77777777" w:rsidR="00B64EEF" w:rsidRDefault="00B64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79AF0" w14:textId="77777777" w:rsidR="00EB1638" w:rsidRDefault="00EB1638" w:rsidP="00B64EEF">
      <w:pPr>
        <w:spacing w:after="0" w:line="240" w:lineRule="auto"/>
      </w:pPr>
      <w:r>
        <w:separator/>
      </w:r>
    </w:p>
  </w:footnote>
  <w:footnote w:type="continuationSeparator" w:id="0">
    <w:p w14:paraId="258AFA98" w14:textId="77777777" w:rsidR="00EB1638" w:rsidRDefault="00EB1638" w:rsidP="00B64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7421" w14:textId="58AEB40B" w:rsidR="00B64EEF" w:rsidRDefault="00000000">
    <w:pPr>
      <w:pStyle w:val="Header"/>
    </w:pPr>
    <w:r>
      <w:rPr>
        <w:noProof/>
      </w:rPr>
      <w:pict w14:anchorId="686DD5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4631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DCA5" w14:textId="3C90412F" w:rsidR="00B64EEF" w:rsidRDefault="00000000">
    <w:pPr>
      <w:pStyle w:val="Header"/>
    </w:pPr>
    <w:r>
      <w:rPr>
        <w:noProof/>
      </w:rPr>
      <w:pict w14:anchorId="2AA95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4631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71BB" w14:textId="6617AD79" w:rsidR="00B64EEF" w:rsidRDefault="00000000">
    <w:pPr>
      <w:pStyle w:val="Header"/>
    </w:pPr>
    <w:r>
      <w:rPr>
        <w:noProof/>
      </w:rPr>
      <w:pict w14:anchorId="3F16BB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4631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55194"/>
    <w:multiLevelType w:val="hybridMultilevel"/>
    <w:tmpl w:val="E2F6B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9267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rcwNDMyNzQ1MzM1NbNQ0lEKTi0uzszPAykwrAUA/FthgSwAAAA="/>
  </w:docVars>
  <w:rsids>
    <w:rsidRoot w:val="00A13324"/>
    <w:rsid w:val="001A4C56"/>
    <w:rsid w:val="002B2428"/>
    <w:rsid w:val="00345F3B"/>
    <w:rsid w:val="00420EA0"/>
    <w:rsid w:val="0047654E"/>
    <w:rsid w:val="004841B3"/>
    <w:rsid w:val="004B695B"/>
    <w:rsid w:val="00727054"/>
    <w:rsid w:val="007D7634"/>
    <w:rsid w:val="00824882"/>
    <w:rsid w:val="00884B63"/>
    <w:rsid w:val="009A76AC"/>
    <w:rsid w:val="00A13324"/>
    <w:rsid w:val="00B30FFC"/>
    <w:rsid w:val="00B64EEF"/>
    <w:rsid w:val="00CD6840"/>
    <w:rsid w:val="00CF2AD8"/>
    <w:rsid w:val="00D02CB6"/>
    <w:rsid w:val="00EA17E7"/>
    <w:rsid w:val="00EB1638"/>
    <w:rsid w:val="00EF1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A114F"/>
  <w15:docId w15:val="{D4A3BD27-15DE-4CB8-ADCE-4707F74B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A1332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1332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A1332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A1332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1332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A13324"/>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A13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13324"/>
    <w:rPr>
      <w:b/>
      <w:bCs/>
    </w:rPr>
  </w:style>
  <w:style w:type="character" w:styleId="Emphasis">
    <w:name w:val="Emphasis"/>
    <w:basedOn w:val="DefaultParagraphFont"/>
    <w:uiPriority w:val="20"/>
    <w:qFormat/>
    <w:rsid w:val="00A13324"/>
    <w:rPr>
      <w:i/>
      <w:iCs/>
    </w:rPr>
  </w:style>
  <w:style w:type="character" w:styleId="Hyperlink">
    <w:name w:val="Hyperlink"/>
    <w:basedOn w:val="DefaultParagraphFont"/>
    <w:uiPriority w:val="99"/>
    <w:semiHidden/>
    <w:unhideWhenUsed/>
    <w:rsid w:val="00A13324"/>
    <w:rPr>
      <w:color w:val="0000FF"/>
      <w:u w:val="single"/>
    </w:rPr>
  </w:style>
  <w:style w:type="table" w:styleId="LightList-Accent5">
    <w:name w:val="Light List Accent 5"/>
    <w:basedOn w:val="TableNormal"/>
    <w:uiPriority w:val="61"/>
    <w:rsid w:val="00A1332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B64E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4EEF"/>
  </w:style>
  <w:style w:type="paragraph" w:styleId="Footer">
    <w:name w:val="footer"/>
    <w:basedOn w:val="Normal"/>
    <w:link w:val="FooterChar"/>
    <w:uiPriority w:val="99"/>
    <w:unhideWhenUsed/>
    <w:rsid w:val="00B64E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4EEF"/>
  </w:style>
  <w:style w:type="paragraph" w:styleId="ListParagraph">
    <w:name w:val="List Paragraph"/>
    <w:basedOn w:val="Normal"/>
    <w:uiPriority w:val="34"/>
    <w:qFormat/>
    <w:rsid w:val="00CD6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60125">
      <w:bodyDiv w:val="1"/>
      <w:marLeft w:val="0"/>
      <w:marRight w:val="0"/>
      <w:marTop w:val="0"/>
      <w:marBottom w:val="0"/>
      <w:divBdr>
        <w:top w:val="none" w:sz="0" w:space="0" w:color="auto"/>
        <w:left w:val="none" w:sz="0" w:space="0" w:color="auto"/>
        <w:bottom w:val="none" w:sz="0" w:space="0" w:color="auto"/>
        <w:right w:val="none" w:sz="0" w:space="0" w:color="auto"/>
      </w:divBdr>
      <w:divsChild>
        <w:div w:id="992685245">
          <w:marLeft w:val="0"/>
          <w:marRight w:val="0"/>
          <w:marTop w:val="0"/>
          <w:marBottom w:val="0"/>
          <w:divBdr>
            <w:top w:val="none" w:sz="0" w:space="0" w:color="auto"/>
            <w:left w:val="none" w:sz="0" w:space="0" w:color="auto"/>
            <w:bottom w:val="none" w:sz="0" w:space="0" w:color="auto"/>
            <w:right w:val="none" w:sz="0" w:space="0" w:color="auto"/>
          </w:divBdr>
        </w:div>
        <w:div w:id="1755543779">
          <w:marLeft w:val="0"/>
          <w:marRight w:val="0"/>
          <w:marTop w:val="0"/>
          <w:marBottom w:val="0"/>
          <w:divBdr>
            <w:top w:val="none" w:sz="0" w:space="0" w:color="auto"/>
            <w:left w:val="none" w:sz="0" w:space="0" w:color="auto"/>
            <w:bottom w:val="none" w:sz="0" w:space="0" w:color="auto"/>
            <w:right w:val="none" w:sz="0" w:space="0" w:color="auto"/>
          </w:divBdr>
        </w:div>
        <w:div w:id="1049766446">
          <w:marLeft w:val="0"/>
          <w:marRight w:val="0"/>
          <w:marTop w:val="0"/>
          <w:marBottom w:val="0"/>
          <w:divBdr>
            <w:top w:val="none" w:sz="0" w:space="0" w:color="auto"/>
            <w:left w:val="none" w:sz="0" w:space="0" w:color="auto"/>
            <w:bottom w:val="none" w:sz="0" w:space="0" w:color="auto"/>
            <w:right w:val="none" w:sz="0" w:space="0" w:color="auto"/>
          </w:divBdr>
        </w:div>
        <w:div w:id="1207453573">
          <w:marLeft w:val="0"/>
          <w:marRight w:val="0"/>
          <w:marTop w:val="0"/>
          <w:marBottom w:val="0"/>
          <w:divBdr>
            <w:top w:val="none" w:sz="0" w:space="0" w:color="auto"/>
            <w:left w:val="none" w:sz="0" w:space="0" w:color="auto"/>
            <w:bottom w:val="none" w:sz="0" w:space="0" w:color="auto"/>
            <w:right w:val="none" w:sz="0" w:space="0" w:color="auto"/>
          </w:divBdr>
        </w:div>
        <w:div w:id="1505438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ns.2024.120338" TargetMode="External"/><Relationship Id="rId18" Type="http://schemas.openxmlformats.org/officeDocument/2006/relationships/hyperlink" Target="https://doi.org/10.1111/j.1471-1842.2009.00848.x" TargetMode="External"/><Relationship Id="rId26" Type="http://schemas.openxmlformats.org/officeDocument/2006/relationships/hyperlink" Target="https://doi.org/10.3389/fpls.2016.01419" TargetMode="External"/><Relationship Id="rId39" Type="http://schemas.openxmlformats.org/officeDocument/2006/relationships/hyperlink" Target="https://doi.org/10.3390/agriculture14091573" TargetMode="External"/><Relationship Id="rId21" Type="http://schemas.openxmlformats.org/officeDocument/2006/relationships/hyperlink" Target="https://doi.org/10.3389/fpls.2023.1079366" TargetMode="External"/><Relationship Id="rId34" Type="http://schemas.openxmlformats.org/officeDocument/2006/relationships/hyperlink" Target="https://doi.org/10.3390/s24082647"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https://doi.org/10.3389/fpls.2024.1355941" TargetMode="External"/><Relationship Id="rId2" Type="http://schemas.openxmlformats.org/officeDocument/2006/relationships/styles" Target="styles.xml"/><Relationship Id="rId16" Type="http://schemas.openxmlformats.org/officeDocument/2006/relationships/hyperlink" Target="https://www.fao.org/plant-production-protection/about/en?utm_source=chatgpt.com" TargetMode="External"/><Relationship Id="rId29" Type="http://schemas.openxmlformats.org/officeDocument/2006/relationships/hyperlink" Target="https://doi.org/10.1016/j.vibspec.2024.10374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40537-023-00863-9" TargetMode="External"/><Relationship Id="rId24" Type="http://schemas.openxmlformats.org/officeDocument/2006/relationships/hyperlink" Target="https://doi.org/10.1038/s41598-023-46218-5" TargetMode="External"/><Relationship Id="rId32" Type="http://schemas.openxmlformats.org/officeDocument/2006/relationships/hyperlink" Target="https://doi.org/10.1109/ACCESS.2024.3357099" TargetMode="External"/><Relationship Id="rId37" Type="http://schemas.openxmlformats.org/officeDocument/2006/relationships/hyperlink" Target="https://doi.org/10.3390/rs17040698" TargetMode="External"/><Relationship Id="rId40" Type="http://schemas.openxmlformats.org/officeDocument/2006/relationships/hyperlink" Target="https://doi.org/10.3390/insects14030278"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3389/fpls.2025.1725017" TargetMode="External"/><Relationship Id="rId23" Type="http://schemas.openxmlformats.org/officeDocument/2006/relationships/hyperlink" Target="https://doi.org/10.1016/j.compag.2022.107208" TargetMode="External"/><Relationship Id="rId28" Type="http://schemas.openxmlformats.org/officeDocument/2006/relationships/hyperlink" Target="https://doi.org/10.3389/fpls.2020.590889" TargetMode="External"/><Relationship Id="rId36" Type="http://schemas.openxmlformats.org/officeDocument/2006/relationships/hyperlink" Target="https://doi.org/10.1007/s10343-025-01109-9" TargetMode="External"/><Relationship Id="rId10" Type="http://schemas.openxmlformats.org/officeDocument/2006/relationships/hyperlink" Target="https://doi.org/10.3389/fpls.2020.583438" TargetMode="External"/><Relationship Id="rId19" Type="http://schemas.openxmlformats.org/officeDocument/2006/relationships/hyperlink" Target="https://doi.org/10.3390/drones6120383" TargetMode="External"/><Relationship Id="rId31" Type="http://schemas.openxmlformats.org/officeDocument/2006/relationships/hyperlink" Target="https://doi.org/10.1016/j.compag.2006.01.004"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16/j.compag.2018.08.013" TargetMode="External"/><Relationship Id="rId14" Type="http://schemas.openxmlformats.org/officeDocument/2006/relationships/hyperlink" Target="https://doi.org/10.3390/agriculture14010074" TargetMode="External"/><Relationship Id="rId22" Type="http://schemas.openxmlformats.org/officeDocument/2006/relationships/hyperlink" Target="https://doi.org/10.3390/plants12152814" TargetMode="External"/><Relationship Id="rId27" Type="http://schemas.openxmlformats.org/officeDocument/2006/relationships/hyperlink" Target="https://doi.org/10.3389/frsen.2025.1571149" TargetMode="External"/><Relationship Id="rId30" Type="http://schemas.openxmlformats.org/officeDocument/2006/relationships/hyperlink" Target="https://doi.org/10.1007/s10462-024-10944-7" TargetMode="External"/><Relationship Id="rId35" Type="http://schemas.openxmlformats.org/officeDocument/2006/relationships/hyperlink" Target="https://doi.org/10.3389/fpls.2024.1402835"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hyperlink" Target="https://doi.org/10.3389/fsufs.2025.1551460" TargetMode="External"/><Relationship Id="rId3" Type="http://schemas.openxmlformats.org/officeDocument/2006/relationships/settings" Target="settings.xml"/><Relationship Id="rId12" Type="http://schemas.openxmlformats.org/officeDocument/2006/relationships/hyperlink" Target="https://doi.org/10.3390/s23187877" TargetMode="External"/><Relationship Id="rId17" Type="http://schemas.openxmlformats.org/officeDocument/2006/relationships/hyperlink" Target="https://doi.org/10.1186/s12870-025-06386-0" TargetMode="External"/><Relationship Id="rId25" Type="http://schemas.openxmlformats.org/officeDocument/2006/relationships/hyperlink" Target="https://doi.org/10.1371/journal.pone.0066445" TargetMode="External"/><Relationship Id="rId33" Type="http://schemas.openxmlformats.org/officeDocument/2006/relationships/hyperlink" Target="https://doi.org/10.3389/fpls.2023.1158933" TargetMode="External"/><Relationship Id="rId38" Type="http://schemas.openxmlformats.org/officeDocument/2006/relationships/hyperlink" Target="https://doi.org/10.3390/s23156844" TargetMode="External"/><Relationship Id="rId46" Type="http://schemas.openxmlformats.org/officeDocument/2006/relationships/footer" Target="footer3.xml"/><Relationship Id="rId20" Type="http://schemas.openxmlformats.org/officeDocument/2006/relationships/hyperlink" Target="https://doi.org/10.1146/annurev-virology-092818-015606"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20</Pages>
  <Words>10127</Words>
  <Characters>57724</Characters>
  <Application>Microsoft Office Word</Application>
  <DocSecurity>0</DocSecurity>
  <Lines>481</Lines>
  <Paragraphs>135</Paragraphs>
  <ScaleCrop>false</ScaleCrop>
  <Company>HP</Company>
  <LinksUpToDate>false</LinksUpToDate>
  <CharactersWithSpaces>67716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1087</cp:lastModifiedBy>
  <cp:revision>11</cp:revision>
  <dcterms:created xsi:type="dcterms:W3CDTF">2026-07-04T09:50:00Z</dcterms:created>
  <dcterms:modified xsi:type="dcterms:W3CDTF">2026-07-08T10:45:00Z</dcterms:modified>
</cp:coreProperties>
</file>