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0296" w14:textId="77777777" w:rsidR="00190DFF" w:rsidRPr="00190DFF" w:rsidRDefault="00190DFF" w:rsidP="001629B5">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190DFF">
        <w:rPr>
          <w:rFonts w:ascii="Times New Roman" w:eastAsia="Times New Roman" w:hAnsi="Times New Roman" w:cs="Times New Roman"/>
          <w:b/>
          <w:bCs/>
          <w:i/>
          <w:iCs/>
          <w:sz w:val="36"/>
          <w:szCs w:val="36"/>
          <w:u w:val="single"/>
          <w:lang w:val="en-US" w:eastAsia="en-GB"/>
        </w:rPr>
        <w:t>Review Article</w:t>
      </w:r>
    </w:p>
    <w:p w14:paraId="707B20C3" w14:textId="77777777" w:rsidR="00B52D07" w:rsidRPr="00B52D07" w:rsidRDefault="00B52D07" w:rsidP="001629B5">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B52D07">
        <w:rPr>
          <w:rFonts w:ascii="Times New Roman" w:eastAsia="Times New Roman" w:hAnsi="Times New Roman" w:cs="Times New Roman"/>
          <w:b/>
          <w:bCs/>
          <w:sz w:val="36"/>
          <w:szCs w:val="36"/>
          <w:lang w:eastAsia="en-GB"/>
        </w:rPr>
        <w:t>Microsponge-Based Drug Delivery Systems: Recent Developments and Therapeutic Applications</w:t>
      </w:r>
    </w:p>
    <w:p w14:paraId="3EA4C4BD"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Abstract</w:t>
      </w:r>
    </w:p>
    <w:p w14:paraId="521C4FB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Microsponge delivery systems occupy a distinctive niche among particulate drug carriers, combining a porous, highly cross-linked polymeric architecture with the capacity to entrap, protect and gradually liberate a wide range of therapeutic agents. Unlike liposomes or polymeric nanoparticles, microsponges are mechanically robust, chemically inert across a broad pH range and amenable to incorporation into conventional dosage forms such as gels, creams, capsules and tablets. Over the past decade, the field has moved well beyond its original dermatological remit, extending into gastroretentive and colon-targeted oral delivery, ocular therapeutics, and, through the closely related cyclodextrin-based nanosponge platform, oncology and antimicrobial applications. This review synthesises the contemporary literature on microsponge design, preparation and evaluation, with particular attention to the physicochemical determinants of drug loading and release, the comparative merits of quasi-emulsion solvent diffusion and related fabrication techniques, and the clinical evidence supporting microencapsulated benzoyl peroxide and tretinoin formulations in acne management. The regulatory pathway for microsponge-based products, the expanding role of nanosponge variants in cancer drug delivery, and emerging computational approaches to formulation optimisation are also examined. The review concludes that microsponge technology has matured from a niche cosmetic tool into a versatile platform with demonstrable clinical benefit, while identifying scale-up reproducibility, standardised characterisation and long-term biocompatibility data as the principal barriers to broader translation.</w:t>
      </w:r>
    </w:p>
    <w:p w14:paraId="232AFD25"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Keywords:</w:t>
      </w:r>
      <w:r w:rsidRPr="00B52D07">
        <w:rPr>
          <w:rFonts w:ascii="Times New Roman" w:eastAsia="Times New Roman" w:hAnsi="Times New Roman" w:cs="Times New Roman"/>
          <w:sz w:val="24"/>
          <w:szCs w:val="24"/>
          <w:lang w:eastAsia="en-GB"/>
        </w:rPr>
        <w:t xml:space="preserve"> microsponge; nanosponge; controlled drug release; topical drug delivery; colon-targeted delivery; quasi-emulsion solvent diffusion</w:t>
      </w:r>
    </w:p>
    <w:p w14:paraId="433E29DE"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 Introduction</w:t>
      </w:r>
    </w:p>
    <w:p w14:paraId="1796248C" w14:textId="67D25D23" w:rsidR="00D04827" w:rsidRPr="001629B5"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Topical, oral and ocular pharmacotherapy has long been constrained by an uncomfortable trade-off. Conventional formulations such as creams, ointments and immediate-release tablets tend to deliver their active ingredient in a burst, producing peaks of local or systemic concentration that are frequently associated with irritation, first-pass metabolism or gastrointestinal intolerance, followed by troughs during which therapeutic benefit wanes (Chadawar &amp; Shaji, 2007). Skin in particular presents a formulation challenge of its own: the stratum corneum barrier, together with individual variation in hydration and lipid composition, means that the same topical vehicle can behave quite differently from one patient to the next, a problem that has driven sustained interest in carrier systems capable of moderating drug flux independently of the skin's own barrier properties (Zhao et al., 2024). Particulate carrier systems were developed in large part to soften this profile, and among them the microsponge occupies a particular position because it achieves controlled release not through a lipid bilayer or a soluble matrix but through a rigid, sponge-like polymeric skeleton perforated by an interconnected network of pores.</w:t>
      </w:r>
      <w:r w:rsidR="001629B5">
        <w:rPr>
          <w:rFonts w:ascii="Times New Roman" w:eastAsia="Times New Roman" w:hAnsi="Times New Roman" w:cs="Times New Roman"/>
          <w:sz w:val="24"/>
          <w:szCs w:val="24"/>
          <w:lang w:eastAsia="en-GB"/>
        </w:rPr>
        <w:t xml:space="preserve"> </w:t>
      </w:r>
      <w:r w:rsidRPr="001629B5">
        <w:rPr>
          <w:bCs/>
          <w:highlight w:val="yellow"/>
        </w:rPr>
        <w:t xml:space="preserve">Recent peer-reviewed literature continues to describe microsponges as porous polymeric systems intended to extend topical and </w:t>
      </w:r>
      <w:r w:rsidRPr="001629B5">
        <w:rPr>
          <w:bCs/>
          <w:highlight w:val="yellow"/>
        </w:rPr>
        <w:lastRenderedPageBreak/>
        <w:t>oral drug release while improving formulation stability and tolerability (Srinatha, Battu, &amp; Vishwanath, 2024).</w:t>
      </w:r>
    </w:p>
    <w:p w14:paraId="2F585226" w14:textId="5B3D5B06" w:rsidR="00D04827" w:rsidRPr="001629B5"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 microsponge is conventionally defined as a porous, non-collapsible, highly cross-linked polymeric microsphere with a diameter ranging from approximately 5 to 300 micrometres, within which a single particle may contain several thousand interconnecting voids that together confer an internal pore volume sufficient to entrap ten times its own weight of active substance (Biharee et al., 2023). Early reviews of the technology, published soon after its commercial introduction, already recognised its potential to reduce the sensory greasiness and irritancy of topical actives while prolonging their residence time on the skin (</w:t>
      </w:r>
      <w:r w:rsidRPr="00B52D07">
        <w:rPr>
          <w:rFonts w:ascii="Times New Roman" w:eastAsia="Times New Roman" w:hAnsi="Times New Roman" w:cs="Times New Roman"/>
          <w:bCs/>
          <w:sz w:val="24"/>
          <w:szCs w:val="24"/>
          <w:lang w:eastAsia="en-GB"/>
        </w:rPr>
        <w:t>Kumari et al., 2016</w:t>
      </w:r>
      <w:r w:rsidRPr="00B52D07">
        <w:rPr>
          <w:rFonts w:ascii="Times New Roman" w:eastAsia="Times New Roman" w:hAnsi="Times New Roman" w:cs="Times New Roman"/>
          <w:sz w:val="24"/>
          <w:szCs w:val="24"/>
          <w:lang w:eastAsia="en-GB"/>
        </w:rPr>
        <w:t>; Mahant, Kumar, Nanda, &amp; Rao, 2020). What has changed substantially in the past ten to fifteen years is the breadth of therapeutic contexts in which the technology has been explored. Microsponges are no longer confined to acne creams and sunscreens; they have been investigated as carriers for non-steroidal anti-inflammatory drugs applied to arthritic joints, as gastroretentive platforms for antidiabetic agents with narrow absorption windows, as colon-specific systems for drugs intended to act locally on inflamed bowel mucosa, and, in their cyclodextrin-based nanosponge variant, as vehicles for anticancer agents requiring both solubilisation and tumour-selective release (Pyrak, Rogacka-Pyrak, Gubica, &amp; Szeleszczuk, 2024; Sardou et al., 2023).</w:t>
      </w:r>
      <w:r w:rsidR="001629B5">
        <w:rPr>
          <w:rFonts w:ascii="Times New Roman" w:eastAsia="Times New Roman" w:hAnsi="Times New Roman" w:cs="Times New Roman"/>
          <w:sz w:val="24"/>
          <w:szCs w:val="24"/>
          <w:lang w:eastAsia="en-GB"/>
        </w:rPr>
        <w:t xml:space="preserve"> </w:t>
      </w:r>
      <w:r w:rsidRPr="001629B5">
        <w:rPr>
          <w:bCs/>
          <w:highlight w:val="yellow"/>
        </w:rPr>
        <w:t>Recent formulation studies further illustrate this expansion, including optimised enoxolone-loaded and luliconazole-loaded microsponge gels developed for sustained local delivery and reduced irritation in topical applications (Baranauskaite, Sefer, Zevzikoviene, Zevzikovas, &amp; Ivanauskas, 2025; Potulwar, Wadher, &amp; Tiwari, 2025).</w:t>
      </w:r>
    </w:p>
    <w:p w14:paraId="3E894215" w14:textId="5271103D" w:rsidR="00D04827" w:rsidRPr="001629B5"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Two developments have been particularly consequential for the clinical credibility of the technology. First, large multicentre phase 3 trials of microencapsulated benzoyl peroxide combined with microencapsulated tretinoin have provided randomised, vehicle-controlled evidence of efficacy and tolerability in acne vulgaris, a level of clinical validation rarely available for particulate delivery systems more generally (Del Rosso et al., 2023). Second, the extension of the underlying cross-linked polymer concept into the nanoscale, principally through cyclodextrin-based nanosponges, has opened a route into systemic oncology applications that the original microsponge, being essentially non-absorbable across intact epithelia, could never have reached (Iravani &amp; Varma, 2022). Taken together, these developments justify a fresh critical appraisal of where microsponge and nanosponge technology now stands, what mechanistic and manufacturing questions remain unresolved, and which therapeutic areas are likely to see the most meaningful near-term translation.</w:t>
      </w:r>
      <w:r w:rsidR="001629B5">
        <w:rPr>
          <w:rFonts w:ascii="Times New Roman" w:eastAsia="Times New Roman" w:hAnsi="Times New Roman" w:cs="Times New Roman"/>
          <w:sz w:val="24"/>
          <w:szCs w:val="24"/>
          <w:lang w:eastAsia="en-GB"/>
        </w:rPr>
        <w:t xml:space="preserve"> </w:t>
      </w:r>
      <w:r w:rsidRPr="001629B5">
        <w:rPr>
          <w:bCs/>
          <w:highlight w:val="yellow"/>
        </w:rPr>
        <w:t>Subcutaneous hyaluronic-acid microsponge delivery of methotrexate has also been evaluated preclinically for rheumatoid arthritis, indicating the continuing movement of microsponge platforms beyond conventional topical vehicles (Fiaschini et al., 2024).</w:t>
      </w:r>
    </w:p>
    <w:p w14:paraId="32B8F293"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This review adopts a narrative rather than a systematic format. The rationale for this choice, together with the databases searched, the search strings employed and the criteria used to select and exclude studies, is set out in Section 2. The remainder of the review is organised around the structural and physicochemical basis of microsponge technology, the principal fabrication methods, the analytical techniques used to characterise finished microsponges, the mechanisms governing drug release, and the major therapeutic domains in which the technology has been applied, before closing with a consideration of future directions, overall conclusions and the limitations inherent in a review of this kind.</w:t>
      </w:r>
    </w:p>
    <w:p w14:paraId="7C3ECE29"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The scope of this article is confined to polymeric microsponge and closely related cyclodextrin-based nanosponge systems intended for pharmaceutical and biomedical drug </w:t>
      </w:r>
      <w:r w:rsidRPr="00B52D07">
        <w:rPr>
          <w:rFonts w:ascii="Times New Roman" w:eastAsia="Times New Roman" w:hAnsi="Times New Roman" w:cs="Times New Roman"/>
          <w:sz w:val="24"/>
          <w:szCs w:val="24"/>
          <w:lang w:eastAsia="en-GB"/>
        </w:rPr>
        <w:lastRenderedPageBreak/>
        <w:t>delivery; general nanoparticulate carriers such as liposomes, niosomes and polymeric nanoparticles are referenced only where directly comparative. The principal gap this review addresses is the absence, in the recent literature, of a single synthesis that connects mechanistic and manufacturing considerations with the clinical trial evidence now available for microencapsulated dermatological products, while also situating microsponge technology alongside its nanoscale cyclodextrin-based relatives. The objectives are threefold: to provide a critical, up-to-date account of preparation and characterisation methodology; to evaluate the therapeutic evidence base across dermatological, oral, colonic, ocular and oncological applications; and to identify the technical and regulatory barriers that continue to constrain wider clinical adoption.</w:t>
      </w:r>
    </w:p>
    <w:p w14:paraId="1077F628"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2. Methods for Literature Selection</w:t>
      </w:r>
    </w:p>
    <w:p w14:paraId="652B085D"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2.1 Rationale for a narrative review approach</w:t>
      </w:r>
    </w:p>
    <w:p w14:paraId="3EECBB9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 systematic review, with its predefined protocol, quantitative synthesis and formal risk-of-bias assessment, is best suited to a narrowly defined clinical question amenable to meta-analysis. Microsponge-based drug delivery, by contrast, spans materials chemistry, pharmaceutical technology, dermatology, gastroenterology and oncology, and the primary literature consists overwhelmingly of heterogeneous formulation and in vitro or preclinical studies rather than comparable randomised trials. A narrative approach was therefore judged more appropriate, since it permits synthesis across this methodological diversity while still requiring, as emphasised by Baethge, Goldbeck-Wood and Mertens (2019) in their development of the SANRA instrument for appraising narrative reviews, an explicit and traceable account of how the literature was identified, screened and selected.</w:t>
      </w:r>
    </w:p>
    <w:p w14:paraId="1AE56799"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2.2 Databases and indexing sources searched</w:t>
      </w:r>
    </w:p>
    <w:p w14:paraId="6DC426F4"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literature search drew on four general biomedical and scientific databases, namely Web of Science, Scopus, Google Scholar and PubMed, supplemented by six field-specific indexing resources selected for their coverage of pharmaceutical technology and materials science: Embase, the Cochrane Central Register of Controlled Trials, ScienceDirect, SciFinder, the International Pharmaceutical Abstracts database, and the Directory of Open Access Journals. This combination was chosen to capture both clinically oriented dermatological and gastroenterological literature and the more materials-science-oriented formulation and characterisation studies that are less consistently indexed in clinically focused databases.</w:t>
      </w:r>
    </w:p>
    <w:p w14:paraId="19175EB2"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2.3 Search strategy and date range</w:t>
      </w:r>
    </w:p>
    <w:p w14:paraId="3098967A"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Search strings combined the core terms "microsponge*", "nanosponge*" and "porous polymeric microsphere*" with delivery-route and application-specific terms including "topical", "dermal", "colon-targeted", "gastroretentive", "ocular", "oral bioavailability", "cyclodextrin", and "controlled release", joined using Boolean operators (for example, microsponge* AND (colon OR gastroretentive OR oral) AND drug delivery). Truncation and wildcard characters were used to capture morphological variants. The search was restricted to the period from January 2000 to 3 April 2026, a range chosen to capture the foundational mechanistic and characterisation literature published in the years following the technology's commercial introduction, while ensuring that the great majority of retrieved records reflect the substantial expansion of the field over the past decade.</w:t>
      </w:r>
    </w:p>
    <w:p w14:paraId="68D1888E"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lastRenderedPageBreak/>
        <w:t>2.4 Inclusion and exclusion criteria</w:t>
      </w:r>
    </w:p>
    <w:p w14:paraId="49709F4E"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Studies were included if they reported original formulation, characterisation, preclinical or clinical data on microsponge or cyclodextrin-based nanosponge drug delivery systems, or if they constituted a peer-reviewed review article synthesising such data, and if they were published in English in a peer-reviewed journal. Institutional and regulatory reports from bodies such as the United States Food and Drug Administration were considered where directly relevant to marketing authorisation. Excluded from the reference list, in line with the objective of restricting the evidentiary base to reproducible, peer-reviewed primary literature, were books and book chapters, conference abstracts, trade or magazine articles, preprints that had not undergone peer review, and patent documents, notwithstanding that patents were consulted informally to trace the historical development of the technology.</w:t>
      </w:r>
    </w:p>
    <w:p w14:paraId="009C4683"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2.5 Screening workflow and duplicate handling</w:t>
      </w:r>
    </w:p>
    <w:p w14:paraId="0649B489"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Records retrieved from each database were exported and duplicates removed on the basis of digital object identifier, title and author concordance. Titles and abstracts were screened for evident relevance to microsponge or nanosponge drug delivery before full-text retrieval; articles whose primary focus lay outside pharmaceutical or biomedical delivery, for example purely industrial or environmental applications of porous polymers, were excluded at this stage. No formal record of the number of items excluded at each stage was maintained, consistent with the narrative rather than systematic character of this review, but citation chaining from key reviews (Biharee et al., 2023; Mahant et al., 2020; Qureshi, Alavi, &amp; Mohammed, 2024) was used to identify influential studies that might not have surfaced through keyword searching alone, an approach consistent with recommended practice for narrative reviews of a broad, technically heterogeneous literature.</w:t>
      </w:r>
    </w:p>
    <w:p w14:paraId="549F8DF0"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2.6 Summary of search strategy</w:t>
      </w:r>
    </w:p>
    <w:p w14:paraId="08150EEF"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elements of the search strategy described above are summarised in Table 1, which is intended as a quick reference for readers wishing to replicate or extend the search rather than a substitute for the fuller account given in Sections 2.2 to 2.4.</w:t>
      </w:r>
    </w:p>
    <w:p w14:paraId="2AEA99C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1979"/>
        <w:gridCol w:w="7263"/>
      </w:tblGrid>
      <w:tr w:rsidR="00B52D07" w:rsidRPr="00B52D07" w14:paraId="27AF35B0" w14:textId="77777777" w:rsidTr="00B52D07">
        <w:tc>
          <w:tcPr>
            <w:tcW w:w="0" w:type="auto"/>
            <w:hideMark/>
          </w:tcPr>
          <w:p w14:paraId="051A2E8E"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Element</w:t>
            </w:r>
          </w:p>
        </w:tc>
        <w:tc>
          <w:tcPr>
            <w:tcW w:w="0" w:type="auto"/>
            <w:hideMark/>
          </w:tcPr>
          <w:p w14:paraId="5878A718"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Specification</w:t>
            </w:r>
          </w:p>
        </w:tc>
      </w:tr>
      <w:tr w:rsidR="00B52D07" w:rsidRPr="00B52D07" w14:paraId="228A68B0" w14:textId="77777777" w:rsidTr="00B52D07">
        <w:tc>
          <w:tcPr>
            <w:tcW w:w="0" w:type="auto"/>
            <w:hideMark/>
          </w:tcPr>
          <w:p w14:paraId="07AB5EF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Databases (general)</w:t>
            </w:r>
          </w:p>
        </w:tc>
        <w:tc>
          <w:tcPr>
            <w:tcW w:w="0" w:type="auto"/>
            <w:hideMark/>
          </w:tcPr>
          <w:p w14:paraId="546785F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Web of Science, Scopus, Google Scholar, PubMed</w:t>
            </w:r>
          </w:p>
        </w:tc>
      </w:tr>
      <w:tr w:rsidR="00B52D07" w:rsidRPr="00B52D07" w14:paraId="7355CCF1" w14:textId="77777777" w:rsidTr="00B52D07">
        <w:tc>
          <w:tcPr>
            <w:tcW w:w="0" w:type="auto"/>
            <w:hideMark/>
          </w:tcPr>
          <w:p w14:paraId="32DEDE43"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Databases (field-specific)</w:t>
            </w:r>
          </w:p>
        </w:tc>
        <w:tc>
          <w:tcPr>
            <w:tcW w:w="0" w:type="auto"/>
            <w:hideMark/>
          </w:tcPr>
          <w:p w14:paraId="2B017E44"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Embase, Cochrane CENTRAL, ScienceDirect, SciFinder, International Pharmaceutical Abstracts, DOAJ</w:t>
            </w:r>
          </w:p>
        </w:tc>
      </w:tr>
      <w:tr w:rsidR="00B52D07" w:rsidRPr="00B52D07" w14:paraId="6A0E9C52" w14:textId="77777777" w:rsidTr="00B52D07">
        <w:tc>
          <w:tcPr>
            <w:tcW w:w="0" w:type="auto"/>
            <w:hideMark/>
          </w:tcPr>
          <w:p w14:paraId="3DA43C6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Date range</w:t>
            </w:r>
          </w:p>
        </w:tc>
        <w:tc>
          <w:tcPr>
            <w:tcW w:w="0" w:type="auto"/>
            <w:hideMark/>
          </w:tcPr>
          <w:p w14:paraId="60AD0E68"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January 2000 to 3 April 2026</w:t>
            </w:r>
          </w:p>
        </w:tc>
      </w:tr>
      <w:tr w:rsidR="00B52D07" w:rsidRPr="00B52D07" w14:paraId="3E39FD25" w14:textId="77777777" w:rsidTr="00B52D07">
        <w:tc>
          <w:tcPr>
            <w:tcW w:w="0" w:type="auto"/>
            <w:hideMark/>
          </w:tcPr>
          <w:p w14:paraId="4D8FEF3F"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Core search terms</w:t>
            </w:r>
          </w:p>
        </w:tc>
        <w:tc>
          <w:tcPr>
            <w:tcW w:w="0" w:type="auto"/>
            <w:hideMark/>
          </w:tcPr>
          <w:p w14:paraId="25DA2E9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microsponge*, nanosponge*, porous polymeric microsphere*</w:t>
            </w:r>
          </w:p>
        </w:tc>
      </w:tr>
      <w:tr w:rsidR="00B52D07" w:rsidRPr="00B52D07" w14:paraId="20F9B393" w14:textId="77777777" w:rsidTr="00B52D07">
        <w:tc>
          <w:tcPr>
            <w:tcW w:w="0" w:type="auto"/>
            <w:hideMark/>
          </w:tcPr>
          <w:p w14:paraId="51B1475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Modifying terms</w:t>
            </w:r>
          </w:p>
        </w:tc>
        <w:tc>
          <w:tcPr>
            <w:tcW w:w="0" w:type="auto"/>
            <w:hideMark/>
          </w:tcPr>
          <w:p w14:paraId="19099DDC"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topical, dermal, colon-targeted, gastroretentive, ocular, oral bioavailability, cyclodextrin, controlled release</w:t>
            </w:r>
          </w:p>
        </w:tc>
      </w:tr>
      <w:tr w:rsidR="00B52D07" w:rsidRPr="00B52D07" w14:paraId="63C7FF5C" w14:textId="77777777" w:rsidTr="00B52D07">
        <w:tc>
          <w:tcPr>
            <w:tcW w:w="0" w:type="auto"/>
            <w:hideMark/>
          </w:tcPr>
          <w:p w14:paraId="266AE02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Language restriction</w:t>
            </w:r>
          </w:p>
        </w:tc>
        <w:tc>
          <w:tcPr>
            <w:tcW w:w="0" w:type="auto"/>
            <w:hideMark/>
          </w:tcPr>
          <w:p w14:paraId="6D25F22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English only</w:t>
            </w:r>
          </w:p>
        </w:tc>
      </w:tr>
      <w:tr w:rsidR="00B52D07" w:rsidRPr="00B52D07" w14:paraId="6C28AE65" w14:textId="77777777" w:rsidTr="00B52D07">
        <w:tc>
          <w:tcPr>
            <w:tcW w:w="0" w:type="auto"/>
            <w:hideMark/>
          </w:tcPr>
          <w:p w14:paraId="0A9C5EFE"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Study types included</w:t>
            </w:r>
          </w:p>
        </w:tc>
        <w:tc>
          <w:tcPr>
            <w:tcW w:w="0" w:type="auto"/>
            <w:hideMark/>
          </w:tcPr>
          <w:p w14:paraId="2BF4DF5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Original formulation/preclinical/clinical studies; peer-reviewed reviews; institutional reports with verifiable URL</w:t>
            </w:r>
          </w:p>
        </w:tc>
      </w:tr>
      <w:tr w:rsidR="00B52D07" w:rsidRPr="00B52D07" w14:paraId="0C0433FA" w14:textId="77777777" w:rsidTr="00B52D07">
        <w:tc>
          <w:tcPr>
            <w:tcW w:w="0" w:type="auto"/>
            <w:hideMark/>
          </w:tcPr>
          <w:p w14:paraId="6FB755D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Study types excluded</w:t>
            </w:r>
          </w:p>
        </w:tc>
        <w:tc>
          <w:tcPr>
            <w:tcW w:w="0" w:type="auto"/>
            <w:hideMark/>
          </w:tcPr>
          <w:p w14:paraId="6764405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Books, conference abstracts, trade literature, preprints, patents</w:t>
            </w:r>
          </w:p>
        </w:tc>
      </w:tr>
    </w:tbl>
    <w:p w14:paraId="184ABB6A"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lastRenderedPageBreak/>
        <w:t>Source: search strategy constructed by the authors for this review, informed by the methodological guidance of Baethge et al. (2019).</w:t>
      </w:r>
    </w:p>
    <w:p w14:paraId="060490D3"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3. Structural and Physicochemical Foundations of Microsponge Technology</w:t>
      </w:r>
    </w:p>
    <w:p w14:paraId="7834B4C8"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defining physical feature of a microsponge is its porosity. Each particle is typically composed of a rigid polymer, most commonly ethyl cellulose or a member of the Eudragit family of poly(methacrylate) copolymers, cross-linked to form a three-dimensional lattice with a specific surface area that can exceed several hundred square metres per gram of material (Qureshi et al., 2024). This lattice is riddled with an interconnected network of pores whose diameter and tortuosity determine the rate at which entrapped drug can diffuse to the particle surface and, ultimately, to the site of absorption or action. Microsponges characteristically retain their structural integrity across a pH range of roughly 1 to 11 and withstand temperatures up to about 130 degrees Celsius, a stability profile that distinguishes them from liposomal and many polymeric nanoparticulate systems, which are considerably more sensitive to pH, ionic strength and thermal stress (Halder, Behera, Poddar, Khanam, &amp; Karmakar, 2024).</w:t>
      </w:r>
    </w:p>
    <w:p w14:paraId="19085D76"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Entrapment efficiency, generally reported in the range of 50 to 90 per cent depending on drug-polymer compatibility and processing conditions, depends jointly on the lipophilicity of the active substance, the degree of cross-linking of the polymer matrix and the ratio of drug to polymer employed during fabrication (Qureshi et al., 2024). Lipophilic, poorly water-soluble drugs are generally entrapped with higher efficiency because they partition favourably into the hydrophobic polymer matrix during the internal-phase formation step of manufacture, whereas hydrophilic drugs tend to migrate into the aqueous external phase before the particle wall has fully solidified, reducing loading and, in some formulations, necessitating surface modification or a two-step loading process. Pyrak, Rogacka-Pyrak, Gubica and Szeleszczuk (2024), reviewing the closely related cyclodextrin-based nanosponge, demonstrated that drug loading and subsequent release kinetics are governed by a combination of host-guest complexation within individual cyclodextrin cavities and simple physical entrapment within the interstitial nanochannels of the cross-linked network, a duality of mechanism that appears, on the available evidence, to extend qualitatively to the larger-scale microsponge as well, albeit with physical entrapment predominating given the larger pore dimensions involved.</w:t>
      </w:r>
    </w:p>
    <w:p w14:paraId="70F634A2"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 further physicochemical determinant that has received increasing attention is the degree of cross-linking itself. Higher cross-linker concentrations produce a denser, less permeable polymer wall that slows drug diffusion and can improve mechanical robustness during processing into secondary dosage forms such as gels or compressed tablets, but excessive cross-linking risks reducing overall pore volume and therefore total drug-loading capacity, illustrating a trade-off that recurs throughout the formulation literature (Qureshi et al., 2024). Spectroscopic techniques including infrared and Raman spectroscopy, together with scattering methods such as small-angle neutron scattering, have begun to be applied to resolve the hydrogen-bonding networks and structural inhomogeneities that underlie this trade-off at a molecular level, providing a more mechanistic basis for formulation optimisation than the largely empirical approaches that characterised earlier decades of microsponge research (Pyrak, Rogacka-Pyrak, &amp; Gubica, 2025).</w:t>
      </w:r>
    </w:p>
    <w:p w14:paraId="304E109B"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4. Preparation and Manufacturing Methods</w:t>
      </w:r>
    </w:p>
    <w:p w14:paraId="3DDFD78F"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lastRenderedPageBreak/>
        <w:t>4.1 Quasi-emulsion solvent diffusion</w:t>
      </w:r>
    </w:p>
    <w:p w14:paraId="4F5D6D34"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quasi-emulsion solvent diffusion method remains the most widely reported technique for microsponge fabrication and proceeds in two principal stages. In the first, an internal phase is prepared by dissolving the rigid polymer, typically ethyl cellulose or a Eudragit grade, in a volatile organic solvent such as dichloromethane, acetone or ethyl alcohol, into which the drug and, where required, a plasticiser are then dissolved or dispersed. In the second stage, this internal phase is added dropwise, under continuous mechanical stirring, to an aqueous external phase containing a stabilising surfactant, most commonly polyvinyl alcohol, which forms a quasi-emulsion; as the organic solvent diffuses outward into the aqueous phase and evaporates, the polymer precipitates around the drug to form discrete, porous microspheres (Halder et al., 2024). Stirring rate, drug-to-polymer ratio, solvent selection and the rate of solvent removal each exert a measurable influence on the resulting particle size, surface morphology and entrapment efficiency; work on benzoyl peroxide microsponges, for instance, showed that stirring speed alone was sufficient to shift particle morphology from smooth-surfaced to markedly porous spheres, underscoring how sensitive the process is to seemingly minor operating parameters (Nokhodchi, Jelvehgari, Siahi, &amp; Mozafari, 2007). Much of the formulation-optimisation literature of the past five years has built on such early morphology studies, using factorial and response-surface experimental designs to map these relationships more systematically (Ali et al., 2023; Halder et al., 2024).</w:t>
      </w:r>
    </w:p>
    <w:p w14:paraId="4E333F14"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4.2 Alternative and emerging fabrication techniques</w:t>
      </w:r>
    </w:p>
    <w:p w14:paraId="1F07BE48"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Several alternative approaches have been developed to address specific limitations of quasi-emulsion solvent diffusion, most notably its reliance on organic solvents and its comparatively limited control over particle size distribution at production scale. Liquid-liquid suspension polymerisation, the earliest reported method, builds the polymeric network directly through in situ polymerisation of monomeric units in the presence of the drug or a porogen, which is subsequently removed to leave the characteristic porous architecture, but this approach is largely restricted to drugs stable under the polymerisation conditions employed. Water-in-oil-in-water and oil-in-oil emulsion solvent diffusion variants have been developed to accommodate hydrophilic drugs that would otherwise partition unfavourably out of a simple oil-in-water system, while lyophilisation-based loading, in which pre-formed empty microsponges are impregnated with drug solution before freeze-drying, is increasingly favoured for thermolabile or solvent-sensitive actives that cannot tolerate the heat or organic-solvent exposure inherent in the standard emulsion process (Qureshi et al., 2024).</w:t>
      </w:r>
    </w:p>
    <w:p w14:paraId="071B85BC"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More recent innovations include ultrasound-assisted microsponge synthesis, which reduces reliance on high-shear mechanical agitation and organic solvent volumes, and scale-up-oriented protocols explicitly designed to bridge the gap between laboratory-scale batches and pilot or industrial production, a translational step that has historically been under-reported in the literature despite its central importance to eventual clinical and commercial deployment (Halder et al., 2024). Halder and colleagues demonstrated a scale-up approach that preserved particle morphology and entrapment efficiency when production volume was increased substantially, addressing a long-standing concern that many published microsponge formulations, having been developed and characterised only at milligram-to-gram laboratory scale, might prove difficult to reproduce reliably at the scale required for commercial manufacture. These methods are compared in Table 2, which highlights the trade-offs between process simplicity, solvent burden and suitability for particular drug classes that formulators must weigh when selecting a fabrication route.</w:t>
      </w:r>
    </w:p>
    <w:p w14:paraId="45E62BE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lastRenderedPageBreak/>
        <w:t>Table 2. Comparison of principal microsponge and nanosponge fabrication methods</w:t>
      </w:r>
    </w:p>
    <w:tbl>
      <w:tblPr>
        <w:tblStyle w:val="TableGrid"/>
        <w:tblW w:w="0" w:type="auto"/>
        <w:tblLook w:val="04A0" w:firstRow="1" w:lastRow="0" w:firstColumn="1" w:lastColumn="0" w:noHBand="0" w:noVBand="1"/>
      </w:tblPr>
      <w:tblGrid>
        <w:gridCol w:w="1780"/>
        <w:gridCol w:w="2071"/>
        <w:gridCol w:w="1744"/>
        <w:gridCol w:w="1813"/>
        <w:gridCol w:w="1834"/>
      </w:tblGrid>
      <w:tr w:rsidR="00B52D07" w:rsidRPr="00B52D07" w14:paraId="53CE4B6E" w14:textId="77777777" w:rsidTr="00B52D07">
        <w:tc>
          <w:tcPr>
            <w:tcW w:w="0" w:type="auto"/>
            <w:hideMark/>
          </w:tcPr>
          <w:p w14:paraId="2A2F1602"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Method</w:t>
            </w:r>
          </w:p>
        </w:tc>
        <w:tc>
          <w:tcPr>
            <w:tcW w:w="0" w:type="auto"/>
            <w:hideMark/>
          </w:tcPr>
          <w:p w14:paraId="6B6C2370"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Typical solvents/reagents</w:t>
            </w:r>
          </w:p>
        </w:tc>
        <w:tc>
          <w:tcPr>
            <w:tcW w:w="0" w:type="auto"/>
            <w:hideMark/>
          </w:tcPr>
          <w:p w14:paraId="2E98824A"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Suitability</w:t>
            </w:r>
          </w:p>
        </w:tc>
        <w:tc>
          <w:tcPr>
            <w:tcW w:w="0" w:type="auto"/>
            <w:hideMark/>
          </w:tcPr>
          <w:p w14:paraId="2BCB1B70"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advantage</w:t>
            </w:r>
          </w:p>
        </w:tc>
        <w:tc>
          <w:tcPr>
            <w:tcW w:w="0" w:type="auto"/>
            <w:hideMark/>
          </w:tcPr>
          <w:p w14:paraId="29E86743"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limitation</w:t>
            </w:r>
          </w:p>
        </w:tc>
      </w:tr>
      <w:tr w:rsidR="00B52D07" w:rsidRPr="00B52D07" w14:paraId="3C297BE3" w14:textId="77777777" w:rsidTr="00B52D07">
        <w:tc>
          <w:tcPr>
            <w:tcW w:w="0" w:type="auto"/>
            <w:hideMark/>
          </w:tcPr>
          <w:p w14:paraId="2C30AFDA"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Quasi-emulsion solvent diffusion</w:t>
            </w:r>
          </w:p>
        </w:tc>
        <w:tc>
          <w:tcPr>
            <w:tcW w:w="0" w:type="auto"/>
            <w:hideMark/>
          </w:tcPr>
          <w:p w14:paraId="62D6FF7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Dichloromethane, acetone, ethanol; PVA stabiliser</w:t>
            </w:r>
          </w:p>
        </w:tc>
        <w:tc>
          <w:tcPr>
            <w:tcW w:w="0" w:type="auto"/>
            <w:hideMark/>
          </w:tcPr>
          <w:p w14:paraId="6D130D5C"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Lipophilic, thermostable drugs</w:t>
            </w:r>
          </w:p>
        </w:tc>
        <w:tc>
          <w:tcPr>
            <w:tcW w:w="0" w:type="auto"/>
            <w:hideMark/>
          </w:tcPr>
          <w:p w14:paraId="0EF464CE"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Simplicity, wide adoption, tunable particle size</w:t>
            </w:r>
          </w:p>
        </w:tc>
        <w:tc>
          <w:tcPr>
            <w:tcW w:w="0" w:type="auto"/>
            <w:hideMark/>
          </w:tcPr>
          <w:p w14:paraId="50CBF958"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Organic solvent residues; batch variability</w:t>
            </w:r>
          </w:p>
        </w:tc>
      </w:tr>
      <w:tr w:rsidR="00B52D07" w:rsidRPr="00B52D07" w14:paraId="584A546F" w14:textId="77777777" w:rsidTr="00B52D07">
        <w:tc>
          <w:tcPr>
            <w:tcW w:w="0" w:type="auto"/>
            <w:hideMark/>
          </w:tcPr>
          <w:p w14:paraId="1E8281E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Liquid-liquid suspension polymerisation</w:t>
            </w:r>
          </w:p>
        </w:tc>
        <w:tc>
          <w:tcPr>
            <w:tcW w:w="0" w:type="auto"/>
            <w:hideMark/>
          </w:tcPr>
          <w:p w14:paraId="0FBECEA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Monomers, porogen</w:t>
            </w:r>
          </w:p>
        </w:tc>
        <w:tc>
          <w:tcPr>
            <w:tcW w:w="0" w:type="auto"/>
            <w:hideMark/>
          </w:tcPr>
          <w:p w14:paraId="260B35BD"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Drugs stable to polymerisation conditions</w:t>
            </w:r>
          </w:p>
        </w:tc>
        <w:tc>
          <w:tcPr>
            <w:tcW w:w="0" w:type="auto"/>
            <w:hideMark/>
          </w:tcPr>
          <w:p w14:paraId="17194F4E"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Direct network formation</w:t>
            </w:r>
          </w:p>
        </w:tc>
        <w:tc>
          <w:tcPr>
            <w:tcW w:w="0" w:type="auto"/>
            <w:hideMark/>
          </w:tcPr>
          <w:p w14:paraId="41042D4A"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Limited to polymerisation-compatible actives</w:t>
            </w:r>
          </w:p>
        </w:tc>
      </w:tr>
      <w:tr w:rsidR="00B52D07" w:rsidRPr="00B52D07" w14:paraId="20AEE167" w14:textId="77777777" w:rsidTr="00B52D07">
        <w:tc>
          <w:tcPr>
            <w:tcW w:w="0" w:type="auto"/>
            <w:hideMark/>
          </w:tcPr>
          <w:p w14:paraId="36961D63"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Water-in-oil-in-water/oil-in-oil diffusion</w:t>
            </w:r>
          </w:p>
        </w:tc>
        <w:tc>
          <w:tcPr>
            <w:tcW w:w="0" w:type="auto"/>
            <w:hideMark/>
          </w:tcPr>
          <w:p w14:paraId="37F22A7E"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Dual organic/aqueous phases</w:t>
            </w:r>
          </w:p>
        </w:tc>
        <w:tc>
          <w:tcPr>
            <w:tcW w:w="0" w:type="auto"/>
            <w:hideMark/>
          </w:tcPr>
          <w:p w14:paraId="6055013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Hydrophilic or amphiphilic drugs</w:t>
            </w:r>
          </w:p>
        </w:tc>
        <w:tc>
          <w:tcPr>
            <w:tcW w:w="0" w:type="auto"/>
            <w:hideMark/>
          </w:tcPr>
          <w:p w14:paraId="381C3B8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Improved loading of water-soluble actives</w:t>
            </w:r>
          </w:p>
        </w:tc>
        <w:tc>
          <w:tcPr>
            <w:tcW w:w="0" w:type="auto"/>
            <w:hideMark/>
          </w:tcPr>
          <w:p w14:paraId="2E2370E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More complex process control</w:t>
            </w:r>
          </w:p>
        </w:tc>
      </w:tr>
      <w:tr w:rsidR="00B52D07" w:rsidRPr="00B52D07" w14:paraId="7E81598F" w14:textId="77777777" w:rsidTr="00B52D07">
        <w:tc>
          <w:tcPr>
            <w:tcW w:w="0" w:type="auto"/>
            <w:hideMark/>
          </w:tcPr>
          <w:p w14:paraId="7009E89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Lyophilisation-based loading</w:t>
            </w:r>
          </w:p>
        </w:tc>
        <w:tc>
          <w:tcPr>
            <w:tcW w:w="0" w:type="auto"/>
            <w:hideMark/>
          </w:tcPr>
          <w:p w14:paraId="472C96DD"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Aqueous drug solution, freeze-drying</w:t>
            </w:r>
          </w:p>
        </w:tc>
        <w:tc>
          <w:tcPr>
            <w:tcW w:w="0" w:type="auto"/>
            <w:hideMark/>
          </w:tcPr>
          <w:p w14:paraId="14A4642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Thermolabile drugs, peptides</w:t>
            </w:r>
          </w:p>
        </w:tc>
        <w:tc>
          <w:tcPr>
            <w:tcW w:w="0" w:type="auto"/>
            <w:hideMark/>
          </w:tcPr>
          <w:p w14:paraId="01A29A5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Avoids thermal/solvent stress</w:t>
            </w:r>
          </w:p>
        </w:tc>
        <w:tc>
          <w:tcPr>
            <w:tcW w:w="0" w:type="auto"/>
            <w:hideMark/>
          </w:tcPr>
          <w:p w14:paraId="5607A63D"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Higher cost, longer processing time</w:t>
            </w:r>
          </w:p>
        </w:tc>
      </w:tr>
      <w:tr w:rsidR="00B52D07" w:rsidRPr="00B52D07" w14:paraId="5AFD4CE3" w14:textId="77777777" w:rsidTr="00B52D07">
        <w:tc>
          <w:tcPr>
            <w:tcW w:w="0" w:type="auto"/>
            <w:hideMark/>
          </w:tcPr>
          <w:p w14:paraId="4355C1BA"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Ultrasound-assisted synthesis</w:t>
            </w:r>
          </w:p>
        </w:tc>
        <w:tc>
          <w:tcPr>
            <w:tcW w:w="0" w:type="auto"/>
            <w:hideMark/>
          </w:tcPr>
          <w:p w14:paraId="4BF5E34C"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Reduced organic solvent volumes</w:t>
            </w:r>
          </w:p>
        </w:tc>
        <w:tc>
          <w:tcPr>
            <w:tcW w:w="0" w:type="auto"/>
            <w:hideMark/>
          </w:tcPr>
          <w:p w14:paraId="331DB593"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Green-chemistry-oriented formulations</w:t>
            </w:r>
          </w:p>
        </w:tc>
        <w:tc>
          <w:tcPr>
            <w:tcW w:w="0" w:type="auto"/>
            <w:hideMark/>
          </w:tcPr>
          <w:p w14:paraId="15CB8F83"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Lower solvent burden, finer particle control</w:t>
            </w:r>
          </w:p>
        </w:tc>
        <w:tc>
          <w:tcPr>
            <w:tcW w:w="0" w:type="auto"/>
            <w:hideMark/>
          </w:tcPr>
          <w:p w14:paraId="3D4D568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Equipment cost, scale-up complexity</w:t>
            </w:r>
          </w:p>
        </w:tc>
      </w:tr>
    </w:tbl>
    <w:p w14:paraId="427B841F"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t>Sources: Ali et al. (2023); Halder et al. (2024); Nokhodchi et al. (2007); Qureshi et al. (2024).</w:t>
      </w:r>
    </w:p>
    <w:p w14:paraId="17886312"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5. Characterisation Techniques</w:t>
      </w:r>
    </w:p>
    <w:p w14:paraId="664D59CA"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Comprehensive characterisation of finished microsponges typically proceeds across several complementary dimensions, summarised in Table 3 and discussed in turn below. Particle size and morphology are most commonly assessed by scanning electron microscopy, which reveals the characteristic spherical, porous surface topology and allows visual confirmation of successful pore formation, supplemented by laser diffraction or dynamic light scattering for quantitative particle size distribution. Zeta potential measurement provides an indication of surface charge and, indirectly, of colloidal stability, which is of particular relevance when microsponges are subsequently dispersed in an aqueous gel base for topical application. Differential scanning calorimetry and powder X-ray diffraction are used jointly to establish the physical state of the entrapped drug, distinguishing between a crystalline dispersion, an amorphous solid dispersion and a true molecular-level inclusion complex, the last being especially relevant for cyclodextrin-based nanosponges in which host-guest complexation is a principal loading mechanism (Pyrak et al., 2024). Fourier-transform infrared spectroscopy is routinely employed to confirm the absence of unwanted chemical interaction between drug and polymer, while more advanced spectroscopic and scattering techniques, including nuclear magnetic resonance, inelastic neutron scattering and small-angle neutron scattering, have begun to be applied to nanosponge systems to resolve structure-property relationships at a level of detail not previously accessible (Pyrak et al., 2025).</w:t>
      </w:r>
    </w:p>
    <w:p w14:paraId="407A99B0"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Functional characterisation centres on entrapment or encapsulation efficiency, generally determined by disrupting a known mass of microsponges and quantifying released drug by </w:t>
      </w:r>
      <w:r w:rsidRPr="00B52D07">
        <w:rPr>
          <w:rFonts w:ascii="Times New Roman" w:eastAsia="Times New Roman" w:hAnsi="Times New Roman" w:cs="Times New Roman"/>
          <w:sz w:val="24"/>
          <w:szCs w:val="24"/>
          <w:lang w:eastAsia="en-GB"/>
        </w:rPr>
        <w:lastRenderedPageBreak/>
        <w:t>high-performance liquid chromatography or ultraviolet spectrophotometry, and on in vitro drug release, most often studied using a modified Franz diffusion cell for topical formulations or dissolution apparatus for oral products, with release data subsequently fitted to kinetic models such as zero-order, first-order, Higuchi and Korsmeyer-Peppas equations to infer the dominant release mechanism. Production yield, bulk and tapped density, and flow properties are additionally reported where the microsponges are intended for incorporation into solid oral dosage forms such as capsules or compressed tablets (Qureshi et al., 2024).</w:t>
      </w:r>
    </w:p>
    <w:p w14:paraId="3A66BFB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Table 3. Principal analytical techniques used in microsponge characterisation</w:t>
      </w:r>
    </w:p>
    <w:tbl>
      <w:tblPr>
        <w:tblStyle w:val="TableGrid"/>
        <w:tblW w:w="0" w:type="auto"/>
        <w:tblLook w:val="04A0" w:firstRow="1" w:lastRow="0" w:firstColumn="1" w:lastColumn="0" w:noHBand="0" w:noVBand="1"/>
      </w:tblPr>
      <w:tblGrid>
        <w:gridCol w:w="3188"/>
        <w:gridCol w:w="2867"/>
        <w:gridCol w:w="3187"/>
      </w:tblGrid>
      <w:tr w:rsidR="00B52D07" w:rsidRPr="00B52D07" w14:paraId="5B8C16FE" w14:textId="77777777" w:rsidTr="00B52D07">
        <w:tc>
          <w:tcPr>
            <w:tcW w:w="0" w:type="auto"/>
            <w:hideMark/>
          </w:tcPr>
          <w:p w14:paraId="12D5B3F6"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Attribute assessed</w:t>
            </w:r>
          </w:p>
        </w:tc>
        <w:tc>
          <w:tcPr>
            <w:tcW w:w="0" w:type="auto"/>
            <w:hideMark/>
          </w:tcPr>
          <w:p w14:paraId="2B65AE19"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Primary technique(s)</w:t>
            </w:r>
          </w:p>
        </w:tc>
        <w:tc>
          <w:tcPr>
            <w:tcW w:w="0" w:type="auto"/>
            <w:hideMark/>
          </w:tcPr>
          <w:p w14:paraId="76D4C4BA"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Complementary technique(s)</w:t>
            </w:r>
          </w:p>
        </w:tc>
      </w:tr>
      <w:tr w:rsidR="00B52D07" w:rsidRPr="00B52D07" w14:paraId="4901EA9E" w14:textId="77777777" w:rsidTr="00B52D07">
        <w:tc>
          <w:tcPr>
            <w:tcW w:w="0" w:type="auto"/>
            <w:hideMark/>
          </w:tcPr>
          <w:p w14:paraId="285AFF31"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Particle size and morphology</w:t>
            </w:r>
          </w:p>
        </w:tc>
        <w:tc>
          <w:tcPr>
            <w:tcW w:w="0" w:type="auto"/>
            <w:hideMark/>
          </w:tcPr>
          <w:p w14:paraId="45FCCA6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Scanning electron microscopy</w:t>
            </w:r>
          </w:p>
        </w:tc>
        <w:tc>
          <w:tcPr>
            <w:tcW w:w="0" w:type="auto"/>
            <w:hideMark/>
          </w:tcPr>
          <w:p w14:paraId="0DEC9AF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Laser diffraction, dynamic light scattering</w:t>
            </w:r>
          </w:p>
        </w:tc>
      </w:tr>
      <w:tr w:rsidR="00B52D07" w:rsidRPr="00B52D07" w14:paraId="3962371A" w14:textId="77777777" w:rsidTr="00B52D07">
        <w:tc>
          <w:tcPr>
            <w:tcW w:w="0" w:type="auto"/>
            <w:hideMark/>
          </w:tcPr>
          <w:p w14:paraId="6992970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Surface charge/colloidal stability</w:t>
            </w:r>
          </w:p>
        </w:tc>
        <w:tc>
          <w:tcPr>
            <w:tcW w:w="0" w:type="auto"/>
            <w:hideMark/>
          </w:tcPr>
          <w:p w14:paraId="37B8A30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Zeta potential measurement</w:t>
            </w:r>
          </w:p>
        </w:tc>
        <w:tc>
          <w:tcPr>
            <w:tcW w:w="0" w:type="auto"/>
            <w:hideMark/>
          </w:tcPr>
          <w:p w14:paraId="415372A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w:t>
            </w:r>
          </w:p>
        </w:tc>
      </w:tr>
      <w:tr w:rsidR="00B52D07" w:rsidRPr="00B52D07" w14:paraId="12138C44" w14:textId="77777777" w:rsidTr="00B52D07">
        <w:tc>
          <w:tcPr>
            <w:tcW w:w="0" w:type="auto"/>
            <w:hideMark/>
          </w:tcPr>
          <w:p w14:paraId="07E8B06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Physical state of entrapped drug</w:t>
            </w:r>
          </w:p>
        </w:tc>
        <w:tc>
          <w:tcPr>
            <w:tcW w:w="0" w:type="auto"/>
            <w:hideMark/>
          </w:tcPr>
          <w:p w14:paraId="04C3E544"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Differential scanning calorimetry</w:t>
            </w:r>
          </w:p>
        </w:tc>
        <w:tc>
          <w:tcPr>
            <w:tcW w:w="0" w:type="auto"/>
            <w:hideMark/>
          </w:tcPr>
          <w:p w14:paraId="6A3F1B9F"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Powder X-ray diffraction</w:t>
            </w:r>
          </w:p>
        </w:tc>
      </w:tr>
      <w:tr w:rsidR="00B52D07" w:rsidRPr="00B52D07" w14:paraId="72EED28B" w14:textId="77777777" w:rsidTr="00B52D07">
        <w:tc>
          <w:tcPr>
            <w:tcW w:w="0" w:type="auto"/>
            <w:hideMark/>
          </w:tcPr>
          <w:p w14:paraId="12F8B69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Drug-polymer interaction</w:t>
            </w:r>
          </w:p>
        </w:tc>
        <w:tc>
          <w:tcPr>
            <w:tcW w:w="0" w:type="auto"/>
            <w:hideMark/>
          </w:tcPr>
          <w:p w14:paraId="6A8186EF"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Fourier-transform infrared spectroscopy</w:t>
            </w:r>
          </w:p>
        </w:tc>
        <w:tc>
          <w:tcPr>
            <w:tcW w:w="0" w:type="auto"/>
            <w:hideMark/>
          </w:tcPr>
          <w:p w14:paraId="062274FD"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Nuclear magnetic resonance</w:t>
            </w:r>
          </w:p>
        </w:tc>
      </w:tr>
      <w:tr w:rsidR="00B52D07" w:rsidRPr="00B52D07" w14:paraId="071616EB" w14:textId="77777777" w:rsidTr="00B52D07">
        <w:tc>
          <w:tcPr>
            <w:tcW w:w="0" w:type="auto"/>
            <w:hideMark/>
          </w:tcPr>
          <w:p w14:paraId="4F10070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Nanostructure and dynamics (nanosponges)</w:t>
            </w:r>
          </w:p>
        </w:tc>
        <w:tc>
          <w:tcPr>
            <w:tcW w:w="0" w:type="auto"/>
            <w:hideMark/>
          </w:tcPr>
          <w:p w14:paraId="34EA33A4"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Small-angle neutron scattering</w:t>
            </w:r>
          </w:p>
        </w:tc>
        <w:tc>
          <w:tcPr>
            <w:tcW w:w="0" w:type="auto"/>
            <w:hideMark/>
          </w:tcPr>
          <w:p w14:paraId="17CBF8D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Inelastic neutron scattering, Brillouin light scattering</w:t>
            </w:r>
          </w:p>
        </w:tc>
      </w:tr>
      <w:tr w:rsidR="00B52D07" w:rsidRPr="00B52D07" w14:paraId="27FA1B6A" w14:textId="77777777" w:rsidTr="00B52D07">
        <w:tc>
          <w:tcPr>
            <w:tcW w:w="0" w:type="auto"/>
            <w:hideMark/>
          </w:tcPr>
          <w:p w14:paraId="7579DB6F"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Entrapment/encapsulation efficiency</w:t>
            </w:r>
          </w:p>
        </w:tc>
        <w:tc>
          <w:tcPr>
            <w:tcW w:w="0" w:type="auto"/>
            <w:hideMark/>
          </w:tcPr>
          <w:p w14:paraId="5EE415A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High-performance liquid chromatography</w:t>
            </w:r>
          </w:p>
        </w:tc>
        <w:tc>
          <w:tcPr>
            <w:tcW w:w="0" w:type="auto"/>
            <w:hideMark/>
          </w:tcPr>
          <w:p w14:paraId="6F1F89E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Ultraviolet-visible spectrophotometry</w:t>
            </w:r>
          </w:p>
        </w:tc>
      </w:tr>
      <w:tr w:rsidR="00B52D07" w:rsidRPr="00B52D07" w14:paraId="1C543849" w14:textId="77777777" w:rsidTr="00B52D07">
        <w:tc>
          <w:tcPr>
            <w:tcW w:w="0" w:type="auto"/>
            <w:hideMark/>
          </w:tcPr>
          <w:p w14:paraId="40FA89D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 release kinetics</w:t>
            </w:r>
          </w:p>
        </w:tc>
        <w:tc>
          <w:tcPr>
            <w:tcW w:w="0" w:type="auto"/>
            <w:hideMark/>
          </w:tcPr>
          <w:p w14:paraId="66872997"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Franz diffusion cell (topical); dissolution apparatus (oral)</w:t>
            </w:r>
          </w:p>
        </w:tc>
        <w:tc>
          <w:tcPr>
            <w:tcW w:w="0" w:type="auto"/>
            <w:hideMark/>
          </w:tcPr>
          <w:p w14:paraId="6A5364F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Kinetic model fitting (zero-order, Higuchi, Korsmeyer-Peppas)</w:t>
            </w:r>
          </w:p>
        </w:tc>
      </w:tr>
    </w:tbl>
    <w:p w14:paraId="66000DFA"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t>Sources: Pyrak et al. (2024); Pyrak et al. (2025); Qureshi et al. (2024).</w:t>
      </w:r>
    </w:p>
    <w:p w14:paraId="2B251846"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6. Mechanisms of Drug Release</w:t>
      </w:r>
    </w:p>
    <w:p w14:paraId="4920F0D9"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Drug release from an intact microsponge proceeds principally by diffusion of the entrapped molecule through the interconnected pore network toward the particle surface, a process whose rate depends on pore tortuosity, polymer wall thickness and the physicochemical compatibility between drug and polymer. Superimposed on this baseline diffusional release are several trigger mechanisms that can be exploited to achieve site- or stimulus-specific delivery. Pressure-triggered release occurs when mechanical force, such as that applied when a topical formulation is rubbed onto the skin, ruptures surface pores and expels entrapped drug, a mechanism of particular relevance to dermatological microsponge gels. Temperature-triggered release exploits the melting or softening of low-melting-point components incorporated into the microsponge wall, permitting drug liberation to be accelerated at skin temperature relative to storage conditions. pH-triggered release is achieved by selecting polymers, most commonly Eudragit S100 or Eudragit L100, that remain intact in the acidic environment of the stomach but dissolve as luminal pH rises through the small intestine and into the colon, a strategy that underpins the majority of colon-targeted microsponge formulations discussed in Section 7.3 (Sher et al., 2022). Solubility-triggered release, finally, depends simply on the dissolution of the surrounding vehicle or matrix, releasing microsponges into the local fluid environment where diffusional release then predominates.</w:t>
      </w:r>
    </w:p>
    <w:p w14:paraId="0FC4903F"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For cyclodextrin-based nanosponges, an additional release-controlling variable arises from the equilibrium between complexed and free drug within the cyclodextrin cavity itself; competitive displacement by endogenous molecules, or dilution-driven shifts in the complexation equilibrium following administration, can accelerate release beyond what pore diffusion alone would predict, a phenomenon that has been characterised in detail through systematic physicochemical studies of loading and release kinetics (Pyrak et al., 2024). Understanding which of these mechanisms predominates in a given formulation is not merely of academic interest, since it directly informs excipient selection, storage conditions and the clinical claims that can reasonably be made for a finished product.</w:t>
      </w:r>
    </w:p>
    <w:p w14:paraId="02DE8B72"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7. Therapeutic Applications</w:t>
      </w:r>
    </w:p>
    <w:p w14:paraId="2E983DA0"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7.1 Dermatological and cosmetic applications</w:t>
      </w:r>
    </w:p>
    <w:p w14:paraId="2180F939"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Dermatology remains the therapeutic area in which microsponge technology has achieved the greatest clinical and commercial maturity, and it is here that the strongest randomised clinical trial evidence now exists. Two identical, multicentre, double-blind, vehicle-controlled phase 3 trials evaluated a once-daily cream combining microencapsulated benzoyl peroxide at 3 per cent with microencapsulated tretinoin at 0.1 per cent in subjects aged nine years and older with moderate to severe acne vulgaris; the active formulation was significantly superior to vehicle on the Investigator's Global Assessment success measure in both studies, and the reduction in inflammatory lesion count was likewise significantly greater with active treatment (Del Rosso et al., 2023). The rationale for microencapsulation in this indication is specific and mechanistically well understood: benzoyl peroxide and tretinoin are chemically incompatible in a single unencapsulated formulation, since benzoyl peroxide catalyses the oxidative degradation of tretinoin, and separate encapsulation of each active within a protective shell prevents this interaction while simultaneously moderating the rate of release to reduce cutaneous irritation, one of the principal reasons for treatment discontinuation with conventional acne therapy. This clinical benefit sits on foundations laid by earlier morphology work on benzoyl peroxide microsponges, which established how closely release-relevant surface porosity depends on manufacturing conditions (Nokhodchi et al., 2007). Building on this evidence, the 2024 American Academy of Dermatology guideline for the management of acne vulgaris identifies benzoyl peroxide and topical retinoids, including microencapsulated formulations, among the interventions supported by a strong recommendation (Reynolds et al., 2024).</w:t>
      </w:r>
    </w:p>
    <w:p w14:paraId="6BE5BEDF"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Complementing this clinical evidence, a substantial preclinical and formulation literature has continued to expand the range of dermatological actives explored in microsponge form. An optimised adapalene microspongeal gel demonstrated superior pilosebaceous unit retention and reduced cutaneous irritation relative to conventional adapalene gel in combined in vitro, in vivo and clinical evaluation, reinforcing the broader principle that microsponge entrapment of retinoids can decouple efficacy from surface irritancy (Yehia et al., 2024). Anti-inflammatory and antioxidant botanical actives have likewise been explored, exemplified by baicalin-loaded microsponges developed and evaluated for topical anti-inflammatory activity (Li et al., 2024), while dithranol, a long-standing but poorly tolerated topical therapy for psoriasis, has been successfully entrapped within beta-cyclodextrin nanosponges prepared by both solvent evaporation and melt techniques, with the resulting formulations showing improved photostability and antioxidant retention relative to the free drug (Kadian, Dalal, Kumar, Kapoor, &amp; Rao, 2023).</w:t>
      </w:r>
    </w:p>
    <w:p w14:paraId="67D84F92"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Musculoskeletal indications have formed a second recurring theme in the dermatological and transdermal literature. Diclofenac sodium, a widely used non-steroidal anti-inflammatory drug, has been incorporated into xanthan-gum-facilitated ethyl cellulose microsponges specifically to achieve controlled percutaneous delivery for arthritic pain, an approach intended to reduce the gastrointestinal burden associated with oral non-steroidal anti-inflammatory therapy (Maiti, Kaity, Ray, &amp; Sa, 2011). Comparable microsponge platforms have since been developed and evaluated in the context of augmented arthritis therapy more broadly (Osmani et al., 2015) and, most recently, reviewed specifically for their role in the management of osteoarthritis, where sustained local drug delivery is seen as a means of limiting systemic exposure in an older patient population already prone to polypharmacy (Sen, Sharma, Kriplani, &amp; Guarve, 2023). A further, longstanding application lies in photoprotection, where microsponge entrapment of ultraviolet filters such as oxybenzone has been used to improve the tolerability and cosmetic feel of sunscreen gels while sustaining the local release needed for effective protection (Pawar, Gholap, Kuchekar, Bothiraja, &amp; Mali, 2015), a use that echoes the technology's original commercial introduction in cosmetic and over-the-counter products. Not every claim made for microsponge-based topical delivery over the years has translated into robust clinical outcome data, but the accumulated evidence across acne, psoriasis, arthritic pain and photoprotection points consistently to reduced irritation and improved local tolerability as the technology's most reliably demonstrated benefit (Zhao et al., 2024).</w:t>
      </w:r>
    </w:p>
    <w:p w14:paraId="707176DE"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7.2 Oral and gastroretentive delivery</w:t>
      </w:r>
    </w:p>
    <w:p w14:paraId="4BEA12E4"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Beyond the skin, microsponges have been adapted for oral administration in two principal configurations: as gastroretentive floating systems designed to prolong residence time in the stomach for drugs with a narrow absorption window in the upper gastrointestinal tract, and as conventional oral controlled-release carriers intended to smooth the plasma concentration profile of drugs with a short elimination half-life. A gastroretentive microsponge formulation of mitiglinide calcium, an antidiabetic agent normally requiring frequent dosing because of its rapid absorption and short half-life, achieved prolonged gastric residence and sustained plasma exposure in pharmacokinetic evaluation, illustrating the potential of the approach to reduce dosing frequency in chronic metabolic disease (Mahmoud, Shukr, &amp; ElMeshad, 2018). Carbamazepine, an antiepileptic drug whose oral bioavailability is compromised by variable supersaturation and subsequent conversion to a less soluble dihydrate form following administration of conventional rapidly dissolving formulations, has similarly been reformulated as an ethyl cellulose microsponge using the quasi-emulsion solvent diffusion technique, yielding sustained release and improved, more consistent oral bioavailability relative to the unformulated drug (Abdalla, Osman, Nouh, &amp; El Maghraby, 2021). These oral applications depend on the same fundamental structural properties, namely acid stability and controlled pore-mediated diffusion, that underpin the technology's dermatological use, but they additionally require attention to gastrointestinal transit dynamics and, where floating systems are used, to the density and buoyancy characteristics of the finished microsponge.</w:t>
      </w:r>
    </w:p>
    <w:p w14:paraId="6DE39290"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7.3 Colon-targeted delivery</w:t>
      </w:r>
    </w:p>
    <w:p w14:paraId="4E7A8111"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Colon-specific drug delivery presents a distinct pharmaceutical challenge, requiring a formulation that survives the acidic environment of the stomach and the enzymatically active small intestine essentially intact before releasing its payload selectively within the colon, whether for local treatment of inflammatory bowel disease or for systemic absorption of drugs, such as certain peptides, that are otherwise degraded before reaching the lower </w:t>
      </w:r>
      <w:r w:rsidRPr="00B52D07">
        <w:rPr>
          <w:rFonts w:ascii="Times New Roman" w:eastAsia="Times New Roman" w:hAnsi="Times New Roman" w:cs="Times New Roman"/>
          <w:sz w:val="24"/>
          <w:szCs w:val="24"/>
          <w:lang w:eastAsia="en-GB"/>
        </w:rPr>
        <w:lastRenderedPageBreak/>
        <w:t>gastrointestinal tract (McCoubrey et al., 2023). Microsponges coated with, or constructed from, pH-dependent polymers such as Eudragit S100, which remains insoluble below approximately pH 7 and dissolves as luminal pH rises through the terminal ileum and colon, have been used to achieve this selectivity. One of the earlier and still frequently cited demonstrations of this principle involved paracetamol microsponges designed and characterised specifically for colon-specific release, establishing much of the pH-dependent coating rationale that later formulations continue to draw on (Jain &amp; Singh, 2011). A more recent hydroxypropylmethylcellulose-dicyclomine microsponge system, prepared by quasi-emulsion solvent diffusion and evaluated in both in vitro release studies and an in vivo rabbit pharmacokinetic model, demonstrated pH-dependent drug release consistent with colon targeting and produced measurable improvements in oral bioavailability compared with standard dicyclomine administration (Sher et al., 2022). This colon-targeting strategy sits within a broader landscape of colonic drug delivery approaches, which continues to attract substantial pharmaceutical research investment given the therapeutic opportunities presented by local treatment of inflammatory bowel disease and other colonic pathologies (McCoubrey et al., 2023), and curcumin-loaded colon-targeted formulations, though not exclusively microsponge-based, illustrate the parallel development of natural-product colon-targeted delivery systems for inflammatory bowel disease that share much of the same pH-dependent design logic (Sardou et al., 2023).</w:t>
      </w:r>
    </w:p>
    <w:p w14:paraId="4CB65299"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7.4 Ocular delivery</w:t>
      </w:r>
    </w:p>
    <w:p w14:paraId="098BA73B"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Ocular administration is characterised by rapid precorneal clearance through tear turnover and nasolacrimal drainage, which together limit the residence time, and therefore the effective bioavailability, of conventional eye drop formulations to a small fraction of the instilled dose. Microsponge-based systems, typically incorporated into an in situ gelling vehicle that undergoes a sol-to-gel phase transition upon contact with the ocular surface, have been explored as a means of extending precorneal residence time while providing sustained drug release from the entrapped microsponge reservoir, an approach that recent reviews of the field identify alongside dermatological and oral delivery as one of the more actively expanding applications of microsponge technology (Biharee et al., 2023; Qureshi et al., 2024). The combination of microsponge entrapment with an in situ gelling matrix appears mechanistically complementary, since the gel phase transition addresses precorneal residence while the microsponge itself governs the sustained-release profile of the entrapped active, a two-tier control strategy that has clear parallels with the gastroretentive oral systems discussed in Section 7.2.</w:t>
      </w:r>
    </w:p>
    <w:p w14:paraId="4D9B2846" w14:textId="77777777" w:rsidR="00B52D07" w:rsidRPr="00B52D07" w:rsidRDefault="00B52D07" w:rsidP="001629B5">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7.5 Oncology and the nanosponge extension</w:t>
      </w:r>
    </w:p>
    <w:p w14:paraId="5464D4DA"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scaling of microsponge concepts down to the nanometre range, principally through cyclodextrin-based nanosponges, has substantially broadened the therapeutic reach of the underlying cross-linked polymer platform into systemic oncology applications inaccessible to the larger microsponge, which is generally too large to cross intact biological barriers other than the skin or gastrointestinal mucosa. Cyclodextrin-based nanosponges combine the solubilising, host-guest complexation chemistry long associated with simple cyclodextrins with the additional structural and pharmacokinetic advantages conferred by cross-linking into a nanoscale three-dimensional network, including improved drug loading capacity, protection of labile molecular agents from degradation, and, in some formulations, magnetically responsive functionality achieved by associating the nanosponge with magnetic nanoparticles to enable externally triggered release (Iravani &amp; Varma, 2022). CRLX101, a cyclodextrin-</w:t>
      </w:r>
      <w:r w:rsidRPr="00B52D07">
        <w:rPr>
          <w:rFonts w:ascii="Times New Roman" w:eastAsia="Times New Roman" w:hAnsi="Times New Roman" w:cs="Times New Roman"/>
          <w:sz w:val="24"/>
          <w:szCs w:val="24"/>
          <w:lang w:eastAsia="en-GB"/>
        </w:rPr>
        <w:lastRenderedPageBreak/>
        <w:t>based nanopharmaceutical designed to improve the delivery of the anticancer agent camptothecin, has been evaluated across multiple clinical trials in patients with advanced or metastatic cancer resistant to standard therapy, and a systematic review of this clinical trial evidence, while noting heterogeneity in trial design and outcome reporting, identified improvements in progression-free survival among selected patient populations when CRLX101 was combined with other therapeutic agents (Serrano-Martínez et al., 2023). This trial evidence remains the most mature clinical data available for any nanosponge platform and stands in useful contrast to the preclinical formulation work that still characterises most of the wider nanosponge oncology literature, underlining how much translational distance separates a promising nanoparticle design from a demonstrated clinical benefit.</w:t>
      </w:r>
    </w:p>
    <w:p w14:paraId="3B469DB7"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The overall therapeutic landscape summarised across Sections 7.1 to 7.5 is drawn together in Table 4, which maps representative actives against delivery objectives and the supporting evidence base discussed above.</w:t>
      </w:r>
    </w:p>
    <w:p w14:paraId="1F1D4C40"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b/>
          <w:bCs/>
          <w:sz w:val="24"/>
          <w:szCs w:val="24"/>
          <w:lang w:eastAsia="en-GB"/>
        </w:rPr>
        <w:t>Table 4. Overview of therapeutic domains and representative microsponge/nanosponge applications</w:t>
      </w:r>
    </w:p>
    <w:tbl>
      <w:tblPr>
        <w:tblStyle w:val="TableGrid"/>
        <w:tblW w:w="0" w:type="auto"/>
        <w:tblLook w:val="04A0" w:firstRow="1" w:lastRow="0" w:firstColumn="1" w:lastColumn="0" w:noHBand="0" w:noVBand="1"/>
      </w:tblPr>
      <w:tblGrid>
        <w:gridCol w:w="3377"/>
        <w:gridCol w:w="1920"/>
        <w:gridCol w:w="2302"/>
        <w:gridCol w:w="1643"/>
      </w:tblGrid>
      <w:tr w:rsidR="00B52D07" w:rsidRPr="00B52D07" w14:paraId="5519E4C1" w14:textId="77777777" w:rsidTr="00B52D07">
        <w:tc>
          <w:tcPr>
            <w:tcW w:w="0" w:type="auto"/>
            <w:hideMark/>
          </w:tcPr>
          <w:p w14:paraId="4202F3C3"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Therapeutic domain</w:t>
            </w:r>
          </w:p>
        </w:tc>
        <w:tc>
          <w:tcPr>
            <w:tcW w:w="0" w:type="auto"/>
            <w:hideMark/>
          </w:tcPr>
          <w:p w14:paraId="064E68BE"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Representative active(s)</w:t>
            </w:r>
          </w:p>
        </w:tc>
        <w:tc>
          <w:tcPr>
            <w:tcW w:w="0" w:type="auto"/>
            <w:hideMark/>
          </w:tcPr>
          <w:p w14:paraId="0914FFE4"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Delivery objective</w:t>
            </w:r>
          </w:p>
        </w:tc>
        <w:tc>
          <w:tcPr>
            <w:tcW w:w="0" w:type="auto"/>
            <w:hideMark/>
          </w:tcPr>
          <w:p w14:paraId="05A99085" w14:textId="77777777" w:rsidR="00B52D07" w:rsidRPr="00B52D07" w:rsidRDefault="00B52D07" w:rsidP="001629B5">
            <w:pPr>
              <w:jc w:val="both"/>
              <w:rPr>
                <w:rFonts w:ascii="Times New Roman" w:eastAsia="Times New Roman" w:hAnsi="Times New Roman" w:cs="Times New Roman"/>
                <w:b/>
                <w:bCs/>
                <w:sz w:val="24"/>
                <w:szCs w:val="24"/>
                <w:lang w:eastAsia="en-GB"/>
              </w:rPr>
            </w:pPr>
            <w:r w:rsidRPr="00B52D07">
              <w:rPr>
                <w:rFonts w:ascii="Times New Roman" w:eastAsia="Times New Roman" w:hAnsi="Times New Roman" w:cs="Times New Roman"/>
                <w:b/>
                <w:bCs/>
                <w:sz w:val="24"/>
                <w:szCs w:val="24"/>
                <w:lang w:eastAsia="en-GB"/>
              </w:rPr>
              <w:t>Key evidence</w:t>
            </w:r>
          </w:p>
        </w:tc>
      </w:tr>
      <w:tr w:rsidR="00B52D07" w:rsidRPr="00B52D07" w14:paraId="616A6837" w14:textId="77777777" w:rsidTr="00B52D07">
        <w:tc>
          <w:tcPr>
            <w:tcW w:w="0" w:type="auto"/>
            <w:hideMark/>
          </w:tcPr>
          <w:p w14:paraId="5D69A0E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Dermatology/acne</w:t>
            </w:r>
          </w:p>
        </w:tc>
        <w:tc>
          <w:tcPr>
            <w:tcW w:w="0" w:type="auto"/>
            <w:hideMark/>
          </w:tcPr>
          <w:p w14:paraId="384F4B4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Benzoyl peroxide, tretinoin, adapalene, baicalin</w:t>
            </w:r>
          </w:p>
        </w:tc>
        <w:tc>
          <w:tcPr>
            <w:tcW w:w="0" w:type="auto"/>
            <w:hideMark/>
          </w:tcPr>
          <w:p w14:paraId="55080948"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Reduce irritation; prevent chemical incompatibility; sustained topical release</w:t>
            </w:r>
          </w:p>
        </w:tc>
        <w:tc>
          <w:tcPr>
            <w:tcW w:w="0" w:type="auto"/>
            <w:hideMark/>
          </w:tcPr>
          <w:p w14:paraId="3059003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Del Rosso et al. (2023); Yehia et al. (2024); Nokhodchi et al. (2007)</w:t>
            </w:r>
          </w:p>
        </w:tc>
      </w:tr>
      <w:tr w:rsidR="00B52D07" w:rsidRPr="00B52D07" w14:paraId="6D6CA907" w14:textId="77777777" w:rsidTr="00B52D07">
        <w:tc>
          <w:tcPr>
            <w:tcW w:w="0" w:type="auto"/>
            <w:hideMark/>
          </w:tcPr>
          <w:p w14:paraId="4A2CFA3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Dermatology/psoriasis</w:t>
            </w:r>
          </w:p>
        </w:tc>
        <w:tc>
          <w:tcPr>
            <w:tcW w:w="0" w:type="auto"/>
            <w:hideMark/>
          </w:tcPr>
          <w:p w14:paraId="3A871F7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Dithranol</w:t>
            </w:r>
          </w:p>
        </w:tc>
        <w:tc>
          <w:tcPr>
            <w:tcW w:w="0" w:type="auto"/>
            <w:hideMark/>
          </w:tcPr>
          <w:p w14:paraId="6CCDEC4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Improve stability and photostability; reduce irritation</w:t>
            </w:r>
          </w:p>
        </w:tc>
        <w:tc>
          <w:tcPr>
            <w:tcW w:w="0" w:type="auto"/>
            <w:hideMark/>
          </w:tcPr>
          <w:p w14:paraId="32EDF214"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Kadian et al. (2023)</w:t>
            </w:r>
          </w:p>
        </w:tc>
      </w:tr>
      <w:tr w:rsidR="00B52D07" w:rsidRPr="00B52D07" w14:paraId="0B8A7FDC" w14:textId="77777777" w:rsidTr="00B52D07">
        <w:tc>
          <w:tcPr>
            <w:tcW w:w="0" w:type="auto"/>
            <w:hideMark/>
          </w:tcPr>
          <w:p w14:paraId="7C9D617C"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Musculoskeletal/photoprotection</w:t>
            </w:r>
          </w:p>
        </w:tc>
        <w:tc>
          <w:tcPr>
            <w:tcW w:w="0" w:type="auto"/>
            <w:hideMark/>
          </w:tcPr>
          <w:p w14:paraId="3CB1BA46"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Diclofenac sodium, oxybenzone</w:t>
            </w:r>
          </w:p>
        </w:tc>
        <w:tc>
          <w:tcPr>
            <w:tcW w:w="0" w:type="auto"/>
            <w:hideMark/>
          </w:tcPr>
          <w:p w14:paraId="0943DC6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Sustained percutaneous release; reduced systemic exposure</w:t>
            </w:r>
          </w:p>
        </w:tc>
        <w:tc>
          <w:tcPr>
            <w:tcW w:w="0" w:type="auto"/>
            <w:hideMark/>
          </w:tcPr>
          <w:p w14:paraId="0B6A63FC"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Maiti et al. (2011); Osmani et al. (2015); Sen et al. (2023); Pawar et al. (2015)</w:t>
            </w:r>
          </w:p>
        </w:tc>
      </w:tr>
      <w:tr w:rsidR="00B52D07" w:rsidRPr="00B52D07" w14:paraId="52766C4B" w14:textId="77777777" w:rsidTr="00B52D07">
        <w:tc>
          <w:tcPr>
            <w:tcW w:w="0" w:type="auto"/>
            <w:hideMark/>
          </w:tcPr>
          <w:p w14:paraId="5B57CF1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Oral/gastroretentive</w:t>
            </w:r>
          </w:p>
        </w:tc>
        <w:tc>
          <w:tcPr>
            <w:tcW w:w="0" w:type="auto"/>
            <w:hideMark/>
          </w:tcPr>
          <w:p w14:paraId="52AFCF9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Mitiglinide calcium, carbamazepine</w:t>
            </w:r>
          </w:p>
        </w:tc>
        <w:tc>
          <w:tcPr>
            <w:tcW w:w="0" w:type="auto"/>
            <w:hideMark/>
          </w:tcPr>
          <w:p w14:paraId="3DBAA1FA"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Prolong gastric residence; smooth plasma profile; improve bioavailability</w:t>
            </w:r>
          </w:p>
        </w:tc>
        <w:tc>
          <w:tcPr>
            <w:tcW w:w="0" w:type="auto"/>
            <w:hideMark/>
          </w:tcPr>
          <w:p w14:paraId="3BE4C56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Mahmoud et al. (2018); Abdalla et al. (2021)</w:t>
            </w:r>
          </w:p>
        </w:tc>
      </w:tr>
      <w:tr w:rsidR="00B52D07" w:rsidRPr="00B52D07" w14:paraId="0E26DCC3" w14:textId="77777777" w:rsidTr="00B52D07">
        <w:tc>
          <w:tcPr>
            <w:tcW w:w="0" w:type="auto"/>
            <w:hideMark/>
          </w:tcPr>
          <w:p w14:paraId="24254B98"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Colon-targeted</w:t>
            </w:r>
          </w:p>
        </w:tc>
        <w:tc>
          <w:tcPr>
            <w:tcW w:w="0" w:type="auto"/>
            <w:hideMark/>
          </w:tcPr>
          <w:p w14:paraId="45D1D19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Paracetamol, dicyclomine</w:t>
            </w:r>
          </w:p>
        </w:tc>
        <w:tc>
          <w:tcPr>
            <w:tcW w:w="0" w:type="auto"/>
            <w:hideMark/>
          </w:tcPr>
          <w:p w14:paraId="1D62AA15"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pH-dependent release restricted to colon</w:t>
            </w:r>
          </w:p>
        </w:tc>
        <w:tc>
          <w:tcPr>
            <w:tcW w:w="0" w:type="auto"/>
            <w:hideMark/>
          </w:tcPr>
          <w:p w14:paraId="6D23B6C0"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Jain &amp; Singh (2011); Sher et al. (2022)</w:t>
            </w:r>
          </w:p>
        </w:tc>
      </w:tr>
      <w:tr w:rsidR="00B52D07" w:rsidRPr="00B52D07" w14:paraId="4AE3EE3F" w14:textId="77777777" w:rsidTr="00B52D07">
        <w:tc>
          <w:tcPr>
            <w:tcW w:w="0" w:type="auto"/>
            <w:hideMark/>
          </w:tcPr>
          <w:p w14:paraId="03EFE5CF"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Ocular</w:t>
            </w:r>
          </w:p>
        </w:tc>
        <w:tc>
          <w:tcPr>
            <w:tcW w:w="0" w:type="auto"/>
            <w:hideMark/>
          </w:tcPr>
          <w:p w14:paraId="254FD5D2"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In situ gel-microsponge combinations</w:t>
            </w:r>
          </w:p>
        </w:tc>
        <w:tc>
          <w:tcPr>
            <w:tcW w:w="0" w:type="auto"/>
            <w:hideMark/>
          </w:tcPr>
          <w:p w14:paraId="02CAA5CB"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Extend precorneal residence; sustained release</w:t>
            </w:r>
          </w:p>
        </w:tc>
        <w:tc>
          <w:tcPr>
            <w:tcW w:w="0" w:type="auto"/>
            <w:hideMark/>
          </w:tcPr>
          <w:p w14:paraId="334721AE"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Biharee et al. (2023); Qureshi et al. (2024)</w:t>
            </w:r>
          </w:p>
        </w:tc>
      </w:tr>
      <w:tr w:rsidR="00B52D07" w:rsidRPr="00B52D07" w14:paraId="3D541815" w14:textId="77777777" w:rsidTr="00B52D07">
        <w:tc>
          <w:tcPr>
            <w:tcW w:w="0" w:type="auto"/>
            <w:hideMark/>
          </w:tcPr>
          <w:p w14:paraId="2537D628"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Oncology (nanosponge)</w:t>
            </w:r>
          </w:p>
        </w:tc>
        <w:tc>
          <w:tcPr>
            <w:tcW w:w="0" w:type="auto"/>
            <w:hideMark/>
          </w:tcPr>
          <w:p w14:paraId="6A1F8C41"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Camptothecin (CRLX101)</w:t>
            </w:r>
          </w:p>
        </w:tc>
        <w:tc>
          <w:tcPr>
            <w:tcW w:w="0" w:type="auto"/>
            <w:hideMark/>
          </w:tcPr>
          <w:p w14:paraId="57547DA4"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Solubilisation; tumour-</w:t>
            </w:r>
            <w:r w:rsidRPr="00B52D07">
              <w:rPr>
                <w:rFonts w:ascii="Times New Roman" w:eastAsia="Times New Roman" w:hAnsi="Times New Roman" w:cs="Times New Roman"/>
                <w:sz w:val="24"/>
                <w:szCs w:val="24"/>
                <w:lang w:eastAsia="en-GB"/>
              </w:rPr>
              <w:lastRenderedPageBreak/>
              <w:t>selective/triggered release</w:t>
            </w:r>
          </w:p>
        </w:tc>
        <w:tc>
          <w:tcPr>
            <w:tcW w:w="0" w:type="auto"/>
            <w:hideMark/>
          </w:tcPr>
          <w:p w14:paraId="5F64E939" w14:textId="77777777" w:rsidR="00B52D07" w:rsidRPr="00B52D07" w:rsidRDefault="00B52D07" w:rsidP="001629B5">
            <w:pPr>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lastRenderedPageBreak/>
              <w:t xml:space="preserve">Serrano-Martínez et al. </w:t>
            </w:r>
            <w:r w:rsidRPr="00B52D07">
              <w:rPr>
                <w:rFonts w:ascii="Times New Roman" w:eastAsia="Times New Roman" w:hAnsi="Times New Roman" w:cs="Times New Roman"/>
                <w:sz w:val="24"/>
                <w:szCs w:val="24"/>
                <w:lang w:eastAsia="en-GB"/>
              </w:rPr>
              <w:lastRenderedPageBreak/>
              <w:t>(2023); Iravani &amp; Varma (2022)</w:t>
            </w:r>
          </w:p>
        </w:tc>
      </w:tr>
    </w:tbl>
    <w:p w14:paraId="5E2CB871"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i/>
          <w:iCs/>
          <w:sz w:val="24"/>
          <w:szCs w:val="24"/>
          <w:lang w:eastAsia="en-GB"/>
        </w:rPr>
        <w:lastRenderedPageBreak/>
        <w:t>Sources as listed in the table above and discussed in the corresponding subsections of Section 7.</w:t>
      </w:r>
    </w:p>
    <w:p w14:paraId="74ACA695"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8. Regulatory Considerations and Marketed Products</w:t>
      </w:r>
    </w:p>
    <w:p w14:paraId="1E7F92AC"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Microsponge-based products intended for over-the-counter or prescription use in the United States are subject to review by the Food and Drug Administration under pathways that vary according to whether the product is classified as a drug, a cosmetic or a combination product, with the excipient and polymer components of the microsponge itself typically required to conform to existing generally-recognised-as-safe status or to undergo dedicated safety evaluation where novel materials are proposed (Qureshi et al., 2024). Marketed microencapsulated benzoyl peroxide and tretinoin products, following the pivotal phase 3 clinical programme described in Section 7.1, received approval for acne vulgaris and, in the case of encapsulated benzoyl peroxide alone, for papulopustular rosacea, establishing a regulatory precedent for microencapsulation technology within dermatological therapeutics that has informed subsequent development programmes (Del Rosso et al., 2023). More broadly, the regulatory literature emphasises that reproducibility of the manufacturing process, particularly at the scale-up stage discussed in Section 4.2, together with rigorous characterisation of residual solvent content, entrapment efficiency and batch-to-batch consistency of release kinetics, constitutes the principal quality-control burden that formulators must address to satisfy regulatory expectations for microsponge-based products (Halder et al., 2024).</w:t>
      </w:r>
    </w:p>
    <w:p w14:paraId="1F2AA3BB"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9. Future Directions</w:t>
      </w:r>
    </w:p>
    <w:p w14:paraId="41D80F34"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Several trajectories appear likely to shape the next phase of microsponge and nanosponge research. First, computational and data-driven approaches to formulation design are beginning to be applied to particulate drug delivery systems more broadly, with machine learning methods used to predict optimal polymer-drug-solvent combinations, anticipate release kinetics from formulation composition, and reduce the empirical trial-and-error burden that has historically characterised microsponge development (Vora et al., 2023). Although these methods have so far been applied more extensively to other particulate platforms, the well-characterised, parameter-rich nature of microsponge formulation, involving polymer type, cross-linker density, drug-to-polymer ratio, stirring rate and solvent selection, makes it a natural candidate for such data-driven optimisation.</w:t>
      </w:r>
    </w:p>
    <w:p w14:paraId="18CC28AB"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 xml:space="preserve">Second, the continued convergence of microsponge and nanosponge technology with stimulus-responsive and targeted delivery strategies, exemplified by the magnetically responsive nanosponge formulations discussed in Section 7.5, is likely to extend the therapeutic reach of cross-linked polymeric carriers further into oncology and other systemic indications where precise spatiotemporal control over drug release is clinically valuable (Iravani &amp; Varma, 2022). Third, greater attention to green chemistry principles in microsponge manufacture, including reduced reliance on halogenated organic solvents and the exploration of ultrasound-assisted and other lower-solvent fabrication methods, is likely to become increasingly important both for regulatory and environmental reasons (Halder et al., 2024). Fourth, the extension of colon-targeted and gastroretentive microsponge platforms </w:t>
      </w:r>
      <w:r w:rsidRPr="00B52D07">
        <w:rPr>
          <w:rFonts w:ascii="Times New Roman" w:eastAsia="Times New Roman" w:hAnsi="Times New Roman" w:cs="Times New Roman"/>
          <w:sz w:val="24"/>
          <w:szCs w:val="24"/>
          <w:lang w:eastAsia="en-GB"/>
        </w:rPr>
        <w:lastRenderedPageBreak/>
        <w:t>toward biologics and peptide therapeutics, building on the demonstrated capacity of lyophilisation-based loading to accommodate thermolabile actives, represents a promising but still relatively underexplored direction given the substantial unmet need for oral delivery of otherwise injectable therapeutic classes. Finally, standardisation of characterisation protocols across the field, particularly regarding entrapment efficiency determination and in vitro release testing methodology, would materially improve the comparability of results across laboratories and accelerate translation from academic formulation studies to regulated clinical products.</w:t>
      </w:r>
    </w:p>
    <w:p w14:paraId="6B40D560"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10. Conclusions</w:t>
      </w:r>
    </w:p>
    <w:p w14:paraId="3146B8FD" w14:textId="77777777" w:rsidR="00B52D07" w:rsidRP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Microsponge-based drug delivery has evolved from a narrowly cosmetic technology into a mechanistically well-characterised and increasingly clinically validated platform spanning dermatology, oral and colonic delivery, ophthalmology and, through the nanosponge extension, oncology. The randomised clinical trial evidence now available for microencapsulated benzoyl peroxide and tretinoin combinations in acne vulgaris demonstrates that the theoretical advantages of the technology, namely reduced irritation, prevention of chemical incompatibility between co-formulated actives, and sustained local release, translate into measurable clinical benefit. Parallel developments in gastroretentive and colon-targeted microsponge systems, and in cyclodextrin-based nanosponges for cancer therapy, indicate a technology platform of genuine versatility rather than one confined to a single therapeutic niche. At the same time, the field remains characterised by substantial formulation heterogeneity, a predominance of preclinical over clinical evidence outside dermatology, and persistent challenges in reliably scaling laboratory formulations to reproducible commercial manufacture. Continued investment in mechanistic characterisation, standardised evaluation methodology and rigorous clinical evaluation across the non-dermatological applications discussed in this review will be necessary to consolidate the considerable promise that the technology has demonstrated to date.</w:t>
      </w:r>
    </w:p>
    <w:p w14:paraId="01339828"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11. Limitations</w:t>
      </w:r>
    </w:p>
    <w:p w14:paraId="3360ECA1" w14:textId="77777777" w:rsidR="00B52D07" w:rsidRDefault="00B52D07"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52D07">
        <w:rPr>
          <w:rFonts w:ascii="Times New Roman" w:eastAsia="Times New Roman" w:hAnsi="Times New Roman" w:cs="Times New Roman"/>
          <w:sz w:val="24"/>
          <w:szCs w:val="24"/>
          <w:lang w:eastAsia="en-GB"/>
        </w:rPr>
        <w:t>This review is subject to several limitations inherent in its narrative design. The literature search, while conducted across multiple general and field-specific databases and informed by explicit inclusion and exclusion criteria, did not follow a fully systematic protocol, was not accompanied by formal risk-of-bias assessment of included studies, and did not involve independent duplicate screening by multiple reviewers, all of which limit the extent to which the synthesis presented here can be considered exhaustive or entirely free of selection bias. The evidence base itself is heterogeneous, comprising a large volume of preclinical and formulation-level studies alongside a comparatively small number of randomised clinical trials concentrated almost entirely within dermatology, which constrains the strength of conclusions that can be drawn regarding clinical efficacy in the oral, colonic, ocular and oncological applications discussed. Publication bias favouring positive formulation outcomes cannot be excluded, and the rapid pace of publication in this field means that relevant studies published after the literature search date range specified in Section 2.3 will not be reflected in this synthesis.</w:t>
      </w:r>
    </w:p>
    <w:p w14:paraId="2862BBE0" w14:textId="77777777" w:rsidR="00D01876" w:rsidRPr="000839CE" w:rsidRDefault="00D01876" w:rsidP="001629B5">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6ECE481E" w14:textId="77777777" w:rsidR="00D01876" w:rsidRPr="000839CE" w:rsidRDefault="00D01876" w:rsidP="001629B5">
      <w:pPr>
        <w:spacing w:after="0" w:line="240" w:lineRule="auto"/>
        <w:jc w:val="both"/>
        <w:rPr>
          <w:rFonts w:ascii="Times New Roman" w:hAnsi="Times New Roman" w:cs="Times New Roman"/>
        </w:rPr>
      </w:pPr>
    </w:p>
    <w:p w14:paraId="7AB190E2" w14:textId="77777777" w:rsidR="00D01876" w:rsidRPr="000839CE" w:rsidRDefault="00D01876" w:rsidP="001629B5">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w:t>
      </w:r>
      <w:r w:rsidRPr="00C56790">
        <w:rPr>
          <w:rFonts w:ascii="Times New Roman" w:hAnsi="Times New Roman" w:cs="Times New Roman"/>
        </w:rPr>
        <w:lastRenderedPageBreak/>
        <w:t>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9101894" w14:textId="77777777" w:rsidR="00D01876" w:rsidRPr="00B52D07" w:rsidRDefault="00D01876" w:rsidP="001629B5">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498B9D96" w14:textId="77777777" w:rsidR="00B52D07" w:rsidRPr="00B52D07" w:rsidRDefault="00B52D07" w:rsidP="001629B5">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B52D07">
        <w:rPr>
          <w:rFonts w:ascii="Times New Roman" w:eastAsia="Times New Roman" w:hAnsi="Times New Roman" w:cs="Times New Roman"/>
          <w:b/>
          <w:bCs/>
          <w:sz w:val="27"/>
          <w:szCs w:val="27"/>
          <w:lang w:eastAsia="en-GB"/>
        </w:rPr>
        <w:t>References</w:t>
      </w:r>
    </w:p>
    <w:p w14:paraId="28FBB4BB"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Abdalla, K. F., Osman, M. A., Nouh, A. T., &amp; El Maghraby, G. M. (2021). Microsponges for controlled release and enhanced oral bioavailability of carbamazepine. </w:t>
      </w:r>
      <w:r w:rsidRPr="0022585D">
        <w:rPr>
          <w:rFonts w:ascii="Times New Roman" w:eastAsia="Times New Roman" w:hAnsi="Times New Roman" w:cs="Times New Roman"/>
          <w:i/>
          <w:iCs/>
          <w:sz w:val="24"/>
          <w:szCs w:val="24"/>
          <w:lang w:val="en-US"/>
        </w:rPr>
        <w:t>Journal of Drug Delivery Science and Technology, 65</w:t>
      </w:r>
      <w:r w:rsidRPr="0022585D">
        <w:rPr>
          <w:rFonts w:ascii="Times New Roman" w:eastAsia="Times New Roman" w:hAnsi="Times New Roman" w:cs="Times New Roman"/>
          <w:sz w:val="24"/>
          <w:szCs w:val="24"/>
          <w:lang w:val="en-US"/>
        </w:rPr>
        <w:t xml:space="preserve">, Article 102683. </w:t>
      </w:r>
      <w:hyperlink r:id="rId7" w:tgtFrame="_new" w:history="1">
        <w:r w:rsidRPr="0022585D">
          <w:rPr>
            <w:rFonts w:ascii="Times New Roman" w:eastAsia="Times New Roman" w:hAnsi="Times New Roman" w:cs="Times New Roman"/>
            <w:color w:val="0000FF"/>
            <w:sz w:val="24"/>
            <w:szCs w:val="24"/>
            <w:u w:val="single"/>
            <w:lang w:val="en-US"/>
          </w:rPr>
          <w:t>https://doi.org/10.1016/j.jddst.2021.102683</w:t>
        </w:r>
      </w:hyperlink>
      <w:r w:rsidRPr="0022585D">
        <w:rPr>
          <w:rFonts w:ascii="Times New Roman" w:eastAsia="Times New Roman" w:hAnsi="Times New Roman" w:cs="Times New Roman"/>
          <w:sz w:val="24"/>
          <w:szCs w:val="24"/>
          <w:lang w:val="en-US"/>
        </w:rPr>
        <w:t xml:space="preserve"> </w:t>
      </w:r>
    </w:p>
    <w:p w14:paraId="5B5131A3"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Ali, A. U., Abd-Elkareem, M., Kamel, A. A., Abou Khalil, N. S., Hamad, D., Nasr, N. E. H., Hassan, M. A., &amp; El Faham, T. H. (2023). Impact of porous microsponges in minimizing myotoxic side effects of simvastatin. </w:t>
      </w:r>
      <w:r w:rsidRPr="0022585D">
        <w:rPr>
          <w:rFonts w:ascii="Times New Roman" w:eastAsia="Times New Roman" w:hAnsi="Times New Roman" w:cs="Times New Roman"/>
          <w:i/>
          <w:iCs/>
          <w:sz w:val="24"/>
          <w:szCs w:val="24"/>
          <w:lang w:val="en-US"/>
        </w:rPr>
        <w:t>Scientific Reports, 13</w:t>
      </w:r>
      <w:r w:rsidRPr="0022585D">
        <w:rPr>
          <w:rFonts w:ascii="Times New Roman" w:eastAsia="Times New Roman" w:hAnsi="Times New Roman" w:cs="Times New Roman"/>
          <w:sz w:val="24"/>
          <w:szCs w:val="24"/>
          <w:lang w:val="en-US"/>
        </w:rPr>
        <w:t xml:space="preserve">(1), Article 5790. </w:t>
      </w:r>
      <w:hyperlink r:id="rId8" w:tgtFrame="_new" w:history="1">
        <w:r w:rsidRPr="0022585D">
          <w:rPr>
            <w:rFonts w:ascii="Times New Roman" w:eastAsia="Times New Roman" w:hAnsi="Times New Roman" w:cs="Times New Roman"/>
            <w:color w:val="0000FF"/>
            <w:sz w:val="24"/>
            <w:szCs w:val="24"/>
            <w:u w:val="single"/>
            <w:lang w:val="en-US"/>
          </w:rPr>
          <w:t>https://doi.org/10.1038/s41598-023-32545-0</w:t>
        </w:r>
      </w:hyperlink>
      <w:r w:rsidRPr="0022585D">
        <w:rPr>
          <w:rFonts w:ascii="Times New Roman" w:eastAsia="Times New Roman" w:hAnsi="Times New Roman" w:cs="Times New Roman"/>
          <w:sz w:val="24"/>
          <w:szCs w:val="24"/>
          <w:lang w:val="en-US"/>
        </w:rPr>
        <w:t xml:space="preserve"> </w:t>
      </w:r>
    </w:p>
    <w:p w14:paraId="54EA33E6"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Baethge, C., Goldbeck-Wood, S., &amp; Mertens, S. (2019). SANRA—a scale for the quality assessment of narrative review articles. </w:t>
      </w:r>
      <w:r w:rsidRPr="0022585D">
        <w:rPr>
          <w:rFonts w:ascii="Times New Roman" w:eastAsia="Times New Roman" w:hAnsi="Times New Roman" w:cs="Times New Roman"/>
          <w:i/>
          <w:iCs/>
          <w:sz w:val="24"/>
          <w:szCs w:val="24"/>
          <w:lang w:val="en-US"/>
        </w:rPr>
        <w:t>Research Integrity and Peer Review, 4</w:t>
      </w:r>
      <w:r w:rsidRPr="0022585D">
        <w:rPr>
          <w:rFonts w:ascii="Times New Roman" w:eastAsia="Times New Roman" w:hAnsi="Times New Roman" w:cs="Times New Roman"/>
          <w:sz w:val="24"/>
          <w:szCs w:val="24"/>
          <w:lang w:val="en-US"/>
        </w:rPr>
        <w:t xml:space="preserve">(1), Article 5. </w:t>
      </w:r>
      <w:hyperlink r:id="rId9" w:tgtFrame="_new" w:history="1">
        <w:r w:rsidRPr="0022585D">
          <w:rPr>
            <w:rFonts w:ascii="Times New Roman" w:eastAsia="Times New Roman" w:hAnsi="Times New Roman" w:cs="Times New Roman"/>
            <w:color w:val="0000FF"/>
            <w:sz w:val="24"/>
            <w:szCs w:val="24"/>
            <w:u w:val="single"/>
            <w:lang w:val="en-US"/>
          </w:rPr>
          <w:t>https://doi.org/10.1186/s41073-019-0064-8</w:t>
        </w:r>
      </w:hyperlink>
      <w:r w:rsidRPr="0022585D">
        <w:rPr>
          <w:rFonts w:ascii="Times New Roman" w:eastAsia="Times New Roman" w:hAnsi="Times New Roman" w:cs="Times New Roman"/>
          <w:sz w:val="24"/>
          <w:szCs w:val="24"/>
          <w:lang w:val="en-US"/>
        </w:rPr>
        <w:t xml:space="preserve"> </w:t>
      </w:r>
    </w:p>
    <w:p w14:paraId="37D5D7CC"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Baranauskaite, J., Sefer, S., Zevzikoviene, A., Zevzikovas, A., &amp; Ivanauskas, L. (2025). Optimized enoxolone-loaded microsponges for drug delivery: A design of experiments approach. </w:t>
      </w:r>
      <w:r w:rsidRPr="0022585D">
        <w:rPr>
          <w:rFonts w:ascii="Times New Roman" w:eastAsia="Times New Roman" w:hAnsi="Times New Roman" w:cs="Times New Roman"/>
          <w:i/>
          <w:iCs/>
          <w:sz w:val="24"/>
          <w:szCs w:val="24"/>
          <w:lang w:val="en-US"/>
        </w:rPr>
        <w:t>Pharmaceuticals, 18</w:t>
      </w:r>
      <w:r w:rsidRPr="0022585D">
        <w:rPr>
          <w:rFonts w:ascii="Times New Roman" w:eastAsia="Times New Roman" w:hAnsi="Times New Roman" w:cs="Times New Roman"/>
          <w:sz w:val="24"/>
          <w:szCs w:val="24"/>
          <w:lang w:val="en-US"/>
        </w:rPr>
        <w:t xml:space="preserve">(7), Article 938. </w:t>
      </w:r>
      <w:hyperlink r:id="rId10" w:tgtFrame="_new" w:history="1">
        <w:r w:rsidRPr="0022585D">
          <w:rPr>
            <w:rFonts w:ascii="Times New Roman" w:eastAsia="Times New Roman" w:hAnsi="Times New Roman" w:cs="Times New Roman"/>
            <w:color w:val="0000FF"/>
            <w:sz w:val="24"/>
            <w:szCs w:val="24"/>
            <w:u w:val="single"/>
            <w:lang w:val="en-US"/>
          </w:rPr>
          <w:t>https://doi.org/10.3390/ph18070938</w:t>
        </w:r>
      </w:hyperlink>
      <w:r w:rsidRPr="0022585D">
        <w:rPr>
          <w:rFonts w:ascii="Times New Roman" w:eastAsia="Times New Roman" w:hAnsi="Times New Roman" w:cs="Times New Roman"/>
          <w:sz w:val="24"/>
          <w:szCs w:val="24"/>
          <w:lang w:val="en-US"/>
        </w:rPr>
        <w:t xml:space="preserve"> </w:t>
      </w:r>
    </w:p>
    <w:p w14:paraId="21C46D66"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Biharee, A., Bhartiya, S., Yadav, A., Thareja, S., &amp; Jain, A. K. (2023). Microsponges as drug delivery system: Past, present, and future perspectives. </w:t>
      </w:r>
      <w:r w:rsidRPr="0022585D">
        <w:rPr>
          <w:rFonts w:ascii="Times New Roman" w:eastAsia="Times New Roman" w:hAnsi="Times New Roman" w:cs="Times New Roman"/>
          <w:i/>
          <w:iCs/>
          <w:sz w:val="24"/>
          <w:szCs w:val="24"/>
          <w:lang w:val="en-US"/>
        </w:rPr>
        <w:t>Current Pharmaceutical Design, 29</w:t>
      </w:r>
      <w:r w:rsidRPr="0022585D">
        <w:rPr>
          <w:rFonts w:ascii="Times New Roman" w:eastAsia="Times New Roman" w:hAnsi="Times New Roman" w:cs="Times New Roman"/>
          <w:sz w:val="24"/>
          <w:szCs w:val="24"/>
          <w:lang w:val="en-US"/>
        </w:rPr>
        <w:t xml:space="preserve">(13), 1026–1045. </w:t>
      </w:r>
      <w:hyperlink r:id="rId11" w:tgtFrame="_new" w:history="1">
        <w:r w:rsidRPr="0022585D">
          <w:rPr>
            <w:rFonts w:ascii="Times New Roman" w:eastAsia="Times New Roman" w:hAnsi="Times New Roman" w:cs="Times New Roman"/>
            <w:color w:val="0000FF"/>
            <w:sz w:val="24"/>
            <w:szCs w:val="24"/>
            <w:u w:val="single"/>
            <w:lang w:val="en-US"/>
          </w:rPr>
          <w:t>https://doi.org/10.2174/1381612829666230404082743</w:t>
        </w:r>
      </w:hyperlink>
      <w:r w:rsidRPr="0022585D">
        <w:rPr>
          <w:rFonts w:ascii="Times New Roman" w:eastAsia="Times New Roman" w:hAnsi="Times New Roman" w:cs="Times New Roman"/>
          <w:sz w:val="24"/>
          <w:szCs w:val="24"/>
          <w:lang w:val="en-US"/>
        </w:rPr>
        <w:t xml:space="preserve"> </w:t>
      </w:r>
    </w:p>
    <w:p w14:paraId="07A5B60E"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Chadawar, V., &amp; Shaji, J. (2007). Microsponge delivery system. </w:t>
      </w:r>
      <w:r w:rsidRPr="0022585D">
        <w:rPr>
          <w:rFonts w:ascii="Times New Roman" w:eastAsia="Times New Roman" w:hAnsi="Times New Roman" w:cs="Times New Roman"/>
          <w:i/>
          <w:iCs/>
          <w:sz w:val="24"/>
          <w:szCs w:val="24"/>
          <w:lang w:val="en-US"/>
        </w:rPr>
        <w:t>Current Drug Delivery, 4</w:t>
      </w:r>
      <w:r w:rsidRPr="0022585D">
        <w:rPr>
          <w:rFonts w:ascii="Times New Roman" w:eastAsia="Times New Roman" w:hAnsi="Times New Roman" w:cs="Times New Roman"/>
          <w:sz w:val="24"/>
          <w:szCs w:val="24"/>
          <w:lang w:val="en-US"/>
        </w:rPr>
        <w:t xml:space="preserve">(2), 123–129. </w:t>
      </w:r>
      <w:hyperlink r:id="rId12" w:tgtFrame="_new" w:history="1">
        <w:r w:rsidRPr="0022585D">
          <w:rPr>
            <w:rFonts w:ascii="Times New Roman" w:eastAsia="Times New Roman" w:hAnsi="Times New Roman" w:cs="Times New Roman"/>
            <w:color w:val="0000FF"/>
            <w:sz w:val="24"/>
            <w:szCs w:val="24"/>
            <w:u w:val="single"/>
            <w:lang w:val="en-US"/>
          </w:rPr>
          <w:t>https://doi.org/10.2174/156720107780362320</w:t>
        </w:r>
      </w:hyperlink>
      <w:r w:rsidRPr="0022585D">
        <w:rPr>
          <w:rFonts w:ascii="Times New Roman" w:eastAsia="Times New Roman" w:hAnsi="Times New Roman" w:cs="Times New Roman"/>
          <w:sz w:val="24"/>
          <w:szCs w:val="24"/>
          <w:lang w:val="en-US"/>
        </w:rPr>
        <w:t xml:space="preserve"> </w:t>
      </w:r>
    </w:p>
    <w:p w14:paraId="7B45DBF3"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Del Rosso, J., Sugarman, J., Green, L., Lain, T., Levy-Hacham, O., Mizrahi, R., &amp; Stein Gold, L. S. (2023). Efficacy and safety of microencapsulated benzoyl peroxide and microencapsulated tretinoin for the treatment of acne vulgaris: Results from two phase 3 double-blind, randomized, vehicle-controlled studies. </w:t>
      </w:r>
      <w:r w:rsidRPr="0022585D">
        <w:rPr>
          <w:rFonts w:ascii="Times New Roman" w:eastAsia="Times New Roman" w:hAnsi="Times New Roman" w:cs="Times New Roman"/>
          <w:i/>
          <w:iCs/>
          <w:sz w:val="24"/>
          <w:szCs w:val="24"/>
          <w:lang w:val="en-US"/>
        </w:rPr>
        <w:t>Journal of the American Academy of Dermatology, 89</w:t>
      </w:r>
      <w:r w:rsidRPr="0022585D">
        <w:rPr>
          <w:rFonts w:ascii="Times New Roman" w:eastAsia="Times New Roman" w:hAnsi="Times New Roman" w:cs="Times New Roman"/>
          <w:sz w:val="24"/>
          <w:szCs w:val="24"/>
          <w:lang w:val="en-US"/>
        </w:rPr>
        <w:t xml:space="preserve">(4), 719–727. </w:t>
      </w:r>
      <w:hyperlink r:id="rId13" w:tgtFrame="_new" w:history="1">
        <w:r w:rsidRPr="0022585D">
          <w:rPr>
            <w:rFonts w:ascii="Times New Roman" w:eastAsia="Times New Roman" w:hAnsi="Times New Roman" w:cs="Times New Roman"/>
            <w:color w:val="0000FF"/>
            <w:sz w:val="24"/>
            <w:szCs w:val="24"/>
            <w:u w:val="single"/>
            <w:lang w:val="en-US"/>
          </w:rPr>
          <w:t>https://doi.org/10.1016/j.jaad.2023.05.093</w:t>
        </w:r>
      </w:hyperlink>
      <w:r w:rsidRPr="0022585D">
        <w:rPr>
          <w:rFonts w:ascii="Times New Roman" w:eastAsia="Times New Roman" w:hAnsi="Times New Roman" w:cs="Times New Roman"/>
          <w:sz w:val="24"/>
          <w:szCs w:val="24"/>
          <w:lang w:val="en-US"/>
        </w:rPr>
        <w:t xml:space="preserve"> </w:t>
      </w:r>
    </w:p>
    <w:p w14:paraId="4213E134"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Fiaschini, N., Hanieh, P. N., Ariaudo, D., Cimino, R., Abbate, C., Romano, E., Cavalieri, F., Venanzi, M., Palumbo, V., Scimeca, M., Bernardini, R., Mattei, M., Migliore, A., &amp; Rinaldi, A. (2024). Application of microsponge drug platform to enhance methotrexate administration in rheumatoid arthritis therapy. </w:t>
      </w:r>
      <w:r w:rsidRPr="0022585D">
        <w:rPr>
          <w:rFonts w:ascii="Times New Roman" w:eastAsia="Times New Roman" w:hAnsi="Times New Roman" w:cs="Times New Roman"/>
          <w:i/>
          <w:iCs/>
          <w:sz w:val="24"/>
          <w:szCs w:val="24"/>
          <w:lang w:val="en-US"/>
        </w:rPr>
        <w:t>Pharmaceutics, 16</w:t>
      </w:r>
      <w:r w:rsidRPr="0022585D">
        <w:rPr>
          <w:rFonts w:ascii="Times New Roman" w:eastAsia="Times New Roman" w:hAnsi="Times New Roman" w:cs="Times New Roman"/>
          <w:sz w:val="24"/>
          <w:szCs w:val="24"/>
          <w:lang w:val="en-US"/>
        </w:rPr>
        <w:t xml:space="preserve">(12), Article 1593. </w:t>
      </w:r>
      <w:hyperlink r:id="rId14" w:tgtFrame="_new" w:history="1">
        <w:r w:rsidRPr="0022585D">
          <w:rPr>
            <w:rFonts w:ascii="Times New Roman" w:eastAsia="Times New Roman" w:hAnsi="Times New Roman" w:cs="Times New Roman"/>
            <w:color w:val="0000FF"/>
            <w:sz w:val="24"/>
            <w:szCs w:val="24"/>
            <w:u w:val="single"/>
            <w:lang w:val="en-US"/>
          </w:rPr>
          <w:t>https://doi.org/10.3390/pharmaceutics16121593</w:t>
        </w:r>
      </w:hyperlink>
      <w:r w:rsidRPr="0022585D">
        <w:rPr>
          <w:rFonts w:ascii="Times New Roman" w:eastAsia="Times New Roman" w:hAnsi="Times New Roman" w:cs="Times New Roman"/>
          <w:sz w:val="24"/>
          <w:szCs w:val="24"/>
          <w:lang w:val="en-US"/>
        </w:rPr>
        <w:t xml:space="preserve"> </w:t>
      </w:r>
    </w:p>
    <w:p w14:paraId="0FB35F56"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Halder, S., Behera, U. S., Poddar, S., Khanam, J., &amp; Karmakar, S. (2024). Preparation of microsponge drug delivery system (MSDDS) followed by a scale-up approach. </w:t>
      </w:r>
      <w:r w:rsidRPr="0022585D">
        <w:rPr>
          <w:rFonts w:ascii="Times New Roman" w:eastAsia="Times New Roman" w:hAnsi="Times New Roman" w:cs="Times New Roman"/>
          <w:i/>
          <w:iCs/>
          <w:sz w:val="24"/>
          <w:szCs w:val="24"/>
          <w:lang w:val="en-US"/>
        </w:rPr>
        <w:t>AAPS PharmSciTech, 25</w:t>
      </w:r>
      <w:r w:rsidRPr="0022585D">
        <w:rPr>
          <w:rFonts w:ascii="Times New Roman" w:eastAsia="Times New Roman" w:hAnsi="Times New Roman" w:cs="Times New Roman"/>
          <w:sz w:val="24"/>
          <w:szCs w:val="24"/>
          <w:lang w:val="en-US"/>
        </w:rPr>
        <w:t xml:space="preserve">(6), Article 162. </w:t>
      </w:r>
      <w:hyperlink r:id="rId15" w:tgtFrame="_new" w:history="1">
        <w:r w:rsidRPr="0022585D">
          <w:rPr>
            <w:rFonts w:ascii="Times New Roman" w:eastAsia="Times New Roman" w:hAnsi="Times New Roman" w:cs="Times New Roman"/>
            <w:color w:val="0000FF"/>
            <w:sz w:val="24"/>
            <w:szCs w:val="24"/>
            <w:u w:val="single"/>
            <w:lang w:val="en-US"/>
          </w:rPr>
          <w:t>https://doi.org/10.1208/s12249-024-02874-y</w:t>
        </w:r>
      </w:hyperlink>
      <w:r w:rsidRPr="0022585D">
        <w:rPr>
          <w:rFonts w:ascii="Times New Roman" w:eastAsia="Times New Roman" w:hAnsi="Times New Roman" w:cs="Times New Roman"/>
          <w:sz w:val="24"/>
          <w:szCs w:val="24"/>
          <w:lang w:val="en-US"/>
        </w:rPr>
        <w:t xml:space="preserve"> </w:t>
      </w:r>
    </w:p>
    <w:p w14:paraId="6F5D18BE"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Iravani, S., &amp; Varma, R. S. (2022). Nanosponges for drug delivery and cancer therapy: Recent advances. </w:t>
      </w:r>
      <w:r w:rsidRPr="0022585D">
        <w:rPr>
          <w:rFonts w:ascii="Times New Roman" w:eastAsia="Times New Roman" w:hAnsi="Times New Roman" w:cs="Times New Roman"/>
          <w:i/>
          <w:iCs/>
          <w:sz w:val="24"/>
          <w:szCs w:val="24"/>
          <w:lang w:val="en-US"/>
        </w:rPr>
        <w:t>Nanomaterials, 12</w:t>
      </w:r>
      <w:r w:rsidRPr="0022585D">
        <w:rPr>
          <w:rFonts w:ascii="Times New Roman" w:eastAsia="Times New Roman" w:hAnsi="Times New Roman" w:cs="Times New Roman"/>
          <w:sz w:val="24"/>
          <w:szCs w:val="24"/>
          <w:lang w:val="en-US"/>
        </w:rPr>
        <w:t xml:space="preserve">(14), Article 2440. </w:t>
      </w:r>
      <w:hyperlink r:id="rId16" w:tgtFrame="_new" w:history="1">
        <w:r w:rsidRPr="0022585D">
          <w:rPr>
            <w:rFonts w:ascii="Times New Roman" w:eastAsia="Times New Roman" w:hAnsi="Times New Roman" w:cs="Times New Roman"/>
            <w:color w:val="0000FF"/>
            <w:sz w:val="24"/>
            <w:szCs w:val="24"/>
            <w:u w:val="single"/>
            <w:lang w:val="en-US"/>
          </w:rPr>
          <w:t>https://doi.org/10.3390/nano12142440</w:t>
        </w:r>
      </w:hyperlink>
      <w:r w:rsidRPr="0022585D">
        <w:rPr>
          <w:rFonts w:ascii="Times New Roman" w:eastAsia="Times New Roman" w:hAnsi="Times New Roman" w:cs="Times New Roman"/>
          <w:sz w:val="24"/>
          <w:szCs w:val="24"/>
          <w:lang w:val="en-US"/>
        </w:rPr>
        <w:t xml:space="preserve"> </w:t>
      </w:r>
    </w:p>
    <w:p w14:paraId="618B1B32"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Jain, V., &amp; Singh, R. (2011). Design and characterization of colon-specific drug delivery system containing paracetamol microsponges. </w:t>
      </w:r>
      <w:r w:rsidRPr="0022585D">
        <w:rPr>
          <w:rFonts w:ascii="Times New Roman" w:eastAsia="Times New Roman" w:hAnsi="Times New Roman" w:cs="Times New Roman"/>
          <w:i/>
          <w:iCs/>
          <w:sz w:val="24"/>
          <w:szCs w:val="24"/>
          <w:lang w:val="en-US"/>
        </w:rPr>
        <w:t>Archives of Pharmacal Research, 34</w:t>
      </w:r>
      <w:r w:rsidRPr="0022585D">
        <w:rPr>
          <w:rFonts w:ascii="Times New Roman" w:eastAsia="Times New Roman" w:hAnsi="Times New Roman" w:cs="Times New Roman"/>
          <w:sz w:val="24"/>
          <w:szCs w:val="24"/>
          <w:lang w:val="en-US"/>
        </w:rPr>
        <w:t xml:space="preserve">(5), 733–740. </w:t>
      </w:r>
      <w:hyperlink r:id="rId17" w:tgtFrame="_new" w:history="1">
        <w:r w:rsidRPr="0022585D">
          <w:rPr>
            <w:rFonts w:ascii="Times New Roman" w:eastAsia="Times New Roman" w:hAnsi="Times New Roman" w:cs="Times New Roman"/>
            <w:color w:val="0000FF"/>
            <w:sz w:val="24"/>
            <w:szCs w:val="24"/>
            <w:u w:val="single"/>
            <w:lang w:val="en-US"/>
          </w:rPr>
          <w:t>https://doi.org/10.1007/s12272-011-0506-4</w:t>
        </w:r>
      </w:hyperlink>
      <w:r w:rsidRPr="0022585D">
        <w:rPr>
          <w:rFonts w:ascii="Times New Roman" w:eastAsia="Times New Roman" w:hAnsi="Times New Roman" w:cs="Times New Roman"/>
          <w:sz w:val="24"/>
          <w:szCs w:val="24"/>
          <w:lang w:val="en-US"/>
        </w:rPr>
        <w:t xml:space="preserve"> </w:t>
      </w:r>
    </w:p>
    <w:p w14:paraId="309F35D7"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lastRenderedPageBreak/>
        <w:t></w:t>
      </w:r>
      <w:r w:rsidRPr="0022585D">
        <w:rPr>
          <w:rFonts w:ascii="Times New Roman" w:eastAsia="Times New Roman" w:hAnsi="Times New Roman" w:cs="Times New Roman"/>
          <w:sz w:val="24"/>
          <w:szCs w:val="24"/>
          <w:lang w:val="en-US"/>
        </w:rPr>
        <w:t xml:space="preserve">  Kadian, V., Dalal, P., Kumar, S., Kapoor, A., &amp; Rao, R. (2023). Comparative evaluation of dithranol-loaded nanosponges fabricated by solvent evaporation technique and melt method. </w:t>
      </w:r>
      <w:r w:rsidRPr="0022585D">
        <w:rPr>
          <w:rFonts w:ascii="Times New Roman" w:eastAsia="Times New Roman" w:hAnsi="Times New Roman" w:cs="Times New Roman"/>
          <w:i/>
          <w:iCs/>
          <w:sz w:val="24"/>
          <w:szCs w:val="24"/>
          <w:lang w:val="en-US"/>
        </w:rPr>
        <w:t>Future Journal of Pharmaceutical Sciences, 9</w:t>
      </w:r>
      <w:r w:rsidRPr="0022585D">
        <w:rPr>
          <w:rFonts w:ascii="Times New Roman" w:eastAsia="Times New Roman" w:hAnsi="Times New Roman" w:cs="Times New Roman"/>
          <w:sz w:val="24"/>
          <w:szCs w:val="24"/>
          <w:lang w:val="en-US"/>
        </w:rPr>
        <w:t xml:space="preserve">, Article 13. </w:t>
      </w:r>
      <w:hyperlink r:id="rId18" w:tgtFrame="_new" w:history="1">
        <w:r w:rsidRPr="0022585D">
          <w:rPr>
            <w:rFonts w:ascii="Times New Roman" w:eastAsia="Times New Roman" w:hAnsi="Times New Roman" w:cs="Times New Roman"/>
            <w:color w:val="0000FF"/>
            <w:sz w:val="24"/>
            <w:szCs w:val="24"/>
            <w:u w:val="single"/>
            <w:lang w:val="en-US"/>
          </w:rPr>
          <w:t>https://doi.org/10.1186/s43094-023-00461-9</w:t>
        </w:r>
      </w:hyperlink>
      <w:r w:rsidRPr="0022585D">
        <w:rPr>
          <w:rFonts w:ascii="Times New Roman" w:eastAsia="Times New Roman" w:hAnsi="Times New Roman" w:cs="Times New Roman"/>
          <w:sz w:val="24"/>
          <w:szCs w:val="24"/>
          <w:lang w:val="en-US"/>
        </w:rPr>
        <w:t xml:space="preserve"> </w:t>
      </w:r>
    </w:p>
    <w:p w14:paraId="66E1496D"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Kumari, A., Jain, A., Hurkat, P., Verma, A., &amp; Jain, S. K. (2016). Microsponges: A pioneering tool for biomedical applications. </w:t>
      </w:r>
      <w:r w:rsidRPr="0022585D">
        <w:rPr>
          <w:rFonts w:ascii="Times New Roman" w:eastAsia="Times New Roman" w:hAnsi="Times New Roman" w:cs="Times New Roman"/>
          <w:i/>
          <w:iCs/>
          <w:sz w:val="24"/>
          <w:szCs w:val="24"/>
          <w:lang w:val="en-US"/>
        </w:rPr>
        <w:t>Critical Reviews in Therapeutic Drug Carrier Systems, 33</w:t>
      </w:r>
      <w:r w:rsidRPr="0022585D">
        <w:rPr>
          <w:rFonts w:ascii="Times New Roman" w:eastAsia="Times New Roman" w:hAnsi="Times New Roman" w:cs="Times New Roman"/>
          <w:sz w:val="24"/>
          <w:szCs w:val="24"/>
          <w:lang w:val="en-US"/>
        </w:rPr>
        <w:t xml:space="preserve">(1), 77–105. </w:t>
      </w:r>
      <w:hyperlink r:id="rId19" w:tgtFrame="_new" w:history="1">
        <w:r w:rsidRPr="0022585D">
          <w:rPr>
            <w:rFonts w:ascii="Times New Roman" w:eastAsia="Times New Roman" w:hAnsi="Times New Roman" w:cs="Times New Roman"/>
            <w:color w:val="0000FF"/>
            <w:sz w:val="24"/>
            <w:szCs w:val="24"/>
            <w:u w:val="single"/>
            <w:lang w:val="en-US"/>
          </w:rPr>
          <w:t>https://doi.org/10.1615/CritRevTherDrugCarrierSyst.v33.i1.40</w:t>
        </w:r>
      </w:hyperlink>
      <w:r w:rsidRPr="0022585D">
        <w:rPr>
          <w:rFonts w:ascii="Times New Roman" w:eastAsia="Times New Roman" w:hAnsi="Times New Roman" w:cs="Times New Roman"/>
          <w:sz w:val="24"/>
          <w:szCs w:val="24"/>
          <w:lang w:val="en-US"/>
        </w:rPr>
        <w:t xml:space="preserve"> </w:t>
      </w:r>
    </w:p>
    <w:p w14:paraId="6BCAD002"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Li, M., Gan, J., Xu, X., Zhang, S., Li, Y., Bian, L., &amp; Dong, Z. (2024). Preparation, characterisation and in vitro anti-inflammatory activity of baicalin microsponges. </w:t>
      </w:r>
      <w:r w:rsidRPr="0022585D">
        <w:rPr>
          <w:rFonts w:ascii="Times New Roman" w:eastAsia="Times New Roman" w:hAnsi="Times New Roman" w:cs="Times New Roman"/>
          <w:i/>
          <w:iCs/>
          <w:sz w:val="24"/>
          <w:szCs w:val="24"/>
          <w:lang w:val="en-US"/>
        </w:rPr>
        <w:t>Heliyon, 10</w:t>
      </w:r>
      <w:r w:rsidRPr="0022585D">
        <w:rPr>
          <w:rFonts w:ascii="Times New Roman" w:eastAsia="Times New Roman" w:hAnsi="Times New Roman" w:cs="Times New Roman"/>
          <w:sz w:val="24"/>
          <w:szCs w:val="24"/>
          <w:lang w:val="en-US"/>
        </w:rPr>
        <w:t xml:space="preserve">(7), Article e29151. </w:t>
      </w:r>
      <w:hyperlink r:id="rId20" w:tgtFrame="_new" w:history="1">
        <w:r w:rsidRPr="0022585D">
          <w:rPr>
            <w:rFonts w:ascii="Times New Roman" w:eastAsia="Times New Roman" w:hAnsi="Times New Roman" w:cs="Times New Roman"/>
            <w:color w:val="0000FF"/>
            <w:sz w:val="24"/>
            <w:szCs w:val="24"/>
            <w:u w:val="single"/>
            <w:lang w:val="en-US"/>
          </w:rPr>
          <w:t>https://doi.org/10.1016/j.heliyon.2024.e29151</w:t>
        </w:r>
      </w:hyperlink>
      <w:r w:rsidRPr="0022585D">
        <w:rPr>
          <w:rFonts w:ascii="Times New Roman" w:eastAsia="Times New Roman" w:hAnsi="Times New Roman" w:cs="Times New Roman"/>
          <w:sz w:val="24"/>
          <w:szCs w:val="24"/>
          <w:lang w:val="en-US"/>
        </w:rPr>
        <w:t xml:space="preserve"> </w:t>
      </w:r>
    </w:p>
    <w:p w14:paraId="5E9ACEC4"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Mahant, S., Kumar, S., Nanda, S., &amp; Rao, R. (2020). Microsponges for dermatological applications: Perspectives and challenges. </w:t>
      </w:r>
      <w:r w:rsidRPr="0022585D">
        <w:rPr>
          <w:rFonts w:ascii="Times New Roman" w:eastAsia="Times New Roman" w:hAnsi="Times New Roman" w:cs="Times New Roman"/>
          <w:i/>
          <w:iCs/>
          <w:sz w:val="24"/>
          <w:szCs w:val="24"/>
          <w:lang w:val="en-US"/>
        </w:rPr>
        <w:t>Asian Journal of Pharmaceutical Sciences, 15</w:t>
      </w:r>
      <w:r w:rsidRPr="0022585D">
        <w:rPr>
          <w:rFonts w:ascii="Times New Roman" w:eastAsia="Times New Roman" w:hAnsi="Times New Roman" w:cs="Times New Roman"/>
          <w:sz w:val="24"/>
          <w:szCs w:val="24"/>
          <w:lang w:val="en-US"/>
        </w:rPr>
        <w:t xml:space="preserve">(3), 273–291. </w:t>
      </w:r>
      <w:hyperlink r:id="rId21" w:tgtFrame="_new" w:history="1">
        <w:r w:rsidRPr="0022585D">
          <w:rPr>
            <w:rFonts w:ascii="Times New Roman" w:eastAsia="Times New Roman" w:hAnsi="Times New Roman" w:cs="Times New Roman"/>
            <w:color w:val="0000FF"/>
            <w:sz w:val="24"/>
            <w:szCs w:val="24"/>
            <w:u w:val="single"/>
            <w:lang w:val="en-US"/>
          </w:rPr>
          <w:t>https://doi.org/10.1016/j.ajps.2019.05.004</w:t>
        </w:r>
      </w:hyperlink>
      <w:r w:rsidRPr="0022585D">
        <w:rPr>
          <w:rFonts w:ascii="Times New Roman" w:eastAsia="Times New Roman" w:hAnsi="Times New Roman" w:cs="Times New Roman"/>
          <w:sz w:val="24"/>
          <w:szCs w:val="24"/>
          <w:lang w:val="en-US"/>
        </w:rPr>
        <w:t xml:space="preserve"> </w:t>
      </w:r>
    </w:p>
    <w:p w14:paraId="73FB20B9"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Mahmoud, D. B. E. D., Shukr, M. H., &amp; ElMeshad, A. N. (2018). Gastroretentive microsponge as a promising tool for prolonging the release of mitiglinide calcium in type-2 diabetes mellitus: Optimization and pharmacokinetics study. </w:t>
      </w:r>
      <w:r w:rsidRPr="0022585D">
        <w:rPr>
          <w:rFonts w:ascii="Times New Roman" w:eastAsia="Times New Roman" w:hAnsi="Times New Roman" w:cs="Times New Roman"/>
          <w:i/>
          <w:iCs/>
          <w:sz w:val="24"/>
          <w:szCs w:val="24"/>
          <w:lang w:val="en-US"/>
        </w:rPr>
        <w:t>AAPS PharmSciTech, 19</w:t>
      </w:r>
      <w:r w:rsidRPr="0022585D">
        <w:rPr>
          <w:rFonts w:ascii="Times New Roman" w:eastAsia="Times New Roman" w:hAnsi="Times New Roman" w:cs="Times New Roman"/>
          <w:sz w:val="24"/>
          <w:szCs w:val="24"/>
          <w:lang w:val="en-US"/>
        </w:rPr>
        <w:t xml:space="preserve">(6), 2519–2532. </w:t>
      </w:r>
      <w:hyperlink r:id="rId22" w:tgtFrame="_new" w:history="1">
        <w:r w:rsidRPr="0022585D">
          <w:rPr>
            <w:rFonts w:ascii="Times New Roman" w:eastAsia="Times New Roman" w:hAnsi="Times New Roman" w:cs="Times New Roman"/>
            <w:color w:val="0000FF"/>
            <w:sz w:val="24"/>
            <w:szCs w:val="24"/>
            <w:u w:val="single"/>
            <w:lang w:val="en-US"/>
          </w:rPr>
          <w:t>https://doi.org/10.1208/s12249-018-1081-5</w:t>
        </w:r>
      </w:hyperlink>
      <w:r w:rsidRPr="0022585D">
        <w:rPr>
          <w:rFonts w:ascii="Times New Roman" w:eastAsia="Times New Roman" w:hAnsi="Times New Roman" w:cs="Times New Roman"/>
          <w:sz w:val="24"/>
          <w:szCs w:val="24"/>
          <w:lang w:val="en-US"/>
        </w:rPr>
        <w:t xml:space="preserve"> </w:t>
      </w:r>
    </w:p>
    <w:p w14:paraId="04234C27"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Maiti, S., Kaity, S., Ray, S., &amp; Sa, B. (2011). Development and evaluation of xanthan gum-facilitated ethyl cellulose microsponges for controlled percutaneous delivery of diclofenac sodium. </w:t>
      </w:r>
      <w:r w:rsidRPr="0022585D">
        <w:rPr>
          <w:rFonts w:ascii="Times New Roman" w:eastAsia="Times New Roman" w:hAnsi="Times New Roman" w:cs="Times New Roman"/>
          <w:i/>
          <w:iCs/>
          <w:sz w:val="24"/>
          <w:szCs w:val="24"/>
          <w:lang w:val="en-US"/>
        </w:rPr>
        <w:t>Acta Pharmaceutica, 61</w:t>
      </w:r>
      <w:r w:rsidRPr="0022585D">
        <w:rPr>
          <w:rFonts w:ascii="Times New Roman" w:eastAsia="Times New Roman" w:hAnsi="Times New Roman" w:cs="Times New Roman"/>
          <w:sz w:val="24"/>
          <w:szCs w:val="24"/>
          <w:lang w:val="en-US"/>
        </w:rPr>
        <w:t xml:space="preserve">(3), 257–270. </w:t>
      </w:r>
      <w:hyperlink r:id="rId23" w:tgtFrame="_new" w:history="1">
        <w:r w:rsidRPr="0022585D">
          <w:rPr>
            <w:rFonts w:ascii="Times New Roman" w:eastAsia="Times New Roman" w:hAnsi="Times New Roman" w:cs="Times New Roman"/>
            <w:color w:val="0000FF"/>
            <w:sz w:val="24"/>
            <w:szCs w:val="24"/>
            <w:u w:val="single"/>
            <w:lang w:val="en-US"/>
          </w:rPr>
          <w:t>https://doi.org/10.2478/v10007-011-0022-6</w:t>
        </w:r>
      </w:hyperlink>
      <w:r w:rsidRPr="0022585D">
        <w:rPr>
          <w:rFonts w:ascii="Times New Roman" w:eastAsia="Times New Roman" w:hAnsi="Times New Roman" w:cs="Times New Roman"/>
          <w:sz w:val="24"/>
          <w:szCs w:val="24"/>
          <w:lang w:val="en-US"/>
        </w:rPr>
        <w:t xml:space="preserve"> </w:t>
      </w:r>
    </w:p>
    <w:p w14:paraId="592D19DB"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McCoubrey, L. E., Favaron, A., Awad, A., Orlu, M., Gaisford, S., &amp; Basit, A. W. (2023). Colonic drug delivery: Formulating the next generation of colon-targeted therapeutics. </w:t>
      </w:r>
      <w:r w:rsidRPr="0022585D">
        <w:rPr>
          <w:rFonts w:ascii="Times New Roman" w:eastAsia="Times New Roman" w:hAnsi="Times New Roman" w:cs="Times New Roman"/>
          <w:i/>
          <w:iCs/>
          <w:sz w:val="24"/>
          <w:szCs w:val="24"/>
          <w:lang w:val="en-US"/>
        </w:rPr>
        <w:t>Journal of Controlled Release, 353</w:t>
      </w:r>
      <w:r w:rsidRPr="0022585D">
        <w:rPr>
          <w:rFonts w:ascii="Times New Roman" w:eastAsia="Times New Roman" w:hAnsi="Times New Roman" w:cs="Times New Roman"/>
          <w:sz w:val="24"/>
          <w:szCs w:val="24"/>
          <w:lang w:val="en-US"/>
        </w:rPr>
        <w:t xml:space="preserve">, 1107–1126. </w:t>
      </w:r>
      <w:hyperlink r:id="rId24" w:tgtFrame="_new" w:history="1">
        <w:r w:rsidRPr="0022585D">
          <w:rPr>
            <w:rFonts w:ascii="Times New Roman" w:eastAsia="Times New Roman" w:hAnsi="Times New Roman" w:cs="Times New Roman"/>
            <w:color w:val="0000FF"/>
            <w:sz w:val="24"/>
            <w:szCs w:val="24"/>
            <w:u w:val="single"/>
            <w:lang w:val="en-US"/>
          </w:rPr>
          <w:t>https://doi.org/10.1016/j.jconrel.2022.12.029</w:t>
        </w:r>
      </w:hyperlink>
      <w:r w:rsidRPr="0022585D">
        <w:rPr>
          <w:rFonts w:ascii="Times New Roman" w:eastAsia="Times New Roman" w:hAnsi="Times New Roman" w:cs="Times New Roman"/>
          <w:sz w:val="24"/>
          <w:szCs w:val="24"/>
          <w:lang w:val="en-US"/>
        </w:rPr>
        <w:t xml:space="preserve"> </w:t>
      </w:r>
    </w:p>
    <w:p w14:paraId="3245CE69"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Nokhodchi, A., Jelvehgari, M., Siahi, M. R., &amp; Mozafari, M. R. (2007). Factors affecting the morphology of benzoyl peroxide microsponges. </w:t>
      </w:r>
      <w:r w:rsidRPr="0022585D">
        <w:rPr>
          <w:rFonts w:ascii="Times New Roman" w:eastAsia="Times New Roman" w:hAnsi="Times New Roman" w:cs="Times New Roman"/>
          <w:i/>
          <w:iCs/>
          <w:sz w:val="24"/>
          <w:szCs w:val="24"/>
          <w:lang w:val="en-US"/>
        </w:rPr>
        <w:t>Micron, 38</w:t>
      </w:r>
      <w:r w:rsidRPr="0022585D">
        <w:rPr>
          <w:rFonts w:ascii="Times New Roman" w:eastAsia="Times New Roman" w:hAnsi="Times New Roman" w:cs="Times New Roman"/>
          <w:sz w:val="24"/>
          <w:szCs w:val="24"/>
          <w:lang w:val="en-US"/>
        </w:rPr>
        <w:t xml:space="preserve">(8), 834–840. </w:t>
      </w:r>
      <w:hyperlink r:id="rId25" w:tgtFrame="_new" w:history="1">
        <w:r w:rsidRPr="0022585D">
          <w:rPr>
            <w:rFonts w:ascii="Times New Roman" w:eastAsia="Times New Roman" w:hAnsi="Times New Roman" w:cs="Times New Roman"/>
            <w:color w:val="0000FF"/>
            <w:sz w:val="24"/>
            <w:szCs w:val="24"/>
            <w:u w:val="single"/>
            <w:lang w:val="en-US"/>
          </w:rPr>
          <w:t>https://doi.org/10.1016/j.micron.2007.06.012</w:t>
        </w:r>
      </w:hyperlink>
      <w:r w:rsidRPr="0022585D">
        <w:rPr>
          <w:rFonts w:ascii="Times New Roman" w:eastAsia="Times New Roman" w:hAnsi="Times New Roman" w:cs="Times New Roman"/>
          <w:sz w:val="24"/>
          <w:szCs w:val="24"/>
          <w:lang w:val="en-US"/>
        </w:rPr>
        <w:t xml:space="preserve"> </w:t>
      </w:r>
    </w:p>
    <w:p w14:paraId="3B0C628B"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Osmani, R. A. M., Aloorkar, N. H., Ingale, D. J., Kulkarni, P. K., Hani, U., Bhosale, R. R., &amp; Dev, D. J. (2015). Microsponges based novel drug delivery system for augmented arthritis therapy. </w:t>
      </w:r>
      <w:r w:rsidRPr="0022585D">
        <w:rPr>
          <w:rFonts w:ascii="Times New Roman" w:eastAsia="Times New Roman" w:hAnsi="Times New Roman" w:cs="Times New Roman"/>
          <w:i/>
          <w:iCs/>
          <w:sz w:val="24"/>
          <w:szCs w:val="24"/>
          <w:lang w:val="en-US"/>
        </w:rPr>
        <w:t>Saudi Pharmaceutical Journal, 23</w:t>
      </w:r>
      <w:r w:rsidRPr="0022585D">
        <w:rPr>
          <w:rFonts w:ascii="Times New Roman" w:eastAsia="Times New Roman" w:hAnsi="Times New Roman" w:cs="Times New Roman"/>
          <w:sz w:val="24"/>
          <w:szCs w:val="24"/>
          <w:lang w:val="en-US"/>
        </w:rPr>
        <w:t xml:space="preserve">(5), 562–572. </w:t>
      </w:r>
      <w:hyperlink r:id="rId26" w:tgtFrame="_new" w:history="1">
        <w:r w:rsidRPr="0022585D">
          <w:rPr>
            <w:rFonts w:ascii="Times New Roman" w:eastAsia="Times New Roman" w:hAnsi="Times New Roman" w:cs="Times New Roman"/>
            <w:color w:val="0000FF"/>
            <w:sz w:val="24"/>
            <w:szCs w:val="24"/>
            <w:u w:val="single"/>
            <w:lang w:val="en-US"/>
          </w:rPr>
          <w:t>https://doi.org/10.1016/j.jsps.2015.02.020</w:t>
        </w:r>
      </w:hyperlink>
      <w:r w:rsidRPr="0022585D">
        <w:rPr>
          <w:rFonts w:ascii="Times New Roman" w:eastAsia="Times New Roman" w:hAnsi="Times New Roman" w:cs="Times New Roman"/>
          <w:sz w:val="24"/>
          <w:szCs w:val="24"/>
          <w:lang w:val="en-US"/>
        </w:rPr>
        <w:t xml:space="preserve"> </w:t>
      </w:r>
    </w:p>
    <w:p w14:paraId="652D4483"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Pawar, A. P., Gholap, A. P., Kuchekar, A. B., Bothiraja, C., &amp; Mali, A. J. (2015). Formulation and evaluation of optimized oxybenzone microsponge gel for topical delivery. </w:t>
      </w:r>
      <w:r w:rsidRPr="0022585D">
        <w:rPr>
          <w:rFonts w:ascii="Times New Roman" w:eastAsia="Times New Roman" w:hAnsi="Times New Roman" w:cs="Times New Roman"/>
          <w:i/>
          <w:iCs/>
          <w:sz w:val="24"/>
          <w:szCs w:val="24"/>
          <w:lang w:val="en-US"/>
        </w:rPr>
        <w:t>Journal of Drug Delivery, 2015</w:t>
      </w:r>
      <w:r w:rsidRPr="0022585D">
        <w:rPr>
          <w:rFonts w:ascii="Times New Roman" w:eastAsia="Times New Roman" w:hAnsi="Times New Roman" w:cs="Times New Roman"/>
          <w:sz w:val="24"/>
          <w:szCs w:val="24"/>
          <w:lang w:val="en-US"/>
        </w:rPr>
        <w:t xml:space="preserve">, Article 261068. </w:t>
      </w:r>
      <w:hyperlink r:id="rId27" w:tgtFrame="_new" w:history="1">
        <w:r w:rsidRPr="0022585D">
          <w:rPr>
            <w:rFonts w:ascii="Times New Roman" w:eastAsia="Times New Roman" w:hAnsi="Times New Roman" w:cs="Times New Roman"/>
            <w:color w:val="0000FF"/>
            <w:sz w:val="24"/>
            <w:szCs w:val="24"/>
            <w:u w:val="single"/>
            <w:lang w:val="en-US"/>
          </w:rPr>
          <w:t>https://doi.org/10.1155/2015/261068</w:t>
        </w:r>
      </w:hyperlink>
      <w:r w:rsidRPr="0022585D">
        <w:rPr>
          <w:rFonts w:ascii="Times New Roman" w:eastAsia="Times New Roman" w:hAnsi="Times New Roman" w:cs="Times New Roman"/>
          <w:sz w:val="24"/>
          <w:szCs w:val="24"/>
          <w:lang w:val="en-US"/>
        </w:rPr>
        <w:t xml:space="preserve"> </w:t>
      </w:r>
    </w:p>
    <w:p w14:paraId="14AA4383"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Potulwar, A., Wadher, S., &amp; Tiwari, S. (2025). Development and evaluation of luliconazole-loaded microsponge gel for improved topical retention and reduced irritation. </w:t>
      </w:r>
      <w:r w:rsidRPr="0022585D">
        <w:rPr>
          <w:rFonts w:ascii="Times New Roman" w:eastAsia="Times New Roman" w:hAnsi="Times New Roman" w:cs="Times New Roman"/>
          <w:i/>
          <w:iCs/>
          <w:sz w:val="24"/>
          <w:szCs w:val="24"/>
          <w:lang w:val="en-US"/>
        </w:rPr>
        <w:t>Journal of Pharmaceutical Innovation, 20</w:t>
      </w:r>
      <w:r w:rsidRPr="0022585D">
        <w:rPr>
          <w:rFonts w:ascii="Times New Roman" w:eastAsia="Times New Roman" w:hAnsi="Times New Roman" w:cs="Times New Roman"/>
          <w:sz w:val="24"/>
          <w:szCs w:val="24"/>
          <w:lang w:val="en-US"/>
        </w:rPr>
        <w:t xml:space="preserve">, Article 174. </w:t>
      </w:r>
      <w:hyperlink r:id="rId28" w:tgtFrame="_new" w:history="1">
        <w:r w:rsidRPr="0022585D">
          <w:rPr>
            <w:rFonts w:ascii="Times New Roman" w:eastAsia="Times New Roman" w:hAnsi="Times New Roman" w:cs="Times New Roman"/>
            <w:color w:val="0000FF"/>
            <w:sz w:val="24"/>
            <w:szCs w:val="24"/>
            <w:u w:val="single"/>
            <w:lang w:val="en-US"/>
          </w:rPr>
          <w:t>https://doi.org/10.1007/s12247-025-10076-7</w:t>
        </w:r>
      </w:hyperlink>
      <w:r w:rsidRPr="0022585D">
        <w:rPr>
          <w:rFonts w:ascii="Times New Roman" w:eastAsia="Times New Roman" w:hAnsi="Times New Roman" w:cs="Times New Roman"/>
          <w:sz w:val="24"/>
          <w:szCs w:val="24"/>
          <w:lang w:val="en-US"/>
        </w:rPr>
        <w:t xml:space="preserve"> </w:t>
      </w:r>
    </w:p>
    <w:p w14:paraId="62ECBDF9"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Pyrak, B., Rogacka-Pyrak, K., Gubica, T., &amp; Szeleszczuk, Ł. (2024). Exploring cyclodextrin-based nanosponges as drug delivery systems: Understanding the physicochemical factors influencing drug loading and release kinetics. </w:t>
      </w:r>
      <w:r w:rsidRPr="0022585D">
        <w:rPr>
          <w:rFonts w:ascii="Times New Roman" w:eastAsia="Times New Roman" w:hAnsi="Times New Roman" w:cs="Times New Roman"/>
          <w:i/>
          <w:iCs/>
          <w:sz w:val="24"/>
          <w:szCs w:val="24"/>
          <w:lang w:val="en-US"/>
        </w:rPr>
        <w:t>International Journal of Molecular Sciences, 25</w:t>
      </w:r>
      <w:r w:rsidRPr="0022585D">
        <w:rPr>
          <w:rFonts w:ascii="Times New Roman" w:eastAsia="Times New Roman" w:hAnsi="Times New Roman" w:cs="Times New Roman"/>
          <w:sz w:val="24"/>
          <w:szCs w:val="24"/>
          <w:lang w:val="en-US"/>
        </w:rPr>
        <w:t xml:space="preserve">(6), Article 3527. </w:t>
      </w:r>
      <w:hyperlink r:id="rId29" w:tgtFrame="_new" w:history="1">
        <w:r w:rsidRPr="0022585D">
          <w:rPr>
            <w:rFonts w:ascii="Times New Roman" w:eastAsia="Times New Roman" w:hAnsi="Times New Roman" w:cs="Times New Roman"/>
            <w:color w:val="0000FF"/>
            <w:sz w:val="24"/>
            <w:szCs w:val="24"/>
            <w:u w:val="single"/>
            <w:lang w:val="en-US"/>
          </w:rPr>
          <w:t>https://doi.org/10.3390/ijms25063527</w:t>
        </w:r>
      </w:hyperlink>
      <w:r w:rsidRPr="0022585D">
        <w:rPr>
          <w:rFonts w:ascii="Times New Roman" w:eastAsia="Times New Roman" w:hAnsi="Times New Roman" w:cs="Times New Roman"/>
          <w:sz w:val="24"/>
          <w:szCs w:val="24"/>
          <w:lang w:val="en-US"/>
        </w:rPr>
        <w:t xml:space="preserve"> </w:t>
      </w:r>
    </w:p>
    <w:p w14:paraId="2F40DAF1"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Pyrak, B., Rogacka-Pyrak, K., &amp; Gubica, T. (2025). Exploring cyclodextrin-based nanosponges as drug delivery systems: Evaluation of spectroscopic methods for examining structure and dynamics of nanosponges. </w:t>
      </w:r>
      <w:r w:rsidRPr="0022585D">
        <w:rPr>
          <w:rFonts w:ascii="Times New Roman" w:eastAsia="Times New Roman" w:hAnsi="Times New Roman" w:cs="Times New Roman"/>
          <w:i/>
          <w:iCs/>
          <w:sz w:val="24"/>
          <w:szCs w:val="24"/>
          <w:lang w:val="en-US"/>
        </w:rPr>
        <w:t>International Journal of Molecular Sciences, 26</w:t>
      </w:r>
      <w:r w:rsidRPr="0022585D">
        <w:rPr>
          <w:rFonts w:ascii="Times New Roman" w:eastAsia="Times New Roman" w:hAnsi="Times New Roman" w:cs="Times New Roman"/>
          <w:sz w:val="24"/>
          <w:szCs w:val="24"/>
          <w:lang w:val="en-US"/>
        </w:rPr>
        <w:t xml:space="preserve">(19), Article 9342. </w:t>
      </w:r>
      <w:hyperlink r:id="rId30" w:tgtFrame="_new" w:history="1">
        <w:r w:rsidRPr="0022585D">
          <w:rPr>
            <w:rFonts w:ascii="Times New Roman" w:eastAsia="Times New Roman" w:hAnsi="Times New Roman" w:cs="Times New Roman"/>
            <w:color w:val="0000FF"/>
            <w:sz w:val="24"/>
            <w:szCs w:val="24"/>
            <w:u w:val="single"/>
            <w:lang w:val="en-US"/>
          </w:rPr>
          <w:t>https://doi.org/10.3390/ijms26199342</w:t>
        </w:r>
      </w:hyperlink>
      <w:r w:rsidRPr="0022585D">
        <w:rPr>
          <w:rFonts w:ascii="Times New Roman" w:eastAsia="Times New Roman" w:hAnsi="Times New Roman" w:cs="Times New Roman"/>
          <w:sz w:val="24"/>
          <w:szCs w:val="24"/>
          <w:lang w:val="en-US"/>
        </w:rPr>
        <w:t xml:space="preserve"> </w:t>
      </w:r>
    </w:p>
    <w:p w14:paraId="661C0F17"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Qureshi, S., Alavi, S. E., &amp; Mohammed, Y. (2024). Microsponges: Development, characterization, and key physicochemical properties. </w:t>
      </w:r>
      <w:r w:rsidRPr="0022585D">
        <w:rPr>
          <w:rFonts w:ascii="Times New Roman" w:eastAsia="Times New Roman" w:hAnsi="Times New Roman" w:cs="Times New Roman"/>
          <w:i/>
          <w:iCs/>
          <w:sz w:val="24"/>
          <w:szCs w:val="24"/>
          <w:lang w:val="en-US"/>
        </w:rPr>
        <w:t>Assay and Drug Development Technologies, 22</w:t>
      </w:r>
      <w:r w:rsidRPr="0022585D">
        <w:rPr>
          <w:rFonts w:ascii="Times New Roman" w:eastAsia="Times New Roman" w:hAnsi="Times New Roman" w:cs="Times New Roman"/>
          <w:sz w:val="24"/>
          <w:szCs w:val="24"/>
          <w:lang w:val="en-US"/>
        </w:rPr>
        <w:t xml:space="preserve">(5), 229–245. </w:t>
      </w:r>
      <w:hyperlink r:id="rId31" w:tgtFrame="_new" w:history="1">
        <w:r w:rsidRPr="0022585D">
          <w:rPr>
            <w:rFonts w:ascii="Times New Roman" w:eastAsia="Times New Roman" w:hAnsi="Times New Roman" w:cs="Times New Roman"/>
            <w:color w:val="0000FF"/>
            <w:sz w:val="24"/>
            <w:szCs w:val="24"/>
            <w:u w:val="single"/>
            <w:lang w:val="en-US"/>
          </w:rPr>
          <w:t>https://doi.org/10.1089/adt.2023.052</w:t>
        </w:r>
      </w:hyperlink>
      <w:r w:rsidRPr="0022585D">
        <w:rPr>
          <w:rFonts w:ascii="Times New Roman" w:eastAsia="Times New Roman" w:hAnsi="Times New Roman" w:cs="Times New Roman"/>
          <w:sz w:val="24"/>
          <w:szCs w:val="24"/>
          <w:lang w:val="en-US"/>
        </w:rPr>
        <w:t xml:space="preserve"> </w:t>
      </w:r>
    </w:p>
    <w:p w14:paraId="5D7BC064"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lastRenderedPageBreak/>
        <w:t></w:t>
      </w:r>
      <w:r w:rsidRPr="0022585D">
        <w:rPr>
          <w:rFonts w:ascii="Times New Roman" w:eastAsia="Times New Roman" w:hAnsi="Times New Roman" w:cs="Times New Roman"/>
          <w:sz w:val="24"/>
          <w:szCs w:val="24"/>
          <w:lang w:val="en-US"/>
        </w:rPr>
        <w:t xml:space="preserve">  Reynolds, R. V., Yeung, H., Cheng, C. E., Cook-Bolden, F., Desai, S. R., Druby, K. M., Freeman, E. E., Keri, J. E., Stein Gold, L. F., Tan, J. K. L., Tollefson, M. M., Weiss, J. S., Wu, P. A., Zaenglein, A. L., Han, J. M., &amp; Barbieri, J. S. (2024). Guidelines of care for the management of acne vulgaris. </w:t>
      </w:r>
      <w:r w:rsidRPr="0022585D">
        <w:rPr>
          <w:rFonts w:ascii="Times New Roman" w:eastAsia="Times New Roman" w:hAnsi="Times New Roman" w:cs="Times New Roman"/>
          <w:i/>
          <w:iCs/>
          <w:sz w:val="24"/>
          <w:szCs w:val="24"/>
          <w:lang w:val="en-US"/>
        </w:rPr>
        <w:t>Journal of the American Academy of Dermatology, 90</w:t>
      </w:r>
      <w:r w:rsidRPr="0022585D">
        <w:rPr>
          <w:rFonts w:ascii="Times New Roman" w:eastAsia="Times New Roman" w:hAnsi="Times New Roman" w:cs="Times New Roman"/>
          <w:sz w:val="24"/>
          <w:szCs w:val="24"/>
          <w:lang w:val="en-US"/>
        </w:rPr>
        <w:t xml:space="preserve">(5), 1006.e1–1006.e30. </w:t>
      </w:r>
      <w:hyperlink r:id="rId32" w:tgtFrame="_new" w:history="1">
        <w:r w:rsidRPr="0022585D">
          <w:rPr>
            <w:rFonts w:ascii="Times New Roman" w:eastAsia="Times New Roman" w:hAnsi="Times New Roman" w:cs="Times New Roman"/>
            <w:color w:val="0000FF"/>
            <w:sz w:val="24"/>
            <w:szCs w:val="24"/>
            <w:u w:val="single"/>
            <w:lang w:val="en-US"/>
          </w:rPr>
          <w:t>https://doi.org/10.1016/j.jaad.2023.12.017</w:t>
        </w:r>
      </w:hyperlink>
      <w:r w:rsidRPr="0022585D">
        <w:rPr>
          <w:rFonts w:ascii="Times New Roman" w:eastAsia="Times New Roman" w:hAnsi="Times New Roman" w:cs="Times New Roman"/>
          <w:sz w:val="24"/>
          <w:szCs w:val="24"/>
          <w:lang w:val="en-US"/>
        </w:rPr>
        <w:t xml:space="preserve"> </w:t>
      </w:r>
    </w:p>
    <w:p w14:paraId="6F90B0C4"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Sardou, H. S., Vosough, P. R., Abbaspour, M., Akhgari, A., Sathyapalan, T., &amp; Sahebkar, A. (2023). A review on curcumin colon-targeted oral drug delivery systems for the treatment of inflammatory bowel disease. </w:t>
      </w:r>
      <w:r w:rsidRPr="0022585D">
        <w:rPr>
          <w:rFonts w:ascii="Times New Roman" w:eastAsia="Times New Roman" w:hAnsi="Times New Roman" w:cs="Times New Roman"/>
          <w:i/>
          <w:iCs/>
          <w:sz w:val="24"/>
          <w:szCs w:val="24"/>
          <w:lang w:val="en-US"/>
        </w:rPr>
        <w:t>Inflammopharmacology, 31</w:t>
      </w:r>
      <w:r w:rsidRPr="0022585D">
        <w:rPr>
          <w:rFonts w:ascii="Times New Roman" w:eastAsia="Times New Roman" w:hAnsi="Times New Roman" w:cs="Times New Roman"/>
          <w:sz w:val="24"/>
          <w:szCs w:val="24"/>
          <w:lang w:val="en-US"/>
        </w:rPr>
        <w:t xml:space="preserve">(3), 1095–1105. </w:t>
      </w:r>
      <w:hyperlink r:id="rId33" w:tgtFrame="_new" w:history="1">
        <w:r w:rsidRPr="0022585D">
          <w:rPr>
            <w:rFonts w:ascii="Times New Roman" w:eastAsia="Times New Roman" w:hAnsi="Times New Roman" w:cs="Times New Roman"/>
            <w:color w:val="0000FF"/>
            <w:sz w:val="24"/>
            <w:szCs w:val="24"/>
            <w:u w:val="single"/>
            <w:lang w:val="en-US"/>
          </w:rPr>
          <w:t>https://doi.org/10.1007/s10787-023-01140-0</w:t>
        </w:r>
      </w:hyperlink>
      <w:r w:rsidRPr="0022585D">
        <w:rPr>
          <w:rFonts w:ascii="Times New Roman" w:eastAsia="Times New Roman" w:hAnsi="Times New Roman" w:cs="Times New Roman"/>
          <w:sz w:val="24"/>
          <w:szCs w:val="24"/>
          <w:lang w:val="en-US"/>
        </w:rPr>
        <w:t xml:space="preserve"> </w:t>
      </w:r>
    </w:p>
    <w:p w14:paraId="1CDA3362"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Sen, S., Sharma, A., Kriplani, P., &amp; Guarve, K. (2023). Microsponges: A neoteric approach for the effective management of osteoarthritis. </w:t>
      </w:r>
      <w:r w:rsidRPr="0022585D">
        <w:rPr>
          <w:rFonts w:ascii="Times New Roman" w:eastAsia="Times New Roman" w:hAnsi="Times New Roman" w:cs="Times New Roman"/>
          <w:i/>
          <w:iCs/>
          <w:sz w:val="24"/>
          <w:szCs w:val="24"/>
          <w:lang w:val="en-US"/>
        </w:rPr>
        <w:t>Current Rheumatology Reviews, 19</w:t>
      </w:r>
      <w:r w:rsidRPr="0022585D">
        <w:rPr>
          <w:rFonts w:ascii="Times New Roman" w:eastAsia="Times New Roman" w:hAnsi="Times New Roman" w:cs="Times New Roman"/>
          <w:sz w:val="24"/>
          <w:szCs w:val="24"/>
          <w:lang w:val="en-US"/>
        </w:rPr>
        <w:t xml:space="preserve">(4), 385–399. </w:t>
      </w:r>
      <w:hyperlink r:id="rId34" w:tgtFrame="_new" w:history="1">
        <w:r w:rsidRPr="0022585D">
          <w:rPr>
            <w:rFonts w:ascii="Times New Roman" w:eastAsia="Times New Roman" w:hAnsi="Times New Roman" w:cs="Times New Roman"/>
            <w:color w:val="0000FF"/>
            <w:sz w:val="24"/>
            <w:szCs w:val="24"/>
            <w:u w:val="single"/>
            <w:lang w:val="en-US"/>
          </w:rPr>
          <w:t>https://doi.org/10.2174/1573397119666230417093138</w:t>
        </w:r>
      </w:hyperlink>
      <w:r w:rsidRPr="0022585D">
        <w:rPr>
          <w:rFonts w:ascii="Times New Roman" w:eastAsia="Times New Roman" w:hAnsi="Times New Roman" w:cs="Times New Roman"/>
          <w:sz w:val="24"/>
          <w:szCs w:val="24"/>
          <w:lang w:val="en-US"/>
        </w:rPr>
        <w:t xml:space="preserve"> </w:t>
      </w:r>
    </w:p>
    <w:p w14:paraId="79F20AE5"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Serrano-Martínez, A., Victoria-Montesinos, D., García-Muñoz, A. M., Hernández-Sánchez, P., Lucas-Abellán, C., &amp; González-Louzao, R. (2023). A systematic review of clinical trials on the efficacy and safety of CRLX101 cyclodextrin-based nanomedicine for cancer treatment. </w:t>
      </w:r>
      <w:r w:rsidRPr="0022585D">
        <w:rPr>
          <w:rFonts w:ascii="Times New Roman" w:eastAsia="Times New Roman" w:hAnsi="Times New Roman" w:cs="Times New Roman"/>
          <w:i/>
          <w:iCs/>
          <w:sz w:val="24"/>
          <w:szCs w:val="24"/>
          <w:lang w:val="en-US"/>
        </w:rPr>
        <w:t>Pharmaceutics, 15</w:t>
      </w:r>
      <w:r w:rsidRPr="0022585D">
        <w:rPr>
          <w:rFonts w:ascii="Times New Roman" w:eastAsia="Times New Roman" w:hAnsi="Times New Roman" w:cs="Times New Roman"/>
          <w:sz w:val="24"/>
          <w:szCs w:val="24"/>
          <w:lang w:val="en-US"/>
        </w:rPr>
        <w:t xml:space="preserve">(7), Article 1824. </w:t>
      </w:r>
      <w:hyperlink r:id="rId35" w:tgtFrame="_new" w:history="1">
        <w:r w:rsidRPr="0022585D">
          <w:rPr>
            <w:rFonts w:ascii="Times New Roman" w:eastAsia="Times New Roman" w:hAnsi="Times New Roman" w:cs="Times New Roman"/>
            <w:color w:val="0000FF"/>
            <w:sz w:val="24"/>
            <w:szCs w:val="24"/>
            <w:u w:val="single"/>
            <w:lang w:val="en-US"/>
          </w:rPr>
          <w:t>https://doi.org/10.3390/pharmaceutics15071824</w:t>
        </w:r>
      </w:hyperlink>
      <w:r w:rsidRPr="0022585D">
        <w:rPr>
          <w:rFonts w:ascii="Times New Roman" w:eastAsia="Times New Roman" w:hAnsi="Times New Roman" w:cs="Times New Roman"/>
          <w:sz w:val="24"/>
          <w:szCs w:val="24"/>
          <w:lang w:val="en-US"/>
        </w:rPr>
        <w:t xml:space="preserve"> </w:t>
      </w:r>
    </w:p>
    <w:p w14:paraId="5598DA4B"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Sher, M., Sarfaraz, R. M., Iqbal, S., Hussain, M. A., Hassan, M. N. U., Hassan, F., &amp; Bukhari, S. N. A. (2022). Formulation and evaluation of hydroxypropylmethylcellulose-dicyclomine microsponges for colon targeted drug delivery: In vitro and in vivo evaluation. </w:t>
      </w:r>
      <w:r w:rsidRPr="0022585D">
        <w:rPr>
          <w:rFonts w:ascii="Times New Roman" w:eastAsia="Times New Roman" w:hAnsi="Times New Roman" w:cs="Times New Roman"/>
          <w:i/>
          <w:iCs/>
          <w:sz w:val="24"/>
          <w:szCs w:val="24"/>
          <w:lang w:val="en-US"/>
        </w:rPr>
        <w:t>Current Drug Delivery, 19</w:t>
      </w:r>
      <w:r w:rsidRPr="0022585D">
        <w:rPr>
          <w:rFonts w:ascii="Times New Roman" w:eastAsia="Times New Roman" w:hAnsi="Times New Roman" w:cs="Times New Roman"/>
          <w:sz w:val="24"/>
          <w:szCs w:val="24"/>
          <w:lang w:val="en-US"/>
        </w:rPr>
        <w:t xml:space="preserve">(6), 686–696. </w:t>
      </w:r>
      <w:hyperlink r:id="rId36" w:tgtFrame="_new" w:history="1">
        <w:r w:rsidRPr="0022585D">
          <w:rPr>
            <w:rFonts w:ascii="Times New Roman" w:eastAsia="Times New Roman" w:hAnsi="Times New Roman" w:cs="Times New Roman"/>
            <w:color w:val="0000FF"/>
            <w:sz w:val="24"/>
            <w:szCs w:val="24"/>
            <w:u w:val="single"/>
            <w:lang w:val="en-US"/>
          </w:rPr>
          <w:t>https://doi.org/10.2174/1567201818666210805153347</w:t>
        </w:r>
      </w:hyperlink>
      <w:r w:rsidRPr="0022585D">
        <w:rPr>
          <w:rFonts w:ascii="Times New Roman" w:eastAsia="Times New Roman" w:hAnsi="Times New Roman" w:cs="Times New Roman"/>
          <w:sz w:val="24"/>
          <w:szCs w:val="24"/>
          <w:lang w:val="en-US"/>
        </w:rPr>
        <w:t xml:space="preserve"> </w:t>
      </w:r>
    </w:p>
    <w:p w14:paraId="63FB46AF"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Srinatha, N., Battu, S., &amp; Vishwanath, B. A. (2024). Microsponges: A promising frontier for prolonged release-current perspectives and patents. </w:t>
      </w:r>
      <w:r w:rsidRPr="0022585D">
        <w:rPr>
          <w:rFonts w:ascii="Times New Roman" w:eastAsia="Times New Roman" w:hAnsi="Times New Roman" w:cs="Times New Roman"/>
          <w:i/>
          <w:iCs/>
          <w:sz w:val="24"/>
          <w:szCs w:val="24"/>
          <w:lang w:val="en-US"/>
        </w:rPr>
        <w:t>Beni-Suef University Journal of Basic and Applied Sciences, 13</w:t>
      </w:r>
      <w:r w:rsidRPr="0022585D">
        <w:rPr>
          <w:rFonts w:ascii="Times New Roman" w:eastAsia="Times New Roman" w:hAnsi="Times New Roman" w:cs="Times New Roman"/>
          <w:sz w:val="24"/>
          <w:szCs w:val="24"/>
          <w:lang w:val="en-US"/>
        </w:rPr>
        <w:t xml:space="preserve">, Article 60. </w:t>
      </w:r>
      <w:hyperlink r:id="rId37" w:tgtFrame="_new" w:history="1">
        <w:r w:rsidRPr="0022585D">
          <w:rPr>
            <w:rFonts w:ascii="Times New Roman" w:eastAsia="Times New Roman" w:hAnsi="Times New Roman" w:cs="Times New Roman"/>
            <w:color w:val="0000FF"/>
            <w:sz w:val="24"/>
            <w:szCs w:val="24"/>
            <w:u w:val="single"/>
            <w:lang w:val="en-US"/>
          </w:rPr>
          <w:t>https://doi.org/10.1186/s43088-024-00519-4</w:t>
        </w:r>
      </w:hyperlink>
      <w:r w:rsidRPr="0022585D">
        <w:rPr>
          <w:rFonts w:ascii="Times New Roman" w:eastAsia="Times New Roman" w:hAnsi="Times New Roman" w:cs="Times New Roman"/>
          <w:sz w:val="24"/>
          <w:szCs w:val="24"/>
          <w:lang w:val="en-US"/>
        </w:rPr>
        <w:t xml:space="preserve"> </w:t>
      </w:r>
    </w:p>
    <w:p w14:paraId="39D3A6CE"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Vora, L. K., Gholap, A. D., Jetha, K., Thakur, R. R. S., Solanki, H. K., &amp; Chavda, V. P. (2023). Artificial intelligence in pharmaceutical technology and drug delivery design. </w:t>
      </w:r>
      <w:r w:rsidRPr="0022585D">
        <w:rPr>
          <w:rFonts w:ascii="Times New Roman" w:eastAsia="Times New Roman" w:hAnsi="Times New Roman" w:cs="Times New Roman"/>
          <w:i/>
          <w:iCs/>
          <w:sz w:val="24"/>
          <w:szCs w:val="24"/>
          <w:lang w:val="en-US"/>
        </w:rPr>
        <w:t>Pharmaceutics, 15</w:t>
      </w:r>
      <w:r w:rsidRPr="0022585D">
        <w:rPr>
          <w:rFonts w:ascii="Times New Roman" w:eastAsia="Times New Roman" w:hAnsi="Times New Roman" w:cs="Times New Roman"/>
          <w:sz w:val="24"/>
          <w:szCs w:val="24"/>
          <w:lang w:val="en-US"/>
        </w:rPr>
        <w:t xml:space="preserve">(7), Article 1916. </w:t>
      </w:r>
      <w:hyperlink r:id="rId38" w:tgtFrame="_new" w:history="1">
        <w:r w:rsidRPr="0022585D">
          <w:rPr>
            <w:rFonts w:ascii="Times New Roman" w:eastAsia="Times New Roman" w:hAnsi="Times New Roman" w:cs="Times New Roman"/>
            <w:color w:val="0000FF"/>
            <w:sz w:val="24"/>
            <w:szCs w:val="24"/>
            <w:u w:val="single"/>
            <w:lang w:val="en-US"/>
          </w:rPr>
          <w:t>https://doi.org/10.3390/pharmaceutics15071916</w:t>
        </w:r>
      </w:hyperlink>
      <w:r w:rsidRPr="0022585D">
        <w:rPr>
          <w:rFonts w:ascii="Times New Roman" w:eastAsia="Times New Roman" w:hAnsi="Times New Roman" w:cs="Times New Roman"/>
          <w:sz w:val="24"/>
          <w:szCs w:val="24"/>
          <w:lang w:val="en-US"/>
        </w:rPr>
        <w:t xml:space="preserve"> </w:t>
      </w:r>
    </w:p>
    <w:p w14:paraId="07B2F0A6" w14:textId="77777777" w:rsidR="0022585D" w:rsidRPr="0022585D" w:rsidRDefault="0022585D" w:rsidP="0022585D">
      <w:pPr>
        <w:spacing w:after="0" w:line="240" w:lineRule="auto"/>
        <w:rPr>
          <w:rFonts w:ascii="Times New Roman" w:eastAsia="Times New Roman" w:hAnsi="Times New Roman" w:cs="Times New Roman"/>
          <w:sz w:val="24"/>
          <w:szCs w:val="24"/>
          <w:lang w:val="en-US"/>
        </w:rPr>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Yehia, R. M., Teaima, M. H., Ragaie, M. H., Elmazar, M. M., Attia, D. A., &amp; El-Nabarawi, M. A. (2024). Resolving acne with optimized adapalene microspongeal gel, in vivo and clinical evaluations. </w:t>
      </w:r>
      <w:r w:rsidRPr="0022585D">
        <w:rPr>
          <w:rFonts w:ascii="Times New Roman" w:eastAsia="Times New Roman" w:hAnsi="Times New Roman" w:cs="Times New Roman"/>
          <w:i/>
          <w:iCs/>
          <w:sz w:val="24"/>
          <w:szCs w:val="24"/>
          <w:lang w:val="en-US"/>
        </w:rPr>
        <w:t>Scientific Reports, 14</w:t>
      </w:r>
      <w:r w:rsidRPr="0022585D">
        <w:rPr>
          <w:rFonts w:ascii="Times New Roman" w:eastAsia="Times New Roman" w:hAnsi="Times New Roman" w:cs="Times New Roman"/>
          <w:sz w:val="24"/>
          <w:szCs w:val="24"/>
          <w:lang w:val="en-US"/>
        </w:rPr>
        <w:t xml:space="preserve">(1), Article 1359. </w:t>
      </w:r>
      <w:hyperlink r:id="rId39" w:tgtFrame="_new" w:history="1">
        <w:r w:rsidRPr="0022585D">
          <w:rPr>
            <w:rFonts w:ascii="Times New Roman" w:eastAsia="Times New Roman" w:hAnsi="Times New Roman" w:cs="Times New Roman"/>
            <w:color w:val="0000FF"/>
            <w:sz w:val="24"/>
            <w:szCs w:val="24"/>
            <w:u w:val="single"/>
            <w:lang w:val="en-US"/>
          </w:rPr>
          <w:t>https://doi.org/10.1038/s41598-024-51392-1</w:t>
        </w:r>
      </w:hyperlink>
      <w:r w:rsidRPr="0022585D">
        <w:rPr>
          <w:rFonts w:ascii="Times New Roman" w:eastAsia="Times New Roman" w:hAnsi="Times New Roman" w:cs="Times New Roman"/>
          <w:sz w:val="24"/>
          <w:szCs w:val="24"/>
          <w:lang w:val="en-US"/>
        </w:rPr>
        <w:t xml:space="preserve"> </w:t>
      </w:r>
    </w:p>
    <w:p w14:paraId="420AA139" w14:textId="76C6D28A" w:rsidR="004841B3" w:rsidRDefault="0022585D" w:rsidP="0022585D">
      <w:pPr>
        <w:jc w:val="both"/>
      </w:pPr>
      <w:r w:rsidRPr="0022585D">
        <w:rPr>
          <w:rFonts w:ascii="Times New Roman" w:eastAsia="Times New Roman" w:hAnsi="Symbol" w:cs="Times New Roman"/>
          <w:sz w:val="24"/>
          <w:szCs w:val="24"/>
          <w:lang w:val="en-US"/>
        </w:rPr>
        <w:t></w:t>
      </w:r>
      <w:r w:rsidRPr="0022585D">
        <w:rPr>
          <w:rFonts w:ascii="Times New Roman" w:eastAsia="Times New Roman" w:hAnsi="Times New Roman" w:cs="Times New Roman"/>
          <w:sz w:val="24"/>
          <w:szCs w:val="24"/>
          <w:lang w:val="en-US"/>
        </w:rPr>
        <w:t xml:space="preserve">  Zhao, L., Chen, J., Bai, B., Song, G., Zhang, J., Yu, H., Huang, S., Wang, Z., &amp; Lu, G. (2024). Topical drug delivery strategies for enhancing drug effectiveness by skin barriers, drug delivery systems and individualized dosing. </w:t>
      </w:r>
      <w:r w:rsidRPr="0022585D">
        <w:rPr>
          <w:rFonts w:ascii="Times New Roman" w:eastAsia="Times New Roman" w:hAnsi="Times New Roman" w:cs="Times New Roman"/>
          <w:i/>
          <w:iCs/>
          <w:sz w:val="24"/>
          <w:szCs w:val="24"/>
          <w:lang w:val="en-US"/>
        </w:rPr>
        <w:t>Frontiers in Pharmacology, 14</w:t>
      </w:r>
      <w:r w:rsidRPr="0022585D">
        <w:rPr>
          <w:rFonts w:ascii="Times New Roman" w:eastAsia="Times New Roman" w:hAnsi="Times New Roman" w:cs="Times New Roman"/>
          <w:sz w:val="24"/>
          <w:szCs w:val="24"/>
          <w:lang w:val="en-US"/>
        </w:rPr>
        <w:t xml:space="preserve">, Article 1333986. </w:t>
      </w:r>
      <w:hyperlink r:id="rId40" w:tgtFrame="_new" w:history="1">
        <w:r w:rsidRPr="0022585D">
          <w:rPr>
            <w:rFonts w:ascii="Times New Roman" w:eastAsia="Times New Roman" w:hAnsi="Times New Roman" w:cs="Times New Roman"/>
            <w:color w:val="0000FF"/>
            <w:sz w:val="24"/>
            <w:szCs w:val="24"/>
            <w:u w:val="single"/>
            <w:lang w:val="en-US"/>
          </w:rPr>
          <w:t>https://doi.org/10.3389/fphar.2023.1333986</w:t>
        </w:r>
      </w:hyperlink>
    </w:p>
    <w:p w14:paraId="2CD7DBEE" w14:textId="77777777" w:rsidR="00D04827" w:rsidRDefault="00D04827" w:rsidP="001629B5">
      <w:pPr>
        <w:jc w:val="both"/>
      </w:pPr>
    </w:p>
    <w:p w14:paraId="701CF33A" w14:textId="77777777" w:rsidR="00D04827" w:rsidRDefault="00D04827" w:rsidP="001629B5">
      <w:pPr>
        <w:jc w:val="both"/>
      </w:pPr>
    </w:p>
    <w:p w14:paraId="21ABFA00" w14:textId="77777777" w:rsidR="00D04827" w:rsidRDefault="00D04827" w:rsidP="001629B5">
      <w:pPr>
        <w:jc w:val="both"/>
      </w:pPr>
    </w:p>
    <w:p w14:paraId="5DA28447" w14:textId="77777777" w:rsidR="00D04827" w:rsidRDefault="00D04827" w:rsidP="001629B5">
      <w:pPr>
        <w:jc w:val="both"/>
      </w:pPr>
    </w:p>
    <w:p w14:paraId="3EB96D10" w14:textId="77777777" w:rsidR="00D04827" w:rsidRDefault="00D04827" w:rsidP="001629B5">
      <w:pPr>
        <w:jc w:val="both"/>
      </w:pPr>
    </w:p>
    <w:p w14:paraId="6A99CD69" w14:textId="77777777" w:rsidR="00D04827" w:rsidRDefault="00D04827" w:rsidP="001629B5">
      <w:pPr>
        <w:jc w:val="both"/>
      </w:pPr>
    </w:p>
    <w:p w14:paraId="296A23BE" w14:textId="77777777" w:rsidR="00D04827" w:rsidRDefault="00D04827" w:rsidP="001629B5">
      <w:pPr>
        <w:jc w:val="both"/>
      </w:pPr>
    </w:p>
    <w:sectPr w:rsidR="00D04827" w:rsidSect="004841B3">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C1A0" w14:textId="77777777" w:rsidR="00B656FF" w:rsidRDefault="00B656FF" w:rsidP="00621B98">
      <w:pPr>
        <w:spacing w:after="0" w:line="240" w:lineRule="auto"/>
      </w:pPr>
      <w:r>
        <w:separator/>
      </w:r>
    </w:p>
  </w:endnote>
  <w:endnote w:type="continuationSeparator" w:id="0">
    <w:p w14:paraId="77857014" w14:textId="77777777" w:rsidR="00B656FF" w:rsidRDefault="00B656FF" w:rsidP="00621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773FF" w14:textId="77777777" w:rsidR="00621B98" w:rsidRDefault="00621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86C7" w14:textId="77777777" w:rsidR="00621B98" w:rsidRDefault="00621B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69F9" w14:textId="77777777" w:rsidR="00621B98" w:rsidRDefault="00621B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E70F2" w14:textId="77777777" w:rsidR="00B656FF" w:rsidRDefault="00B656FF" w:rsidP="00621B98">
      <w:pPr>
        <w:spacing w:after="0" w:line="240" w:lineRule="auto"/>
      </w:pPr>
      <w:r>
        <w:separator/>
      </w:r>
    </w:p>
  </w:footnote>
  <w:footnote w:type="continuationSeparator" w:id="0">
    <w:p w14:paraId="5A693AEC" w14:textId="77777777" w:rsidR="00B656FF" w:rsidRDefault="00B656FF" w:rsidP="00621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BF2E5" w14:textId="77777777" w:rsidR="00621B98" w:rsidRDefault="00000000">
    <w:pPr>
      <w:pStyle w:val="Header"/>
    </w:pPr>
    <w:r>
      <w:rPr>
        <w:noProof/>
      </w:rPr>
      <w:pict w14:anchorId="037315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B96C" w14:textId="77777777" w:rsidR="00621B98" w:rsidRDefault="00000000">
    <w:pPr>
      <w:pStyle w:val="Header"/>
    </w:pPr>
    <w:r>
      <w:rPr>
        <w:noProof/>
      </w:rPr>
      <w:pict w14:anchorId="72B9ED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22EB" w14:textId="77777777" w:rsidR="00621B98" w:rsidRDefault="00000000">
    <w:pPr>
      <w:pStyle w:val="Header"/>
    </w:pPr>
    <w:r>
      <w:rPr>
        <w:noProof/>
      </w:rPr>
      <w:pict w14:anchorId="6F2E9C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00278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D770A"/>
    <w:multiLevelType w:val="hybridMultilevel"/>
    <w:tmpl w:val="222A1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7376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cwsDAyNTY0sjA0tzBV0lEKTi0uzszPAykwrAUA7qWqCSwAAAA="/>
  </w:docVars>
  <w:rsids>
    <w:rsidRoot w:val="00B52D07"/>
    <w:rsid w:val="001629B5"/>
    <w:rsid w:val="00190DFF"/>
    <w:rsid w:val="00222EE8"/>
    <w:rsid w:val="0022585D"/>
    <w:rsid w:val="002C42BF"/>
    <w:rsid w:val="00345F3B"/>
    <w:rsid w:val="004841B3"/>
    <w:rsid w:val="00621B98"/>
    <w:rsid w:val="007B508B"/>
    <w:rsid w:val="00824882"/>
    <w:rsid w:val="00830529"/>
    <w:rsid w:val="0092212C"/>
    <w:rsid w:val="009A76AC"/>
    <w:rsid w:val="00A74341"/>
    <w:rsid w:val="00B52D07"/>
    <w:rsid w:val="00B656FF"/>
    <w:rsid w:val="00C01BB4"/>
    <w:rsid w:val="00D01876"/>
    <w:rsid w:val="00D04827"/>
    <w:rsid w:val="00D42643"/>
    <w:rsid w:val="00F47995"/>
    <w:rsid w:val="00F86B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8C86B"/>
  <w15:docId w15:val="{3050B6C9-5607-487F-BB5D-894692B3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B52D0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52D0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B52D0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B52D0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52D0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B52D07"/>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B52D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52D07"/>
    <w:rPr>
      <w:b/>
      <w:bCs/>
    </w:rPr>
  </w:style>
  <w:style w:type="character" w:styleId="Emphasis">
    <w:name w:val="Emphasis"/>
    <w:basedOn w:val="DefaultParagraphFont"/>
    <w:uiPriority w:val="20"/>
    <w:qFormat/>
    <w:rsid w:val="00B52D07"/>
    <w:rPr>
      <w:i/>
      <w:iCs/>
    </w:rPr>
  </w:style>
  <w:style w:type="character" w:styleId="Hyperlink">
    <w:name w:val="Hyperlink"/>
    <w:basedOn w:val="DefaultParagraphFont"/>
    <w:uiPriority w:val="99"/>
    <w:semiHidden/>
    <w:unhideWhenUsed/>
    <w:rsid w:val="00B52D07"/>
    <w:rPr>
      <w:color w:val="0000FF"/>
      <w:u w:val="single"/>
    </w:rPr>
  </w:style>
  <w:style w:type="table" w:styleId="TableGrid">
    <w:name w:val="Table Grid"/>
    <w:basedOn w:val="TableNormal"/>
    <w:uiPriority w:val="59"/>
    <w:rsid w:val="00B52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1B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B98"/>
  </w:style>
  <w:style w:type="paragraph" w:styleId="Footer">
    <w:name w:val="footer"/>
    <w:basedOn w:val="Normal"/>
    <w:link w:val="FooterChar"/>
    <w:uiPriority w:val="99"/>
    <w:unhideWhenUsed/>
    <w:rsid w:val="00621B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B98"/>
  </w:style>
  <w:style w:type="paragraph" w:styleId="ListParagraph">
    <w:name w:val="List Paragraph"/>
    <w:basedOn w:val="Normal"/>
    <w:uiPriority w:val="34"/>
    <w:qFormat/>
    <w:rsid w:val="00A743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528556">
      <w:bodyDiv w:val="1"/>
      <w:marLeft w:val="0"/>
      <w:marRight w:val="0"/>
      <w:marTop w:val="0"/>
      <w:marBottom w:val="0"/>
      <w:divBdr>
        <w:top w:val="none" w:sz="0" w:space="0" w:color="auto"/>
        <w:left w:val="none" w:sz="0" w:space="0" w:color="auto"/>
        <w:bottom w:val="none" w:sz="0" w:space="0" w:color="auto"/>
        <w:right w:val="none" w:sz="0" w:space="0" w:color="auto"/>
      </w:divBdr>
      <w:divsChild>
        <w:div w:id="1551652113">
          <w:marLeft w:val="0"/>
          <w:marRight w:val="0"/>
          <w:marTop w:val="0"/>
          <w:marBottom w:val="0"/>
          <w:divBdr>
            <w:top w:val="none" w:sz="0" w:space="0" w:color="auto"/>
            <w:left w:val="none" w:sz="0" w:space="0" w:color="auto"/>
            <w:bottom w:val="none" w:sz="0" w:space="0" w:color="auto"/>
            <w:right w:val="none" w:sz="0" w:space="0" w:color="auto"/>
          </w:divBdr>
        </w:div>
        <w:div w:id="262154580">
          <w:marLeft w:val="0"/>
          <w:marRight w:val="0"/>
          <w:marTop w:val="0"/>
          <w:marBottom w:val="0"/>
          <w:divBdr>
            <w:top w:val="none" w:sz="0" w:space="0" w:color="auto"/>
            <w:left w:val="none" w:sz="0" w:space="0" w:color="auto"/>
            <w:bottom w:val="none" w:sz="0" w:space="0" w:color="auto"/>
            <w:right w:val="none" w:sz="0" w:space="0" w:color="auto"/>
          </w:divBdr>
        </w:div>
        <w:div w:id="514465858">
          <w:marLeft w:val="0"/>
          <w:marRight w:val="0"/>
          <w:marTop w:val="0"/>
          <w:marBottom w:val="0"/>
          <w:divBdr>
            <w:top w:val="none" w:sz="0" w:space="0" w:color="auto"/>
            <w:left w:val="none" w:sz="0" w:space="0" w:color="auto"/>
            <w:bottom w:val="none" w:sz="0" w:space="0" w:color="auto"/>
            <w:right w:val="none" w:sz="0" w:space="0" w:color="auto"/>
          </w:divBdr>
        </w:div>
        <w:div w:id="401296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ad.2023.05.093" TargetMode="External"/><Relationship Id="rId18" Type="http://schemas.openxmlformats.org/officeDocument/2006/relationships/hyperlink" Target="https://doi.org/10.1186/s43094-023-00461-9?utm_source=chatgpt.com" TargetMode="External"/><Relationship Id="rId26" Type="http://schemas.openxmlformats.org/officeDocument/2006/relationships/hyperlink" Target="https://doi.org/10.1016/j.jsps.2015.02.020" TargetMode="External"/><Relationship Id="rId39" Type="http://schemas.openxmlformats.org/officeDocument/2006/relationships/hyperlink" Target="https://doi.org/10.1038/s41598-024-51392-1" TargetMode="External"/><Relationship Id="rId21" Type="http://schemas.openxmlformats.org/officeDocument/2006/relationships/hyperlink" Target="https://doi.org/10.1016/j.ajps.2019.05.004" TargetMode="External"/><Relationship Id="rId34" Type="http://schemas.openxmlformats.org/officeDocument/2006/relationships/hyperlink" Target="https://doi.org/10.2174/1573397119666230417093138"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s://doi.org/10.1016/j.jddst.2021.102683" TargetMode="External"/><Relationship Id="rId2" Type="http://schemas.openxmlformats.org/officeDocument/2006/relationships/styles" Target="styles.xml"/><Relationship Id="rId16" Type="http://schemas.openxmlformats.org/officeDocument/2006/relationships/hyperlink" Target="https://doi.org/10.3390/nano12142440" TargetMode="External"/><Relationship Id="rId29" Type="http://schemas.openxmlformats.org/officeDocument/2006/relationships/hyperlink" Target="https://doi.org/10.3390/ijms2506352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74/1381612829666230404082743" TargetMode="External"/><Relationship Id="rId24" Type="http://schemas.openxmlformats.org/officeDocument/2006/relationships/hyperlink" Target="https://doi.org/10.1016/j.jconrel.2022.12.029" TargetMode="External"/><Relationship Id="rId32" Type="http://schemas.openxmlformats.org/officeDocument/2006/relationships/hyperlink" Target="https://doi.org/10.1016/j.jaad.2023.12.017" TargetMode="External"/><Relationship Id="rId37" Type="http://schemas.openxmlformats.org/officeDocument/2006/relationships/hyperlink" Target="https://doi.org/10.1186/s43088-024-00519-4" TargetMode="External"/><Relationship Id="rId40" Type="http://schemas.openxmlformats.org/officeDocument/2006/relationships/hyperlink" Target="https://doi.org/10.3389/fphar.2023.1333986"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208/s12249-024-02874-y" TargetMode="External"/><Relationship Id="rId23" Type="http://schemas.openxmlformats.org/officeDocument/2006/relationships/hyperlink" Target="https://doi.org/10.2478/v10007-011-0022-6" TargetMode="External"/><Relationship Id="rId28" Type="http://schemas.openxmlformats.org/officeDocument/2006/relationships/hyperlink" Target="https://doi.org/10.1007/s12247-025-10076-7" TargetMode="External"/><Relationship Id="rId36" Type="http://schemas.openxmlformats.org/officeDocument/2006/relationships/hyperlink" Target="https://doi.org/10.2174/1567201818666210805153347" TargetMode="External"/><Relationship Id="rId10" Type="http://schemas.openxmlformats.org/officeDocument/2006/relationships/hyperlink" Target="https://doi.org/10.3390/ph18070938" TargetMode="External"/><Relationship Id="rId19" Type="http://schemas.openxmlformats.org/officeDocument/2006/relationships/hyperlink" Target="https://doi.org/10.1615/CritRevTherDrugCarrierSyst.v33.i1.40" TargetMode="External"/><Relationship Id="rId31" Type="http://schemas.openxmlformats.org/officeDocument/2006/relationships/hyperlink" Target="https://doi.org/10.1089/adt.2023.05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186/s41073-019-0064-8" TargetMode="External"/><Relationship Id="rId14" Type="http://schemas.openxmlformats.org/officeDocument/2006/relationships/hyperlink" Target="https://doi.org/10.3390/pharmaceutics16121593" TargetMode="External"/><Relationship Id="rId22" Type="http://schemas.openxmlformats.org/officeDocument/2006/relationships/hyperlink" Target="https://doi.org/10.1208/s12249-018-1081-5" TargetMode="External"/><Relationship Id="rId27" Type="http://schemas.openxmlformats.org/officeDocument/2006/relationships/hyperlink" Target="https://doi.org/10.1155/2015/261068" TargetMode="External"/><Relationship Id="rId30" Type="http://schemas.openxmlformats.org/officeDocument/2006/relationships/hyperlink" Target="https://doi.org/10.3390/ijms26199342" TargetMode="External"/><Relationship Id="rId35" Type="http://schemas.openxmlformats.org/officeDocument/2006/relationships/hyperlink" Target="https://doi.org/10.3390/pharmaceutics15071824"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doi.org/10.1038/s41598-023-32545-0" TargetMode="External"/><Relationship Id="rId3" Type="http://schemas.openxmlformats.org/officeDocument/2006/relationships/settings" Target="settings.xml"/><Relationship Id="rId12" Type="http://schemas.openxmlformats.org/officeDocument/2006/relationships/hyperlink" Target="https://doi.org/10.2174/156720107780362320" TargetMode="External"/><Relationship Id="rId17" Type="http://schemas.openxmlformats.org/officeDocument/2006/relationships/hyperlink" Target="https://doi.org/10.1007/s12272-011-0506-4" TargetMode="External"/><Relationship Id="rId25" Type="http://schemas.openxmlformats.org/officeDocument/2006/relationships/hyperlink" Target="https://doi.org/10.1016/j.micron.2007.06.012" TargetMode="External"/><Relationship Id="rId33" Type="http://schemas.openxmlformats.org/officeDocument/2006/relationships/hyperlink" Target="https://doi.org/10.1007/s10787-023-01140-0" TargetMode="External"/><Relationship Id="rId38" Type="http://schemas.openxmlformats.org/officeDocument/2006/relationships/hyperlink" Target="https://doi.org/10.3390/pharmaceutics15071916" TargetMode="External"/><Relationship Id="rId46" Type="http://schemas.openxmlformats.org/officeDocument/2006/relationships/footer" Target="footer3.xml"/><Relationship Id="rId20" Type="http://schemas.openxmlformats.org/officeDocument/2006/relationships/hyperlink" Target="https://doi.org/10.1016/j.heliyon.2024.e29151"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9121</Words>
  <Characters>51991</Characters>
  <Application>Microsoft Office Word</Application>
  <DocSecurity>0</DocSecurity>
  <Lines>433</Lines>
  <Paragraphs>121</Paragraphs>
  <ScaleCrop>false</ScaleCrop>
  <Company>HP</Company>
  <LinksUpToDate>false</LinksUpToDate>
  <CharactersWithSpaces>60991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10</cp:revision>
  <dcterms:created xsi:type="dcterms:W3CDTF">2026-07-02T15:48:00Z</dcterms:created>
  <dcterms:modified xsi:type="dcterms:W3CDTF">2026-07-09T05:36:00Z</dcterms:modified>
</cp:coreProperties>
</file>