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3EBA9" w14:textId="77777777" w:rsidR="00B6547F" w:rsidRPr="00F35721" w:rsidRDefault="00B6547F" w:rsidP="002B2652">
      <w:pPr>
        <w:spacing w:after="0" w:line="360" w:lineRule="auto"/>
        <w:jc w:val="center"/>
        <w:rPr>
          <w:rFonts w:ascii="Times New Roman" w:eastAsia="Times New Roman" w:hAnsi="Times New Roman" w:cs="Times New Roman"/>
          <w:b/>
          <w:sz w:val="30"/>
          <w:szCs w:val="30"/>
          <w:lang w:eastAsia="en-IN"/>
        </w:rPr>
      </w:pPr>
      <w:r w:rsidRPr="00F35721">
        <w:rPr>
          <w:rFonts w:ascii="Times New Roman" w:eastAsia="Times New Roman" w:hAnsi="Times New Roman" w:cs="Times New Roman"/>
          <w:b/>
          <w:sz w:val="30"/>
          <w:szCs w:val="30"/>
          <w:lang w:eastAsia="en-IN"/>
        </w:rPr>
        <w:t>Transforming Agribusiness through Rural Finance</w:t>
      </w:r>
      <w:r w:rsidR="002B2652" w:rsidRPr="00F35721">
        <w:rPr>
          <w:rFonts w:ascii="Times New Roman" w:eastAsia="Times New Roman" w:hAnsi="Times New Roman" w:cs="Times New Roman"/>
          <w:b/>
          <w:sz w:val="30"/>
          <w:szCs w:val="30"/>
          <w:lang w:eastAsia="en-IN"/>
        </w:rPr>
        <w:t xml:space="preserve"> in India</w:t>
      </w:r>
      <w:r w:rsidRPr="00F35721">
        <w:rPr>
          <w:rFonts w:ascii="Times New Roman" w:eastAsia="Times New Roman" w:hAnsi="Times New Roman" w:cs="Times New Roman"/>
          <w:b/>
          <w:sz w:val="30"/>
          <w:szCs w:val="30"/>
          <w:lang w:eastAsia="en-IN"/>
        </w:rPr>
        <w:t>: Trends</w:t>
      </w:r>
      <w:r w:rsidR="00264A1F" w:rsidRPr="00F35721">
        <w:rPr>
          <w:rFonts w:ascii="Times New Roman" w:eastAsia="Times New Roman" w:hAnsi="Times New Roman" w:cs="Times New Roman"/>
          <w:b/>
          <w:sz w:val="30"/>
          <w:szCs w:val="30"/>
          <w:lang w:eastAsia="en-IN"/>
        </w:rPr>
        <w:t>,</w:t>
      </w:r>
      <w:r w:rsidRPr="00F35721">
        <w:rPr>
          <w:rFonts w:ascii="Times New Roman" w:eastAsia="Times New Roman" w:hAnsi="Times New Roman" w:cs="Times New Roman"/>
          <w:b/>
          <w:sz w:val="30"/>
          <w:szCs w:val="30"/>
          <w:lang w:eastAsia="en-IN"/>
        </w:rPr>
        <w:t xml:space="preserve"> Challenges</w:t>
      </w:r>
      <w:r w:rsidR="00264A1F" w:rsidRPr="00F35721">
        <w:rPr>
          <w:rFonts w:ascii="Times New Roman" w:eastAsia="Times New Roman" w:hAnsi="Times New Roman" w:cs="Times New Roman"/>
          <w:b/>
          <w:sz w:val="30"/>
          <w:szCs w:val="30"/>
          <w:lang w:eastAsia="en-IN"/>
        </w:rPr>
        <w:t>,</w:t>
      </w:r>
      <w:r w:rsidRPr="00F35721">
        <w:rPr>
          <w:rFonts w:ascii="Times New Roman" w:eastAsia="Times New Roman" w:hAnsi="Times New Roman" w:cs="Times New Roman"/>
          <w:b/>
          <w:sz w:val="30"/>
          <w:szCs w:val="30"/>
          <w:lang w:eastAsia="en-IN"/>
        </w:rPr>
        <w:t xml:space="preserve"> and </w:t>
      </w:r>
      <w:r w:rsidR="007C0228" w:rsidRPr="00F35721">
        <w:rPr>
          <w:rFonts w:ascii="Times New Roman" w:eastAsia="Times New Roman" w:hAnsi="Times New Roman" w:cs="Times New Roman"/>
          <w:b/>
          <w:sz w:val="30"/>
          <w:szCs w:val="30"/>
          <w:lang w:eastAsia="en-IN"/>
        </w:rPr>
        <w:t>Sustainable Pathways</w:t>
      </w:r>
    </w:p>
    <w:p w14:paraId="009491C8" w14:textId="77777777" w:rsidR="000E617A" w:rsidRPr="001F7EA5" w:rsidRDefault="000E617A" w:rsidP="002B2652">
      <w:pPr>
        <w:spacing w:after="0" w:line="360" w:lineRule="auto"/>
        <w:jc w:val="center"/>
        <w:rPr>
          <w:rFonts w:ascii="Times New Roman" w:eastAsia="Times New Roman" w:hAnsi="Times New Roman" w:cs="Times New Roman"/>
          <w:b/>
          <w:lang w:eastAsia="en-IN"/>
        </w:rPr>
      </w:pPr>
    </w:p>
    <w:p w14:paraId="5EA961E6" w14:textId="77777777" w:rsidR="00803FCE" w:rsidRPr="001F7EA5" w:rsidRDefault="007C0228" w:rsidP="00B6547F">
      <w:pPr>
        <w:spacing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ABSTRACT</w:t>
      </w:r>
    </w:p>
    <w:p w14:paraId="4986929D" w14:textId="6B09B1BA" w:rsidR="00FA4481" w:rsidRDefault="00FA4481" w:rsidP="00A426B8">
      <w:pPr>
        <w:spacing w:after="0" w:line="360" w:lineRule="auto"/>
        <w:jc w:val="both"/>
      </w:pPr>
      <w:r>
        <w:t>This study examines how rural finance has shaped agribusiness development in India, with emphasis on the transition from informal lending to a diversified institutional credit system. Using secondary data from official reports, surveys, and scholarly sources, the analysis reviews long-term trends in agricultural credit, agency-wise disbursement, regional distribution, and the relative roles of commercial banks, Regional Rural Banks, cooperative institutions, and NABARD. The findings indicate that institutional credit has expanded markedly and has supported investment in farm inputs, technology, irrigation, post-harvest infrastructure, and risk-management mechanisms. Commercial banks have become the principal providers of agricultural credit, while Regional Rural Banks and cooperatives continue to perform important financial inclusion functions. However, the expansion of formal lending remains uneven. Small and marginal farmers face constraints related to collateral, documentation, procedural complexity, and limited local outreach, while the eastern and north-eastern regions receive comparatively lower levels of credit. Continued reliance on informal lenders, insufficient medium- and long-term finance, and uneven loan amounts further limit the contribution of credit to sustainable agribusiness growth. The study identifies digital integration, region-specific policies, stronger cooperative networks, financial education, public-private collaboration, and improved alignment of credit products with agricultural cash-flow cycles as key pathways for strengthening rural finance. A more inclusive, transparent, and farmer-oriented credit system is required to support resilient and sustainable agribusiness development across India.</w:t>
      </w:r>
    </w:p>
    <w:p w14:paraId="27E01E3F" w14:textId="77777777" w:rsidR="00FA4481" w:rsidRPr="001F7EA5" w:rsidRDefault="00FA4481" w:rsidP="00A426B8">
      <w:pPr>
        <w:spacing w:after="0" w:line="360" w:lineRule="auto"/>
        <w:jc w:val="both"/>
        <w:rPr>
          <w:rFonts w:ascii="Times New Roman" w:eastAsia="Times New Roman" w:hAnsi="Times New Roman" w:cs="Times New Roman"/>
          <w:lang w:eastAsia="en-IN"/>
        </w:rPr>
      </w:pPr>
    </w:p>
    <w:p w14:paraId="54F5A30C" w14:textId="77777777" w:rsidR="00E3478D" w:rsidRDefault="00803FCE" w:rsidP="00E3478D">
      <w:pPr>
        <w:spacing w:after="0" w:line="360" w:lineRule="auto"/>
        <w:jc w:val="both"/>
        <w:rPr>
          <w:rFonts w:ascii="Times New Roman" w:eastAsia="Times New Roman" w:hAnsi="Times New Roman" w:cs="Times New Roman"/>
          <w:sz w:val="18"/>
          <w:szCs w:val="18"/>
          <w:lang w:eastAsia="en-IN"/>
        </w:rPr>
      </w:pPr>
      <w:r>
        <w:rPr>
          <w:rFonts w:ascii="Times New Roman" w:eastAsia="Times New Roman" w:hAnsi="Times New Roman" w:cs="Times New Roman"/>
          <w:b/>
          <w:sz w:val="18"/>
          <w:szCs w:val="18"/>
          <w:lang w:eastAsia="en-IN"/>
        </w:rPr>
        <w:t>Keywords:</w:t>
      </w:r>
      <w:r>
        <w:rPr>
          <w:rFonts w:ascii="Times New Roman" w:eastAsia="Times New Roman" w:hAnsi="Times New Roman" w:cs="Times New Roman"/>
          <w:sz w:val="18"/>
          <w:szCs w:val="18"/>
          <w:lang w:eastAsia="en-IN"/>
        </w:rPr>
        <w:t xml:space="preserve"> </w:t>
      </w:r>
      <w:r w:rsidR="00E3478D" w:rsidRPr="00E3478D">
        <w:rPr>
          <w:rFonts w:ascii="Times New Roman" w:eastAsia="Times New Roman" w:hAnsi="Times New Roman" w:cs="Times New Roman"/>
          <w:sz w:val="18"/>
          <w:szCs w:val="18"/>
          <w:lang w:eastAsia="en-IN"/>
        </w:rPr>
        <w:t>Agribusiness; Agricultural credit; Rural finance; Financial inclusion; Institutional lending; Small and marginal farmers; Regional credit disparities; Cooperative banking; Digital financial services; Sustainable agriculture</w:t>
      </w:r>
    </w:p>
    <w:p w14:paraId="48051647" w14:textId="77777777" w:rsidR="00E3478D" w:rsidRDefault="00E3478D" w:rsidP="00E3478D">
      <w:pPr>
        <w:spacing w:after="0" w:line="360" w:lineRule="auto"/>
        <w:jc w:val="both"/>
        <w:rPr>
          <w:rFonts w:ascii="Times New Roman" w:eastAsia="Times New Roman" w:hAnsi="Times New Roman" w:cs="Times New Roman"/>
          <w:sz w:val="18"/>
          <w:szCs w:val="18"/>
          <w:lang w:eastAsia="en-IN"/>
        </w:rPr>
      </w:pPr>
    </w:p>
    <w:p w14:paraId="7383D735" w14:textId="6E7CE25E" w:rsidR="00803FCE" w:rsidRPr="001F7EA5" w:rsidRDefault="007C0228" w:rsidP="00E3478D">
      <w:pPr>
        <w:spacing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INTRODUCTION</w:t>
      </w:r>
    </w:p>
    <w:p w14:paraId="23E40471" w14:textId="77777777" w:rsidR="00C14183" w:rsidRPr="00C14183" w:rsidRDefault="00C14183" w:rsidP="00C14183">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 xml:space="preserve">Agriculture continues to play a fundamental role in India’s socio-economic development despite the gradual decline </w:t>
      </w:r>
      <w:r>
        <w:rPr>
          <w:rFonts w:ascii="Times New Roman" w:eastAsia="Times New Roman" w:hAnsi="Times New Roman" w:cs="Times New Roman"/>
          <w:highlight w:val="yellow"/>
          <w:lang w:eastAsia="en-IN"/>
        </w:rPr>
        <w:t>in</w:t>
      </w:r>
      <w:r>
        <w:rPr>
          <w:rFonts w:ascii="Times New Roman" w:eastAsia="Times New Roman" w:hAnsi="Times New Roman" w:cs="Times New Roman"/>
          <w:lang w:eastAsia="en-IN"/>
        </w:rPr>
        <w:t xml:space="preserve"> its contribution to the national economy. Although the sector accounted for approximately 18.3% of the country’s </w:t>
      </w:r>
      <w:r>
        <w:rPr>
          <w:rFonts w:ascii="Times New Roman" w:eastAsia="Times New Roman" w:hAnsi="Times New Roman" w:cs="Times New Roman"/>
          <w:highlight w:val="yellow"/>
          <w:lang w:eastAsia="en-IN"/>
        </w:rPr>
        <w:t>g</w:t>
      </w:r>
      <w:r>
        <w:rPr>
          <w:rFonts w:ascii="Times New Roman" w:eastAsia="Times New Roman" w:hAnsi="Times New Roman" w:cs="Times New Roman"/>
          <w:lang w:eastAsia="en-IN"/>
        </w:rPr>
        <w:t xml:space="preserve">ross </w:t>
      </w:r>
      <w:r>
        <w:rPr>
          <w:rFonts w:ascii="Times New Roman" w:eastAsia="Times New Roman" w:hAnsi="Times New Roman" w:cs="Times New Roman"/>
          <w:highlight w:val="yellow"/>
          <w:lang w:eastAsia="en-IN"/>
        </w:rPr>
        <w:t>d</w:t>
      </w:r>
      <w:r>
        <w:rPr>
          <w:rFonts w:ascii="Times New Roman" w:eastAsia="Times New Roman" w:hAnsi="Times New Roman" w:cs="Times New Roman"/>
          <w:lang w:eastAsia="en-IN"/>
        </w:rPr>
        <w:t xml:space="preserve">omestic </w:t>
      </w:r>
      <w:r>
        <w:rPr>
          <w:rFonts w:ascii="Times New Roman" w:eastAsia="Times New Roman" w:hAnsi="Times New Roman" w:cs="Times New Roman"/>
          <w:highlight w:val="yellow"/>
          <w:lang w:eastAsia="en-IN"/>
        </w:rPr>
        <w:t>p</w:t>
      </w:r>
      <w:r>
        <w:rPr>
          <w:rFonts w:ascii="Times New Roman" w:eastAsia="Times New Roman" w:hAnsi="Times New Roman" w:cs="Times New Roman"/>
          <w:lang w:eastAsia="en-IN"/>
        </w:rPr>
        <w:t>roduct (GDP) in 2022, it remains the primary source of livelihood for nearly 58% of the population. Beyond its economic contribution, agriculture is indispensable for ensuring food security, generating rural employment, reducing poverty, and preserving the country’s social and cultural heritage.</w:t>
      </w:r>
    </w:p>
    <w:p w14:paraId="7D8B2403" w14:textId="77777777" w:rsidR="00C14183" w:rsidRPr="00C14183" w:rsidRDefault="00C14183" w:rsidP="00C14183">
      <w:pPr>
        <w:autoSpaceDE w:val="0"/>
        <w:autoSpaceDN w:val="0"/>
        <w:adjustRightInd w:val="0"/>
        <w:spacing w:after="0" w:line="360" w:lineRule="auto"/>
        <w:jc w:val="both"/>
        <w:rPr>
          <w:rFonts w:ascii="Times New Roman" w:eastAsia="Times New Roman" w:hAnsi="Times New Roman" w:cs="Times New Roman"/>
          <w:lang w:eastAsia="en-IN"/>
        </w:rPr>
      </w:pPr>
    </w:p>
    <w:p w14:paraId="5DF1736F" w14:textId="77777777" w:rsidR="00C14183" w:rsidRDefault="00C14183" w:rsidP="00C14183">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 xml:space="preserve">Agribusiness extends beyond farm production to include the complete network of activities associated with the supply of agricultural inputs, cultivation, processing, storage, transportation, marketing, and distribution </w:t>
      </w:r>
      <w:r>
        <w:rPr>
          <w:rFonts w:ascii="Times New Roman" w:eastAsia="Times New Roman" w:hAnsi="Times New Roman" w:cs="Times New Roman"/>
          <w:lang w:eastAsia="en-IN"/>
        </w:rPr>
        <w:lastRenderedPageBreak/>
        <w:t>of agricultural commodities. The growth of this sector depends heavily on the availability of reliable rural financial services. Timely and affordable access to credit enables farmers and agribusiness enterprises to invest in improved technologies, purchase quality inputs, manage production risks, and expand commercial operations. Consequently, rural finance has become one of the key drivers of agricultural moderni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 and sustainable agribusiness development.</w:t>
      </w:r>
    </w:p>
    <w:p w14:paraId="12E65C58" w14:textId="77777777" w:rsidR="00C14183" w:rsidRDefault="00135ACF" w:rsidP="00C14183">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India’s rural financial landscape has undergone a major transformation over</w:t>
      </w:r>
      <w:r>
        <w:rPr>
          <w:rFonts w:ascii="Times New Roman" w:eastAsia="Times New Roman" w:hAnsi="Times New Roman" w:cs="Times New Roman"/>
          <w:highlight w:val="yellow"/>
          <w:lang w:eastAsia="en-IN"/>
        </w:rPr>
        <w:t xml:space="preserve"> the</w:t>
      </w:r>
      <w:r>
        <w:rPr>
          <w:rFonts w:ascii="Times New Roman" w:eastAsia="Times New Roman" w:hAnsi="Times New Roman" w:cs="Times New Roman"/>
          <w:lang w:eastAsia="en-IN"/>
        </w:rPr>
        <w:t xml:space="preserve"> decades, shifting from a predominantly informal system to a more structured and diversified network of formal credit institutions. Before the expansion of formal banking institutions, most rural households depended on informal lenders, including moneylenders, traders, landlords, and commission agents, who provided quick access to loans but generally imposed high interest rates and unfavourable lending conditions. Following Independence, the Government of India initiated a series of institutional reforms to improve financial inclusion in rural areas. The nationali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 of commercial banks, the establishment of Regional Rural Banks (RRBs), and the creation of the National Bank for Agriculture and Rural Development (NABARD) significantly strengthened the institutional framework for agricultural finance. These initiatives expanded the reach of formal credit; however, substantial challenges continue to affect equitable access across regions and farm categories.</w:t>
      </w:r>
    </w:p>
    <w:p w14:paraId="2A71487A" w14:textId="77777777" w:rsidR="00C14183" w:rsidRDefault="00C14183" w:rsidP="00C14183">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The importance of agricultural credit became particularly evident during the Green Revolution, when increased access to institutional finance enabled farmers to adopt modern inputs such as high-yielding seed varieties, chemical fertili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ers, irrigation facilities, and farm machinery. These investments contributed substantially to higher agricultural productivity and accelerated rural economic growth. Nevertheless, several structural constraints—including outdated tenancy regulations, institutional inefficiencies, and weaknesses in the rural credit delivery system—have continued to limit the effectiveness of agricultural finance (Mohan, 2006; Kumar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2017). During the 1950s and 1960s, informal borrowing remained the principal source of finance for a large proportion of Indian farmers. Recogni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ing that improved credit availability could stimulate agricultural production, policymakers gradually developed a multi-institutional rural credit system involving the Reserve Bank of India (RBI), State Bank of India (SBI), NABARD, Regional Rural Banks, cooperative credit institutions, and scheduled commercial banks.</w:t>
      </w:r>
    </w:p>
    <w:p w14:paraId="56F6461D" w14:textId="77777777" w:rsidR="00C14183" w:rsidRDefault="00C14183" w:rsidP="00C14183">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Despite the expansion of institutional finance, the distribution of agricultural credit has remained uneven. Farmers located in economically developed regions and those possessing larger landholdings have generally benefited more from formal financial institutions than smallholders and producers in less-developed regions. Such disparities continue to influence agricultural development and remain an important policy concern. Earlier research indicates that institutional loans have been used extensively to finance fertili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ers, manure, irrigation infrastructure, and improved seed varieties, thereby facilitating greater adoption of modern agricultural practices (Singh &amp; Mruthyunjaya, 1992; Chavan, 2012; Kumar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2017). Greater access to credit has also enabled farmers operating under both irrigated and rainfed conditions to utili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 productive resources more efficiently. Furthermore, improved financial access has encouraged shifts toward</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 higher-value crops and influenced cropping patterns in several regions (Poddar </w:t>
      </w:r>
      <w:r>
        <w:rPr>
          <w:rFonts w:ascii="Times New Roman" w:eastAsia="Times New Roman" w:hAnsi="Times New Roman" w:cs="Times New Roman"/>
          <w:i/>
          <w:iCs/>
          <w:lang w:eastAsia="en-IN"/>
        </w:rPr>
        <w:lastRenderedPageBreak/>
        <w:t xml:space="preserve">et al., </w:t>
      </w:r>
      <w:r>
        <w:rPr>
          <w:rFonts w:ascii="Times New Roman" w:eastAsia="Times New Roman" w:hAnsi="Times New Roman" w:cs="Times New Roman"/>
          <w:lang w:eastAsia="en-IN"/>
        </w:rPr>
        <w:t>1995). Increased availability of agricultural credit generally reflects better access to essential farm inputs, which contributes positively to agricultural productivity (Sriram, 2007).</w:t>
      </w:r>
    </w:p>
    <w:p w14:paraId="40EC9F8D" w14:textId="77777777" w:rsidR="00525521" w:rsidRDefault="00000000">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highlight w:val="yellow"/>
        </w:rPr>
        <w:t>Recent field evidence indicates that institutional credit can improve crop productivity among small and marginal farmers, while the developmental outcomes of credit programmes may also depend on the quality of local intermediation and complementary advisory support (Yadav &amp; Rao, 2024; Maitra et al., 2024).</w:t>
      </w:r>
    </w:p>
    <w:p w14:paraId="50B1B5F8" w14:textId="77777777" w:rsidR="00C14183" w:rsidRDefault="00C14183" w:rsidP="00C14183">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Agricultural finance in India is commonly categori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ed into direct and indirect credit. Indirect credit supports organi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ations involved in agricultural input supply, procurement, storage, and marketing, including fertili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er companies, warehousing agencies, and the Food Corporation of India. Direct credit is provided directly to farmers for short-term production needs as well as medium- and long-term investment activities. Empirical evidence suggests that direct institutional lending contributes positively to agricultural production by facilitating timely investment in productive resources (Das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2009). Formal financial institutions have also encouraged more efficient resource utili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ation and stimulated private investment in agricultural capital assets such as irrigation facilities, farm machinery, and land improvement (Sidhu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2008).</w:t>
      </w:r>
    </w:p>
    <w:p w14:paraId="4C9ECB73" w14:textId="77777777" w:rsidR="00C14183" w:rsidRDefault="00C14183" w:rsidP="00C14183">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 xml:space="preserve">Although many studies report favourable outcomes associated with institutional agricultural credit, </w:t>
      </w:r>
      <w:r>
        <w:rPr>
          <w:rFonts w:ascii="Times New Roman" w:eastAsia="Times New Roman" w:hAnsi="Times New Roman" w:cs="Times New Roman"/>
          <w:highlight w:val="yellow"/>
          <w:lang w:eastAsia="en-IN"/>
        </w:rPr>
        <w:t>t</w:t>
      </w:r>
      <w:r>
        <w:rPr>
          <w:rFonts w:ascii="Times New Roman" w:eastAsia="Times New Roman" w:hAnsi="Times New Roman" w:cs="Times New Roman"/>
          <w:lang w:eastAsia="en-IN"/>
        </w:rPr>
        <w:t>he literature does not present a uniform conclusion regarding the impact of institutional credit on agricultural performance. Earlier studies</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such as Binswanger and Khandker (1992)</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noted that although formal finance encouraged greater use of inputs and supported investment in livestock and farm equipment, the overall effect on agricultural output remained relatively limited. Mohan (2006) similarly observed that the expansion of institutional lending did not translate into substantial improvements in aggregate production. </w:t>
      </w:r>
      <w:r>
        <w:rPr>
          <w:rFonts w:ascii="Times New Roman" w:eastAsia="Times New Roman" w:hAnsi="Times New Roman" w:cs="Times New Roman"/>
          <w:highlight w:val="yellow"/>
          <w:lang w:eastAsia="en-IN"/>
        </w:rPr>
        <w:t>K</w:t>
      </w:r>
      <w:r>
        <w:rPr>
          <w:rFonts w:ascii="Times New Roman" w:eastAsia="Times New Roman" w:hAnsi="Times New Roman" w:cs="Times New Roman"/>
          <w:lang w:eastAsia="en-IN"/>
        </w:rPr>
        <w:t>a</w:t>
      </w:r>
      <w:r>
        <w:rPr>
          <w:rFonts w:ascii="Times New Roman" w:eastAsia="Times New Roman" w:hAnsi="Times New Roman" w:cs="Times New Roman"/>
          <w:highlight w:val="yellow"/>
          <w:lang w:eastAsia="en-IN"/>
        </w:rPr>
        <w:t>nn</w:t>
      </w:r>
      <w:r>
        <w:rPr>
          <w:rFonts w:ascii="Times New Roman" w:eastAsia="Times New Roman" w:hAnsi="Times New Roman" w:cs="Times New Roman"/>
          <w:lang w:eastAsia="en-IN"/>
        </w:rPr>
        <w:t>a</w:t>
      </w:r>
      <w:r>
        <w:rPr>
          <w:rFonts w:ascii="Times New Roman" w:eastAsia="Times New Roman" w:hAnsi="Times New Roman" w:cs="Times New Roman"/>
          <w:highlight w:val="yellow"/>
          <w:lang w:eastAsia="en-IN"/>
        </w:rPr>
        <w:t>n</w:t>
      </w:r>
      <w:r>
        <w:rPr>
          <w:rFonts w:ascii="Times New Roman" w:eastAsia="Times New Roman" w:hAnsi="Times New Roman" w:cs="Times New Roman"/>
          <w:lang w:eastAsia="en-IN"/>
        </w:rPr>
        <w:t xml:space="preserve"> (2011) also reported only a marginal link between formal credit and crop productivity, suggesting that credit alone cannot drive agricultural growth without complementary institutional and infrastructural support. These contrasting findings suggest that increasing the volume of credit alone may not be sufficient unless financial resources are delivered efficiently and accompanied by complementary institutional support.</w:t>
      </w:r>
    </w:p>
    <w:p w14:paraId="02EFEB40" w14:textId="77777777" w:rsidR="00525521" w:rsidRDefault="00000000">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highlight w:val="yellow"/>
        </w:rPr>
        <w:t>Recent time-series evidence also identifies a long-run association between agricultural credit and agricultural GDP, while emphasising the importance of accessible institutional delivery arrangements (Parthiban &amp; Anjugam, 2022).</w:t>
      </w:r>
    </w:p>
    <w:p w14:paraId="49209C03" w14:textId="77777777" w:rsidR="00C14183" w:rsidRDefault="00C14183" w:rsidP="00C14183">
      <w:pPr>
        <w:autoSpaceDE w:val="0"/>
        <w:autoSpaceDN w:val="0"/>
        <w:adjustRightInd w:val="0"/>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Recent literature continues to emphasi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 the importance of strengthening rural financial systems in response to rising cultivation costs and increasing demand for investment in modern agriculture (Chand, 1992; Golait, 2007; Hoda &amp; Terway, 2015</w:t>
      </w:r>
      <w:r>
        <w:rPr>
          <w:rFonts w:ascii="Times New Roman" w:eastAsia="Times New Roman" w:hAnsi="Times New Roman" w:cs="Times New Roman"/>
          <w:highlight w:val="yellow"/>
          <w:lang w:eastAsia="en-IN"/>
        </w:rPr>
      </w:r>
      <w:r>
        <w:rPr>
          <w:rFonts w:ascii="Times New Roman" w:eastAsia="Times New Roman" w:hAnsi="Times New Roman" w:cs="Times New Roman"/>
          <w:lang w:eastAsia="en-IN"/>
        </w:rPr>
        <w:t xml:space="preserve">; Lamba, 2026; Kumar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2017). Contemporary studies also recogni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e rural finance as a critical component </w:t>
      </w:r>
      <w:r>
        <w:rPr>
          <w:rFonts w:ascii="Times New Roman" w:eastAsia="Times New Roman" w:hAnsi="Times New Roman" w:cs="Times New Roman"/>
          <w:highlight w:val="yellow"/>
          <w:lang w:eastAsia="en-IN"/>
        </w:rPr>
        <w:t>o</w:t>
      </w:r>
      <w:r>
        <w:rPr>
          <w:rFonts w:ascii="Times New Roman" w:eastAsia="Times New Roman" w:hAnsi="Times New Roman" w:cs="Times New Roman"/>
          <w:lang w:eastAsia="en-IN"/>
        </w:rPr>
        <w:t xml:space="preserve">f improving agribusiness competitiveness, enhancing farmer resilience, and promoting sustainable agricultural development (Ramasamy &amp; Malaiarasan, 2023; Lamba, 2026). Nevertheless, persistent challenges—including regional imbalances in credit allocation, inadequate institutional outreach among small and marginal farmers, and continued dependence on informal lenders—continue to constrain inclusive agricultural growth. Although small and marginal farmers constitute more </w:t>
      </w:r>
      <w:r>
        <w:rPr>
          <w:rFonts w:ascii="Times New Roman" w:eastAsia="Times New Roman" w:hAnsi="Times New Roman" w:cs="Times New Roman"/>
          <w:lang w:eastAsia="en-IN"/>
        </w:rPr>
        <w:lastRenderedPageBreak/>
        <w:t xml:space="preserve">than 86% of India’s farming households and cultivate nearly half of the country’s agricultural land, their share </w:t>
      </w:r>
      <w:r>
        <w:rPr>
          <w:rFonts w:ascii="Times New Roman" w:eastAsia="Times New Roman" w:hAnsi="Times New Roman" w:cs="Times New Roman"/>
          <w:highlight w:val="yellow"/>
          <w:lang w:eastAsia="en-IN"/>
        </w:rPr>
        <w:t>of</w:t>
      </w:r>
      <w:r>
        <w:rPr>
          <w:rFonts w:ascii="Times New Roman" w:eastAsia="Times New Roman" w:hAnsi="Times New Roman" w:cs="Times New Roman"/>
          <w:lang w:eastAsia="en-IN"/>
        </w:rPr>
        <w:t xml:space="preserve"> institutional agricultural lending remains disproportionately low at approximately 30% (Ramasamy &amp; Malaiarasan, 2023). Against this background, the present study investigates the evolution of India’s agricultural credit system, examines emerging trends in rural finance, evaluates existing challenges, and identifies opportunities for developing a more inclusive and sustainable financial framework capable of strengthening the long-term growth of the country’s agribusiness sector.</w:t>
      </w:r>
    </w:p>
    <w:p w14:paraId="030E0DEA" w14:textId="77777777" w:rsidR="00C14183" w:rsidRDefault="009A03A9" w:rsidP="00871CB5">
      <w:pPr>
        <w:spacing w:before="240"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bCs/>
          <w:lang w:eastAsia="en-IN"/>
        </w:rPr>
        <w:t xml:space="preserve">Present Scenario of Finance in </w:t>
      </w:r>
      <w:r>
        <w:rPr>
          <w:rFonts w:ascii="Times New Roman" w:eastAsia="Times New Roman" w:hAnsi="Times New Roman" w:cs="Times New Roman"/>
          <w:b/>
          <w:bCs/>
          <w:highlight w:val="yellow"/>
          <w:lang w:eastAsia="en-IN"/>
        </w:rPr>
        <w:t xml:space="preserve">the </w:t>
      </w:r>
      <w:r>
        <w:rPr>
          <w:rFonts w:ascii="Times New Roman" w:eastAsia="Times New Roman" w:hAnsi="Times New Roman" w:cs="Times New Roman"/>
          <w:b/>
          <w:bCs/>
          <w:lang w:eastAsia="en-IN"/>
        </w:rPr>
        <w:t xml:space="preserve">Agricultural </w:t>
      </w:r>
      <w:r>
        <w:rPr>
          <w:rFonts w:ascii="Times New Roman" w:eastAsia="Times New Roman" w:hAnsi="Times New Roman" w:cs="Times New Roman"/>
          <w:b/>
          <w:bCs/>
          <w:highlight w:val="yellow"/>
          <w:lang w:eastAsia="en-IN"/>
        </w:rPr>
        <w:t>S</w:t>
      </w:r>
      <w:r>
        <w:rPr>
          <w:rFonts w:ascii="Times New Roman" w:eastAsia="Times New Roman" w:hAnsi="Times New Roman" w:cs="Times New Roman"/>
          <w:b/>
          <w:bCs/>
          <w:lang w:eastAsia="en-IN"/>
        </w:rPr>
        <w:t xml:space="preserve">ector in India: </w:t>
      </w:r>
      <w:r>
        <w:rPr>
          <w:rFonts w:ascii="Times New Roman" w:eastAsia="Times New Roman" w:hAnsi="Times New Roman" w:cs="Times New Roman"/>
          <w:lang w:eastAsia="en-IN"/>
        </w:rPr>
        <w:t>The agricultural sector in India continues to operate under a combination of structural, economic, and environmental constraints that affect both farm productivity and financial stability. A significant proportion of the country</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s population still depends on agriculture for its livelihood, despite increasing pressure from fragmented landholdings that restrict economies of scale and limit farm profitability. Agricultural production is further challenged by climate variability, recurring pest and disease outbreaks, inadequate irrigation infrastructure, unreliable electricity supply, and frequent policy uncertainties. Moreover, insufficient investment in modern storage facilities, cold-chain infrastructure, and post-harvest management contributes to considerable losses of agricultural produce each year, underscoring the need for sustained capital investment in rural infrastructure.</w:t>
      </w:r>
    </w:p>
    <w:p w14:paraId="4D3886ED" w14:textId="77777777" w:rsidR="00C14183" w:rsidRDefault="00C14183" w:rsidP="00871CB5">
      <w:pPr>
        <w:spacing w:before="240"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In response to the changing needs of the rural economy, the National Bank for Agriculture and Rural Development (NABARD) has progressively expanded its institutional capacity by establishing specialised divisions dedicated to emerging areas such as climate-resilient agriculture, digital financial services, and rural distress management (NABARD, 2021</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2023). Its extensive administrative network strengthens the implementation of rural development programmes by maintaining close coordination with local institutions. As of 2024, NABARD functions through 31 regional offices and 424 District Development Offices, enabling decentralised planning, region-specific interventions, and effective collaboration with state governments and local agencies for implementing rural development initiatives (NABARD, 2021</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2024).</w:t>
      </w:r>
    </w:p>
    <w:p w14:paraId="0C9CFF6E" w14:textId="77777777" w:rsidR="00C14183" w:rsidRDefault="0008230B" w:rsidP="00871CB5">
      <w:pPr>
        <w:spacing w:before="240" w:after="0" w:line="360" w:lineRule="auto"/>
        <w:jc w:val="both"/>
        <w:rPr>
          <w:rFonts w:ascii="Times New Roman" w:eastAsia="Times New Roman" w:hAnsi="Times New Roman" w:cs="Times New Roman"/>
          <w:lang w:eastAsia="en-IN"/>
        </w:rPr>
      </w:pPr>
      <w:r w:rsidRPr="0008230B">
        <w:rPr>
          <w:rFonts w:ascii="Times New Roman" w:eastAsia="Times New Roman" w:hAnsi="Times New Roman" w:cs="Times New Roman"/>
          <w:lang w:eastAsia="en-IN"/>
        </w:rPr>
        <w:t>Agricultural financing in India operates through a dual structure that includes both formal and informal channels. The institutional segment consists of banks, cooperatives, and specialised development agencies, while the non‑institutional segment comprises moneylenders, traders, landlords, and other informal providers. Together, these sources shape the overall credit landscape available to rural households.</w:t>
      </w:r>
      <w:r>
        <w:rPr>
          <w:rFonts w:ascii="Times New Roman" w:eastAsia="Times New Roman" w:hAnsi="Times New Roman" w:cs="Times New Roman"/>
          <w:lang w:eastAsia="en-IN"/>
        </w:rPr>
        <w:t xml:space="preserve"> </w:t>
      </w:r>
      <w:r w:rsidR="00C14183" w:rsidRPr="00C14183">
        <w:rPr>
          <w:rFonts w:ascii="Times New Roman" w:eastAsia="Times New Roman" w:hAnsi="Times New Roman" w:cs="Times New Roman"/>
          <w:lang w:eastAsia="en-IN"/>
        </w:rPr>
        <w:t xml:space="preserve">Institutional </w:t>
      </w:r>
      <w:r w:rsidR="000902E1">
        <w:rPr>
          <w:rFonts w:ascii="Times New Roman" w:eastAsia="Times New Roman" w:hAnsi="Times New Roman" w:cs="Times New Roman"/>
          <w:lang w:eastAsia="en-IN"/>
        </w:rPr>
        <w:t>credit</w:t>
      </w:r>
      <w:r w:rsidR="00C14183" w:rsidRPr="00C14183">
        <w:rPr>
          <w:rFonts w:ascii="Times New Roman" w:eastAsia="Times New Roman" w:hAnsi="Times New Roman" w:cs="Times New Roman"/>
          <w:lang w:eastAsia="en-IN"/>
        </w:rPr>
        <w:t xml:space="preserve"> is primarily delivered through organisations such as the RBI, NABARD, </w:t>
      </w:r>
      <w:r w:rsidR="000902E1">
        <w:rPr>
          <w:rFonts w:ascii="Times New Roman" w:eastAsia="Times New Roman" w:hAnsi="Times New Roman" w:cs="Times New Roman"/>
          <w:lang w:eastAsia="en-IN"/>
        </w:rPr>
        <w:t>CCI (C</w:t>
      </w:r>
      <w:r w:rsidR="00C14183" w:rsidRPr="00C14183">
        <w:rPr>
          <w:rFonts w:ascii="Times New Roman" w:eastAsia="Times New Roman" w:hAnsi="Times New Roman" w:cs="Times New Roman"/>
          <w:lang w:eastAsia="en-IN"/>
        </w:rPr>
        <w:t xml:space="preserve">ooperative </w:t>
      </w:r>
      <w:r w:rsidR="000902E1">
        <w:rPr>
          <w:rFonts w:ascii="Times New Roman" w:eastAsia="Times New Roman" w:hAnsi="Times New Roman" w:cs="Times New Roman"/>
          <w:lang w:eastAsia="en-IN"/>
        </w:rPr>
        <w:t>C</w:t>
      </w:r>
      <w:r w:rsidR="00C14183" w:rsidRPr="00C14183">
        <w:rPr>
          <w:rFonts w:ascii="Times New Roman" w:eastAsia="Times New Roman" w:hAnsi="Times New Roman" w:cs="Times New Roman"/>
          <w:lang w:eastAsia="en-IN"/>
        </w:rPr>
        <w:t xml:space="preserve">redit </w:t>
      </w:r>
      <w:r w:rsidR="000902E1">
        <w:rPr>
          <w:rFonts w:ascii="Times New Roman" w:eastAsia="Times New Roman" w:hAnsi="Times New Roman" w:cs="Times New Roman"/>
          <w:lang w:eastAsia="en-IN"/>
        </w:rPr>
        <w:t>I</w:t>
      </w:r>
      <w:r w:rsidR="00C14183" w:rsidRPr="00C14183">
        <w:rPr>
          <w:rFonts w:ascii="Times New Roman" w:eastAsia="Times New Roman" w:hAnsi="Times New Roman" w:cs="Times New Roman"/>
          <w:lang w:eastAsia="en-IN"/>
        </w:rPr>
        <w:t>nstitutions</w:t>
      </w:r>
      <w:r w:rsidR="000902E1">
        <w:rPr>
          <w:rFonts w:ascii="Times New Roman" w:eastAsia="Times New Roman" w:hAnsi="Times New Roman" w:cs="Times New Roman"/>
          <w:lang w:eastAsia="en-IN"/>
        </w:rPr>
        <w:t>)</w:t>
      </w:r>
      <w:r w:rsidR="00C14183" w:rsidRPr="00C14183">
        <w:rPr>
          <w:rFonts w:ascii="Times New Roman" w:eastAsia="Times New Roman" w:hAnsi="Times New Roman" w:cs="Times New Roman"/>
          <w:lang w:eastAsia="en-IN"/>
        </w:rPr>
        <w:t xml:space="preserve">, Regional Rural Banks (RRBs), and scheduled commercial banks. Alongside these formal mechanisms, a substantial proportion of rural households continues to rely on informal lenders, including moneylenders, traders, commission agents, and landlords. Government support measures, including direct benefit transfer (DBT) programmes, subsidised electricity, and other agricultural </w:t>
      </w:r>
      <w:r w:rsidR="00C14183" w:rsidRPr="00C14183">
        <w:rPr>
          <w:rFonts w:ascii="Times New Roman" w:eastAsia="Times New Roman" w:hAnsi="Times New Roman" w:cs="Times New Roman"/>
          <w:lang w:eastAsia="en-IN"/>
        </w:rPr>
        <w:lastRenderedPageBreak/>
        <w:t>assistance schemes, also complement the rural financial ecosystem by reducing production costs and improving farmers' access to financial support.</w:t>
      </w:r>
    </w:p>
    <w:p w14:paraId="7DFFD475" w14:textId="77777777" w:rsidR="00525521" w:rsidRDefault="00000000">
      <w:pPr>
        <w:spacing w:before="240"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highlight w:val="yellow"/>
        </w:rPr>
        <w:t>Recent analysis of the Self-Help Group-Bank Linkage Programme in India identifies substantial expansion alongside continuing regional and institutional disparities, underscoring the need for focused and inclusive implementation (Saha et al., 2025).</w:t>
      </w:r>
    </w:p>
    <w:p w14:paraId="5A8680DE" w14:textId="77777777" w:rsidR="00C14183" w:rsidRDefault="00C14183" w:rsidP="00871CB5">
      <w:pPr>
        <w:spacing w:before="240"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Despite considerable expansion in institutional lending, dependence on informal credit persists in many parts of the country. Informal lenders generally provide quick and collateral-free loans but often impose excessively high interest rates, increasing the likelihood of long-term indebtedness. Financial vulnerability becomes even more severe when farmers experience crop failures resulting from erratic rainfall, declining productivity, or adverse climatic events, making loan repayment increasingly difficult. In many rural regions, repeated borrowing under such circumstances has contributed to chronic indebtedness, financial distress, and, in extreme cases, farmer suicides. Although recent evidence suggests that institutional agricultural lending has grown substantially, informal borrowing continues to account for a significant share of rural credit in several states, indicating that access to formal financial services remains uneven (Ramasamy &amp; Malaiarasan, 2023; Lamba, 2026).</w:t>
      </w:r>
    </w:p>
    <w:p w14:paraId="750AA1EE" w14:textId="77777777" w:rsidR="00525521" w:rsidRDefault="00000000">
      <w:pPr>
        <w:spacing w:before="240"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highlight w:val="yellow"/>
        </w:rPr>
        <w:t>Recent policy analysis further shows that informal lending persists despite sustained efforts to expand formal credit, indicating that institutional growth does not automatically eliminate farmers’ reliance on multiple borrowing sources (Tripuraneni &amp; Robbins, 2024).</w:t>
      </w:r>
    </w:p>
    <w:p w14:paraId="33F32D22" w14:textId="77777777" w:rsidR="00C14183" w:rsidRDefault="00C14183" w:rsidP="00871CB5">
      <w:pPr>
        <w:spacing w:before="240" w:after="0" w:line="360" w:lineRule="auto"/>
        <w:jc w:val="both"/>
        <w:rPr>
          <w:rFonts w:ascii="Times New Roman" w:eastAsia="Times New Roman" w:hAnsi="Times New Roman" w:cs="Times New Roman"/>
          <w:lang w:eastAsia="en-IN"/>
        </w:rPr>
      </w:pPr>
      <w:r w:rsidRPr="00C14183">
        <w:rPr>
          <w:rFonts w:ascii="Times New Roman" w:eastAsia="Times New Roman" w:hAnsi="Times New Roman" w:cs="Times New Roman"/>
          <w:lang w:eastAsia="en-IN"/>
        </w:rPr>
        <w:t>Alongside improvements in domestic financial institutions, investment from foreign sources has also supported the development of India's agri-food sector. According to the Department for Promotion of Industry and Internal Trade (DPIIT), cumulative Foreign Direct Investment (FDI) equity inflows into the food processing industry amounted to approximately US$9.98 billion between April 2000 and March 2020. This steady increase in foreign investment reflects growing confidence in India's agricultural value chains and highlights the expanding role of private capital in strengthening agribusiness, food processing, and rural economic development (DPIIT, 2020)</w:t>
      </w:r>
      <w:r w:rsidR="005A45F3" w:rsidRPr="005A45F3">
        <w:rPr>
          <w:rFonts w:ascii="Times New Roman" w:eastAsia="Times New Roman" w:hAnsi="Times New Roman" w:cs="Times New Roman"/>
          <w:i/>
          <w:iCs/>
          <w:lang w:eastAsia="en-IN"/>
        </w:rPr>
      </w:r>
      <w:r w:rsidRPr="00C14183">
        <w:rPr>
          <w:rFonts w:ascii="Times New Roman" w:eastAsia="Times New Roman" w:hAnsi="Times New Roman" w:cs="Times New Roman"/>
          <w:lang w:eastAsia="en-IN"/>
        </w:rPr>
        <w:t>.</w:t>
      </w:r>
    </w:p>
    <w:p w14:paraId="13174CFE" w14:textId="77777777" w:rsidR="00525521" w:rsidRDefault="00000000">
      <w:pPr>
        <w:spacing w:before="240"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highlight w:val="yellow"/>
        </w:rPr>
        <w:t>Despite the breadth of existing scholarship, limited attention has been given to an integrated assessment that connects the historical evolution of rural finance with agency-wise and regional credit patterns, persistent informal borrowing, and the implications of these factors for sustainable agribusiness development in India. The present study addresses this gap by synthesising official secondary data and relevant literature within a unified analytical framework.</w:t>
      </w:r>
    </w:p>
    <w:p w14:paraId="7FF1655D" w14:textId="77777777" w:rsidR="00484848" w:rsidRPr="001F7EA5" w:rsidRDefault="00A20242" w:rsidP="00AA17E6">
      <w:pPr>
        <w:spacing w:after="0" w:line="360" w:lineRule="auto"/>
        <w:jc w:val="both"/>
        <w:rPr>
          <w:rFonts w:ascii="Times New Roman" w:eastAsia="Times New Roman" w:hAnsi="Times New Roman" w:cs="Times New Roman"/>
          <w:bCs/>
          <w:lang w:eastAsia="en-IN"/>
        </w:rPr>
      </w:pPr>
      <w:r w:rsidRPr="001F7EA5">
        <w:rPr>
          <w:rFonts w:ascii="Times New Roman" w:eastAsia="Times New Roman" w:hAnsi="Times New Roman" w:cs="Times New Roman"/>
          <w:bCs/>
          <w:lang w:eastAsia="en-IN"/>
        </w:rPr>
        <w:t>Objectives of the study are:</w:t>
      </w:r>
    </w:p>
    <w:p w14:paraId="6ACAB0B8" w14:textId="77777777" w:rsidR="00C1172A" w:rsidRPr="001F7EA5" w:rsidRDefault="004E49D5" w:rsidP="00C1172A">
      <w:pPr>
        <w:numPr>
          <w:ilvl w:val="0"/>
          <w:numId w:val="28"/>
        </w:numPr>
        <w:spacing w:after="0" w:line="360" w:lineRule="auto"/>
        <w:ind w:left="426" w:hanging="426"/>
        <w:jc w:val="both"/>
        <w:rPr>
          <w:rFonts w:ascii="Times New Roman" w:eastAsia="Times New Roman" w:hAnsi="Times New Roman" w:cs="Times New Roman"/>
          <w:lang w:eastAsia="en-IN"/>
        </w:rPr>
      </w:pPr>
      <w:r>
        <w:rPr>
          <w:rFonts w:ascii="Times New Roman" w:eastAsia="Times New Roman" w:hAnsi="Times New Roman" w:cs="Times New Roman"/>
          <w:lang w:eastAsia="en-IN"/>
        </w:rPr>
        <w:t>Analy</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 the evolution and trends in India’s agricultural credit systems.</w:t>
      </w:r>
    </w:p>
    <w:p w14:paraId="7CEA807F" w14:textId="77777777" w:rsidR="00C1172A" w:rsidRPr="001F7EA5" w:rsidRDefault="00C10FD9" w:rsidP="00C1172A">
      <w:pPr>
        <w:numPr>
          <w:ilvl w:val="0"/>
          <w:numId w:val="28"/>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 xml:space="preserve">Evaluate the contribution of key institutional </w:t>
      </w:r>
      <w:r w:rsidR="00C1172A" w:rsidRPr="001F7EA5">
        <w:rPr>
          <w:rFonts w:ascii="Times New Roman" w:eastAsia="Times New Roman" w:hAnsi="Times New Roman" w:cs="Times New Roman"/>
          <w:lang w:eastAsia="en-IN"/>
        </w:rPr>
        <w:t xml:space="preserve">credit </w:t>
      </w:r>
      <w:r w:rsidR="00A3299E" w:rsidRPr="001F7EA5">
        <w:rPr>
          <w:rFonts w:ascii="Times New Roman" w:eastAsia="Times New Roman" w:hAnsi="Times New Roman" w:cs="Times New Roman"/>
          <w:lang w:eastAsia="en-IN"/>
        </w:rPr>
        <w:t xml:space="preserve">mechanisms </w:t>
      </w:r>
      <w:r w:rsidRPr="001F7EA5">
        <w:rPr>
          <w:rFonts w:ascii="Times New Roman" w:eastAsia="Times New Roman" w:hAnsi="Times New Roman" w:cs="Times New Roman"/>
          <w:lang w:eastAsia="en-IN"/>
        </w:rPr>
        <w:t>in advancing agribusiness finance.</w:t>
      </w:r>
    </w:p>
    <w:p w14:paraId="4B507981" w14:textId="77777777" w:rsidR="00C1172A" w:rsidRPr="001F7EA5" w:rsidRDefault="00484848" w:rsidP="00C1172A">
      <w:pPr>
        <w:numPr>
          <w:ilvl w:val="0"/>
          <w:numId w:val="28"/>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lastRenderedPageBreak/>
        <w:t>Identify the regional disparities and challenges in agricultural credit dist</w:t>
      </w:r>
      <w:r w:rsidR="00C10FD9" w:rsidRPr="001F7EA5">
        <w:rPr>
          <w:rFonts w:ascii="Times New Roman" w:eastAsia="Times New Roman" w:hAnsi="Times New Roman" w:cs="Times New Roman"/>
          <w:lang w:eastAsia="en-IN"/>
        </w:rPr>
        <w:t>ribution and their implications.</w:t>
      </w:r>
    </w:p>
    <w:p w14:paraId="69521CF5" w14:textId="77777777" w:rsidR="00D072C4" w:rsidRDefault="00484848" w:rsidP="00D072C4">
      <w:pPr>
        <w:numPr>
          <w:ilvl w:val="0"/>
          <w:numId w:val="28"/>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Propose strategies to strengthen rural finance systems for sust</w:t>
      </w:r>
      <w:r w:rsidR="00C10FD9" w:rsidRPr="001F7EA5">
        <w:rPr>
          <w:rFonts w:ascii="Times New Roman" w:eastAsia="Times New Roman" w:hAnsi="Times New Roman" w:cs="Times New Roman"/>
          <w:lang w:eastAsia="en-IN"/>
        </w:rPr>
        <w:t>ainable agribusiness growth</w:t>
      </w:r>
      <w:r w:rsidRPr="001F7EA5">
        <w:rPr>
          <w:rFonts w:ascii="Times New Roman" w:eastAsia="Times New Roman" w:hAnsi="Times New Roman" w:cs="Times New Roman"/>
          <w:lang w:eastAsia="en-IN"/>
        </w:rPr>
        <w:t>.</w:t>
      </w:r>
    </w:p>
    <w:p w14:paraId="0E2DCDB5" w14:textId="77777777" w:rsidR="00105014" w:rsidRPr="001F7EA5" w:rsidRDefault="00105014" w:rsidP="00105014">
      <w:pPr>
        <w:spacing w:after="0" w:line="360" w:lineRule="auto"/>
        <w:ind w:left="426"/>
        <w:jc w:val="both"/>
        <w:rPr>
          <w:rFonts w:ascii="Times New Roman" w:eastAsia="Times New Roman" w:hAnsi="Times New Roman" w:cs="Times New Roman"/>
          <w:lang w:eastAsia="en-IN"/>
        </w:rPr>
      </w:pPr>
    </w:p>
    <w:p w14:paraId="0E393F0C" w14:textId="77777777" w:rsidR="00D072C4" w:rsidRPr="001F7EA5" w:rsidRDefault="00A20242" w:rsidP="00D072C4">
      <w:pPr>
        <w:spacing w:after="0" w:line="360" w:lineRule="auto"/>
        <w:jc w:val="both"/>
        <w:rPr>
          <w:rFonts w:ascii="Times New Roman" w:eastAsia="Times New Roman" w:hAnsi="Times New Roman" w:cs="Times New Roman"/>
          <w:b/>
          <w:bCs/>
          <w:lang w:eastAsia="en-IN"/>
        </w:rPr>
      </w:pPr>
      <w:r w:rsidRPr="001F7EA5">
        <w:rPr>
          <w:rFonts w:ascii="Times New Roman" w:eastAsia="Times New Roman" w:hAnsi="Times New Roman" w:cs="Times New Roman"/>
          <w:b/>
          <w:bCs/>
          <w:lang w:eastAsia="en-IN"/>
        </w:rPr>
        <w:t>METHODS</w:t>
      </w:r>
      <w:r w:rsidR="00D072C4" w:rsidRPr="001F7EA5">
        <w:rPr>
          <w:rFonts w:ascii="Times New Roman" w:eastAsia="Times New Roman" w:hAnsi="Times New Roman" w:cs="Times New Roman"/>
          <w:b/>
          <w:bCs/>
          <w:lang w:eastAsia="en-IN"/>
        </w:rPr>
        <w:t xml:space="preserve"> </w:t>
      </w:r>
      <w:r w:rsidR="007E139F">
        <w:rPr>
          <w:rFonts w:ascii="Times New Roman" w:eastAsia="Times New Roman" w:hAnsi="Times New Roman" w:cs="Times New Roman"/>
          <w:b/>
          <w:bCs/>
          <w:lang w:eastAsia="en-IN"/>
        </w:rPr>
        <w:t>&amp; MATERIALS</w:t>
      </w:r>
    </w:p>
    <w:p w14:paraId="45345BDE" w14:textId="77777777" w:rsidR="00A17DC5" w:rsidRPr="001F7EA5" w:rsidRDefault="000A3108" w:rsidP="00E971C5">
      <w:pPr>
        <w:spacing w:after="0" w:line="360" w:lineRule="auto"/>
        <w:jc w:val="both"/>
        <w:rPr>
          <w:rFonts w:ascii="Times New Roman" w:eastAsia="Times New Roman" w:hAnsi="Times New Roman" w:cs="Times New Roman"/>
          <w:bCs/>
          <w:lang w:eastAsia="en-IN"/>
        </w:rPr>
      </w:pPr>
      <w:r>
        <w:rPr>
          <w:rFonts w:ascii="Times New Roman" w:eastAsia="Times New Roman" w:hAnsi="Times New Roman" w:cs="Times New Roman"/>
          <w:bCs/>
          <w:lang w:eastAsia="en-IN"/>
        </w:rPr>
        <w:t xml:space="preserve">The research is based mainly on secondary information collected from NABARD databases, </w:t>
      </w:r>
      <w:r>
        <w:rPr>
          <w:rFonts w:ascii="Times New Roman" w:eastAsia="Times New Roman" w:hAnsi="Times New Roman" w:cs="Times New Roman"/>
          <w:bCs/>
          <w:highlight w:val="yellow"/>
          <w:lang w:eastAsia="en-IN"/>
        </w:rPr>
        <w:t xml:space="preserve">the </w:t>
      </w:r>
      <w:r>
        <w:rPr>
          <w:rFonts w:ascii="Times New Roman" w:eastAsia="Times New Roman" w:hAnsi="Times New Roman" w:cs="Times New Roman"/>
          <w:bCs/>
          <w:lang w:eastAsia="en-IN"/>
        </w:rPr>
        <w:t>AIDIS (All-India Debt and Investment Survey), and other official government sources</w:t>
      </w:r>
      <w:r>
        <w:rPr>
          <w:rFonts w:ascii="Times New Roman" w:eastAsia="Times New Roman" w:hAnsi="Times New Roman" w:cs="Times New Roman"/>
          <w:bCs/>
          <w:highlight w:val="yellow"/>
          <w:lang w:eastAsia="en-IN"/>
        </w:rPr>
        <w:t xml:space="preserve"> (National Statistical Office, n.d.)</w:t>
      </w:r>
      <w:r>
        <w:rPr>
          <w:rFonts w:ascii="Times New Roman" w:eastAsia="Times New Roman" w:hAnsi="Times New Roman" w:cs="Times New Roman"/>
          <w:bCs/>
          <w:lang w:eastAsia="en-IN"/>
        </w:rPr>
        <w:t xml:space="preserve">. Scholarly publications and reports from the Ministry of Agriculture and Farmers Welfare further informed the analysis by providing insights into evolving trends in rural finance. </w:t>
      </w:r>
      <w:r>
        <w:rPr>
          <w:rFonts w:ascii="Times New Roman" w:eastAsia="Times New Roman" w:hAnsi="Times New Roman" w:cs="Times New Roman"/>
          <w:bCs/>
          <w:highlight w:val="yellow"/>
          <w:lang w:eastAsia="en-IN"/>
        </w:rPr>
        <w:t>The a</w:t>
      </w:r>
      <w:r>
        <w:rPr>
          <w:rFonts w:ascii="Times New Roman" w:eastAsia="Times New Roman" w:hAnsi="Times New Roman" w:cs="Times New Roman"/>
          <w:bCs/>
          <w:lang w:eastAsia="en-IN"/>
        </w:rPr>
        <w:t xml:space="preserve">nalysis </w:t>
      </w:r>
      <w:r>
        <w:rPr>
          <w:rFonts w:ascii="Times New Roman" w:eastAsia="Times New Roman" w:hAnsi="Times New Roman" w:cs="Times New Roman"/>
          <w:bCs/>
          <w:highlight w:val="yellow"/>
          <w:lang w:eastAsia="en-IN"/>
        </w:rPr>
        <w:t>examine</w:t>
      </w:r>
      <w:r>
        <w:rPr>
          <w:rFonts w:ascii="Times New Roman" w:eastAsia="Times New Roman" w:hAnsi="Times New Roman" w:cs="Times New Roman"/>
          <w:bCs/>
          <w:lang w:eastAsia="en-IN"/>
        </w:rPr>
        <w:t>d credit</w:t>
      </w:r>
      <w:r>
        <w:rPr>
          <w:rFonts w:ascii="Times New Roman" w:eastAsia="Times New Roman" w:hAnsi="Times New Roman" w:cs="Times New Roman"/>
          <w:bCs/>
          <w:highlight w:val="yellow"/>
          <w:lang w:eastAsia="en-IN"/>
        </w:rPr>
        <w:t>-</w:t>
      </w:r>
      <w:r>
        <w:rPr>
          <w:rFonts w:ascii="Times New Roman" w:eastAsia="Times New Roman" w:hAnsi="Times New Roman" w:cs="Times New Roman"/>
          <w:bCs/>
          <w:lang w:eastAsia="en-IN"/>
        </w:rPr>
        <w:t>flow pattern</w:t>
      </w:r>
      <w:r>
        <w:rPr>
          <w:rFonts w:ascii="Times New Roman" w:eastAsia="Times New Roman" w:hAnsi="Times New Roman" w:cs="Times New Roman"/>
          <w:bCs/>
          <w:highlight w:val="yellow"/>
          <w:lang w:eastAsia="en-IN"/>
        </w:rPr>
        <w:t>s</w:t>
      </w:r>
      <w:r>
        <w:rPr>
          <w:rFonts w:ascii="Times New Roman" w:eastAsia="Times New Roman" w:hAnsi="Times New Roman" w:cs="Times New Roman"/>
          <w:bCs/>
          <w:lang w:eastAsia="en-IN"/>
        </w:rPr>
        <w:t xml:space="preserve">, agency-wise disbursement, and regional disparities </w:t>
      </w:r>
      <w:r>
        <w:rPr>
          <w:rFonts w:ascii="Times New Roman" w:eastAsia="Times New Roman" w:hAnsi="Times New Roman" w:cs="Times New Roman"/>
          <w:bCs/>
          <w:highlight w:val="yellow"/>
          <w:lang w:eastAsia="en-IN"/>
        </w:rPr>
        <w:t>us</w:t>
      </w:r>
      <w:r>
        <w:rPr>
          <w:rFonts w:ascii="Times New Roman" w:eastAsia="Times New Roman" w:hAnsi="Times New Roman" w:cs="Times New Roman"/>
          <w:bCs/>
          <w:lang w:eastAsia="en-IN"/>
        </w:rPr>
        <w:t>i</w:t>
      </w:r>
      <w:r>
        <w:rPr>
          <w:rFonts w:ascii="Times New Roman" w:eastAsia="Times New Roman" w:hAnsi="Times New Roman" w:cs="Times New Roman"/>
          <w:bCs/>
          <w:highlight w:val="yellow"/>
          <w:lang w:eastAsia="en-IN"/>
        </w:rPr>
        <w:t>ng</w:t>
      </w:r>
      <w:r>
        <w:rPr>
          <w:rFonts w:ascii="Times New Roman" w:eastAsia="Times New Roman" w:hAnsi="Times New Roman" w:cs="Times New Roman"/>
          <w:bCs/>
          <w:lang w:eastAsia="en-IN"/>
        </w:rPr>
        <w:t xml:space="preserve"> </w:t>
      </w:r>
      <w:r>
        <w:rPr>
          <w:rFonts w:ascii="Times New Roman" w:eastAsia="Times New Roman" w:hAnsi="Times New Roman" w:cs="Times New Roman"/>
          <w:bCs/>
          <w:highlight w:val="yellow"/>
          <w:lang w:eastAsia="en-IN"/>
        </w:rPr>
        <w:t>NABARD</w:t>
      </w:r>
      <w:r>
        <w:rPr>
          <w:rFonts w:ascii="Times New Roman" w:eastAsia="Times New Roman" w:hAnsi="Times New Roman" w:cs="Times New Roman"/>
          <w:bCs/>
          <w:lang w:eastAsia="en-IN"/>
        </w:rPr>
        <w:t xml:space="preserve"> reports </w:t>
      </w:r>
      <w:r>
        <w:rPr>
          <w:rFonts w:ascii="Times New Roman" w:eastAsia="Times New Roman" w:hAnsi="Times New Roman" w:cs="Times New Roman"/>
          <w:bCs/>
          <w:highlight w:val="yellow"/>
          <w:lang w:eastAsia="en-IN"/>
        </w:rPr>
        <w:t>and</w:t>
      </w:r>
      <w:r>
        <w:rPr>
          <w:rFonts w:ascii="Times New Roman" w:eastAsia="Times New Roman" w:hAnsi="Times New Roman" w:cs="Times New Roman"/>
          <w:bCs/>
          <w:lang w:eastAsia="en-IN"/>
        </w:rPr>
        <w:t xml:space="preserve"> data. This methodological approach enabled a comprehensive understanding of the evolution of rural finance, the challenges faced by agribusiness, and the strategies required to strengthen agricultural credit systems in India. The findings highlight the importance of institutions</w:t>
      </w:r>
      <w:r>
        <w:rPr>
          <w:rFonts w:ascii="Times New Roman" w:eastAsia="Times New Roman" w:hAnsi="Times New Roman" w:cs="Times New Roman"/>
          <w:bCs/>
          <w:highlight w:val="yellow"/>
          <w:lang w:eastAsia="en-IN"/>
        </w:rPr>
        <w:t>,</w:t>
      </w:r>
      <w:r>
        <w:rPr>
          <w:rFonts w:ascii="Times New Roman" w:eastAsia="Times New Roman" w:hAnsi="Times New Roman" w:cs="Times New Roman"/>
          <w:bCs/>
          <w:lang w:eastAsia="en-IN"/>
        </w:rPr>
        <w:t xml:space="preserve"> including NABARD and RRBs</w:t>
      </w:r>
      <w:r>
        <w:rPr>
          <w:rFonts w:ascii="Times New Roman" w:eastAsia="Times New Roman" w:hAnsi="Times New Roman" w:cs="Times New Roman"/>
          <w:bCs/>
          <w:highlight w:val="yellow"/>
          <w:lang w:eastAsia="en-IN"/>
        </w:rPr>
        <w:t>,</w:t>
      </w:r>
      <w:r>
        <w:rPr>
          <w:rFonts w:ascii="Times New Roman" w:eastAsia="Times New Roman" w:hAnsi="Times New Roman" w:cs="Times New Roman"/>
          <w:bCs/>
          <w:lang w:eastAsia="en-IN"/>
        </w:rPr>
        <w:t xml:space="preserve"> in reducing credit gaps </w:t>
      </w:r>
      <w:r>
        <w:rPr>
          <w:rFonts w:ascii="Times New Roman" w:eastAsia="Times New Roman" w:hAnsi="Times New Roman" w:cs="Times New Roman"/>
          <w:bCs/>
          <w:highlight w:val="yellow"/>
          <w:lang w:eastAsia="en-IN"/>
        </w:rPr>
        <w:t>and</w:t>
      </w:r>
      <w:r>
        <w:rPr>
          <w:rFonts w:ascii="Times New Roman" w:eastAsia="Times New Roman" w:hAnsi="Times New Roman" w:cs="Times New Roman"/>
          <w:bCs/>
          <w:lang w:eastAsia="en-IN"/>
        </w:rPr>
        <w:t xml:space="preserve"> promoting inclusive and sustainable rural development.</w:t>
      </w:r>
    </w:p>
    <w:p w14:paraId="04B52972" w14:textId="77777777" w:rsidR="00E971C5" w:rsidRPr="001F7EA5" w:rsidRDefault="00242DCA" w:rsidP="00105014">
      <w:pPr>
        <w:spacing w:before="240" w:after="0" w:line="360" w:lineRule="auto"/>
        <w:jc w:val="both"/>
        <w:rPr>
          <w:rFonts w:ascii="Times New Roman" w:eastAsia="Times New Roman" w:hAnsi="Times New Roman" w:cs="Times New Roman"/>
          <w:b/>
          <w:bCs/>
          <w:lang w:eastAsia="en-IN"/>
        </w:rPr>
      </w:pPr>
      <w:r w:rsidRPr="001F7EA5">
        <w:rPr>
          <w:rFonts w:ascii="Times New Roman" w:eastAsia="Times New Roman" w:hAnsi="Times New Roman" w:cs="Times New Roman"/>
          <w:b/>
          <w:bCs/>
          <w:lang w:eastAsia="en-IN"/>
        </w:rPr>
        <w:t>RESULTS</w:t>
      </w:r>
      <w:r w:rsidR="007E139F">
        <w:rPr>
          <w:rFonts w:ascii="Times New Roman" w:eastAsia="Times New Roman" w:hAnsi="Times New Roman" w:cs="Times New Roman"/>
          <w:b/>
          <w:bCs/>
          <w:lang w:eastAsia="en-IN"/>
        </w:rPr>
        <w:t xml:space="preserve"> &amp; DISCUSSION </w:t>
      </w:r>
    </w:p>
    <w:p w14:paraId="3503AD11" w14:textId="77777777" w:rsidR="00803FCE" w:rsidRDefault="00306557" w:rsidP="00C1172A">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In India</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agricultural finance is primarily obtained from two broad categories of sources: institutional channels (such as banks and cooperatives) and non</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institutional channels (including moneylenders, traders, and informal lenders). Both have made substantial contributions to the growth of rural finance, and each has its own</w:t>
      </w:r>
      <w:r>
        <w:rPr>
          <w:rFonts w:ascii="Times New Roman" w:eastAsia="Times New Roman" w:hAnsi="Times New Roman" w:cs="Times New Roman"/>
          <w:highlight w:val="yellow"/>
          <w:lang w:eastAsia="en-IN"/>
        </w:rPr>
        <w:t xml:space="preserve"> advantages and limitations</w:t>
      </w:r>
      <w:r>
        <w:rPr>
          <w:rFonts w:ascii="Times New Roman" w:eastAsia="Times New Roman" w:hAnsi="Times New Roman" w:cs="Times New Roman"/>
          <w:lang w:eastAsia="en-IN"/>
        </w:rPr>
        <w:t xml:space="preserve"> (Kesarwani </w:t>
      </w:r>
      <w:r>
        <w:rPr>
          <w:rFonts w:ascii="Times New Roman" w:eastAsia="Times New Roman" w:hAnsi="Times New Roman" w:cs="Times New Roman"/>
          <w:i/>
          <w:lang w:eastAsia="en-IN"/>
        </w:rPr>
        <w:t>et al.</w:t>
      </w:r>
      <w:r>
        <w:rPr>
          <w:rFonts w:ascii="Times New Roman" w:eastAsia="Times New Roman" w:hAnsi="Times New Roman" w:cs="Times New Roman"/>
          <w:i/>
          <w:highlight w:val="yellow"/>
          <w:lang w:eastAsia="en-IN"/>
        </w:rPr>
        <w:t>,</w:t>
      </w:r>
      <w:r>
        <w:rPr>
          <w:rFonts w:ascii="Times New Roman" w:eastAsia="Times New Roman" w:hAnsi="Times New Roman" w:cs="Times New Roman"/>
          <w:lang w:eastAsia="en-IN"/>
        </w:rPr>
        <w:t xml:space="preserve"> 2022; Kumar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2017).</w:t>
      </w:r>
    </w:p>
    <w:p w14:paraId="691336EC" w14:textId="77777777" w:rsidR="00D26490" w:rsidRPr="003D4393" w:rsidRDefault="00745099" w:rsidP="00D26490">
      <w:pPr>
        <w:spacing w:after="0" w:line="360" w:lineRule="auto"/>
        <w:jc w:val="both"/>
        <w:rPr>
          <w:rFonts w:ascii="Times New Roman" w:eastAsia="Times New Roman" w:hAnsi="Times New Roman" w:cs="Times New Roman"/>
          <w:b/>
          <w:bCs/>
          <w:lang w:eastAsia="en-IN"/>
        </w:rPr>
      </w:pPr>
      <w:r w:rsidRPr="003D4393">
        <w:rPr>
          <w:rFonts w:ascii="Times New Roman" w:eastAsia="Times New Roman" w:hAnsi="Times New Roman" w:cs="Times New Roman"/>
          <w:b/>
          <w:bCs/>
          <w:lang w:eastAsia="en-IN"/>
        </w:rPr>
        <w:t>Fig</w:t>
      </w:r>
      <w:r w:rsidR="003B72CC" w:rsidRPr="003B72CC">
        <w:rPr>
          <w:rFonts w:ascii="Times New Roman" w:eastAsia="Times New Roman" w:hAnsi="Times New Roman" w:cs="Times New Roman"/>
          <w:b/>
          <w:bCs/>
          <w:lang w:eastAsia="en-IN"/>
        </w:rPr>
        <w:t>ure</w:t>
      </w:r>
      <w:r w:rsidRPr="003D4393">
        <w:rPr>
          <w:rFonts w:ascii="Times New Roman" w:eastAsia="Times New Roman" w:hAnsi="Times New Roman" w:cs="Times New Roman"/>
          <w:b/>
          <w:bCs/>
          <w:lang w:eastAsia="en-IN"/>
        </w:rPr>
        <w:t xml:space="preserve"> 1: </w:t>
      </w:r>
      <w:r w:rsidR="00D26490" w:rsidRPr="003D4393">
        <w:rPr>
          <w:rFonts w:ascii="Times New Roman" w:eastAsia="Times New Roman" w:hAnsi="Times New Roman" w:cs="Times New Roman"/>
          <w:b/>
          <w:bCs/>
          <w:lang w:eastAsia="en-IN"/>
        </w:rPr>
        <w:t>Flow chart showing Agricultural Credit Sources</w:t>
      </w:r>
    </w:p>
    <w:p w14:paraId="212EDC18" w14:textId="77777777" w:rsidR="00F776B4" w:rsidRPr="003A7730" w:rsidRDefault="00F776B4" w:rsidP="009C1358">
      <w:pPr>
        <w:spacing w:after="0" w:line="360" w:lineRule="auto"/>
        <w:jc w:val="center"/>
        <w:rPr>
          <w:rFonts w:ascii="Times New Roman" w:eastAsia="Times New Roman" w:hAnsi="Times New Roman" w:cs="Times New Roman"/>
          <w:sz w:val="24"/>
          <w:szCs w:val="24"/>
          <w:lang w:eastAsia="en-IN"/>
        </w:rPr>
      </w:pPr>
      <w:r w:rsidRPr="003A7730">
        <w:rPr>
          <w:rFonts w:ascii="Times New Roman" w:eastAsia="Times New Roman" w:hAnsi="Times New Roman" w:cs="Times New Roman"/>
          <w:noProof/>
          <w:sz w:val="24"/>
          <w:szCs w:val="24"/>
          <w:lang w:eastAsia="en-IN"/>
        </w:rPr>
        <w:drawing>
          <wp:inline distT="0" distB="0" distL="0" distR="0" wp14:anchorId="024CEDF6" wp14:editId="42F95D5F">
            <wp:extent cx="5086807" cy="2526492"/>
            <wp:effectExtent l="0" t="0" r="0" b="0"/>
            <wp:docPr id="1"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
                    <a:srcRect l="21841" t="22716" r="21356" b="20988"/>
                    <a:stretch>
                      <a:fillRect/>
                    </a:stretch>
                  </pic:blipFill>
                  <pic:spPr bwMode="auto">
                    <a:xfrm>
                      <a:off x="0" y="0"/>
                      <a:ext cx="5095305" cy="2530713"/>
                    </a:xfrm>
                    <a:prstGeom prst="rect">
                      <a:avLst/>
                    </a:prstGeom>
                    <a:noFill/>
                    <a:ln w="9525">
                      <a:noFill/>
                      <a:miter lim="800000"/>
                      <a:headEnd/>
                      <a:tailEnd/>
                    </a:ln>
                  </pic:spPr>
                </pic:pic>
              </a:graphicData>
            </a:graphic>
          </wp:inline>
        </w:drawing>
      </w:r>
    </w:p>
    <w:p w14:paraId="1DBE4ED3" w14:textId="77777777" w:rsidR="00F776B4" w:rsidRPr="00F776B4" w:rsidRDefault="00F776B4" w:rsidP="00F776B4">
      <w:pPr>
        <w:spacing w:after="0" w:line="360" w:lineRule="auto"/>
        <w:jc w:val="center"/>
        <w:rPr>
          <w:rFonts w:ascii="Times New Roman" w:eastAsia="Times New Roman" w:hAnsi="Times New Roman" w:cs="Times New Roman"/>
          <w:i/>
          <w:color w:val="222222"/>
          <w:sz w:val="8"/>
          <w:szCs w:val="24"/>
          <w:u w:val="single"/>
          <w:shd w:val="clear" w:color="auto" w:fill="FFFFFF"/>
          <w:lang w:eastAsia="en-IN"/>
        </w:rPr>
      </w:pPr>
      <w:r>
        <w:rPr>
          <w:rFonts w:ascii="Times New Roman" w:eastAsia="Times New Roman" w:hAnsi="Times New Roman" w:cs="Times New Roman"/>
          <w:i/>
          <w:sz w:val="16"/>
          <w:szCs w:val="24"/>
          <w:u w:val="single"/>
          <w:lang w:eastAsia="en-IN"/>
        </w:rPr>
        <w:t>Source: Kesarwani et al. (2022) and Kumar et al. (2017).</w:t>
      </w:r>
    </w:p>
    <w:p w14:paraId="28E2C0C8" w14:textId="77777777" w:rsidR="00803FCE" w:rsidRPr="001F40C6" w:rsidRDefault="001F40C6" w:rsidP="001F40C6">
      <w:pPr>
        <w:spacing w:before="240" w:after="0" w:line="360" w:lineRule="auto"/>
        <w:jc w:val="both"/>
        <w:rPr>
          <w:rFonts w:ascii="Times New Roman" w:eastAsia="Times New Roman" w:hAnsi="Times New Roman" w:cs="Times New Roman"/>
          <w:bCs/>
          <w:lang w:eastAsia="en-IN"/>
        </w:rPr>
      </w:pPr>
      <w:r>
        <w:rPr>
          <w:rFonts w:ascii="Times New Roman" w:eastAsia="Times New Roman" w:hAnsi="Times New Roman" w:cs="Times New Roman"/>
          <w:b/>
          <w:lang w:eastAsia="en-IN"/>
        </w:rPr>
        <w:t>Non-institutional credit</w:t>
      </w:r>
      <w:r>
        <w:rPr>
          <w:rFonts w:ascii="Times New Roman" w:eastAsia="Times New Roman" w:hAnsi="Times New Roman" w:cs="Times New Roman"/>
          <w:b/>
          <w:highlight w:val="yellow"/>
          <w:lang w:eastAsia="en-IN"/>
        </w:rPr>
        <w:t>:</w:t>
      </w:r>
      <w:r>
        <w:rPr>
          <w:rFonts w:ascii="Times New Roman" w:eastAsia="Times New Roman" w:hAnsi="Times New Roman" w:cs="Times New Roman"/>
          <w:b/>
          <w:lang w:eastAsia="en-IN"/>
        </w:rPr>
        <w:t xml:space="preserve"> </w:t>
      </w:r>
      <w:r>
        <w:rPr>
          <w:rFonts w:ascii="Times New Roman" w:eastAsia="Times New Roman" w:hAnsi="Times New Roman" w:cs="Times New Roman"/>
          <w:bCs/>
          <w:lang w:eastAsia="en-IN"/>
        </w:rPr>
        <w:t xml:space="preserve">Although institutional credit has expanded considerably in rural India, non-institutional sources continue to play a significant role, particularly in areas where formal financial institutions have limited outreach. These sources still contribute a substantial share of rural borrowing and remain important because of their accessibility, flexible procedures, and ability to provide immediate financial assistance. However, their operations are often associated with high borrowing costs and unequal </w:t>
      </w:r>
      <w:r>
        <w:rPr>
          <w:rFonts w:ascii="Times New Roman" w:eastAsia="Times New Roman" w:hAnsi="Times New Roman" w:cs="Times New Roman"/>
          <w:bCs/>
          <w:lang w:eastAsia="en-IN"/>
        </w:rPr>
        <w:lastRenderedPageBreak/>
        <w:t>lending practices. Informal lenders, especially moneylenders, generally provide loans without collateral requirements but frequently impose very high interest rates, which can increase farmers</w:t>
      </w:r>
      <w:r>
        <w:rPr>
          <w:rFonts w:ascii="Times New Roman" w:eastAsia="Times New Roman" w:hAnsi="Times New Roman" w:cs="Times New Roman"/>
          <w:bCs/>
          <w:highlight w:val="yellow"/>
          <w:lang w:eastAsia="en-IN"/>
        </w:rPr>
        <w:t>’</w:t>
      </w:r>
      <w:r>
        <w:rPr>
          <w:rFonts w:ascii="Times New Roman" w:eastAsia="Times New Roman" w:hAnsi="Times New Roman" w:cs="Times New Roman"/>
          <w:bCs/>
          <w:lang w:eastAsia="en-IN"/>
        </w:rPr>
        <w:t xml:space="preserve"> financial burden and create conditions of prolonged indebtedness. Traditional community-based lenders, including indigenous bankers, continue to influence rural financial transactions by providing credit primarily to traders and other local economic actors, indirectly affecting farmers</w:t>
      </w:r>
      <w:r>
        <w:rPr>
          <w:rFonts w:ascii="Times New Roman" w:eastAsia="Times New Roman" w:hAnsi="Times New Roman" w:cs="Times New Roman"/>
          <w:bCs/>
          <w:highlight w:val="yellow"/>
          <w:lang w:eastAsia="en-IN"/>
        </w:rPr>
        <w:t>’</w:t>
      </w:r>
      <w:r>
        <w:rPr>
          <w:rFonts w:ascii="Times New Roman" w:eastAsia="Times New Roman" w:hAnsi="Times New Roman" w:cs="Times New Roman"/>
          <w:bCs/>
          <w:lang w:eastAsia="en-IN"/>
        </w:rPr>
        <w:t xml:space="preserve"> access to finance. Similarly, traders and commission agents commonly provide advance payments or loans against future agricultural produce, but such arrangements may restrict farmers</w:t>
      </w:r>
      <w:r>
        <w:rPr>
          <w:rFonts w:ascii="Times New Roman" w:eastAsia="Times New Roman" w:hAnsi="Times New Roman" w:cs="Times New Roman"/>
          <w:bCs/>
          <w:highlight w:val="yellow"/>
          <w:lang w:eastAsia="en-IN"/>
        </w:rPr>
        <w:t>’</w:t>
      </w:r>
      <w:r>
        <w:rPr>
          <w:rFonts w:ascii="Times New Roman" w:eastAsia="Times New Roman" w:hAnsi="Times New Roman" w:cs="Times New Roman"/>
          <w:bCs/>
          <w:lang w:eastAsia="en-IN"/>
        </w:rPr>
        <w:t xml:space="preserve"> bargaining power by compelling them to sell crops at predetermined or lower prices. In several regions, landlords also provide financial support to tenant farmers in exchange for a share of agricultural output, thereby maintaining economic dependence. Informal borrowing from relatives and friends generally involves little or no interest; however, the amount available through these sources is usually limited and mainly serves short-term emergency needs rather than productive agricultural investment.</w:t>
      </w:r>
    </w:p>
    <w:p w14:paraId="1E0A811D" w14:textId="77777777" w:rsidR="00803FCE" w:rsidRPr="001F7EA5" w:rsidRDefault="00C976F4" w:rsidP="002E23A3">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lang w:eastAsia="en-IN"/>
        </w:rPr>
        <w:t xml:space="preserve">Institutional credit </w:t>
      </w:r>
      <w:r>
        <w:rPr>
          <w:rFonts w:ascii="Times New Roman" w:eastAsia="Times New Roman" w:hAnsi="Times New Roman" w:cs="Times New Roman"/>
          <w:b/>
          <w:bCs/>
          <w:lang w:eastAsia="en-IN"/>
        </w:rPr>
        <w:t>systems</w:t>
      </w:r>
      <w:r>
        <w:rPr>
          <w:rFonts w:ascii="Times New Roman" w:eastAsia="Times New Roman" w:hAnsi="Times New Roman" w:cs="Times New Roman"/>
          <w:lang w:eastAsia="en-IN"/>
        </w:rPr>
        <w:t xml:space="preserve"> have significantly reshaped agricultural finance in India by providing structured, regulated, and diversified financial services. Cooperative Credit Institutions—particularly Primary Agricultural Credit Societies (PACS), which operate in 98.5% of Indian rural areas—offer short-term</w:t>
      </w:r>
      <w:r>
        <w:rPr>
          <w:rFonts w:ascii="Times New Roman" w:eastAsia="Times New Roman" w:hAnsi="Times New Roman" w:cs="Times New Roman"/>
          <w:highlight w:val="yellow"/>
          <w:lang w:eastAsia="en-IN"/>
        </w:rPr>
        <w:t xml:space="preserve"> (ST</w:t>
      </w:r>
      <w:r>
        <w:rPr>
          <w:rFonts w:ascii="Times New Roman" w:eastAsia="Times New Roman" w:hAnsi="Times New Roman" w:cs="Times New Roman"/>
          <w:lang w:eastAsia="en-IN"/>
        </w:rPr>
        <w:t>) loans for crop production and field watering. District Central Cooperative Banks (DCCBs) and State Cooperative Banks (SCBs) manage medium-term credit and contribute to financial stability within the cooperative structure. Government schemes offer subsidi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ed loans, and since the 1969 bank nationali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 commercial banks have become key players, now accounting for over 70% of institutional agricultural credit through priority</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sector lending. Established in 1976, Regional Rural Banks (RRBs) were designed to serve small farmers, artisans, and rural entrepreneurs, especially in underbanked regions. Their mandate prioriti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es outreach over profitability, ensuring financial inclusion for vulnerable groups. Microfinance institutions (MFIs), particularly Self-Help Groups (SHGs), have strengthened rural credit delivery through collective responsibility and high repayment rates—often exceeding 95%. SHGs, led predominantly by women, have played a transformative role in empowering rural households and improving financial discipline.</w:t>
      </w:r>
    </w:p>
    <w:p w14:paraId="140801D1" w14:textId="77777777" w:rsidR="00803FCE" w:rsidRPr="001F7EA5" w:rsidRDefault="00C976F4" w:rsidP="00C976F4">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lang w:eastAsia="en-IN"/>
        </w:rPr>
        <w:t>Speciali</w:t>
      </w:r>
      <w:r>
        <w:rPr>
          <w:rFonts w:ascii="Times New Roman" w:eastAsia="Times New Roman" w:hAnsi="Times New Roman" w:cs="Times New Roman"/>
          <w:b/>
          <w:highlight w:val="yellow"/>
          <w:lang w:eastAsia="en-IN"/>
        </w:rPr>
        <w:t>s</w:t>
      </w:r>
      <w:r>
        <w:rPr>
          <w:rFonts w:ascii="Times New Roman" w:eastAsia="Times New Roman" w:hAnsi="Times New Roman" w:cs="Times New Roman"/>
          <w:b/>
          <w:lang w:eastAsia="en-IN"/>
        </w:rPr>
        <w:t>ed institutions</w:t>
      </w:r>
      <w:r>
        <w:rPr>
          <w:rFonts w:ascii="Times New Roman" w:eastAsia="Times New Roman" w:hAnsi="Times New Roman" w:cs="Times New Roman"/>
          <w:lang w:eastAsia="en-IN"/>
        </w:rPr>
        <w:t xml:space="preserve"> are a significant part of India’s agricultural credit system. Agricultural Finance Corporations Ltd. (AFC) speciali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es in financing and advisory services for agricultural projects, whereas the Agricultural Refinance and Development Corporation (ARDC) offers refinance facilities for rural development. The overall functioning and stability of the agricultural credit system are overseen by the Reserve Bank of India (RBI), which acts as the central authority responsible for regulation, supervision, and policy formulation in this sector. NABARD functions as the apex institution guiding sustainable and inclusive agricultural and rural development through credit, refinancing, and policy support. Its leadership in shaping </w:t>
      </w:r>
      <w:r>
        <w:rPr>
          <w:rFonts w:ascii="Times New Roman" w:eastAsia="Times New Roman" w:hAnsi="Times New Roman" w:cs="Times New Roman"/>
          <w:highlight w:val="yellow"/>
          <w:lang w:eastAsia="en-IN"/>
        </w:rPr>
        <w:t xml:space="preserve">the </w:t>
      </w:r>
      <w:r>
        <w:rPr>
          <w:rFonts w:ascii="Times New Roman" w:eastAsia="Times New Roman" w:hAnsi="Times New Roman" w:cs="Times New Roman"/>
          <w:lang w:eastAsia="en-IN"/>
        </w:rPr>
        <w:t xml:space="preserve">rural financial architecture makes it a keystone of India’s agricultural credit system (Kesarwani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 xml:space="preserve">2022; Kumar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2017).</w:t>
      </w:r>
    </w:p>
    <w:p w14:paraId="123A5EF5" w14:textId="77777777" w:rsidR="00803FCE" w:rsidRPr="001F7EA5" w:rsidRDefault="00CD2118" w:rsidP="00242DCA">
      <w:pPr>
        <w:spacing w:before="240" w:after="0" w:line="360" w:lineRule="auto"/>
        <w:jc w:val="both"/>
        <w:rPr>
          <w:rFonts w:ascii="Times New Roman" w:eastAsia="Times New Roman" w:hAnsi="Times New Roman" w:cs="Times New Roman"/>
          <w:b/>
          <w:lang w:eastAsia="en-IN"/>
        </w:rPr>
      </w:pPr>
      <w:r>
        <w:rPr>
          <w:rFonts w:ascii="Times New Roman" w:eastAsia="Times New Roman" w:hAnsi="Times New Roman" w:cs="Times New Roman"/>
          <w:b/>
          <w:lang w:eastAsia="en-IN"/>
        </w:rPr>
        <w:t>Evolution of</w:t>
      </w:r>
      <w:r>
        <w:rPr>
          <w:rFonts w:ascii="Times New Roman" w:eastAsia="Times New Roman" w:hAnsi="Times New Roman" w:cs="Times New Roman"/>
          <w:b/>
          <w:highlight w:val="yellow"/>
          <w:lang w:eastAsia="en-IN"/>
        </w:rPr>
        <w:t xml:space="preserve"> the</w:t>
      </w:r>
      <w:r>
        <w:rPr>
          <w:rFonts w:ascii="Times New Roman" w:eastAsia="Times New Roman" w:hAnsi="Times New Roman" w:cs="Times New Roman"/>
          <w:b/>
          <w:lang w:eastAsia="en-IN"/>
        </w:rPr>
        <w:t xml:space="preserve"> Agricultural Credit Sector and Rural Financing in India</w:t>
      </w:r>
    </w:p>
    <w:p w14:paraId="6459A109" w14:textId="77777777" w:rsidR="00F776B4" w:rsidRDefault="005A45F3" w:rsidP="00CD2118">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lastRenderedPageBreak/>
        <w:t>Over time, India</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s agricultural finance framework has undergone significant transformation through the expansion of formal financial institutions, increasing availability of agricultural loans, and changes in the geographical distribution of credit. Researchers often evaluate the effectiveness of policy interventions in agricultural finance by analysing the relationship between agricultural credit availability and agricultural GDP, which provides an indication of the changing role of finance in supporting agricultural growth. Indicators such as outstanding loans and annual disbursements are used to study their linkage with agricultural growth from 1950–51 to 2017–18. This ratio increased from 0.6% in 1950–51 to 9.81% in 1971–72, driven by transformative measures such as bank nationali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 and the establishment of Regional Rural Banks (RRBs). It reached a peak of 21.76% in 1987–88 before declining to 13.34% in 1998–99. The credit-to-agricultural GDP ratio witnessed a considerable increase, reaching 39.55% in 2006–07. This improvement was largely associated with policy initiatives introduced during the mid-2000s, particularly the expansion of the KCC scheme and other measures aimed at improving the accessibility and delivery of institutional agricultural credit. In 2017–18, the ratio had further increased to 51.56%, reflecting substantial improvement in the reach of institutional credit despite periodic fluctuations. However, variations in credit growth over different periods were influenced by several policy-related factors. Measures such as agricultural loan</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waiver programmes affected repayment patterns among borrowers and created challenges for financial institutions in maintaining consistent credit flow to the agricultural sector. Although institutional agency credit has expanded impressively over time, reliance on non</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institutional sources has declined but continues to persist in several regions (Pandian, 2021; Kumar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2017).</w:t>
      </w:r>
    </w:p>
    <w:p w14:paraId="5D83D3C6" w14:textId="77777777" w:rsidR="00745099" w:rsidRPr="001F7EA5" w:rsidRDefault="00397C3D" w:rsidP="00F776B4">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bCs/>
          <w:lang w:eastAsia="en-IN"/>
        </w:rPr>
        <w:t>Figure</w:t>
      </w:r>
      <w:r w:rsidR="003B72CC">
        <w:rPr>
          <w:rFonts w:ascii="Times New Roman" w:eastAsia="Times New Roman" w:hAnsi="Times New Roman" w:cs="Times New Roman"/>
          <w:b/>
          <w:bCs/>
          <w:lang w:eastAsia="en-IN"/>
        </w:rPr>
        <w:t xml:space="preserve"> </w:t>
      </w:r>
      <w:r>
        <w:rPr>
          <w:rFonts w:ascii="Times New Roman" w:eastAsia="Times New Roman" w:hAnsi="Times New Roman" w:cs="Times New Roman"/>
          <w:b/>
          <w:bCs/>
          <w:lang w:eastAsia="en-IN"/>
        </w:rPr>
        <w:t>2</w:t>
      </w:r>
      <w:r w:rsidR="00745099" w:rsidRPr="00AE2413">
        <w:rPr>
          <w:rFonts w:ascii="Times New Roman" w:eastAsia="Times New Roman" w:hAnsi="Times New Roman" w:cs="Times New Roman"/>
          <w:b/>
          <w:bCs/>
          <w:lang w:eastAsia="en-IN"/>
        </w:rPr>
        <w:t>:</w:t>
      </w:r>
      <w:r w:rsidR="00745099">
        <w:rPr>
          <w:rFonts w:ascii="Times New Roman" w:eastAsia="Times New Roman" w:hAnsi="Times New Roman" w:cs="Times New Roman"/>
          <w:lang w:eastAsia="en-IN"/>
        </w:rPr>
        <w:t xml:space="preserve"> </w:t>
      </w:r>
      <w:r w:rsidR="00D26490" w:rsidRPr="001F7EA5">
        <w:rPr>
          <w:rFonts w:ascii="Times New Roman" w:eastAsia="Times New Roman" w:hAnsi="Times New Roman" w:cs="Times New Roman"/>
          <w:b/>
          <w:lang w:eastAsia="en-IN"/>
        </w:rPr>
        <w:t>Agricultural Credit and Rural Financing in India</w:t>
      </w:r>
    </w:p>
    <w:p w14:paraId="25603649" w14:textId="77777777" w:rsidR="00F776B4" w:rsidRPr="003A7730" w:rsidRDefault="00F776B4" w:rsidP="00F776B4">
      <w:pPr>
        <w:spacing w:after="0" w:line="360" w:lineRule="auto"/>
        <w:jc w:val="both"/>
        <w:rPr>
          <w:rFonts w:ascii="Times New Roman" w:eastAsia="Times New Roman" w:hAnsi="Times New Roman" w:cs="Times New Roman"/>
          <w:sz w:val="24"/>
          <w:szCs w:val="24"/>
          <w:lang w:eastAsia="en-IN"/>
        </w:rPr>
      </w:pPr>
      <w:r w:rsidRPr="003A7730">
        <w:rPr>
          <w:rFonts w:ascii="Times New Roman" w:eastAsia="Times New Roman" w:hAnsi="Times New Roman" w:cs="Times New Roman"/>
          <w:noProof/>
          <w:sz w:val="24"/>
          <w:szCs w:val="24"/>
          <w:lang w:eastAsia="en-IN"/>
        </w:rPr>
        <w:drawing>
          <wp:inline distT="0" distB="0" distL="0" distR="0" wp14:anchorId="448E8DE7" wp14:editId="74A91D30">
            <wp:extent cx="5924199" cy="2539155"/>
            <wp:effectExtent l="19050" t="19050" r="635" b="0"/>
            <wp:docPr id="4"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
                    <a:srcRect t="9311" b="6377"/>
                    <a:stretch>
                      <a:fillRect/>
                    </a:stretch>
                  </pic:blipFill>
                  <pic:spPr bwMode="auto">
                    <a:xfrm>
                      <a:off x="0" y="0"/>
                      <a:ext cx="5958738" cy="2553958"/>
                    </a:xfrm>
                    <a:prstGeom prst="rect">
                      <a:avLst/>
                    </a:prstGeom>
                    <a:noFill/>
                    <a:ln w="3175">
                      <a:solidFill>
                        <a:sysClr val="windowText" lastClr="000000"/>
                      </a:solidFill>
                      <a:miter lim="800000"/>
                      <a:headEnd/>
                      <a:tailEnd/>
                    </a:ln>
                  </pic:spPr>
                </pic:pic>
              </a:graphicData>
            </a:graphic>
          </wp:inline>
        </w:drawing>
      </w:r>
    </w:p>
    <w:p w14:paraId="770F62D0" w14:textId="77777777" w:rsidR="00F776B4" w:rsidRPr="00F776B4" w:rsidRDefault="00F776B4" w:rsidP="00F776B4">
      <w:pPr>
        <w:spacing w:after="0" w:line="360" w:lineRule="auto"/>
        <w:jc w:val="center"/>
        <w:rPr>
          <w:rFonts w:ascii="Times New Roman" w:eastAsia="Times New Roman" w:hAnsi="Times New Roman" w:cs="Times New Roman"/>
          <w:i/>
          <w:noProof/>
          <w:sz w:val="8"/>
          <w:szCs w:val="24"/>
          <w:u w:val="single"/>
          <w:lang w:eastAsia="en-IN"/>
        </w:rPr>
      </w:pPr>
      <w:r>
        <w:rPr>
          <w:rFonts w:ascii="Times New Roman" w:eastAsia="Times New Roman" w:hAnsi="Times New Roman" w:cs="Times New Roman"/>
          <w:i/>
          <w:noProof/>
          <w:sz w:val="16"/>
          <w:szCs w:val="24"/>
          <w:u w:val="single"/>
          <w:lang w:eastAsia="en-IN"/>
        </w:rPr>
        <w:t>Source: Pandian (2021) and Hoda and Terway (2015).</w:t>
      </w:r>
    </w:p>
    <w:p w14:paraId="244EACAA" w14:textId="77777777" w:rsidR="00803FCE" w:rsidRPr="001F7EA5" w:rsidRDefault="00BC60A7" w:rsidP="007C5204">
      <w:pPr>
        <w:spacing w:before="240"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noProof/>
          <w:highlight w:val="yellow"/>
          <w:lang w:eastAsia="en-IN"/>
        </w:rPr>
        <w:t>T</w:t>
      </w:r>
      <w:r>
        <w:rPr>
          <w:rFonts w:ascii="Times New Roman" w:eastAsia="Times New Roman" w:hAnsi="Times New Roman" w:cs="Times New Roman"/>
          <w:noProof/>
          <w:lang w:eastAsia="en-IN"/>
        </w:rPr>
        <w:t>he extent and outreach of</w:t>
      </w:r>
      <w:r>
        <w:rPr>
          <w:rFonts w:ascii="Times New Roman" w:eastAsia="Times New Roman" w:hAnsi="Times New Roman" w:cs="Times New Roman"/>
          <w:noProof/>
          <w:highlight w:val="yellow"/>
          <w:lang w:eastAsia="en-IN"/>
        </w:rPr>
        <w:t xml:space="preserve"> the</w:t>
      </w:r>
      <w:r>
        <w:rPr>
          <w:rFonts w:ascii="Times New Roman" w:eastAsia="Times New Roman" w:hAnsi="Times New Roman" w:cs="Times New Roman"/>
          <w:noProof/>
          <w:lang w:eastAsia="en-IN"/>
        </w:rPr>
        <w:t xml:space="preserve"> institutional framework for agricultural finance </w:t>
      </w:r>
      <w:r>
        <w:rPr>
          <w:rFonts w:ascii="Times New Roman" w:eastAsia="Times New Roman" w:hAnsi="Times New Roman" w:cs="Times New Roman"/>
          <w:noProof/>
          <w:highlight w:val="yellow"/>
          <w:lang w:eastAsia="en-IN"/>
        </w:rPr>
        <w:t>h</w:t>
      </w:r>
      <w:r>
        <w:rPr>
          <w:rFonts w:ascii="Times New Roman" w:eastAsia="Times New Roman" w:hAnsi="Times New Roman" w:cs="Times New Roman"/>
          <w:noProof/>
          <w:lang w:eastAsia="en-IN"/>
        </w:rPr>
        <w:t>a</w:t>
      </w:r>
      <w:r>
        <w:rPr>
          <w:rFonts w:ascii="Times New Roman" w:eastAsia="Times New Roman" w:hAnsi="Times New Roman" w:cs="Times New Roman"/>
          <w:noProof/>
          <w:highlight w:val="yellow"/>
          <w:lang w:eastAsia="en-IN"/>
        </w:rPr>
        <w:t>ve</w:t>
      </w:r>
      <w:r>
        <w:rPr>
          <w:rFonts w:ascii="Times New Roman" w:eastAsia="Times New Roman" w:hAnsi="Times New Roman" w:cs="Times New Roman"/>
          <w:noProof/>
          <w:lang w:eastAsia="en-IN"/>
        </w:rPr>
        <w:t xml:space="preserve"> improve</w:t>
      </w:r>
      <w:r>
        <w:rPr>
          <w:rFonts w:ascii="Times New Roman" w:eastAsia="Times New Roman" w:hAnsi="Times New Roman" w:cs="Times New Roman"/>
          <w:noProof/>
          <w:highlight w:val="yellow"/>
          <w:lang w:eastAsia="en-IN"/>
        </w:rPr>
        <w:t>d consid</w:t>
      </w:r>
      <w:r>
        <w:rPr>
          <w:rFonts w:ascii="Times New Roman" w:eastAsia="Times New Roman" w:hAnsi="Times New Roman" w:cs="Times New Roman"/>
          <w:noProof/>
          <w:lang w:eastAsia="en-IN"/>
        </w:rPr>
        <w:t>e</w:t>
      </w:r>
      <w:r>
        <w:rPr>
          <w:rFonts w:ascii="Times New Roman" w:eastAsia="Times New Roman" w:hAnsi="Times New Roman" w:cs="Times New Roman"/>
          <w:noProof/>
          <w:highlight w:val="yellow"/>
          <w:lang w:eastAsia="en-IN"/>
        </w:rPr>
        <w:t>r</w:t>
      </w:r>
      <w:r>
        <w:rPr>
          <w:rFonts w:ascii="Times New Roman" w:eastAsia="Times New Roman" w:hAnsi="Times New Roman" w:cs="Times New Roman"/>
          <w:noProof/>
          <w:lang w:eastAsia="en-IN"/>
        </w:rPr>
        <w:t>ab</w:t>
      </w:r>
      <w:r>
        <w:rPr>
          <w:rFonts w:ascii="Times New Roman" w:eastAsia="Times New Roman" w:hAnsi="Times New Roman" w:cs="Times New Roman"/>
          <w:noProof/>
          <w:highlight w:val="yellow"/>
          <w:lang w:eastAsia="en-IN"/>
        </w:rPr>
        <w:t>ly</w:t>
      </w:r>
      <w:r>
        <w:rPr>
          <w:rFonts w:ascii="Times New Roman" w:eastAsia="Times New Roman" w:hAnsi="Times New Roman" w:cs="Times New Roman"/>
          <w:noProof/>
          <w:lang w:eastAsia="en-IN"/>
        </w:rPr>
        <w:t xml:space="preserve"> over time. </w:t>
      </w:r>
      <w:r>
        <w:rPr>
          <w:rFonts w:ascii="Times New Roman" w:eastAsia="Times New Roman" w:hAnsi="Times New Roman" w:cs="Times New Roman"/>
          <w:noProof/>
          <w:highlight w:val="yellow"/>
          <w:lang w:eastAsia="en-IN"/>
        </w:rPr>
        <w:t>T</w:t>
      </w:r>
      <w:r>
        <w:rPr>
          <w:rFonts w:ascii="Times New Roman" w:eastAsia="Times New Roman" w:hAnsi="Times New Roman" w:cs="Times New Roman"/>
          <w:noProof/>
          <w:lang w:eastAsia="en-IN"/>
        </w:rPr>
        <w:t>he major discern</w:t>
      </w:r>
      <w:r>
        <w:rPr>
          <w:rFonts w:ascii="Times New Roman" w:eastAsia="Times New Roman" w:hAnsi="Times New Roman" w:cs="Times New Roman"/>
          <w:noProof/>
          <w:highlight w:val="yellow"/>
          <w:lang w:eastAsia="en-IN"/>
        </w:rPr>
        <w:t>ibl</w:t>
      </w:r>
      <w:r>
        <w:rPr>
          <w:rFonts w:ascii="Times New Roman" w:eastAsia="Times New Roman" w:hAnsi="Times New Roman" w:cs="Times New Roman"/>
          <w:noProof/>
          <w:lang w:eastAsia="en-IN"/>
        </w:rPr>
        <w:t>e</w:t>
      </w:r>
      <w:r>
        <w:rPr>
          <w:rFonts w:ascii="Times New Roman" w:eastAsia="Times New Roman" w:hAnsi="Times New Roman" w:cs="Times New Roman"/>
          <w:noProof/>
          <w:highlight w:val="yellow"/>
          <w:lang w:eastAsia="en-IN"/>
        </w:rPr>
        <w:t xml:space="preserve"> tren</w:t>
      </w:r>
      <w:r>
        <w:rPr>
          <w:rFonts w:ascii="Times New Roman" w:eastAsia="Times New Roman" w:hAnsi="Times New Roman" w:cs="Times New Roman"/>
          <w:noProof/>
          <w:lang w:eastAsia="en-IN"/>
        </w:rPr>
        <w:t>d</w:t>
      </w:r>
      <w:r>
        <w:rPr>
          <w:rFonts w:ascii="Times New Roman" w:eastAsia="Times New Roman" w:hAnsi="Times New Roman" w:cs="Times New Roman"/>
          <w:noProof/>
          <w:highlight w:val="yellow"/>
          <w:lang w:eastAsia="en-IN"/>
        </w:rPr>
        <w:t>s</w:t>
      </w:r>
      <w:r>
        <w:rPr>
          <w:rFonts w:ascii="Times New Roman" w:eastAsia="Times New Roman" w:hAnsi="Times New Roman" w:cs="Times New Roman"/>
          <w:noProof/>
          <w:lang w:eastAsia="en-IN"/>
        </w:rPr>
        <w:t xml:space="preserve"> are as follows:</w:t>
      </w:r>
    </w:p>
    <w:p w14:paraId="7942CD32" w14:textId="77777777" w:rsidR="00A63C52" w:rsidRPr="001F7EA5" w:rsidRDefault="00803FCE" w:rsidP="00F71F0D">
      <w:pPr>
        <w:numPr>
          <w:ilvl w:val="0"/>
          <w:numId w:val="27"/>
        </w:numPr>
        <w:spacing w:after="0" w:line="360" w:lineRule="auto"/>
        <w:ind w:left="426" w:hanging="426"/>
        <w:contextualSpacing/>
        <w:jc w:val="both"/>
        <w:rPr>
          <w:rFonts w:ascii="Times New Roman" w:eastAsia="Times New Roman" w:hAnsi="Times New Roman" w:cs="Times New Roman"/>
          <w:noProof/>
          <w:lang w:eastAsia="en-IN"/>
        </w:rPr>
      </w:pPr>
      <w:r w:rsidRPr="001F7EA5">
        <w:rPr>
          <w:rFonts w:ascii="Times New Roman" w:eastAsia="Times New Roman" w:hAnsi="Times New Roman" w:cs="Times New Roman"/>
          <w:b/>
          <w:noProof/>
          <w:lang w:eastAsia="en-IN"/>
        </w:rPr>
        <w:t>Increasing Dependence on Institutional Credit</w:t>
      </w:r>
      <w:r w:rsidR="007F0EFF">
        <w:rPr>
          <w:rFonts w:ascii="Times New Roman" w:eastAsia="Times New Roman" w:hAnsi="Times New Roman" w:cs="Times New Roman"/>
          <w:b/>
          <w:noProof/>
          <w:lang w:eastAsia="en-IN"/>
        </w:rPr>
        <w:t xml:space="preserve"> (</w:t>
      </w:r>
      <w:r w:rsidR="007F0EFF" w:rsidRPr="007F0EFF">
        <w:rPr>
          <w:rFonts w:ascii="Times New Roman" w:eastAsia="Times New Roman" w:hAnsi="Times New Roman" w:cs="Times New Roman"/>
          <w:b/>
          <w:noProof/>
          <w:lang w:eastAsia="en-IN"/>
        </w:rPr>
        <w:t>Borrowing Patterns 1951</w:t>
      </w:r>
      <w:r w:rsidR="008049B0">
        <w:rPr>
          <w:rFonts w:ascii="Times New Roman" w:eastAsia="Times New Roman" w:hAnsi="Times New Roman" w:cs="Times New Roman"/>
          <w:b/>
          <w:noProof/>
          <w:lang w:eastAsia="en-IN"/>
        </w:rPr>
        <w:t xml:space="preserve"> – </w:t>
      </w:r>
      <w:r w:rsidR="007F0EFF" w:rsidRPr="007F0EFF">
        <w:rPr>
          <w:rFonts w:ascii="Times New Roman" w:eastAsia="Times New Roman" w:hAnsi="Times New Roman" w:cs="Times New Roman"/>
          <w:b/>
          <w:noProof/>
          <w:lang w:eastAsia="en-IN"/>
        </w:rPr>
        <w:t>2016</w:t>
      </w:r>
      <w:r w:rsidR="007F0EFF">
        <w:rPr>
          <w:rFonts w:ascii="Times New Roman" w:eastAsia="Times New Roman" w:hAnsi="Times New Roman" w:cs="Times New Roman"/>
          <w:b/>
          <w:noProof/>
          <w:lang w:eastAsia="en-IN"/>
        </w:rPr>
        <w:t>)</w:t>
      </w:r>
      <w:r w:rsidRPr="001F7EA5">
        <w:rPr>
          <w:rFonts w:ascii="Times New Roman" w:eastAsia="Times New Roman" w:hAnsi="Times New Roman" w:cs="Times New Roman"/>
          <w:b/>
          <w:noProof/>
          <w:lang w:eastAsia="en-IN"/>
        </w:rPr>
        <w:t>:</w:t>
      </w:r>
    </w:p>
    <w:p w14:paraId="12C6F665" w14:textId="77777777" w:rsidR="00F776B4" w:rsidRPr="001F7EA5" w:rsidRDefault="00803FCE" w:rsidP="00F776B4">
      <w:pPr>
        <w:spacing w:after="0" w:line="360" w:lineRule="auto"/>
        <w:contextualSpacing/>
        <w:jc w:val="both"/>
        <w:rPr>
          <w:rFonts w:ascii="Times New Roman" w:eastAsia="Times New Roman" w:hAnsi="Times New Roman" w:cs="Times New Roman"/>
          <w:noProof/>
          <w:lang w:eastAsia="en-IN"/>
        </w:rPr>
      </w:pPr>
      <w:r w:rsidRPr="001F7EA5">
        <w:rPr>
          <w:rFonts w:ascii="Times New Roman" w:eastAsia="Times New Roman" w:hAnsi="Times New Roman" w:cs="Times New Roman"/>
          <w:noProof/>
          <w:lang w:eastAsia="en-IN"/>
        </w:rPr>
        <w:lastRenderedPageBreak/>
        <w:t xml:space="preserve">One of the major achievements in post-independent India has been the expansion of institutional credit and the decline of non-institutional sources. </w:t>
      </w:r>
    </w:p>
    <w:p w14:paraId="75E744A6" w14:textId="77777777" w:rsidR="00F776B4" w:rsidRPr="00C770D5" w:rsidRDefault="009C1358" w:rsidP="00F776B4">
      <w:pPr>
        <w:spacing w:after="0" w:line="360" w:lineRule="auto"/>
        <w:contextualSpacing/>
        <w:jc w:val="both"/>
        <w:rPr>
          <w:rFonts w:ascii="Times New Roman" w:eastAsia="Times New Roman" w:hAnsi="Times New Roman" w:cs="Times New Roman"/>
          <w:noProof/>
          <w:sz w:val="24"/>
          <w:szCs w:val="24"/>
          <w:lang w:eastAsia="en-IN"/>
        </w:rPr>
      </w:pPr>
      <w:r>
        <w:rPr>
          <w:rFonts w:ascii="Times New Roman" w:eastAsia="Times New Roman" w:hAnsi="Times New Roman" w:cs="Times New Roman"/>
          <w:b/>
          <w:noProof/>
          <w:lang w:eastAsia="en-IN"/>
        </w:rPr>
        <w:t>Graph</w:t>
      </w:r>
      <w:r w:rsidR="00F776B4" w:rsidRPr="001F7EA5">
        <w:rPr>
          <w:rFonts w:ascii="Times New Roman" w:eastAsia="Times New Roman" w:hAnsi="Times New Roman" w:cs="Times New Roman"/>
          <w:b/>
          <w:noProof/>
          <w:lang w:eastAsia="en-IN"/>
        </w:rPr>
        <w:t xml:space="preserve"> </w:t>
      </w:r>
      <w:r w:rsidR="00153B03">
        <w:rPr>
          <w:rFonts w:ascii="Times New Roman" w:eastAsia="Times New Roman" w:hAnsi="Times New Roman" w:cs="Times New Roman"/>
          <w:b/>
          <w:noProof/>
          <w:lang w:eastAsia="en-IN"/>
        </w:rPr>
        <w:t>1</w:t>
      </w:r>
      <w:r w:rsidR="00F776B4" w:rsidRPr="001F7EA5">
        <w:rPr>
          <w:rFonts w:ascii="Times New Roman" w:eastAsia="Times New Roman" w:hAnsi="Times New Roman" w:cs="Times New Roman"/>
          <w:b/>
          <w:noProof/>
          <w:lang w:eastAsia="en-IN"/>
        </w:rPr>
        <w:t xml:space="preserve">: Relative Share of Borrowing of Cultivator Households in India </w:t>
      </w:r>
      <w:r w:rsidR="00F776B4" w:rsidRPr="001F7EA5">
        <w:rPr>
          <w:rFonts w:ascii="Times New Roman" w:eastAsia="Times New Roman" w:hAnsi="Times New Roman" w:cs="Times New Roman"/>
          <w:b/>
          <w:lang w:eastAsia="en-IN"/>
        </w:rPr>
        <w:t>1951</w:t>
      </w:r>
      <w:r w:rsidR="00F776B4" w:rsidRPr="001F7EA5">
        <w:rPr>
          <w:rFonts w:ascii="Times New Roman" w:eastAsia="Times New Roman" w:hAnsi="Times New Roman" w:cs="Times New Roman"/>
          <w:b/>
          <w:spacing w:val="-1"/>
          <w:lang w:eastAsia="en-IN"/>
        </w:rPr>
        <w:t>-</w:t>
      </w:r>
      <w:r w:rsidR="00F776B4" w:rsidRPr="001F7EA5">
        <w:rPr>
          <w:rFonts w:ascii="Times New Roman" w:eastAsia="Times New Roman" w:hAnsi="Times New Roman" w:cs="Times New Roman"/>
          <w:b/>
          <w:lang w:eastAsia="en-IN"/>
        </w:rPr>
        <w:t>2016 (in %)</w:t>
      </w:r>
    </w:p>
    <w:p w14:paraId="44418AD7" w14:textId="77777777" w:rsidR="001C6103" w:rsidRDefault="001C6103" w:rsidP="005955F8">
      <w:pPr>
        <w:spacing w:after="0" w:line="360" w:lineRule="auto"/>
        <w:jc w:val="center"/>
        <w:rPr>
          <w:rFonts w:ascii="Times New Roman" w:eastAsia="Times New Roman" w:hAnsi="Times New Roman" w:cs="Times New Roman"/>
          <w:i/>
          <w:sz w:val="16"/>
          <w:szCs w:val="24"/>
          <w:u w:val="single"/>
          <w:lang w:eastAsia="en-IN"/>
        </w:rPr>
      </w:pPr>
      <w:r>
        <w:rPr>
          <w:noProof/>
        </w:rPr>
        <w:drawing>
          <wp:inline distT="0" distB="0" distL="0" distR="0" wp14:anchorId="314F8CF9" wp14:editId="4AFB1248">
            <wp:extent cx="6665077" cy="3741420"/>
            <wp:effectExtent l="0" t="0" r="0" b="0"/>
            <wp:docPr id="2091186803" name="Chart 1">
              <a:extLst xmlns:a="http://schemas.openxmlformats.org/drawingml/2006/main">
                <a:ext uri="{FF2B5EF4-FFF2-40B4-BE49-F238E27FC236}">
                  <a16:creationId xmlns:a16="http://schemas.microsoft.com/office/drawing/2014/main" id="{0AFFB908-1E64-696B-6907-58E3899AA7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7841BC" w14:textId="77777777" w:rsidR="00361A98" w:rsidRPr="00F776B4" w:rsidRDefault="00F776B4" w:rsidP="00361A98">
      <w:pPr>
        <w:spacing w:after="0" w:line="360" w:lineRule="auto"/>
        <w:jc w:val="center"/>
        <w:rPr>
          <w:rFonts w:ascii="Times New Roman" w:eastAsia="Times New Roman" w:hAnsi="Times New Roman" w:cs="Times New Roman"/>
          <w:i/>
          <w:noProof/>
          <w:sz w:val="8"/>
          <w:szCs w:val="24"/>
          <w:u w:val="single"/>
          <w:lang w:eastAsia="en-IN"/>
        </w:rPr>
      </w:pPr>
      <w:r>
        <w:rPr>
          <w:rFonts w:ascii="Times New Roman" w:eastAsia="Times New Roman" w:hAnsi="Times New Roman" w:cs="Times New Roman"/>
          <w:i/>
          <w:sz w:val="16"/>
          <w:szCs w:val="24"/>
          <w:u w:val="single"/>
          <w:lang w:eastAsia="en-IN"/>
        </w:rPr>
        <w:t>Source: NABARD annual reports (various issues), the All-India Debt and Investment Survey, the NABARD All India Rural Financial Inclusion Survey 2016–17, and the Reserve Bank of India agricultural credit review (NABARD, 2018, n.d.-a; National Statistical Office, n.d.; Reserve Bank of India, 2019).</w:t>
      </w:r>
    </w:p>
    <w:p w14:paraId="1D7E84CB" w14:textId="77777777" w:rsidR="00F776B4" w:rsidRPr="001F7EA5" w:rsidRDefault="0008230B" w:rsidP="007F0EFF">
      <w:pPr>
        <w:spacing w:after="0" w:line="360" w:lineRule="auto"/>
        <w:contextualSpacing/>
        <w:jc w:val="both"/>
        <w:rPr>
          <w:rFonts w:ascii="Times New Roman" w:eastAsia="Times New Roman" w:hAnsi="Times New Roman" w:cs="Times New Roman"/>
          <w:noProof/>
          <w:lang w:eastAsia="en-IN"/>
        </w:rPr>
      </w:pPr>
      <w:r>
        <w:rPr>
          <w:rFonts w:ascii="Times New Roman" w:eastAsia="Times New Roman" w:hAnsi="Times New Roman" w:cs="Times New Roman"/>
          <w:noProof/>
          <w:lang w:eastAsia="en-IN"/>
        </w:rPr>
        <w:t>The borrowing pattern illustrated in Graph 1 demonstrates a significant shift in rural credit behaviour from 1951 to 2016. Institutional lending expanded dramatically during this period, increasing from 7.2% to 69.1% for rural households and from 18.4% to 74.5% for cultivator households. Commercial banks and Regional Rural Banks (RRBs) have emerged as the dominant lenders, while cooperative institutions—once central to rural credit—have seen a marked decline, particularly after 2012. Despite this progress, informal lenders such as moneylenders and family networks continue to hold considerable influence, accounting for 41.6% of rural borrowing in 2016</w:t>
      </w:r>
      <w:r>
        <w:rPr>
          <w:rFonts w:ascii="Times New Roman" w:eastAsia="Times New Roman" w:hAnsi="Times New Roman" w:cs="Times New Roman"/>
          <w:noProof/>
          <w:highlight w:val="yellow"/>
          <w:lang w:eastAsia="en-IN"/>
        </w:rPr>
        <w:t xml:space="preserve"> and</w:t>
      </w:r>
      <w:r>
        <w:rPr>
          <w:rFonts w:ascii="Times New Roman" w:eastAsia="Times New Roman" w:hAnsi="Times New Roman" w:cs="Times New Roman"/>
          <w:noProof/>
          <w:lang w:eastAsia="en-IN"/>
        </w:rPr>
        <w:t xml:space="preserve"> indicating persistent gaps in formal credit outreach. This </w:t>
      </w:r>
      <w:r>
        <w:rPr>
          <w:rFonts w:ascii="Times New Roman" w:eastAsia="Times New Roman" w:hAnsi="Times New Roman" w:cs="Times New Roman"/>
          <w:noProof/>
          <w:highlight w:val="yellow"/>
          <w:lang w:eastAsia="en-IN"/>
        </w:rPr>
        <w:t xml:space="preserve">pattern </w:t>
      </w:r>
      <w:r>
        <w:rPr>
          <w:rFonts w:ascii="Times New Roman" w:eastAsia="Times New Roman" w:hAnsi="Times New Roman" w:cs="Times New Roman"/>
          <w:noProof/>
          <w:lang w:eastAsia="en-IN"/>
        </w:rPr>
        <w:t xml:space="preserve">indicates </w:t>
      </w:r>
      <w:r>
        <w:rPr>
          <w:rFonts w:ascii="Times New Roman" w:eastAsia="Times New Roman" w:hAnsi="Times New Roman" w:cs="Times New Roman"/>
          <w:noProof/>
          <w:highlight w:val="yellow"/>
          <w:lang w:eastAsia="en-IN"/>
        </w:rPr>
        <w:t>co</w:t>
      </w:r>
      <w:r>
        <w:rPr>
          <w:rFonts w:ascii="Times New Roman" w:eastAsia="Times New Roman" w:hAnsi="Times New Roman" w:cs="Times New Roman"/>
          <w:noProof/>
          <w:lang w:eastAsia="en-IN"/>
        </w:rPr>
        <w:t>nt</w:t>
      </w:r>
      <w:r>
        <w:rPr>
          <w:rFonts w:ascii="Times New Roman" w:eastAsia="Times New Roman" w:hAnsi="Times New Roman" w:cs="Times New Roman"/>
          <w:noProof/>
          <w:highlight w:val="yellow"/>
          <w:lang w:eastAsia="en-IN"/>
        </w:rPr>
        <w:t>inued</w:t>
      </w:r>
      <w:r>
        <w:rPr>
          <w:rFonts w:ascii="Times New Roman" w:eastAsia="Times New Roman" w:hAnsi="Times New Roman" w:cs="Times New Roman"/>
          <w:noProof/>
          <w:lang w:eastAsia="en-IN"/>
        </w:rPr>
        <w:t xml:space="preserve"> dependence in regions where formal credit penetration remains weak. The growing integration of Self-Help Groups (SHGs) with banking institutions and NBFCs reflects the increasing diversification of rural credit delivery mechanisms. These alternative financial channels have contributed to wider financial inclusion by improving access to formal financial services, particularly among underserved rural households. However, the renewed reliance on non</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institutional credit remains a policy concern, highlighting the need to further strengthen institutional outreach</w:t>
      </w:r>
      <w:r>
        <w:rPr>
          <w:rFonts w:ascii="Times New Roman" w:eastAsia="Times New Roman" w:hAnsi="Times New Roman" w:cs="Times New Roman"/>
          <w:noProof/>
          <w:highlight w:val="yellow"/>
          <w:lang w:eastAsia="en-IN"/>
        </w:rPr>
        <w:t xml:space="preserve"> (Kumar et al</w:t>
      </w:r>
      <w:r>
        <w:rPr>
          <w:rFonts w:ascii="Times New Roman" w:eastAsia="Times New Roman" w:hAnsi="Times New Roman" w:cs="Times New Roman"/>
          <w:noProof/>
          <w:lang w:eastAsia="en-IN"/>
        </w:rPr>
        <w:t>.</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 xml:space="preserve"> </w:t>
      </w:r>
      <w:r>
        <w:rPr>
          <w:rFonts w:ascii="Times New Roman" w:eastAsia="Times New Roman" w:hAnsi="Times New Roman" w:cs="Times New Roman"/>
          <w:noProof/>
          <w:highlight w:val="yellow"/>
          <w:lang w:eastAsia="en-IN"/>
        </w:rPr>
        <w:t>2017).</w:t>
      </w:r>
    </w:p>
    <w:p w14:paraId="19B91BC4" w14:textId="77777777" w:rsidR="00803FCE" w:rsidRPr="001F7EA5" w:rsidRDefault="00803FCE" w:rsidP="00120CB6">
      <w:pPr>
        <w:numPr>
          <w:ilvl w:val="0"/>
          <w:numId w:val="27"/>
        </w:numPr>
        <w:spacing w:after="0" w:line="360" w:lineRule="auto"/>
        <w:ind w:left="426" w:hanging="426"/>
        <w:jc w:val="both"/>
        <w:rPr>
          <w:rFonts w:ascii="Times New Roman" w:eastAsia="Times New Roman" w:hAnsi="Times New Roman" w:cs="Times New Roman"/>
          <w:b/>
          <w:lang w:eastAsia="en-IN"/>
        </w:rPr>
      </w:pPr>
      <w:r w:rsidRPr="001F7EA5">
        <w:rPr>
          <w:rFonts w:ascii="Times New Roman" w:eastAsia="Times New Roman" w:hAnsi="Times New Roman" w:cs="Times New Roman"/>
          <w:b/>
          <w:noProof/>
          <w:lang w:eastAsia="en-IN"/>
        </w:rPr>
        <w:t>Agency-wise Credit Flow</w:t>
      </w:r>
      <w:r w:rsidR="008049B0">
        <w:rPr>
          <w:rFonts w:ascii="Times New Roman" w:eastAsia="Times New Roman" w:hAnsi="Times New Roman" w:cs="Times New Roman"/>
          <w:b/>
          <w:noProof/>
          <w:lang w:eastAsia="en-IN"/>
        </w:rPr>
        <w:t xml:space="preserve"> (</w:t>
      </w:r>
      <w:r w:rsidR="008049B0" w:rsidRPr="008049B0">
        <w:rPr>
          <w:rFonts w:ascii="Times New Roman" w:eastAsia="Times New Roman" w:hAnsi="Times New Roman" w:cs="Times New Roman"/>
          <w:b/>
          <w:noProof/>
          <w:lang w:eastAsia="en-IN"/>
        </w:rPr>
        <w:t>Growth of Institutional Agencies 1999</w:t>
      </w:r>
      <w:r w:rsidR="008049B0">
        <w:rPr>
          <w:rFonts w:ascii="Times New Roman" w:eastAsia="Times New Roman" w:hAnsi="Times New Roman" w:cs="Times New Roman"/>
          <w:b/>
          <w:noProof/>
          <w:lang w:eastAsia="en-IN"/>
        </w:rPr>
        <w:t xml:space="preserve"> – </w:t>
      </w:r>
      <w:r w:rsidR="008049B0" w:rsidRPr="008049B0">
        <w:rPr>
          <w:rFonts w:ascii="Times New Roman" w:eastAsia="Times New Roman" w:hAnsi="Times New Roman" w:cs="Times New Roman"/>
          <w:b/>
          <w:noProof/>
          <w:lang w:eastAsia="en-IN"/>
        </w:rPr>
        <w:t>2020</w:t>
      </w:r>
      <w:r w:rsidR="008049B0">
        <w:rPr>
          <w:rFonts w:ascii="Times New Roman" w:eastAsia="Times New Roman" w:hAnsi="Times New Roman" w:cs="Times New Roman"/>
          <w:b/>
          <w:noProof/>
          <w:lang w:eastAsia="en-IN"/>
        </w:rPr>
        <w:t>)</w:t>
      </w:r>
      <w:r w:rsidRPr="001F7EA5">
        <w:rPr>
          <w:rFonts w:ascii="Times New Roman" w:eastAsia="Times New Roman" w:hAnsi="Times New Roman" w:cs="Times New Roman"/>
          <w:b/>
          <w:lang w:eastAsia="en-IN"/>
        </w:rPr>
        <w:t xml:space="preserve">: </w:t>
      </w:r>
    </w:p>
    <w:p w14:paraId="6D6AF4A2" w14:textId="77777777" w:rsidR="000A31DF" w:rsidRDefault="00803FCE" w:rsidP="00F776B4">
      <w:pPr>
        <w:spacing w:after="0" w:line="360" w:lineRule="auto"/>
        <w:ind w:left="45"/>
        <w:jc w:val="both"/>
        <w:rPr>
          <w:rFonts w:ascii="Times New Roman" w:eastAsia="Times New Roman" w:hAnsi="Times New Roman" w:cs="Times New Roman"/>
          <w:lang w:eastAsia="en-IN"/>
        </w:rPr>
      </w:pPr>
      <w:r>
        <w:rPr>
          <w:rFonts w:ascii="Times New Roman" w:eastAsia="Times New Roman" w:hAnsi="Times New Roman" w:cs="Times New Roman"/>
          <w:lang w:eastAsia="en-IN"/>
        </w:rPr>
        <w:t xml:space="preserve">The data presented in </w:t>
      </w:r>
      <w:r>
        <w:rPr>
          <w:rFonts w:ascii="Times New Roman" w:eastAsia="Times New Roman" w:hAnsi="Times New Roman" w:cs="Times New Roman"/>
          <w:highlight w:val="yellow"/>
          <w:lang w:eastAsia="en-IN"/>
        </w:rPr>
        <w:t>G</w:t>
      </w:r>
      <w:r>
        <w:rPr>
          <w:rFonts w:ascii="Times New Roman" w:eastAsia="Times New Roman" w:hAnsi="Times New Roman" w:cs="Times New Roman"/>
          <w:lang w:eastAsia="en-IN"/>
        </w:rPr>
        <w:t>raph 2 highlight agenc</w:t>
      </w:r>
      <w:r>
        <w:rPr>
          <w:rFonts w:ascii="Times New Roman" w:eastAsia="Times New Roman" w:hAnsi="Times New Roman" w:cs="Times New Roman"/>
          <w:highlight w:val="yellow"/>
          <w:lang w:eastAsia="en-IN"/>
        </w:rPr>
        <w:t>y-w</w:t>
      </w:r>
      <w:r>
        <w:rPr>
          <w:rFonts w:ascii="Times New Roman" w:eastAsia="Times New Roman" w:hAnsi="Times New Roman" w:cs="Times New Roman"/>
          <w:lang w:eastAsia="en-IN"/>
        </w:rPr>
        <w:t>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 credit flow</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 to </w:t>
      </w:r>
      <w:r>
        <w:rPr>
          <w:rFonts w:ascii="Times New Roman" w:eastAsia="Times New Roman" w:hAnsi="Times New Roman" w:cs="Times New Roman"/>
          <w:highlight w:val="yellow"/>
          <w:lang w:eastAsia="en-IN"/>
        </w:rPr>
        <w:t>India’s</w:t>
      </w:r>
      <w:r>
        <w:rPr>
          <w:rFonts w:ascii="Times New Roman" w:eastAsia="Times New Roman" w:hAnsi="Times New Roman" w:cs="Times New Roman"/>
          <w:lang w:eastAsia="en-IN"/>
        </w:rPr>
        <w:t xml:space="preserve"> agricultural sector from 1999</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2000 to 2019</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2020. The pattern of institutional credit distribution has changed considerably over the </w:t>
      </w:r>
      <w:r>
        <w:rPr>
          <w:rFonts w:ascii="Times New Roman" w:eastAsia="Times New Roman" w:hAnsi="Times New Roman" w:cs="Times New Roman"/>
          <w:lang w:eastAsia="en-IN"/>
        </w:rPr>
        <w:lastRenderedPageBreak/>
        <w:t>years. Cooperative banks, which traditionally played an important role in agricultural lending, experienced a substantial reduction in their contribution to total agricultural credit. Their share declined from 39.47% in 1999–2000 to 11.30% in 2019–2020, indicating a gradual shift in the dominance of agricultural lending towards other institutional sources.</w:t>
      </w:r>
    </w:p>
    <w:p w14:paraId="3B37E12A" w14:textId="77777777" w:rsidR="00F776B4" w:rsidRDefault="009C1358" w:rsidP="00F776B4">
      <w:pPr>
        <w:spacing w:after="0" w:line="360" w:lineRule="auto"/>
        <w:ind w:left="45"/>
        <w:jc w:val="both"/>
        <w:rPr>
          <w:rFonts w:ascii="Times New Roman" w:eastAsia="Times New Roman" w:hAnsi="Times New Roman" w:cs="Times New Roman"/>
          <w:b/>
          <w:noProof/>
          <w:lang w:eastAsia="en-IN"/>
        </w:rPr>
      </w:pPr>
      <w:r>
        <w:rPr>
          <w:rFonts w:ascii="Times New Roman" w:eastAsia="Times New Roman" w:hAnsi="Times New Roman" w:cs="Times New Roman"/>
          <w:b/>
          <w:noProof/>
          <w:lang w:eastAsia="en-IN"/>
        </w:rPr>
        <w:t>Graph 2: Agency-wise Credit Growth of Institutional Agencies in India</w:t>
      </w:r>
    </w:p>
    <w:p w14:paraId="69C5DAE7" w14:textId="77777777" w:rsidR="009C1358" w:rsidRPr="001F7EA5" w:rsidRDefault="009C1358" w:rsidP="00F776B4">
      <w:pPr>
        <w:spacing w:after="0" w:line="360" w:lineRule="auto"/>
        <w:ind w:left="45"/>
        <w:jc w:val="both"/>
        <w:rPr>
          <w:rFonts w:ascii="Times New Roman" w:eastAsia="Times New Roman" w:hAnsi="Times New Roman" w:cs="Times New Roman"/>
          <w:b/>
          <w:noProof/>
          <w:lang w:eastAsia="en-IN"/>
        </w:rPr>
      </w:pPr>
      <w:r>
        <w:rPr>
          <w:noProof/>
        </w:rPr>
        <w:drawing>
          <wp:inline distT="0" distB="0" distL="0" distR="0" wp14:anchorId="68432FC0" wp14:editId="1CF92BE6">
            <wp:extent cx="6595745" cy="3810881"/>
            <wp:effectExtent l="0" t="0" r="0" b="0"/>
            <wp:docPr id="525603460" name="Chart 1">
              <a:extLst xmlns:a="http://schemas.openxmlformats.org/drawingml/2006/main">
                <a:ext uri="{FF2B5EF4-FFF2-40B4-BE49-F238E27FC236}">
                  <a16:creationId xmlns:a16="http://schemas.microsoft.com/office/drawing/2014/main" id="{86C2FD81-299E-F5C7-7BB6-773366422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6BB72B" w14:textId="77777777" w:rsidR="00F776B4" w:rsidRPr="00F776B4" w:rsidRDefault="00F776B4" w:rsidP="00F776B4">
      <w:pPr>
        <w:spacing w:after="0" w:line="360" w:lineRule="auto"/>
        <w:jc w:val="center"/>
        <w:rPr>
          <w:rFonts w:ascii="Times New Roman" w:eastAsia="Times New Roman" w:hAnsi="Times New Roman" w:cs="Times New Roman"/>
          <w:i/>
          <w:sz w:val="16"/>
          <w:szCs w:val="24"/>
          <w:u w:val="single"/>
          <w:lang w:eastAsia="en-IN"/>
        </w:rPr>
      </w:pPr>
      <w:r>
        <w:rPr>
          <w:rFonts w:ascii="Times New Roman" w:eastAsia="Times New Roman" w:hAnsi="Times New Roman" w:cs="Times New Roman"/>
          <w:i/>
          <w:sz w:val="16"/>
          <w:szCs w:val="24"/>
          <w:u w:val="single"/>
          <w:lang w:eastAsia="en-IN"/>
        </w:rPr>
        <w:t xml:space="preserve">Source: </w:t>
      </w:r>
      <w:r>
        <w:rPr>
          <w:rFonts w:ascii="Times New Roman" w:eastAsia="Times New Roman" w:hAnsi="Times New Roman" w:cs="Times New Roman"/>
          <w:i/>
          <w:sz w:val="16"/>
          <w:szCs w:val="24"/>
          <w:highlight w:val="yellow"/>
          <w:u w:val="single"/>
          <w:lang w:eastAsia="en-IN"/>
        </w:rPr>
        <w:t>NABA</w:t>
      </w:r>
      <w:r>
        <w:rPr>
          <w:rFonts w:ascii="Times New Roman" w:eastAsia="Times New Roman" w:hAnsi="Times New Roman" w:cs="Times New Roman"/>
          <w:i/>
          <w:sz w:val="16"/>
          <w:szCs w:val="24"/>
          <w:u w:val="single"/>
          <w:lang w:eastAsia="en-IN"/>
        </w:rPr>
        <w:t>R</w:t>
      </w:r>
      <w:r>
        <w:rPr>
          <w:rFonts w:ascii="Times New Roman" w:eastAsia="Times New Roman" w:hAnsi="Times New Roman" w:cs="Times New Roman"/>
          <w:i/>
          <w:sz w:val="16"/>
          <w:szCs w:val="24"/>
          <w:highlight w:val="yellow"/>
          <w:u w:val="single"/>
          <w:lang w:eastAsia="en-IN"/>
        </w:rPr>
        <w:t>D annual r</w:t>
      </w:r>
      <w:r>
        <w:rPr>
          <w:rFonts w:ascii="Times New Roman" w:eastAsia="Times New Roman" w:hAnsi="Times New Roman" w:cs="Times New Roman"/>
          <w:i/>
          <w:sz w:val="16"/>
          <w:szCs w:val="24"/>
          <w:u w:val="single"/>
          <w:lang w:eastAsia="en-IN"/>
        </w:rPr>
        <w:t xml:space="preserve">eports </w:t>
      </w:r>
      <w:r>
        <w:rPr>
          <w:rFonts w:ascii="Times New Roman" w:eastAsia="Times New Roman" w:hAnsi="Times New Roman" w:cs="Times New Roman"/>
          <w:i/>
          <w:sz w:val="16"/>
          <w:szCs w:val="24"/>
          <w:highlight w:val="yellow"/>
          <w:u w:val="single"/>
          <w:lang w:eastAsia="en-IN"/>
        </w:rPr>
        <w:t>(v</w:t>
      </w:r>
      <w:r>
        <w:rPr>
          <w:rFonts w:ascii="Times New Roman" w:eastAsia="Times New Roman" w:hAnsi="Times New Roman" w:cs="Times New Roman"/>
          <w:i/>
          <w:sz w:val="16"/>
          <w:szCs w:val="24"/>
          <w:u w:val="single"/>
          <w:lang w:eastAsia="en-IN"/>
        </w:rPr>
        <w:t>arious issues</w:t>
      </w:r>
      <w:r>
        <w:rPr>
          <w:rFonts w:ascii="Times New Roman" w:eastAsia="Times New Roman" w:hAnsi="Times New Roman" w:cs="Times New Roman"/>
          <w:i/>
          <w:sz w:val="16"/>
          <w:szCs w:val="24"/>
          <w:highlight w:val="yellow"/>
          <w:u w:val="single"/>
          <w:lang w:eastAsia="en-IN"/>
        </w:rPr>
        <w:t>)</w:t>
      </w:r>
      <w:r>
        <w:rPr>
          <w:rFonts w:ascii="Times New Roman" w:eastAsia="Times New Roman" w:hAnsi="Times New Roman" w:cs="Times New Roman"/>
          <w:i/>
          <w:sz w:val="16"/>
          <w:szCs w:val="24"/>
          <w:u w:val="single"/>
          <w:lang w:eastAsia="en-IN"/>
        </w:rPr>
        <w:t xml:space="preserve"> </w:t>
      </w:r>
      <w:r>
        <w:rPr>
          <w:rFonts w:ascii="Times New Roman" w:eastAsia="Times New Roman" w:hAnsi="Times New Roman" w:cs="Times New Roman"/>
          <w:i/>
          <w:sz w:val="16"/>
          <w:szCs w:val="24"/>
          <w:highlight w:val="yellow"/>
          <w:u w:val="single"/>
          <w:lang w:eastAsia="en-IN"/>
        </w:rPr>
        <w:t>(</w:t>
      </w:r>
      <w:r>
        <w:rPr>
          <w:rFonts w:ascii="Times New Roman" w:eastAsia="Times New Roman" w:hAnsi="Times New Roman" w:cs="Times New Roman"/>
          <w:i/>
          <w:sz w:val="16"/>
          <w:szCs w:val="24"/>
          <w:u w:val="single"/>
          <w:lang w:eastAsia="en-IN"/>
        </w:rPr>
        <w:t>NABARD</w:t>
      </w:r>
      <w:r>
        <w:rPr>
          <w:rFonts w:ascii="Times New Roman" w:eastAsia="Times New Roman" w:hAnsi="Times New Roman" w:cs="Times New Roman"/>
          <w:i/>
          <w:sz w:val="16"/>
          <w:szCs w:val="24"/>
          <w:highlight w:val="yellow"/>
          <w:u w:val="single"/>
          <w:lang w:eastAsia="en-IN"/>
        </w:rPr>
        <w:t>, n</w:t>
      </w:r>
      <w:r>
        <w:rPr>
          <w:rFonts w:ascii="Times New Roman" w:eastAsia="Times New Roman" w:hAnsi="Times New Roman" w:cs="Times New Roman"/>
          <w:i/>
          <w:sz w:val="16"/>
          <w:szCs w:val="24"/>
          <w:u w:val="single"/>
          <w:lang w:eastAsia="en-IN"/>
        </w:rPr>
        <w:t>.</w:t>
      </w:r>
      <w:r>
        <w:rPr>
          <w:rFonts w:ascii="Times New Roman" w:eastAsia="Times New Roman" w:hAnsi="Times New Roman" w:cs="Times New Roman"/>
          <w:i/>
          <w:sz w:val="16"/>
          <w:szCs w:val="24"/>
          <w:highlight w:val="yellow"/>
          <w:u w:val="single"/>
          <w:lang w:eastAsia="en-IN"/>
        </w:rPr>
        <w:t>d.-a).</w:t>
      </w:r>
    </w:p>
    <w:p w14:paraId="4D5ED200" w14:textId="77777777" w:rsidR="00F776B4" w:rsidRDefault="004F0D5B" w:rsidP="00A82364">
      <w:pPr>
        <w:spacing w:after="0" w:line="360" w:lineRule="auto"/>
        <w:contextualSpacing/>
        <w:jc w:val="both"/>
        <w:rPr>
          <w:rFonts w:ascii="Times New Roman" w:eastAsia="Times New Roman" w:hAnsi="Times New Roman" w:cs="Times New Roman"/>
          <w:lang w:eastAsia="en-IN"/>
        </w:rPr>
      </w:pPr>
      <w:r w:rsidRPr="004F0D5B">
        <w:rPr>
          <w:rFonts w:ascii="Times New Roman" w:eastAsia="Times New Roman" w:hAnsi="Times New Roman" w:cs="Times New Roman"/>
          <w:lang w:eastAsia="en-IN"/>
        </w:rPr>
        <w:t xml:space="preserve">In contrast, commercial banks emerged as the leading providers of agricultural finance during this period. Their contribution increased significantly from 53.46% in 1999–2000 to 76.83% in 2019–2020, demonstrating their expanding role in rural credit delivery. Regional Rural Banks (RRBs) also strengthened their position by increasing their share from 6.86% to 11.87% during the same period. </w:t>
      </w:r>
      <w:r w:rsidR="001D445F" w:rsidRPr="001D445F">
        <w:rPr>
          <w:rFonts w:ascii="Times New Roman" w:eastAsia="Times New Roman" w:hAnsi="Times New Roman" w:cs="Times New Roman"/>
          <w:lang w:eastAsia="en-IN"/>
        </w:rPr>
        <w:t>The changing pattern of institutional credit distribution is further evident in the Compound Annual Growth Rate (CAGR) of agricultural lending. Commercial banks recorded a CAGR of 21.84%, closely followed by RRBs at 22.93%, whereas cooperative banks grew at a slower pace of 12.97%. Overall credit disbursement increased substantially from ₹46,268 crore in 1999–2000 to ₹13,92,729 crore in 2019–2020, reflecting sustained policy efforts to strengthen formal agricultural finance across the country.</w:t>
      </w:r>
    </w:p>
    <w:p w14:paraId="49AB1A9F" w14:textId="77777777" w:rsidR="00120CB6" w:rsidRPr="001F7EA5" w:rsidRDefault="00803FCE" w:rsidP="00120CB6">
      <w:pPr>
        <w:numPr>
          <w:ilvl w:val="0"/>
          <w:numId w:val="27"/>
        </w:numPr>
        <w:spacing w:after="0" w:line="360" w:lineRule="auto"/>
        <w:ind w:left="426" w:hanging="426"/>
        <w:jc w:val="both"/>
        <w:rPr>
          <w:rFonts w:ascii="Times New Roman" w:eastAsia="Times New Roman" w:hAnsi="Times New Roman" w:cs="Times New Roman"/>
          <w:noProof/>
          <w:lang w:eastAsia="en-IN"/>
        </w:rPr>
      </w:pPr>
      <w:r w:rsidRPr="001F7EA5">
        <w:rPr>
          <w:rFonts w:ascii="Times New Roman" w:eastAsia="Times New Roman" w:hAnsi="Times New Roman" w:cs="Times New Roman"/>
          <w:b/>
          <w:noProof/>
          <w:lang w:eastAsia="en-IN"/>
        </w:rPr>
        <w:t xml:space="preserve">Trends of Overall </w:t>
      </w:r>
      <w:r w:rsidR="00FF0F20" w:rsidRPr="00FF0F20">
        <w:rPr>
          <w:rFonts w:ascii="Times New Roman" w:eastAsia="Times New Roman" w:hAnsi="Times New Roman" w:cs="Times New Roman"/>
          <w:b/>
          <w:noProof/>
          <w:lang w:eastAsia="en-IN"/>
        </w:rPr>
        <w:t xml:space="preserve">Growth </w:t>
      </w:r>
      <w:r w:rsidR="00FF0F20">
        <w:rPr>
          <w:rFonts w:ascii="Times New Roman" w:eastAsia="Times New Roman" w:hAnsi="Times New Roman" w:cs="Times New Roman"/>
          <w:b/>
          <w:noProof/>
          <w:lang w:eastAsia="en-IN"/>
        </w:rPr>
        <w:t xml:space="preserve">of </w:t>
      </w:r>
      <w:r w:rsidRPr="001F7EA5">
        <w:rPr>
          <w:rFonts w:ascii="Times New Roman" w:eastAsia="Times New Roman" w:hAnsi="Times New Roman" w:cs="Times New Roman"/>
          <w:b/>
          <w:noProof/>
          <w:lang w:eastAsia="en-IN"/>
        </w:rPr>
        <w:t>Institutional Credit</w:t>
      </w:r>
      <w:r w:rsidR="00243DF7">
        <w:rPr>
          <w:rFonts w:ascii="Times New Roman" w:eastAsia="Times New Roman" w:hAnsi="Times New Roman" w:cs="Times New Roman"/>
          <w:b/>
          <w:noProof/>
          <w:lang w:eastAsia="en-IN"/>
        </w:rPr>
        <w:t xml:space="preserve"> (</w:t>
      </w:r>
      <w:r w:rsidR="00243DF7" w:rsidRPr="00243DF7">
        <w:rPr>
          <w:rFonts w:ascii="Times New Roman" w:eastAsia="Times New Roman" w:hAnsi="Times New Roman" w:cs="Times New Roman"/>
          <w:b/>
          <w:noProof/>
          <w:lang w:eastAsia="en-IN"/>
        </w:rPr>
        <w:t>Long-term Concerns</w:t>
      </w:r>
      <w:r w:rsidR="00243DF7">
        <w:rPr>
          <w:rFonts w:ascii="Times New Roman" w:eastAsia="Times New Roman" w:hAnsi="Times New Roman" w:cs="Times New Roman"/>
          <w:b/>
          <w:noProof/>
          <w:lang w:eastAsia="en-IN"/>
        </w:rPr>
        <w:t>)</w:t>
      </w:r>
      <w:r w:rsidRPr="001F7EA5">
        <w:rPr>
          <w:rFonts w:ascii="Times New Roman" w:eastAsia="Times New Roman" w:hAnsi="Times New Roman" w:cs="Times New Roman"/>
          <w:b/>
          <w:noProof/>
          <w:lang w:eastAsia="en-IN"/>
        </w:rPr>
        <w:t xml:space="preserve">: </w:t>
      </w:r>
    </w:p>
    <w:p w14:paraId="442930AF" w14:textId="77777777" w:rsidR="00F776B4" w:rsidRPr="001F7EA5" w:rsidRDefault="004F0D5B" w:rsidP="00F776B4">
      <w:pPr>
        <w:spacing w:after="0" w:line="360" w:lineRule="auto"/>
        <w:ind w:left="45"/>
        <w:jc w:val="both"/>
        <w:rPr>
          <w:rFonts w:ascii="Times New Roman" w:eastAsia="Times New Roman" w:hAnsi="Times New Roman" w:cs="Times New Roman"/>
          <w:noProof/>
          <w:lang w:eastAsia="en-IN"/>
        </w:rPr>
      </w:pPr>
      <w:r>
        <w:rPr>
          <w:rFonts w:ascii="Times New Roman" w:eastAsia="Times New Roman" w:hAnsi="Times New Roman" w:cs="Times New Roman"/>
          <w:noProof/>
          <w:lang w:eastAsia="en-IN"/>
        </w:rPr>
        <w:t>Graph 3 presents the changing pattern of agricultural credit growth and outreach across different lending institutions by categori</w:t>
      </w:r>
      <w:r>
        <w:rPr>
          <w:rFonts w:ascii="Times New Roman" w:eastAsia="Times New Roman" w:hAnsi="Times New Roman" w:cs="Times New Roman"/>
          <w:noProof/>
          <w:highlight w:val="yellow"/>
          <w:lang w:eastAsia="en-IN"/>
        </w:rPr>
        <w:t>s</w:t>
      </w:r>
      <w:r>
        <w:rPr>
          <w:rFonts w:ascii="Times New Roman" w:eastAsia="Times New Roman" w:hAnsi="Times New Roman" w:cs="Times New Roman"/>
          <w:noProof/>
          <w:lang w:eastAsia="en-IN"/>
        </w:rPr>
        <w:t>ing credit into ST (</w:t>
      </w:r>
      <w:r>
        <w:rPr>
          <w:rFonts w:ascii="Times New Roman" w:eastAsia="Times New Roman" w:hAnsi="Times New Roman" w:cs="Times New Roman"/>
          <w:noProof/>
          <w:highlight w:val="yellow"/>
          <w:lang w:eastAsia="en-IN"/>
        </w:rPr>
        <w:t>s</w:t>
      </w:r>
      <w:r>
        <w:rPr>
          <w:rFonts w:ascii="Times New Roman" w:eastAsia="Times New Roman" w:hAnsi="Times New Roman" w:cs="Times New Roman"/>
          <w:noProof/>
          <w:lang w:eastAsia="en-IN"/>
        </w:rPr>
        <w:t>hort-</w:t>
      </w:r>
      <w:r>
        <w:rPr>
          <w:rFonts w:ascii="Times New Roman" w:eastAsia="Times New Roman" w:hAnsi="Times New Roman" w:cs="Times New Roman"/>
          <w:noProof/>
          <w:highlight w:val="yellow"/>
          <w:lang w:eastAsia="en-IN"/>
        </w:rPr>
        <w:t>t</w:t>
      </w:r>
      <w:r>
        <w:rPr>
          <w:rFonts w:ascii="Times New Roman" w:eastAsia="Times New Roman" w:hAnsi="Times New Roman" w:cs="Times New Roman"/>
          <w:noProof/>
          <w:lang w:eastAsia="en-IN"/>
        </w:rPr>
        <w:t>erm) and MT/LT (</w:t>
      </w:r>
      <w:r>
        <w:rPr>
          <w:rFonts w:ascii="Times New Roman" w:eastAsia="Times New Roman" w:hAnsi="Times New Roman" w:cs="Times New Roman"/>
          <w:noProof/>
          <w:highlight w:val="yellow"/>
          <w:lang w:eastAsia="en-IN"/>
        </w:rPr>
        <w:t>m</w:t>
      </w:r>
      <w:r>
        <w:rPr>
          <w:rFonts w:ascii="Times New Roman" w:eastAsia="Times New Roman" w:hAnsi="Times New Roman" w:cs="Times New Roman"/>
          <w:noProof/>
          <w:lang w:eastAsia="en-IN"/>
        </w:rPr>
        <w:t>edium</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w:t>
      </w:r>
      <w:r>
        <w:rPr>
          <w:rFonts w:ascii="Times New Roman" w:eastAsia="Times New Roman" w:hAnsi="Times New Roman" w:cs="Times New Roman"/>
          <w:noProof/>
          <w:highlight w:val="yellow"/>
          <w:lang w:eastAsia="en-IN"/>
        </w:rPr>
        <w:t>l</w:t>
      </w:r>
      <w:r>
        <w:rPr>
          <w:rFonts w:ascii="Times New Roman" w:eastAsia="Times New Roman" w:hAnsi="Times New Roman" w:cs="Times New Roman"/>
          <w:noProof/>
          <w:lang w:eastAsia="en-IN"/>
        </w:rPr>
        <w:t>ong-</w:t>
      </w:r>
      <w:r>
        <w:rPr>
          <w:rFonts w:ascii="Times New Roman" w:eastAsia="Times New Roman" w:hAnsi="Times New Roman" w:cs="Times New Roman"/>
          <w:noProof/>
          <w:highlight w:val="yellow"/>
          <w:lang w:eastAsia="en-IN"/>
        </w:rPr>
        <w:t>t</w:t>
      </w:r>
      <w:r>
        <w:rPr>
          <w:rFonts w:ascii="Times New Roman" w:eastAsia="Times New Roman" w:hAnsi="Times New Roman" w:cs="Times New Roman"/>
          <w:noProof/>
          <w:lang w:eastAsia="en-IN"/>
        </w:rPr>
        <w:t xml:space="preserve">erm) components </w:t>
      </w:r>
      <w:r>
        <w:rPr>
          <w:rFonts w:ascii="Times New Roman" w:eastAsia="Times New Roman" w:hAnsi="Times New Roman" w:cs="Times New Roman"/>
          <w:noProof/>
          <w:highlight w:val="yellow"/>
          <w:lang w:eastAsia="en-IN"/>
        </w:rPr>
        <w:t>f</w:t>
      </w:r>
      <w:r>
        <w:rPr>
          <w:rFonts w:ascii="Times New Roman" w:eastAsia="Times New Roman" w:hAnsi="Times New Roman" w:cs="Times New Roman"/>
          <w:noProof/>
          <w:lang w:eastAsia="en-IN"/>
        </w:rPr>
        <w:t>r</w:t>
      </w:r>
      <w:r>
        <w:rPr>
          <w:rFonts w:ascii="Times New Roman" w:eastAsia="Times New Roman" w:hAnsi="Times New Roman" w:cs="Times New Roman"/>
          <w:noProof/>
          <w:highlight w:val="yellow"/>
          <w:lang w:eastAsia="en-IN"/>
        </w:rPr>
        <w:t>om</w:t>
      </w:r>
      <w:r>
        <w:rPr>
          <w:rFonts w:ascii="Times New Roman" w:eastAsia="Times New Roman" w:hAnsi="Times New Roman" w:cs="Times New Roman"/>
          <w:noProof/>
          <w:lang w:eastAsia="en-IN"/>
        </w:rPr>
        <w:t xml:space="preserve"> 2008–09 to 2019–20. During this period, total agricultural credit disbursement recorded a CAGR of 15.17%, increas</w:t>
      </w:r>
      <w:r>
        <w:rPr>
          <w:rFonts w:ascii="Times New Roman" w:eastAsia="Times New Roman" w:hAnsi="Times New Roman" w:cs="Times New Roman"/>
          <w:noProof/>
          <w:highlight w:val="yellow"/>
          <w:lang w:eastAsia="en-IN"/>
        </w:rPr>
        <w:t>ing</w:t>
      </w:r>
      <w:r>
        <w:rPr>
          <w:rFonts w:ascii="Times New Roman" w:eastAsia="Times New Roman" w:hAnsi="Times New Roman" w:cs="Times New Roman"/>
          <w:noProof/>
          <w:lang w:eastAsia="en-IN"/>
        </w:rPr>
        <w:t xml:space="preserve"> from ₹3,01,908 crore in 2008–09 to ₹13,92,729 crore in 2019–20. This upward trend </w:t>
      </w:r>
      <w:r>
        <w:rPr>
          <w:rFonts w:ascii="Times New Roman" w:eastAsia="Times New Roman" w:hAnsi="Times New Roman" w:cs="Times New Roman"/>
          <w:noProof/>
          <w:lang w:eastAsia="en-IN"/>
        </w:rPr>
        <w:lastRenderedPageBreak/>
        <w:t>indicates</w:t>
      </w:r>
      <w:r>
        <w:rPr>
          <w:rFonts w:ascii="Times New Roman" w:eastAsia="Times New Roman" w:hAnsi="Times New Roman" w:cs="Times New Roman"/>
          <w:noProof/>
          <w:highlight w:val="yellow"/>
          <w:lang w:eastAsia="en-IN"/>
        </w:rPr>
        <w:t xml:space="preserve"> a</w:t>
      </w:r>
      <w:r>
        <w:rPr>
          <w:rFonts w:ascii="Times New Roman" w:eastAsia="Times New Roman" w:hAnsi="Times New Roman" w:cs="Times New Roman"/>
          <w:noProof/>
          <w:lang w:eastAsia="en-IN"/>
        </w:rPr>
        <w:t xml:space="preserve"> sustained expansion of financial support available for agricultural production and investment activities.</w:t>
      </w:r>
    </w:p>
    <w:p w14:paraId="7B3D8B21" w14:textId="77777777" w:rsidR="00F776B4" w:rsidRDefault="00863244" w:rsidP="00F776B4">
      <w:pPr>
        <w:spacing w:after="0" w:line="360" w:lineRule="auto"/>
        <w:ind w:left="405"/>
        <w:jc w:val="both"/>
        <w:rPr>
          <w:rFonts w:ascii="Times New Roman" w:eastAsia="Times New Roman" w:hAnsi="Times New Roman" w:cs="Times New Roman"/>
          <w:b/>
          <w:noProof/>
          <w:lang w:eastAsia="en-IN"/>
        </w:rPr>
      </w:pPr>
      <w:r>
        <w:rPr>
          <w:rFonts w:ascii="Times New Roman" w:eastAsia="Times New Roman" w:hAnsi="Times New Roman" w:cs="Times New Roman"/>
          <w:b/>
          <w:noProof/>
          <w:lang w:eastAsia="en-IN"/>
        </w:rPr>
        <w:t>Graph</w:t>
      </w:r>
      <w:r w:rsidR="00F776B4" w:rsidRPr="001F7EA5">
        <w:rPr>
          <w:rFonts w:ascii="Times New Roman" w:eastAsia="Times New Roman" w:hAnsi="Times New Roman" w:cs="Times New Roman"/>
          <w:b/>
          <w:noProof/>
          <w:lang w:eastAsia="en-IN"/>
        </w:rPr>
        <w:t xml:space="preserve"> </w:t>
      </w:r>
      <w:r w:rsidR="00153B03">
        <w:rPr>
          <w:rFonts w:ascii="Times New Roman" w:eastAsia="Times New Roman" w:hAnsi="Times New Roman" w:cs="Times New Roman"/>
          <w:b/>
          <w:noProof/>
          <w:lang w:eastAsia="en-IN"/>
        </w:rPr>
        <w:t>3</w:t>
      </w:r>
      <w:r w:rsidR="00F776B4" w:rsidRPr="001F7EA5">
        <w:rPr>
          <w:rFonts w:ascii="Times New Roman" w:eastAsia="Times New Roman" w:hAnsi="Times New Roman" w:cs="Times New Roman"/>
          <w:b/>
          <w:noProof/>
          <w:lang w:eastAsia="en-IN"/>
        </w:rPr>
        <w:t>: Trends of Overall Growth and Outreach of Agricultural Credit</w:t>
      </w:r>
    </w:p>
    <w:p w14:paraId="030F5DDD" w14:textId="77777777" w:rsidR="00E33457" w:rsidRPr="001F7EA5" w:rsidRDefault="00E33457" w:rsidP="00730ADB">
      <w:pPr>
        <w:spacing w:after="0" w:line="360" w:lineRule="auto"/>
        <w:ind w:left="405"/>
        <w:rPr>
          <w:rFonts w:ascii="Times New Roman" w:eastAsia="Times New Roman" w:hAnsi="Times New Roman" w:cs="Times New Roman"/>
          <w:b/>
          <w:noProof/>
          <w:lang w:eastAsia="en-IN"/>
        </w:rPr>
      </w:pPr>
      <w:r>
        <w:rPr>
          <w:noProof/>
        </w:rPr>
        <w:drawing>
          <wp:inline distT="0" distB="0" distL="0" distR="0" wp14:anchorId="0D108F9F" wp14:editId="65575B31">
            <wp:extent cx="5893387" cy="3768090"/>
            <wp:effectExtent l="0" t="0" r="0" b="0"/>
            <wp:docPr id="87345313" name="Chart 1">
              <a:extLst xmlns:a="http://schemas.openxmlformats.org/drawingml/2006/main">
                <a:ext uri="{FF2B5EF4-FFF2-40B4-BE49-F238E27FC236}">
                  <a16:creationId xmlns:a16="http://schemas.microsoft.com/office/drawing/2014/main" id="{E4B030B6-DBE1-DBCB-8D4A-B48D2166FB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9097E9" w14:textId="77777777" w:rsidR="00F776B4" w:rsidRPr="00DB2457" w:rsidRDefault="00F776B4" w:rsidP="00FC6C8C">
      <w:pPr>
        <w:spacing w:after="0" w:line="360" w:lineRule="auto"/>
        <w:jc w:val="center"/>
        <w:rPr>
          <w:rFonts w:ascii="Times New Roman" w:eastAsia="Times New Roman" w:hAnsi="Times New Roman" w:cs="Times New Roman"/>
          <w:i/>
          <w:sz w:val="16"/>
          <w:szCs w:val="24"/>
          <w:u w:val="single"/>
          <w:lang w:eastAsia="en-IN"/>
        </w:rPr>
      </w:pPr>
      <w:r>
        <w:rPr>
          <w:rFonts w:ascii="Times New Roman" w:eastAsia="Times New Roman" w:hAnsi="Times New Roman" w:cs="Times New Roman"/>
          <w:i/>
          <w:sz w:val="16"/>
          <w:szCs w:val="24"/>
          <w:u w:val="single"/>
          <w:lang w:eastAsia="en-IN"/>
        </w:rPr>
        <w:t>Source: Department of Agriculture, Cooperation &amp; Farmers Welfare (2020).</w:t>
      </w:r>
    </w:p>
    <w:p w14:paraId="6920C16D" w14:textId="77777777" w:rsidR="00F776B4" w:rsidRPr="001F7EA5" w:rsidRDefault="004F0D5B" w:rsidP="00243DF7">
      <w:pPr>
        <w:spacing w:after="0" w:line="360" w:lineRule="auto"/>
        <w:ind w:left="45"/>
        <w:jc w:val="both"/>
        <w:rPr>
          <w:rFonts w:ascii="Times New Roman" w:eastAsia="Times New Roman" w:hAnsi="Times New Roman" w:cs="Times New Roman"/>
          <w:noProof/>
          <w:lang w:eastAsia="en-IN"/>
        </w:rPr>
      </w:pPr>
      <w:r>
        <w:rPr>
          <w:rFonts w:ascii="Times New Roman" w:eastAsia="Times New Roman" w:hAnsi="Times New Roman" w:cs="Times New Roman"/>
          <w:noProof/>
          <w:lang w:eastAsia="en-IN"/>
        </w:rPr>
        <w:t>Analysis across different lending agencies reveals that commercial banks continued to account for the largest proportion of agricultural credit in both short-term and medium</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/long-term lending segments. Their contribution increased steadily, supported by a CAGR of 15.22%. RRBs demonstrated the highest growth momentum, achieving a CAGR of 19.14%, which indicates their increasing importance in extending credit services to rural communities. Cooperative banks also increased their lending operations, though their growth remained modest</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 xml:space="preserve"> with a CAGR of 12.11%. The government’s agricultural credit target of ₹16.50 lakh crore for 2021–2022 further underscores the continued policy commitment to expanding financial access and strengthening the rural credit ecosystem. Although credit expansion has been significant, the declining share of long-term agricultural lending before 2014–15 created concerns regarding capital investment in agriculture. The decline in long</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term credit availability has constrained investment in several critical areas of farm development. Farmers faced difficulties in financing capital</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intensive activities such as mechanisation, irrigation expansion, land improvement, orchard establishment, construction of farm ponds, and adoption of micro</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irrigation technologies, all of which require sustained access to long</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duration finance. Therefore, maintaining an appropriate balance between short-term production loans and long-term investment credit remains essential for achieving sustainable agricultural growth and improving the resilience of agribusiness systems.</w:t>
      </w:r>
    </w:p>
    <w:p w14:paraId="28A96637" w14:textId="77777777" w:rsidR="00120CB6" w:rsidRPr="001F7EA5" w:rsidRDefault="00803FCE" w:rsidP="00A96AD7">
      <w:pPr>
        <w:numPr>
          <w:ilvl w:val="0"/>
          <w:numId w:val="27"/>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Region-wise Credit Flow</w:t>
      </w:r>
      <w:r w:rsidR="005A02FD">
        <w:rPr>
          <w:rFonts w:ascii="Times New Roman" w:eastAsia="Times New Roman" w:hAnsi="Times New Roman" w:cs="Times New Roman"/>
          <w:b/>
          <w:lang w:eastAsia="en-IN"/>
        </w:rPr>
        <w:t xml:space="preserve"> (</w:t>
      </w:r>
      <w:r w:rsidR="005A02FD" w:rsidRPr="005A02FD">
        <w:rPr>
          <w:rFonts w:ascii="Times New Roman" w:eastAsia="Times New Roman" w:hAnsi="Times New Roman" w:cs="Times New Roman"/>
          <w:b/>
          <w:lang w:eastAsia="en-IN"/>
        </w:rPr>
        <w:t>Regional Distribution of Agricultural Credit 2013</w:t>
      </w:r>
      <w:r w:rsidR="005A02FD">
        <w:rPr>
          <w:rFonts w:ascii="Times New Roman" w:eastAsia="Times New Roman" w:hAnsi="Times New Roman" w:cs="Times New Roman"/>
          <w:b/>
          <w:lang w:eastAsia="en-IN"/>
        </w:rPr>
        <w:t xml:space="preserve"> – 20</w:t>
      </w:r>
      <w:r w:rsidR="005A02FD" w:rsidRPr="005A02FD">
        <w:rPr>
          <w:rFonts w:ascii="Times New Roman" w:eastAsia="Times New Roman" w:hAnsi="Times New Roman" w:cs="Times New Roman"/>
          <w:b/>
          <w:lang w:eastAsia="en-IN"/>
        </w:rPr>
        <w:t>20</w:t>
      </w:r>
      <w:r w:rsidR="005A02FD">
        <w:rPr>
          <w:rFonts w:ascii="Times New Roman" w:eastAsia="Times New Roman" w:hAnsi="Times New Roman" w:cs="Times New Roman"/>
          <w:b/>
          <w:lang w:eastAsia="en-IN"/>
        </w:rPr>
        <w:t>)</w:t>
      </w:r>
      <w:r w:rsidRPr="001F7EA5">
        <w:rPr>
          <w:rFonts w:ascii="Times New Roman" w:eastAsia="Times New Roman" w:hAnsi="Times New Roman" w:cs="Times New Roman"/>
          <w:b/>
          <w:lang w:eastAsia="en-IN"/>
        </w:rPr>
        <w:t xml:space="preserve">: </w:t>
      </w:r>
    </w:p>
    <w:p w14:paraId="05C309E0" w14:textId="77777777" w:rsidR="00F776B4" w:rsidRPr="001F7EA5" w:rsidRDefault="009925C3" w:rsidP="009925C3">
      <w:pPr>
        <w:spacing w:after="0" w:line="360" w:lineRule="auto"/>
        <w:jc w:val="both"/>
        <w:rPr>
          <w:rFonts w:ascii="Times New Roman" w:eastAsia="Times New Roman" w:hAnsi="Times New Roman" w:cs="Times New Roman"/>
          <w:lang w:eastAsia="en-IN"/>
        </w:rPr>
      </w:pPr>
      <w:r w:rsidRPr="009925C3">
        <w:rPr>
          <w:rFonts w:ascii="Times New Roman" w:eastAsia="Times New Roman" w:hAnsi="Times New Roman" w:cs="Times New Roman"/>
          <w:lang w:eastAsia="en-IN"/>
        </w:rPr>
        <w:lastRenderedPageBreak/>
        <w:t>The regional pattern of agricultural credit distribution, as illustrated in Graph 4, indicates significant differences among various regions of India. The southern region remained the leading recipient of agricultural credit throughout the study period, with credit flow increasing from ₹2,95,398 crore (40.46% share) in 2013–14 to ₹6,12,087 crore (43.95% share) in 2019–20. The region registered a CAGR of 13.93%, highlighting its continued dominance in agricultural lending.</w:t>
      </w:r>
      <w:r>
        <w:rPr>
          <w:rFonts w:ascii="Times New Roman" w:eastAsia="Times New Roman" w:hAnsi="Times New Roman" w:cs="Times New Roman"/>
          <w:lang w:eastAsia="en-IN"/>
        </w:rPr>
        <w:t xml:space="preserve"> </w:t>
      </w:r>
      <w:r w:rsidRPr="009925C3">
        <w:rPr>
          <w:rFonts w:ascii="Times New Roman" w:eastAsia="Times New Roman" w:hAnsi="Times New Roman" w:cs="Times New Roman"/>
          <w:lang w:eastAsia="en-IN"/>
        </w:rPr>
        <w:t xml:space="preserve">Although the north-eastern region received the lowest proportion of total agricultural credit, it experienced the fastest growth rate, with a CAGR of 21.29%. This improvement suggests the positive impact of policy initiatives aimed at expanding formal credit facilities in historically credit-deficient areas. The eastern and central regions recorded moderate expansion in agricultural lending, with growth rates of 12.06% and 8.61%, respectively. Meanwhile, the </w:t>
      </w:r>
      <w:r w:rsidR="00C4379D" w:rsidRPr="009925C3">
        <w:rPr>
          <w:rFonts w:ascii="Times New Roman" w:eastAsia="Times New Roman" w:hAnsi="Times New Roman" w:cs="Times New Roman"/>
          <w:lang w:eastAsia="en-IN"/>
        </w:rPr>
        <w:t>western</w:t>
      </w:r>
      <w:r w:rsidRPr="009925C3">
        <w:rPr>
          <w:rFonts w:ascii="Times New Roman" w:eastAsia="Times New Roman" w:hAnsi="Times New Roman" w:cs="Times New Roman"/>
          <w:lang w:eastAsia="en-IN"/>
        </w:rPr>
        <w:t xml:space="preserve"> and </w:t>
      </w:r>
      <w:r w:rsidR="00C4379D" w:rsidRPr="00C4379D">
        <w:rPr>
          <w:rFonts w:ascii="Times New Roman" w:eastAsia="Times New Roman" w:hAnsi="Times New Roman" w:cs="Times New Roman"/>
          <w:lang w:eastAsia="en-IN"/>
        </w:rPr>
        <w:t xml:space="preserve">northern </w:t>
      </w:r>
      <w:r w:rsidRPr="009925C3">
        <w:rPr>
          <w:rFonts w:ascii="Times New Roman" w:eastAsia="Times New Roman" w:hAnsi="Times New Roman" w:cs="Times New Roman"/>
          <w:lang w:eastAsia="en-IN"/>
        </w:rPr>
        <w:t>regions showed comparatively slow growth, recording CAGRs of 8.66% and 8.96%, although their absolute credit volumes remained substantial.</w:t>
      </w:r>
      <w:r>
        <w:rPr>
          <w:rFonts w:ascii="Times New Roman" w:eastAsia="Times New Roman" w:hAnsi="Times New Roman" w:cs="Times New Roman"/>
          <w:lang w:eastAsia="en-IN"/>
        </w:rPr>
        <w:t xml:space="preserve"> </w:t>
      </w:r>
      <w:r w:rsidRPr="009925C3">
        <w:rPr>
          <w:rFonts w:ascii="Times New Roman" w:eastAsia="Times New Roman" w:hAnsi="Times New Roman" w:cs="Times New Roman"/>
          <w:lang w:eastAsia="en-IN"/>
        </w:rPr>
        <w:t>Overall, the regional credit distribution pattern reflects a persistent concentration of agricultural finance in southern states. These variations highlight the importance of region-specific financial strategies to improve credit accessibility and promote more balanced agricultural development across India.</w:t>
      </w:r>
      <w:r w:rsidR="00242DCA" w:rsidRPr="001F7EA5">
        <w:rPr>
          <w:rFonts w:ascii="Times New Roman" w:eastAsia="Times New Roman" w:hAnsi="Times New Roman" w:cs="Times New Roman"/>
          <w:lang w:eastAsia="en-IN"/>
        </w:rPr>
        <w:t xml:space="preserve"> </w:t>
      </w:r>
    </w:p>
    <w:p w14:paraId="265E8B34" w14:textId="77777777" w:rsidR="00F776B4" w:rsidRDefault="00863244" w:rsidP="00F776B4">
      <w:pPr>
        <w:spacing w:after="0" w:line="360" w:lineRule="auto"/>
        <w:ind w:left="405"/>
        <w:jc w:val="both"/>
        <w:rPr>
          <w:rFonts w:ascii="Times New Roman" w:eastAsia="Times New Roman" w:hAnsi="Times New Roman" w:cs="Times New Roman"/>
          <w:b/>
          <w:noProof/>
          <w:lang w:eastAsia="en-IN"/>
        </w:rPr>
      </w:pPr>
      <w:r>
        <w:rPr>
          <w:rFonts w:ascii="Times New Roman" w:eastAsia="Times New Roman" w:hAnsi="Times New Roman" w:cs="Times New Roman"/>
          <w:b/>
          <w:noProof/>
          <w:lang w:eastAsia="en-IN"/>
        </w:rPr>
        <w:t>Graph</w:t>
      </w:r>
      <w:r w:rsidR="00F776B4" w:rsidRPr="001F7EA5">
        <w:rPr>
          <w:rFonts w:ascii="Times New Roman" w:eastAsia="Times New Roman" w:hAnsi="Times New Roman" w:cs="Times New Roman"/>
          <w:b/>
          <w:noProof/>
          <w:lang w:eastAsia="en-IN"/>
        </w:rPr>
        <w:t xml:space="preserve"> </w:t>
      </w:r>
      <w:r w:rsidR="00153B03">
        <w:rPr>
          <w:rFonts w:ascii="Times New Roman" w:eastAsia="Times New Roman" w:hAnsi="Times New Roman" w:cs="Times New Roman"/>
          <w:b/>
          <w:noProof/>
          <w:lang w:eastAsia="en-IN"/>
        </w:rPr>
        <w:t>4</w:t>
      </w:r>
      <w:r w:rsidR="00F776B4" w:rsidRPr="001F7EA5">
        <w:rPr>
          <w:rFonts w:ascii="Times New Roman" w:eastAsia="Times New Roman" w:hAnsi="Times New Roman" w:cs="Times New Roman"/>
          <w:b/>
          <w:noProof/>
          <w:lang w:eastAsia="en-IN"/>
        </w:rPr>
        <w:t xml:space="preserve">: </w:t>
      </w:r>
      <w:r w:rsidR="00B31186" w:rsidRPr="005A02FD">
        <w:rPr>
          <w:rFonts w:ascii="Times New Roman" w:eastAsia="Times New Roman" w:hAnsi="Times New Roman" w:cs="Times New Roman"/>
          <w:b/>
          <w:lang w:eastAsia="en-IN"/>
        </w:rPr>
        <w:t xml:space="preserve">Regional Distribution of Agricultural Credit </w:t>
      </w:r>
    </w:p>
    <w:p w14:paraId="140EFF8B" w14:textId="77777777" w:rsidR="00E06F99" w:rsidRPr="001F7EA5" w:rsidRDefault="00012333" w:rsidP="00F776B4">
      <w:pPr>
        <w:spacing w:after="0" w:line="360" w:lineRule="auto"/>
        <w:ind w:left="405"/>
        <w:jc w:val="both"/>
        <w:rPr>
          <w:rFonts w:ascii="Times New Roman" w:eastAsia="Times New Roman" w:hAnsi="Times New Roman" w:cs="Times New Roman"/>
          <w:b/>
          <w:noProof/>
          <w:lang w:eastAsia="en-IN"/>
        </w:rPr>
      </w:pPr>
      <w:r>
        <w:rPr>
          <w:noProof/>
        </w:rPr>
        <w:drawing>
          <wp:inline distT="0" distB="0" distL="0" distR="0" wp14:anchorId="77B23FF9" wp14:editId="6C9B2E1B">
            <wp:extent cx="6168235" cy="2541905"/>
            <wp:effectExtent l="0" t="0" r="0" b="0"/>
            <wp:docPr id="1292741481" name="Chart 1">
              <a:extLst xmlns:a="http://schemas.openxmlformats.org/drawingml/2006/main">
                <a:ext uri="{FF2B5EF4-FFF2-40B4-BE49-F238E27FC236}">
                  <a16:creationId xmlns:a16="http://schemas.microsoft.com/office/drawing/2014/main" id="{2DDFC0F8-A7B3-8A04-735A-8F50BE2983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6E2D12" w14:textId="77777777" w:rsidR="00397C3D" w:rsidRPr="00F776B4" w:rsidRDefault="00F776B4" w:rsidP="00397C3D">
      <w:pPr>
        <w:spacing w:after="0" w:line="360" w:lineRule="auto"/>
        <w:jc w:val="center"/>
        <w:rPr>
          <w:rFonts w:ascii="Times New Roman" w:eastAsia="Times New Roman" w:hAnsi="Times New Roman" w:cs="Times New Roman"/>
          <w:i/>
          <w:noProof/>
          <w:sz w:val="8"/>
          <w:szCs w:val="24"/>
          <w:u w:val="single"/>
          <w:lang w:eastAsia="en-IN"/>
        </w:rPr>
      </w:pPr>
      <w:r>
        <w:rPr>
          <w:rFonts w:ascii="Times New Roman" w:eastAsia="Times New Roman" w:hAnsi="Times New Roman" w:cs="Times New Roman"/>
          <w:i/>
          <w:sz w:val="16"/>
          <w:szCs w:val="24"/>
          <w:u w:val="single"/>
          <w:lang w:eastAsia="en-IN"/>
        </w:rPr>
        <w:t>Source: NABARD Data Bank and NABARD Annual Report 2019–20 (NABARD, 2020, n.d.-b).</w:t>
      </w:r>
    </w:p>
    <w:p w14:paraId="03C3E083" w14:textId="77777777" w:rsidR="00DB2457" w:rsidRPr="00FC3233" w:rsidRDefault="00B31186" w:rsidP="00FC3233">
      <w:pPr>
        <w:spacing w:after="0" w:line="360" w:lineRule="auto"/>
        <w:ind w:left="45"/>
        <w:jc w:val="both"/>
        <w:rPr>
          <w:rFonts w:ascii="Times New Roman" w:eastAsia="Times New Roman" w:hAnsi="Times New Roman" w:cs="Times New Roman"/>
          <w:noProof/>
          <w:highlight w:val="yellow"/>
          <w:lang w:eastAsia="en-IN"/>
        </w:rPr>
      </w:pPr>
      <w:r>
        <w:rPr>
          <w:rFonts w:ascii="Times New Roman" w:eastAsia="Times New Roman" w:hAnsi="Times New Roman" w:cs="Times New Roman"/>
          <w:b/>
          <w:bCs/>
          <w:noProof/>
          <w:lang w:eastAsia="en-IN"/>
        </w:rPr>
        <w:t>Region-wise Average Loan Amount per Account (2019–20)</w:t>
      </w:r>
      <w:r>
        <w:rPr>
          <w:rFonts w:ascii="Times New Roman" w:eastAsia="Times New Roman" w:hAnsi="Times New Roman" w:cs="Times New Roman"/>
          <w:b/>
          <w:bCs/>
          <w:noProof/>
          <w:highlight w:val="yellow"/>
          <w:lang w:eastAsia="en-IN"/>
        </w:rPr>
        <w:t>:</w:t>
      </w:r>
      <w:r>
        <w:rPr>
          <w:rFonts w:ascii="Times New Roman" w:eastAsia="Times New Roman" w:hAnsi="Times New Roman" w:cs="Times New Roman"/>
          <w:noProof/>
          <w:lang w:eastAsia="en-IN"/>
        </w:rPr>
        <w:t xml:space="preserve"> Graph 5 compares the average credit amount received per account by </w:t>
      </w:r>
      <w:r>
        <w:rPr>
          <w:rFonts w:ascii="Times New Roman" w:eastAsia="Times New Roman" w:hAnsi="Times New Roman" w:cs="Times New Roman"/>
          <w:noProof/>
          <w:highlight w:val="yellow"/>
          <w:lang w:eastAsia="en-IN"/>
        </w:rPr>
        <w:t xml:space="preserve">all </w:t>
      </w:r>
      <w:r>
        <w:rPr>
          <w:rFonts w:ascii="Times New Roman" w:eastAsia="Times New Roman" w:hAnsi="Times New Roman" w:cs="Times New Roman"/>
          <w:noProof/>
          <w:lang w:eastAsia="en-IN"/>
        </w:rPr>
        <w:t xml:space="preserve">farmers and </w:t>
      </w:r>
      <w:r>
        <w:rPr>
          <w:rFonts w:ascii="Times New Roman" w:eastAsia="Times New Roman" w:hAnsi="Times New Roman" w:cs="Times New Roman"/>
          <w:noProof/>
          <w:highlight w:val="yellow"/>
          <w:lang w:eastAsia="en-IN"/>
        </w:rPr>
        <w:t xml:space="preserve">by </w:t>
      </w:r>
      <w:r>
        <w:rPr>
          <w:rFonts w:ascii="Times New Roman" w:eastAsia="Times New Roman" w:hAnsi="Times New Roman" w:cs="Times New Roman"/>
          <w:noProof/>
          <w:lang w:eastAsia="en-IN"/>
        </w:rPr>
        <w:t>small a</w:t>
      </w:r>
      <w:r>
        <w:rPr>
          <w:rFonts w:ascii="Times New Roman" w:eastAsia="Times New Roman" w:hAnsi="Times New Roman" w:cs="Times New Roman"/>
          <w:noProof/>
          <w:highlight w:val="yellow"/>
          <w:lang w:eastAsia="en-IN"/>
        </w:rPr>
        <w:t>nd</w:t>
      </w:r>
      <w:r>
        <w:rPr>
          <w:rFonts w:ascii="Times New Roman" w:eastAsia="Times New Roman" w:hAnsi="Times New Roman" w:cs="Times New Roman"/>
          <w:noProof/>
          <w:lang w:eastAsia="en-IN"/>
        </w:rPr>
        <w:t xml:space="preserve"> marginal farmers (SF/MF) during 2019–20. At the national level, the average loan amount sanctioned per farmer stood at ₹1,02,482, while small and marginal farmers received an average of ₹71,034 per account. Regionally, the northern states reported the highest average loan disbursement, with ₹1,60,165 per account for all farmers and ₹95,351 for small and marginal farmers, indicating significant regional variation in credit access and loan size </w:t>
      </w:r>
      <w:r>
        <w:rPr>
          <w:rFonts w:ascii="Times New Roman" w:eastAsia="Times New Roman" w:hAnsi="Times New Roman" w:cs="Times New Roman"/>
          <w:noProof/>
          <w:highlight w:val="yellow"/>
          <w:lang w:eastAsia="en-IN"/>
        </w:rPr>
        <w:t>a</w:t>
      </w:r>
      <w:r>
        <w:rPr>
          <w:rFonts w:ascii="Times New Roman" w:eastAsia="Times New Roman" w:hAnsi="Times New Roman" w:cs="Times New Roman"/>
          <w:noProof/>
          <w:lang w:eastAsia="en-IN"/>
        </w:rPr>
        <w:t xml:space="preserve">nd relatively better access to formal agricultural finance in the region. In comparison, the eastern region reported the lowest average loan amounts, with farmers receiving ₹66,307 and SF/MF farmers receiving ₹51,592 per account, reflecting comparatively weaker credit penetration. In Uttar Pradesh, the average loan amount remained below the national average, with ₹93,906 per account for all farmers and ₹69,689 for small and </w:t>
      </w:r>
      <w:r>
        <w:rPr>
          <w:rFonts w:ascii="Times New Roman" w:eastAsia="Times New Roman" w:hAnsi="Times New Roman" w:cs="Times New Roman"/>
          <w:noProof/>
          <w:lang w:eastAsia="en-IN"/>
        </w:rPr>
        <w:lastRenderedPageBreak/>
        <w:t>marginal farmers. This indicates that</w:t>
      </w:r>
      <w:r>
        <w:rPr>
          <w:rFonts w:ascii="Times New Roman" w:eastAsia="Times New Roman" w:hAnsi="Times New Roman" w:cs="Times New Roman"/>
          <w:noProof/>
          <w:highlight w:val="yellow"/>
          <w:lang w:eastAsia="en-IN"/>
        </w:rPr>
        <w:t>,</w:t>
      </w:r>
      <w:r>
        <w:rPr>
          <w:rFonts w:ascii="Times New Roman" w:eastAsia="Times New Roman" w:hAnsi="Times New Roman" w:cs="Times New Roman"/>
          <w:noProof/>
          <w:lang w:eastAsia="en-IN"/>
        </w:rPr>
        <w:t xml:space="preserve"> although credit </w:t>
      </w:r>
      <w:r>
        <w:rPr>
          <w:rFonts w:ascii="Times New Roman" w:eastAsia="Times New Roman" w:hAnsi="Times New Roman" w:cs="Times New Roman"/>
          <w:noProof/>
          <w:highlight w:val="yellow"/>
          <w:lang w:eastAsia="en-IN"/>
        </w:rPr>
        <w:t xml:space="preserve">is </w:t>
      </w:r>
      <w:r>
        <w:rPr>
          <w:rFonts w:ascii="Times New Roman" w:eastAsia="Times New Roman" w:hAnsi="Times New Roman" w:cs="Times New Roman"/>
          <w:noProof/>
          <w:lang w:eastAsia="en-IN"/>
        </w:rPr>
        <w:t>available, the level of financial support remains relatively lower th</w:t>
      </w:r>
      <w:r>
        <w:rPr>
          <w:rFonts w:ascii="Times New Roman" w:eastAsia="Times New Roman" w:hAnsi="Times New Roman" w:cs="Times New Roman"/>
          <w:noProof/>
          <w:highlight w:val="yellow"/>
          <w:lang w:eastAsia="en-IN"/>
        </w:rPr>
        <w:t>an in</w:t>
      </w:r>
      <w:r>
        <w:rPr>
          <w:rFonts w:ascii="Times New Roman" w:eastAsia="Times New Roman" w:hAnsi="Times New Roman" w:cs="Times New Roman"/>
          <w:noProof/>
          <w:lang w:eastAsia="en-IN"/>
        </w:rPr>
        <w:t xml:space="preserve"> several other regions.</w:t>
      </w:r>
    </w:p>
    <w:p w14:paraId="0C88B452" w14:textId="77777777" w:rsidR="00DB2457" w:rsidRDefault="007C5204" w:rsidP="00DB2457">
      <w:pPr>
        <w:spacing w:after="0" w:line="360" w:lineRule="auto"/>
        <w:jc w:val="both"/>
        <w:rPr>
          <w:rFonts w:ascii="Times New Roman" w:eastAsia="Times New Roman" w:hAnsi="Times New Roman" w:cs="Times New Roman"/>
          <w:b/>
          <w:noProof/>
          <w:lang w:eastAsia="en-IN"/>
        </w:rPr>
      </w:pPr>
      <w:r>
        <w:rPr>
          <w:rFonts w:ascii="Times New Roman" w:eastAsia="Times New Roman" w:hAnsi="Times New Roman" w:cs="Times New Roman"/>
          <w:b/>
          <w:noProof/>
          <w:lang w:eastAsia="en-IN"/>
        </w:rPr>
        <w:t xml:space="preserve">Graph 5: Average Loan </w:t>
      </w:r>
      <w:r>
        <w:rPr>
          <w:rFonts w:ascii="Times New Roman" w:eastAsia="Times New Roman" w:hAnsi="Times New Roman" w:cs="Times New Roman"/>
          <w:b/>
          <w:noProof/>
          <w:highlight w:val="yellow"/>
          <w:lang w:eastAsia="en-IN"/>
        </w:rPr>
        <w:t>A</w:t>
      </w:r>
      <w:r>
        <w:rPr>
          <w:rFonts w:ascii="Times New Roman" w:eastAsia="Times New Roman" w:hAnsi="Times New Roman" w:cs="Times New Roman"/>
          <w:b/>
          <w:noProof/>
          <w:lang w:eastAsia="en-IN"/>
        </w:rPr>
        <w:t>mount during 2019</w:t>
      </w:r>
      <w:r>
        <w:rPr>
          <w:rFonts w:ascii="Times New Roman" w:eastAsia="Times New Roman" w:hAnsi="Times New Roman" w:cs="Times New Roman"/>
          <w:b/>
          <w:noProof/>
          <w:highlight w:val="yellow"/>
          <w:lang w:eastAsia="en-IN"/>
        </w:rPr>
        <w:t>–</w:t>
      </w:r>
      <w:r>
        <w:rPr>
          <w:rFonts w:ascii="Times New Roman" w:eastAsia="Times New Roman" w:hAnsi="Times New Roman" w:cs="Times New Roman"/>
          <w:b/>
          <w:noProof/>
          <w:lang w:eastAsia="en-IN"/>
        </w:rPr>
        <w:t>20 (in Rs.)</w:t>
      </w:r>
    </w:p>
    <w:p w14:paraId="737A6023" w14:textId="77777777" w:rsidR="00DC0021" w:rsidRPr="00A55455" w:rsidRDefault="00DC0021" w:rsidP="00382D25">
      <w:pPr>
        <w:spacing w:after="0" w:line="360" w:lineRule="auto"/>
        <w:jc w:val="center"/>
        <w:rPr>
          <w:rFonts w:ascii="Times New Roman" w:eastAsia="Times New Roman" w:hAnsi="Times New Roman" w:cs="Times New Roman"/>
          <w:b/>
          <w:noProof/>
          <w:sz w:val="24"/>
          <w:szCs w:val="24"/>
          <w:lang w:eastAsia="en-IN"/>
        </w:rPr>
      </w:pPr>
      <w:r>
        <w:rPr>
          <w:noProof/>
        </w:rPr>
        <w:drawing>
          <wp:inline distT="0" distB="0" distL="0" distR="0" wp14:anchorId="0A3FA7F5" wp14:editId="28101A64">
            <wp:extent cx="4725281" cy="2357120"/>
            <wp:effectExtent l="0" t="0" r="0" b="0"/>
            <wp:docPr id="2113199100" name="Chart 1">
              <a:extLst xmlns:a="http://schemas.openxmlformats.org/drawingml/2006/main">
                <a:ext uri="{FF2B5EF4-FFF2-40B4-BE49-F238E27FC236}">
                  <a16:creationId xmlns:a16="http://schemas.microsoft.com/office/drawing/2014/main" id="{4C5C20FF-D81F-6804-D57A-EC1D549A7B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C72151" w14:textId="77777777" w:rsidR="00397C3D" w:rsidRPr="00F776B4" w:rsidRDefault="00DB2457" w:rsidP="00397C3D">
      <w:pPr>
        <w:spacing w:after="0" w:line="360" w:lineRule="auto"/>
        <w:jc w:val="center"/>
        <w:rPr>
          <w:rFonts w:ascii="Times New Roman" w:eastAsia="Times New Roman" w:hAnsi="Times New Roman" w:cs="Times New Roman"/>
          <w:i/>
          <w:noProof/>
          <w:sz w:val="8"/>
          <w:szCs w:val="24"/>
          <w:u w:val="single"/>
          <w:lang w:eastAsia="en-IN"/>
        </w:rPr>
      </w:pPr>
      <w:r>
        <w:rPr>
          <w:rFonts w:ascii="Times New Roman" w:eastAsia="Times New Roman" w:hAnsi="Times New Roman" w:cs="Times New Roman"/>
          <w:sz w:val="16"/>
          <w:szCs w:val="24"/>
          <w:u w:val="single"/>
          <w:lang w:eastAsia="en-IN"/>
        </w:rPr>
        <w:t>Source: NABARD Data Bank and NABARD Annual Report 2019–20 (NABARD, 2020, n.d.-b).</w:t>
      </w:r>
    </w:p>
    <w:p w14:paraId="4A55EAFB" w14:textId="77777777" w:rsidR="00DB2457" w:rsidRPr="001F7EA5" w:rsidRDefault="00034601" w:rsidP="00DB2457">
      <w:pPr>
        <w:spacing w:after="0" w:line="360" w:lineRule="auto"/>
        <w:ind w:left="45"/>
        <w:jc w:val="both"/>
        <w:rPr>
          <w:rFonts w:ascii="Times New Roman" w:eastAsia="Times New Roman" w:hAnsi="Times New Roman" w:cs="Times New Roman"/>
          <w:noProof/>
          <w:lang w:eastAsia="en-IN"/>
        </w:rPr>
      </w:pPr>
      <w:r>
        <w:rPr>
          <w:rFonts w:ascii="Times New Roman" w:eastAsia="Times New Roman" w:hAnsi="Times New Roman" w:cs="Times New Roman"/>
          <w:noProof/>
          <w:lang w:eastAsia="en-IN"/>
        </w:rPr>
        <w:t>The findings presented in Graphs 4 and 5 demonstrate considerable regional differences in both agricultural credit distribution and average loan accessibility. While some regions have benefited from higher institutional credit availability, others continue to experience limited financial outreach. These disparities emphasi</w:t>
      </w:r>
      <w:r>
        <w:rPr>
          <w:rFonts w:ascii="Times New Roman" w:eastAsia="Times New Roman" w:hAnsi="Times New Roman" w:cs="Times New Roman"/>
          <w:noProof/>
          <w:highlight w:val="yellow"/>
          <w:lang w:eastAsia="en-IN"/>
        </w:rPr>
        <w:t>s</w:t>
      </w:r>
      <w:r>
        <w:rPr>
          <w:rFonts w:ascii="Times New Roman" w:eastAsia="Times New Roman" w:hAnsi="Times New Roman" w:cs="Times New Roman"/>
          <w:noProof/>
          <w:lang w:eastAsia="en-IN"/>
        </w:rPr>
        <w:t>e the need for targeted policy measures, improved banking infrastructure, and region-specific credit strategies to ensure more inclusive access to agricultural finance, particularly for farmers located in underserved areas.</w:t>
      </w:r>
    </w:p>
    <w:p w14:paraId="5D246EC2" w14:textId="77777777" w:rsidR="00011D54" w:rsidRDefault="00011D54" w:rsidP="00DB2457">
      <w:pPr>
        <w:spacing w:before="240" w:after="0" w:line="360" w:lineRule="auto"/>
        <w:ind w:left="45"/>
        <w:jc w:val="both"/>
        <w:rPr>
          <w:rFonts w:ascii="Times New Roman" w:eastAsia="Times New Roman" w:hAnsi="Times New Roman" w:cs="Times New Roman"/>
          <w:b/>
          <w:lang w:eastAsia="en-IN"/>
        </w:rPr>
      </w:pPr>
      <w:r w:rsidRPr="00011D54">
        <w:rPr>
          <w:rFonts w:ascii="Times New Roman" w:eastAsia="Times New Roman" w:hAnsi="Times New Roman" w:cs="Times New Roman"/>
          <w:b/>
          <w:lang w:eastAsia="en-IN"/>
        </w:rPr>
        <w:t>Persistent Challenges in India</w:t>
      </w:r>
      <w:r w:rsidR="00C14183">
        <w:rPr>
          <w:rFonts w:ascii="Times New Roman" w:eastAsia="Times New Roman" w:hAnsi="Times New Roman" w:cs="Times New Roman"/>
          <w:b/>
          <w:lang w:eastAsia="en-IN"/>
        </w:rPr>
        <w:t>’</w:t>
      </w:r>
      <w:r w:rsidRPr="00011D54">
        <w:rPr>
          <w:rFonts w:ascii="Times New Roman" w:eastAsia="Times New Roman" w:hAnsi="Times New Roman" w:cs="Times New Roman"/>
          <w:b/>
          <w:lang w:eastAsia="en-IN"/>
        </w:rPr>
        <w:t>s Rural Finance System</w:t>
      </w:r>
    </w:p>
    <w:p w14:paraId="59B9DE91" w14:textId="77777777" w:rsidR="00011D54" w:rsidRPr="00011D54" w:rsidRDefault="00BD1B7B" w:rsidP="00011D54">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Despite the considerable expansion of rural financial services over recent decades, the benefits of institutional credit have not been distributed uniformly across the farming community. Small and marginal farmers, who account for nearly 86% of all agricultural holdings in India, continue to encounter significant barriers when seeking formal loans. Inadequate collateral</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limited documented credit records, and lengthy administrative procedures frequently reduce their ability to obtain timely financial assistance from regulated lending institutions. Regional imbalances further intensify the problem, as north</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eastern and eastern states consistently receive lower levels of institutional credit </w:t>
      </w:r>
      <w:r>
        <w:rPr>
          <w:rFonts w:ascii="Times New Roman" w:eastAsia="Times New Roman" w:hAnsi="Times New Roman" w:cs="Times New Roman"/>
          <w:highlight w:val="yellow"/>
          <w:lang w:eastAsia="en-IN"/>
        </w:rPr>
        <w:t>th</w:t>
      </w:r>
      <w:r>
        <w:rPr>
          <w:rFonts w:ascii="Times New Roman" w:eastAsia="Times New Roman" w:hAnsi="Times New Roman" w:cs="Times New Roman"/>
          <w:lang w:eastAsia="en-IN"/>
        </w:rPr>
        <w:t>a</w:t>
      </w:r>
      <w:r>
        <w:rPr>
          <w:rFonts w:ascii="Times New Roman" w:eastAsia="Times New Roman" w:hAnsi="Times New Roman" w:cs="Times New Roman"/>
          <w:highlight w:val="yellow"/>
          <w:lang w:eastAsia="en-IN"/>
        </w:rPr>
        <w:t>n</w:t>
      </w:r>
      <w:r>
        <w:rPr>
          <w:rFonts w:ascii="Times New Roman" w:eastAsia="Times New Roman" w:hAnsi="Times New Roman" w:cs="Times New Roman"/>
          <w:lang w:eastAsia="en-IN"/>
        </w:rPr>
        <w:t xml:space="preserve"> the southern and western regions.</w:t>
      </w:r>
    </w:p>
    <w:p w14:paraId="4A9C5590" w14:textId="77777777" w:rsidR="00CE7AFA" w:rsidRPr="001F7EA5" w:rsidRDefault="00011D54" w:rsidP="00011D54">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Despite the risks associated with informal lending, many rural households still depend on non</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institutional sources because they are more accessible and flexible, even though such lenders often engage in exploitative practices that trap borrowers in recurring debt cycles. Another persistent concern is the accumulation of NPAs (</w:t>
      </w:r>
      <w:r>
        <w:rPr>
          <w:rFonts w:ascii="Times New Roman" w:eastAsia="Times New Roman" w:hAnsi="Times New Roman" w:cs="Times New Roman"/>
          <w:highlight w:val="yellow"/>
          <w:lang w:eastAsia="en-IN"/>
        </w:rPr>
        <w:t>n</w:t>
      </w:r>
      <w:r>
        <w:rPr>
          <w:rFonts w:ascii="Times New Roman" w:eastAsia="Times New Roman" w:hAnsi="Times New Roman" w:cs="Times New Roman"/>
          <w:lang w:eastAsia="en-IN"/>
        </w:rPr>
        <w:t>on-</w:t>
      </w:r>
      <w:r>
        <w:rPr>
          <w:rFonts w:ascii="Times New Roman" w:eastAsia="Times New Roman" w:hAnsi="Times New Roman" w:cs="Times New Roman"/>
          <w:highlight w:val="yellow"/>
          <w:lang w:eastAsia="en-IN"/>
        </w:rPr>
        <w:t>p</w:t>
      </w:r>
      <w:r>
        <w:rPr>
          <w:rFonts w:ascii="Times New Roman" w:eastAsia="Times New Roman" w:hAnsi="Times New Roman" w:cs="Times New Roman"/>
          <w:lang w:eastAsia="en-IN"/>
        </w:rPr>
        <w:t xml:space="preserve">erforming </w:t>
      </w:r>
      <w:r>
        <w:rPr>
          <w:rFonts w:ascii="Times New Roman" w:eastAsia="Times New Roman" w:hAnsi="Times New Roman" w:cs="Times New Roman"/>
          <w:highlight w:val="yellow"/>
          <w:lang w:eastAsia="en-IN"/>
        </w:rPr>
        <w:t>a</w:t>
      </w:r>
      <w:r>
        <w:rPr>
          <w:rFonts w:ascii="Times New Roman" w:eastAsia="Times New Roman" w:hAnsi="Times New Roman" w:cs="Times New Roman"/>
          <w:lang w:eastAsia="en-IN"/>
        </w:rPr>
        <w:t xml:space="preserve">ssets) within agricultural lending portfolios. Factors such as repeated yield failures, volatile agricultural markets, and periodic </w:t>
      </w:r>
      <w:r>
        <w:rPr>
          <w:rFonts w:ascii="Times New Roman" w:eastAsia="Times New Roman" w:hAnsi="Times New Roman" w:cs="Times New Roman"/>
          <w:highlight w:val="yellow"/>
          <w:lang w:eastAsia="en-IN"/>
        </w:rPr>
        <w:t>loan-</w:t>
      </w:r>
      <w:r>
        <w:rPr>
          <w:rFonts w:ascii="Times New Roman" w:eastAsia="Times New Roman" w:hAnsi="Times New Roman" w:cs="Times New Roman"/>
          <w:lang w:eastAsia="en-IN"/>
        </w:rPr>
        <w:t>waiver programmes weaken loan recovery performance, thereby reducing the financial capacity of lending institutions to extend fresh credit to a larger number of rural borrowers.</w:t>
      </w:r>
    </w:p>
    <w:p w14:paraId="6A8B5CF0" w14:textId="77777777" w:rsidR="00CE7AFA" w:rsidRPr="001F7EA5" w:rsidRDefault="00803FCE" w:rsidP="00C1172A">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lastRenderedPageBreak/>
        <w:t>Indian agriculture faces several challenges in accessing timely and adequate credit. The availability of institutional agricultural finance also remains uneven across the country. Formal credit tends to be concentrated in economically stronger regions and better-developed areas, including Tamil Nadu, Gujarat, Andhra Pradesh, Punjab, and Maharashtra</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while many less-developed and remote regions continue to receive comparatively lower levels of financial support. Small and marginal farmers</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who form the largest share of India’s farming population</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face the greatest difficulties because formal financial institutions provide insufficient credit, pushing them toward</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 informal lenders who charge extremely high interest rates. These loans are often used for non-productive purposes, leading to generational debt. The problem is further compounded by mounting overdue loans, which hinder credit expansion. The seasonal and uncertain nature of agriculture, combined with long sowing-to-harvest intervals, adds to the complexity of financing. Even though credit facilities have expanded over time, the financial requirements of modern agriculture are still far from being fully met (Kesarwani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 xml:space="preserve">2022; Kumar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 xml:space="preserve">2017). Agricultural credit disbursement in India faces challenges on both the supply and demand sides. Government policies, the spread of banking networks, and institutional loan recovery performance all shape the flow of agricultural credit. However, repayment rates remain lower in formal institutions </w:t>
      </w:r>
      <w:r>
        <w:rPr>
          <w:rFonts w:ascii="Times New Roman" w:eastAsia="Times New Roman" w:hAnsi="Times New Roman" w:cs="Times New Roman"/>
          <w:highlight w:val="yellow"/>
          <w:lang w:eastAsia="en-IN"/>
        </w:rPr>
        <w:t>than am</w:t>
      </w:r>
      <w:r>
        <w:rPr>
          <w:rFonts w:ascii="Times New Roman" w:eastAsia="Times New Roman" w:hAnsi="Times New Roman" w:cs="Times New Roman"/>
          <w:lang w:eastAsia="en-IN"/>
        </w:rPr>
        <w:t>o</w:t>
      </w:r>
      <w:r>
        <w:rPr>
          <w:rFonts w:ascii="Times New Roman" w:eastAsia="Times New Roman" w:hAnsi="Times New Roman" w:cs="Times New Roman"/>
          <w:highlight w:val="yellow"/>
          <w:lang w:eastAsia="en-IN"/>
        </w:rPr>
        <w:t>ng</w:t>
      </w:r>
      <w:r>
        <w:rPr>
          <w:rFonts w:ascii="Times New Roman" w:eastAsia="Times New Roman" w:hAnsi="Times New Roman" w:cs="Times New Roman"/>
          <w:lang w:eastAsia="en-IN"/>
        </w:rPr>
        <w:t xml:space="preserve"> informal lenders, despite the latter charging much higher interest. Marginali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ed groups, such as SCs, STs, and OBCs, often rely on non-institutional credit sources </w:t>
      </w:r>
      <w:r>
        <w:rPr>
          <w:rFonts w:ascii="Times New Roman" w:eastAsia="Times New Roman" w:hAnsi="Times New Roman" w:cs="Times New Roman"/>
          <w:highlight w:val="yellow"/>
          <w:lang w:eastAsia="en-IN"/>
        </w:rPr>
        <w:t>beca</w:t>
      </w:r>
      <w:r>
        <w:rPr>
          <w:rFonts w:ascii="Times New Roman" w:eastAsia="Times New Roman" w:hAnsi="Times New Roman" w:cs="Times New Roman"/>
          <w:lang w:eastAsia="en-IN"/>
        </w:rPr>
        <w:t>u</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 o</w:t>
      </w:r>
      <w:r>
        <w:rPr>
          <w:rFonts w:ascii="Times New Roman" w:eastAsia="Times New Roman" w:hAnsi="Times New Roman" w:cs="Times New Roman"/>
          <w:highlight w:val="yellow"/>
          <w:lang w:eastAsia="en-IN"/>
        </w:rPr>
        <w:t>f</w:t>
      </w:r>
      <w:r>
        <w:rPr>
          <w:rFonts w:ascii="Times New Roman" w:eastAsia="Times New Roman" w:hAnsi="Times New Roman" w:cs="Times New Roman"/>
          <w:lang w:eastAsia="en-IN"/>
        </w:rPr>
        <w:t xml:space="preserve"> difficulties in meeting formal credit requirements, including collateral and procedural complexities (Kumar</w:t>
      </w:r>
      <w:r>
        <w:rPr>
          <w:rFonts w:ascii="Times New Roman" w:eastAsia="Times New Roman" w:hAnsi="Times New Roman" w:cs="Times New Roman"/>
          <w:highlight w:val="yellow"/>
          <w:lang w:eastAsia="en-IN"/>
        </w:rPr>
        <w:t xml:space="preserve"> et al.</w:t>
      </w:r>
      <w:r>
        <w:rPr>
          <w:rFonts w:ascii="Times New Roman" w:eastAsia="Times New Roman" w:hAnsi="Times New Roman" w:cs="Times New Roman"/>
          <w:lang w:eastAsia="en-IN"/>
        </w:rPr>
        <w:t xml:space="preserve">, 2010; Prakash &amp; Kumar, 2016; Kumar </w:t>
      </w:r>
      <w:r>
        <w:rPr>
          <w:rFonts w:ascii="Times New Roman" w:eastAsia="Times New Roman" w:hAnsi="Times New Roman" w:cs="Times New Roman"/>
          <w:i/>
          <w:iCs/>
          <w:lang w:eastAsia="en-IN"/>
        </w:rPr>
        <w:t xml:space="preserve">et al., </w:t>
      </w:r>
      <w:r>
        <w:rPr>
          <w:rFonts w:ascii="Times New Roman" w:eastAsia="Times New Roman" w:hAnsi="Times New Roman" w:cs="Times New Roman"/>
          <w:lang w:eastAsia="en-IN"/>
        </w:rPr>
        <w:t>2017). Limited rural banking infrastructure and the long</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standing perception that small and marginal farmers are “high</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risk” borrowers continue to restrict their access to institutional credit (Kumar, 2013). Tenant farmers, who require small but urgent loans, often face unmet needs </w:t>
      </w:r>
      <w:r>
        <w:rPr>
          <w:rFonts w:ascii="Times New Roman" w:eastAsia="Times New Roman" w:hAnsi="Times New Roman" w:cs="Times New Roman"/>
          <w:highlight w:val="yellow"/>
          <w:lang w:eastAsia="en-IN"/>
        </w:rPr>
        <w:t>beca</w:t>
      </w:r>
      <w:r>
        <w:rPr>
          <w:rFonts w:ascii="Times New Roman" w:eastAsia="Times New Roman" w:hAnsi="Times New Roman" w:cs="Times New Roman"/>
          <w:lang w:eastAsia="en-IN"/>
        </w:rPr>
        <w:t>u</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 o</w:t>
      </w:r>
      <w:r>
        <w:rPr>
          <w:rFonts w:ascii="Times New Roman" w:eastAsia="Times New Roman" w:hAnsi="Times New Roman" w:cs="Times New Roman"/>
          <w:highlight w:val="yellow"/>
          <w:lang w:eastAsia="en-IN"/>
        </w:rPr>
        <w:t>f</w:t>
      </w:r>
      <w:r>
        <w:rPr>
          <w:rFonts w:ascii="Times New Roman" w:eastAsia="Times New Roman" w:hAnsi="Times New Roman" w:cs="Times New Roman"/>
          <w:lang w:eastAsia="en-IN"/>
        </w:rPr>
        <w:t xml:space="preserve"> the inefficiency of the multi-agency credit system. Addressing these issues requires restructured institutional networks capable of understanding and meeting the diverse and urgent credit needs of farmers (Satyasai, 2008; </w:t>
      </w:r>
      <w:r>
        <w:rPr>
          <w:rFonts w:ascii="Times New Roman" w:hAnsi="Times New Roman" w:cs="Times New Roman"/>
          <w:color w:val="222222"/>
          <w:shd w:val="clear" w:color="auto" w:fill="FFFFFF"/>
        </w:rPr>
        <w:t>Choudhary, 2022; Kumar, 2021</w:t>
      </w:r>
      <w:r>
        <w:rPr>
          <w:rFonts w:ascii="Times New Roman" w:eastAsia="Times New Roman" w:hAnsi="Times New Roman" w:cs="Times New Roman"/>
          <w:lang w:eastAsia="en-IN"/>
        </w:rPr>
        <w:t xml:space="preserve">). India’s agricultural credit system faces key issues, including inadequate support for small and marginal farmers, insufficient medium- and long-term lending </w:t>
      </w:r>
      <w:r>
        <w:rPr>
          <w:rFonts w:ascii="Times New Roman" w:eastAsia="Times New Roman" w:hAnsi="Times New Roman" w:cs="Times New Roman"/>
          <w:highlight w:val="yellow"/>
          <w:lang w:eastAsia="en-IN"/>
        </w:rPr>
        <w:t>bec</w:t>
      </w:r>
      <w:r>
        <w:rPr>
          <w:rFonts w:ascii="Times New Roman" w:eastAsia="Times New Roman" w:hAnsi="Times New Roman" w:cs="Times New Roman"/>
          <w:lang w:eastAsia="en-IN"/>
        </w:rPr>
        <w:t>a</w:t>
      </w:r>
      <w:r>
        <w:rPr>
          <w:rFonts w:ascii="Times New Roman" w:eastAsia="Times New Roman" w:hAnsi="Times New Roman" w:cs="Times New Roman"/>
          <w:highlight w:val="yellow"/>
          <w:lang w:eastAsia="en-IN"/>
        </w:rPr>
        <w:t>u</w:t>
      </w:r>
      <w:r>
        <w:rPr>
          <w:rFonts w:ascii="Times New Roman" w:eastAsia="Times New Roman" w:hAnsi="Times New Roman" w:cs="Times New Roman"/>
          <w:lang w:eastAsia="en-IN"/>
        </w:rPr>
        <w:t>s</w:t>
      </w:r>
      <w:r>
        <w:rPr>
          <w:rFonts w:ascii="Times New Roman" w:eastAsia="Times New Roman" w:hAnsi="Times New Roman" w:cs="Times New Roman"/>
          <w:highlight w:val="yellow"/>
          <w:lang w:eastAsia="en-IN"/>
        </w:rPr>
        <w:t>e</w:t>
      </w:r>
      <w:r>
        <w:rPr>
          <w:rFonts w:ascii="Times New Roman" w:eastAsia="Times New Roman" w:hAnsi="Times New Roman" w:cs="Times New Roman"/>
          <w:lang w:eastAsia="en-IN"/>
        </w:rPr>
        <w:t xml:space="preserve"> the focus remains on short-term loans, and heavy reliance on borrowed funds </w:t>
      </w:r>
      <w:r>
        <w:rPr>
          <w:rFonts w:ascii="Times New Roman" w:eastAsia="Times New Roman" w:hAnsi="Times New Roman" w:cs="Times New Roman"/>
          <w:highlight w:val="yellow"/>
          <w:lang w:eastAsia="en-IN"/>
        </w:rPr>
        <w:t>beca</w:t>
      </w:r>
      <w:r>
        <w:rPr>
          <w:rFonts w:ascii="Times New Roman" w:eastAsia="Times New Roman" w:hAnsi="Times New Roman" w:cs="Times New Roman"/>
          <w:lang w:eastAsia="en-IN"/>
        </w:rPr>
        <w:t>u</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 o</w:t>
      </w:r>
      <w:r>
        <w:rPr>
          <w:rFonts w:ascii="Times New Roman" w:eastAsia="Times New Roman" w:hAnsi="Times New Roman" w:cs="Times New Roman"/>
          <w:highlight w:val="yellow"/>
          <w:lang w:eastAsia="en-IN"/>
        </w:rPr>
        <w:t>f</w:t>
      </w:r>
      <w:r>
        <w:rPr>
          <w:rFonts w:ascii="Times New Roman" w:eastAsia="Times New Roman" w:hAnsi="Times New Roman" w:cs="Times New Roman"/>
          <w:lang w:eastAsia="en-IN"/>
        </w:rPr>
        <w:t xml:space="preserve"> limited deposit mobili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 by major credit institutions. Several scholars have consistently highlighted ongoing issues within India’s rural credit system, including restricted access for small and marginal farmers, high transaction and processing costs, and uneven regional distribution of credit (Ramasamy &amp; Malaiarasan, 2023; Lamba, 2026). These challenges hinder agricultural development and negatively a</w:t>
      </w:r>
      <w:r>
        <w:rPr>
          <w:rFonts w:ascii="Times New Roman" w:eastAsia="Times New Roman" w:hAnsi="Times New Roman" w:cs="Times New Roman"/>
          <w:highlight w:val="yellow"/>
          <w:lang w:eastAsia="en-IN"/>
        </w:rPr>
        <w:t>ffe</w:t>
      </w:r>
      <w:r>
        <w:rPr>
          <w:rFonts w:ascii="Times New Roman" w:eastAsia="Times New Roman" w:hAnsi="Times New Roman" w:cs="Times New Roman"/>
          <w:lang w:eastAsia="en-IN"/>
        </w:rPr>
        <w:t>ct farmer</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well-being (Mohan, 2004).</w:t>
      </w:r>
    </w:p>
    <w:p w14:paraId="7F79450A" w14:textId="77777777" w:rsidR="00803FCE" w:rsidRPr="001F7EA5" w:rsidRDefault="000C7DEA" w:rsidP="00C1172A">
      <w:pPr>
        <w:spacing w:after="0" w:line="360" w:lineRule="auto"/>
        <w:jc w:val="both"/>
        <w:rPr>
          <w:rFonts w:ascii="Times New Roman" w:eastAsia="Times New Roman" w:hAnsi="Times New Roman" w:cs="Times New Roman"/>
          <w:b/>
          <w:lang w:eastAsia="en-IN"/>
        </w:rPr>
      </w:pPr>
      <w:r w:rsidRPr="000C7DEA">
        <w:rPr>
          <w:rFonts w:ascii="Times New Roman" w:eastAsia="Times New Roman" w:hAnsi="Times New Roman" w:cs="Times New Roman"/>
          <w:b/>
          <w:lang w:eastAsia="en-IN"/>
        </w:rPr>
        <w:t>Role of Agricultural Finance in Driving Agribusiness Growth</w:t>
      </w:r>
    </w:p>
    <w:p w14:paraId="6A5A9960" w14:textId="77777777" w:rsidR="00803FCE" w:rsidRPr="001F7EA5" w:rsidRDefault="00803FCE" w:rsidP="00C1172A">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The availability and accessibility of rural finance have profound implications for the growth and sustainability of agribusiness in India:</w:t>
      </w:r>
    </w:p>
    <w:p w14:paraId="30BAE4BF" w14:textId="77777777" w:rsidR="00803FCE" w:rsidRPr="001F7EA5" w:rsidRDefault="00803FCE" w:rsidP="00C1172A">
      <w:pPr>
        <w:numPr>
          <w:ilvl w:val="0"/>
          <w:numId w:val="15"/>
        </w:numPr>
        <w:spacing w:after="0" w:line="360" w:lineRule="auto"/>
        <w:ind w:left="426" w:hanging="426"/>
        <w:jc w:val="both"/>
        <w:rPr>
          <w:rFonts w:ascii="Times New Roman" w:eastAsia="Times New Roman" w:hAnsi="Times New Roman" w:cs="Times New Roman"/>
          <w:lang w:eastAsia="en-IN"/>
        </w:rPr>
      </w:pPr>
      <w:r>
        <w:rPr>
          <w:rFonts w:ascii="Times New Roman" w:eastAsia="Times New Roman" w:hAnsi="Times New Roman" w:cs="Times New Roman"/>
          <w:b/>
          <w:lang w:eastAsia="en-IN"/>
        </w:rPr>
        <w:t xml:space="preserve">Enhanced Productivity: </w:t>
      </w:r>
      <w:r>
        <w:rPr>
          <w:rFonts w:ascii="Times New Roman" w:eastAsia="Times New Roman" w:hAnsi="Times New Roman" w:cs="Times New Roman"/>
          <w:lang w:eastAsia="en-IN"/>
        </w:rPr>
        <w:t>Access to credit enables farmers to invest in fertili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ers, high-quality seeds, and advanced agricultural equipment, thereby improving productivity. Institutional credit, particularly </w:t>
      </w:r>
      <w:r>
        <w:rPr>
          <w:rFonts w:ascii="Times New Roman" w:eastAsia="Times New Roman" w:hAnsi="Times New Roman" w:cs="Times New Roman"/>
          <w:lang w:eastAsia="en-IN"/>
        </w:rPr>
        <w:lastRenderedPageBreak/>
        <w:t xml:space="preserve">through schemes </w:t>
      </w:r>
      <w:r>
        <w:rPr>
          <w:rFonts w:ascii="Times New Roman" w:eastAsia="Times New Roman" w:hAnsi="Times New Roman" w:cs="Times New Roman"/>
          <w:highlight w:val="yellow"/>
          <w:lang w:eastAsia="en-IN"/>
        </w:rPr>
        <w:t>such as</w:t>
      </w:r>
      <w:r>
        <w:rPr>
          <w:rFonts w:ascii="Times New Roman" w:eastAsia="Times New Roman" w:hAnsi="Times New Roman" w:cs="Times New Roman"/>
          <w:lang w:eastAsia="en-IN"/>
        </w:rPr>
        <w:t xml:space="preserve"> Kisan Credit Cards (KCCs), has empowered farmers to adopt modern farming techniques (Prakash &amp; Kumar, 2016)</w:t>
      </w:r>
      <w:r>
        <w:rPr>
          <w:rFonts w:ascii="Times New Roman" w:eastAsia="Times New Roman" w:hAnsi="Times New Roman" w:cs="Times New Roman"/>
          <w:i/>
          <w:iCs/>
          <w:lang w:eastAsia="en-IN"/>
        </w:rPr>
      </w:r>
      <w:r>
        <w:rPr>
          <w:rFonts w:ascii="Times New Roman" w:eastAsia="Times New Roman" w:hAnsi="Times New Roman" w:cs="Times New Roman"/>
          <w:lang w:eastAsia="en-IN"/>
        </w:rPr>
        <w:t>.</w:t>
      </w:r>
    </w:p>
    <w:p w14:paraId="0CE64A4F" w14:textId="77777777" w:rsidR="00803FCE" w:rsidRPr="001F7EA5" w:rsidRDefault="00803FCE" w:rsidP="00C1172A">
      <w:pPr>
        <w:numPr>
          <w:ilvl w:val="0"/>
          <w:numId w:val="15"/>
        </w:numPr>
        <w:spacing w:after="0" w:line="360" w:lineRule="auto"/>
        <w:ind w:left="426" w:hanging="426"/>
        <w:jc w:val="both"/>
        <w:rPr>
          <w:rFonts w:ascii="Times New Roman" w:eastAsia="Times New Roman" w:hAnsi="Times New Roman" w:cs="Times New Roman"/>
          <w:lang w:eastAsia="en-IN"/>
        </w:rPr>
      </w:pPr>
      <w:r>
        <w:rPr>
          <w:rFonts w:ascii="Times New Roman" w:eastAsia="Times New Roman" w:hAnsi="Times New Roman" w:cs="Times New Roman"/>
          <w:b/>
          <w:lang w:eastAsia="en-IN"/>
        </w:rPr>
        <w:t>Improved Market Access:</w:t>
      </w:r>
      <w:r>
        <w:rPr>
          <w:rFonts w:ascii="Times New Roman" w:eastAsia="Times New Roman" w:hAnsi="Times New Roman" w:cs="Times New Roman"/>
          <w:lang w:eastAsia="en-IN"/>
        </w:rPr>
        <w:t xml:space="preserve"> Credit facilitates investments in post-harvest infrastructure, such as cold storage and transportation, enabling farmers to connect with broader markets. This reduces dependenc</w:t>
      </w:r>
      <w:r>
        <w:rPr>
          <w:rFonts w:ascii="Times New Roman" w:eastAsia="Times New Roman" w:hAnsi="Times New Roman" w:cs="Times New Roman"/>
          <w:highlight w:val="yellow"/>
          <w:lang w:eastAsia="en-IN"/>
        </w:rPr>
        <w:t>e</w:t>
      </w:r>
      <w:r>
        <w:rPr>
          <w:rFonts w:ascii="Times New Roman" w:eastAsia="Times New Roman" w:hAnsi="Times New Roman" w:cs="Times New Roman"/>
          <w:lang w:eastAsia="en-IN"/>
        </w:rPr>
        <w:t xml:space="preserve"> on local traders and enhances income stability.</w:t>
      </w:r>
    </w:p>
    <w:p w14:paraId="79BD60C8" w14:textId="77777777" w:rsidR="00803FCE" w:rsidRPr="001F7EA5" w:rsidRDefault="00803FCE" w:rsidP="00C1172A">
      <w:pPr>
        <w:numPr>
          <w:ilvl w:val="0"/>
          <w:numId w:val="15"/>
        </w:numPr>
        <w:spacing w:after="0" w:line="360" w:lineRule="auto"/>
        <w:ind w:left="426" w:hanging="426"/>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 xml:space="preserve">Risk Mitigation: </w:t>
      </w:r>
      <w:r w:rsidRPr="001F7EA5">
        <w:rPr>
          <w:rFonts w:ascii="Times New Roman" w:eastAsia="Times New Roman" w:hAnsi="Times New Roman" w:cs="Times New Roman"/>
          <w:lang w:eastAsia="en-IN"/>
        </w:rPr>
        <w:t>Credit-linked insurance schemes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such as the Pradhan Mantri Fasal Bima Yojana (PMFBY)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provide a safety net against risks arising from climate change and market fluctuations</w:t>
      </w:r>
      <w:r w:rsidR="00397C3D">
        <w:rPr>
          <w:rFonts w:ascii="Times New Roman" w:eastAsia="Times New Roman" w:hAnsi="Times New Roman" w:cs="Times New Roman"/>
          <w:lang w:eastAsia="en-IN"/>
        </w:rPr>
        <w:t xml:space="preserve"> (Department of Agriculture, Cooperation &amp; Farmers Welfare, 2020)</w:t>
      </w:r>
      <w:r w:rsidR="005A45F3" w:rsidRPr="005A45F3">
        <w:rPr>
          <w:rFonts w:ascii="Times New Roman" w:eastAsia="Times New Roman" w:hAnsi="Times New Roman" w:cs="Times New Roman"/>
          <w:i/>
          <w:iCs/>
          <w:lang w:eastAsia="en-IN"/>
        </w:rPr>
      </w:r>
      <w:r w:rsidR="00397C3D">
        <w:rPr>
          <w:rFonts w:ascii="Times New Roman" w:eastAsia="Times New Roman" w:hAnsi="Times New Roman" w:cs="Times New Roman"/>
          <w:lang w:eastAsia="en-IN"/>
        </w:rPr>
      </w:r>
      <w:r w:rsidRPr="001F7EA5">
        <w:rPr>
          <w:rFonts w:ascii="Times New Roman" w:eastAsia="Times New Roman" w:hAnsi="Times New Roman" w:cs="Times New Roman"/>
          <w:lang w:eastAsia="en-IN"/>
        </w:rPr>
        <w:t>. These schemes help farmers recover from losses and continue their agribusiness operations.</w:t>
      </w:r>
    </w:p>
    <w:p w14:paraId="7136DFAD" w14:textId="77777777" w:rsidR="00803FCE" w:rsidRPr="001F7EA5" w:rsidRDefault="0053789C" w:rsidP="00C1172A">
      <w:pPr>
        <w:spacing w:after="0" w:line="360" w:lineRule="auto"/>
        <w:jc w:val="both"/>
        <w:rPr>
          <w:rFonts w:ascii="Times New Roman" w:eastAsia="Times New Roman" w:hAnsi="Times New Roman" w:cs="Times New Roman"/>
          <w:b/>
          <w:lang w:eastAsia="en-IN"/>
        </w:rPr>
      </w:pPr>
      <w:r w:rsidRPr="0053789C">
        <w:rPr>
          <w:rFonts w:ascii="Times New Roman" w:eastAsia="Times New Roman" w:hAnsi="Times New Roman" w:cs="Times New Roman"/>
          <w:b/>
          <w:lang w:eastAsia="en-IN"/>
        </w:rPr>
        <w:t xml:space="preserve">Recommendations for Strengthening </w:t>
      </w:r>
      <w:r>
        <w:rPr>
          <w:rFonts w:ascii="Times New Roman" w:eastAsia="Times New Roman" w:hAnsi="Times New Roman" w:cs="Times New Roman"/>
          <w:b/>
          <w:lang w:eastAsia="en-IN"/>
        </w:rPr>
        <w:t xml:space="preserve">Rural </w:t>
      </w:r>
      <w:r w:rsidRPr="0053789C">
        <w:rPr>
          <w:rFonts w:ascii="Times New Roman" w:eastAsia="Times New Roman" w:hAnsi="Times New Roman" w:cs="Times New Roman"/>
          <w:b/>
          <w:lang w:eastAsia="en-IN"/>
        </w:rPr>
        <w:t>Credit Access and Agricultural Advancement</w:t>
      </w:r>
    </w:p>
    <w:p w14:paraId="612FD5F9" w14:textId="77777777" w:rsidR="00803FCE" w:rsidRPr="001F7EA5" w:rsidRDefault="00D21C66" w:rsidP="00C1172A">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 xml:space="preserve">To </w:t>
      </w:r>
      <w:r>
        <w:rPr>
          <w:rFonts w:ascii="Times New Roman" w:eastAsia="Times New Roman" w:hAnsi="Times New Roman" w:cs="Times New Roman"/>
          <w:highlight w:val="yellow"/>
          <w:lang w:eastAsia="en-IN"/>
        </w:rPr>
        <w:t>addr</w:t>
      </w:r>
      <w:r>
        <w:rPr>
          <w:rFonts w:ascii="Times New Roman" w:eastAsia="Times New Roman" w:hAnsi="Times New Roman" w:cs="Times New Roman"/>
          <w:lang w:eastAsia="en-IN"/>
        </w:rPr>
        <w:t>e</w:t>
      </w:r>
      <w:r>
        <w:rPr>
          <w:rFonts w:ascii="Times New Roman" w:eastAsia="Times New Roman" w:hAnsi="Times New Roman" w:cs="Times New Roman"/>
          <w:highlight w:val="yellow"/>
          <w:lang w:eastAsia="en-IN"/>
        </w:rPr>
        <w:t>ss</w:t>
      </w:r>
      <w:r>
        <w:rPr>
          <w:rFonts w:ascii="Times New Roman" w:eastAsia="Times New Roman" w:hAnsi="Times New Roman" w:cs="Times New Roman"/>
          <w:lang w:eastAsia="en-IN"/>
        </w:rPr>
        <w:t xml:space="preserve"> th</w:t>
      </w:r>
      <w:r>
        <w:rPr>
          <w:rFonts w:ascii="Times New Roman" w:eastAsia="Times New Roman" w:hAnsi="Times New Roman" w:cs="Times New Roman"/>
          <w:highlight w:val="yellow"/>
          <w:lang w:eastAsia="en-IN"/>
        </w:rPr>
        <w:t>es</w:t>
      </w:r>
      <w:r>
        <w:rPr>
          <w:rFonts w:ascii="Times New Roman" w:eastAsia="Times New Roman" w:hAnsi="Times New Roman" w:cs="Times New Roman"/>
          <w:lang w:eastAsia="en-IN"/>
        </w:rPr>
        <w:t>e challenges and</w:t>
      </w:r>
      <w:r>
        <w:rPr>
          <w:rFonts w:ascii="Times New Roman" w:eastAsia="Times New Roman" w:hAnsi="Times New Roman" w:cs="Times New Roman"/>
          <w:highlight w:val="yellow"/>
          <w:lang w:eastAsia="en-IN"/>
        </w:rPr>
        <w:t xml:space="preserve"> realise</w:t>
      </w:r>
      <w:r>
        <w:rPr>
          <w:rFonts w:ascii="Times New Roman" w:eastAsia="Times New Roman" w:hAnsi="Times New Roman" w:cs="Times New Roman"/>
          <w:lang w:eastAsia="en-IN"/>
        </w:rPr>
        <w:t xml:space="preserve"> the potential of rural finance to enhance agribusiness, the following recommendations are provided:</w:t>
      </w:r>
    </w:p>
    <w:p w14:paraId="0330A17B" w14:textId="77777777" w:rsidR="00CE02BB" w:rsidRDefault="00803FCE" w:rsidP="00CE02BB">
      <w:pPr>
        <w:numPr>
          <w:ilvl w:val="0"/>
          <w:numId w:val="17"/>
        </w:numPr>
        <w:spacing w:after="0" w:line="360" w:lineRule="auto"/>
        <w:ind w:left="284" w:hanging="284"/>
        <w:jc w:val="both"/>
        <w:rPr>
          <w:rFonts w:ascii="Times New Roman" w:eastAsia="Times New Roman" w:hAnsi="Times New Roman" w:cs="Times New Roman"/>
          <w:lang w:eastAsia="en-IN"/>
        </w:rPr>
      </w:pPr>
      <w:r>
        <w:rPr>
          <w:rFonts w:ascii="Times New Roman" w:eastAsia="Times New Roman" w:hAnsi="Times New Roman" w:cs="Times New Roman"/>
          <w:b/>
          <w:lang w:eastAsia="en-IN"/>
        </w:rPr>
        <w:t>Digital Integration:</w:t>
      </w:r>
      <w:r>
        <w:rPr>
          <w:rFonts w:ascii="Times New Roman" w:eastAsia="Times New Roman" w:hAnsi="Times New Roman" w:cs="Times New Roman"/>
          <w:lang w:eastAsia="en-IN"/>
        </w:rPr>
        <w:t xml:space="preserve"> Fintech integration c</w:t>
      </w:r>
      <w:r>
        <w:rPr>
          <w:rFonts w:ascii="Times New Roman" w:eastAsia="Times New Roman" w:hAnsi="Times New Roman" w:cs="Times New Roman"/>
          <w:highlight w:val="yellow"/>
          <w:lang w:eastAsia="en-IN"/>
        </w:rPr>
        <w:t>ou</w:t>
      </w:r>
      <w:r>
        <w:rPr>
          <w:rFonts w:ascii="Times New Roman" w:eastAsia="Times New Roman" w:hAnsi="Times New Roman" w:cs="Times New Roman"/>
          <w:lang w:eastAsia="en-IN"/>
        </w:rPr>
        <w:t>l</w:t>
      </w:r>
      <w:r>
        <w:rPr>
          <w:rFonts w:ascii="Times New Roman" w:eastAsia="Times New Roman" w:hAnsi="Times New Roman" w:cs="Times New Roman"/>
          <w:highlight w:val="yellow"/>
          <w:lang w:eastAsia="en-IN"/>
        </w:rPr>
        <w:t>d</w:t>
      </w:r>
      <w:r>
        <w:rPr>
          <w:rFonts w:ascii="Times New Roman" w:eastAsia="Times New Roman" w:hAnsi="Times New Roman" w:cs="Times New Roman"/>
          <w:lang w:eastAsia="en-IN"/>
        </w:rPr>
        <w:t xml:space="preserve"> t</w:t>
      </w:r>
      <w:r>
        <w:rPr>
          <w:rFonts w:ascii="Times New Roman" w:eastAsia="Times New Roman" w:hAnsi="Times New Roman" w:cs="Times New Roman"/>
          <w:highlight w:val="yellow"/>
          <w:lang w:eastAsia="en-IN"/>
        </w:rPr>
        <w:t>ran</w:t>
      </w:r>
      <w:r>
        <w:rPr>
          <w:rFonts w:ascii="Times New Roman" w:eastAsia="Times New Roman" w:hAnsi="Times New Roman" w:cs="Times New Roman"/>
          <w:lang w:eastAsia="en-IN"/>
        </w:rPr>
        <w:t>s</w:t>
      </w:r>
      <w:r>
        <w:rPr>
          <w:rFonts w:ascii="Times New Roman" w:eastAsia="Times New Roman" w:hAnsi="Times New Roman" w:cs="Times New Roman"/>
          <w:highlight w:val="yellow"/>
          <w:lang w:eastAsia="en-IN"/>
        </w:rPr>
        <w:t>f</w:t>
      </w:r>
      <w:r>
        <w:rPr>
          <w:rFonts w:ascii="Times New Roman" w:eastAsia="Times New Roman" w:hAnsi="Times New Roman" w:cs="Times New Roman"/>
          <w:lang w:eastAsia="en-IN"/>
        </w:rPr>
        <w:t>or</w:t>
      </w:r>
      <w:r>
        <w:rPr>
          <w:rFonts w:ascii="Times New Roman" w:eastAsia="Times New Roman" w:hAnsi="Times New Roman" w:cs="Times New Roman"/>
          <w:highlight w:val="yellow"/>
          <w:lang w:eastAsia="en-IN"/>
        </w:rPr>
        <w:t>m</w:t>
      </w:r>
      <w:r>
        <w:rPr>
          <w:rFonts w:ascii="Times New Roman" w:eastAsia="Times New Roman" w:hAnsi="Times New Roman" w:cs="Times New Roman"/>
          <w:lang w:eastAsia="en-IN"/>
        </w:rPr>
        <w:t xml:space="preserve"> rural finance. </w:t>
      </w:r>
      <w:r>
        <w:rPr>
          <w:rFonts w:ascii="Times New Roman" w:eastAsia="Times New Roman" w:hAnsi="Times New Roman" w:cs="Times New Roman"/>
          <w:highlight w:val="yellow"/>
          <w:lang w:eastAsia="en-IN"/>
        </w:rPr>
        <w:t>Digital banking can simplify c</w:t>
      </w:r>
      <w:r>
        <w:rPr>
          <w:rFonts w:ascii="Times New Roman" w:eastAsia="Times New Roman" w:hAnsi="Times New Roman" w:cs="Times New Roman"/>
          <w:lang w:eastAsia="en-IN"/>
        </w:rPr>
        <w:t>redit application</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 </w:t>
      </w:r>
      <w:r>
        <w:rPr>
          <w:rFonts w:ascii="Times New Roman" w:eastAsia="Times New Roman" w:hAnsi="Times New Roman" w:cs="Times New Roman"/>
          <w:highlight w:val="yellow"/>
          <w:lang w:eastAsia="en-IN"/>
        </w:rPr>
        <w:t>red</w:t>
      </w:r>
      <w:r>
        <w:rPr>
          <w:rFonts w:ascii="Times New Roman" w:eastAsia="Times New Roman" w:hAnsi="Times New Roman" w:cs="Times New Roman"/>
          <w:lang w:eastAsia="en-IN"/>
        </w:rPr>
        <w:t>u</w:t>
      </w:r>
      <w:r>
        <w:rPr>
          <w:rFonts w:ascii="Times New Roman" w:eastAsia="Times New Roman" w:hAnsi="Times New Roman" w:cs="Times New Roman"/>
          <w:highlight w:val="yellow"/>
          <w:lang w:eastAsia="en-IN"/>
        </w:rPr>
        <w:t>c</w:t>
      </w:r>
      <w:r>
        <w:rPr>
          <w:rFonts w:ascii="Times New Roman" w:eastAsia="Times New Roman" w:hAnsi="Times New Roman" w:cs="Times New Roman"/>
          <w:lang w:eastAsia="en-IN"/>
        </w:rPr>
        <w:t xml:space="preserve">e transaction costs, and </w:t>
      </w:r>
      <w:r>
        <w:rPr>
          <w:rFonts w:ascii="Times New Roman" w:eastAsia="Times New Roman" w:hAnsi="Times New Roman" w:cs="Times New Roman"/>
          <w:highlight w:val="yellow"/>
          <w:lang w:eastAsia="en-IN"/>
        </w:rPr>
        <w:t>improv</w:t>
      </w:r>
      <w:r>
        <w:rPr>
          <w:rFonts w:ascii="Times New Roman" w:eastAsia="Times New Roman" w:hAnsi="Times New Roman" w:cs="Times New Roman"/>
          <w:lang w:eastAsia="en-IN"/>
        </w:rPr>
        <w:t>e transparency. Aadhaar-linked accounts and mobile banking s</w:t>
      </w:r>
      <w:r>
        <w:rPr>
          <w:rFonts w:ascii="Times New Roman" w:eastAsia="Times New Roman" w:hAnsi="Times New Roman" w:cs="Times New Roman"/>
          <w:highlight w:val="yellow"/>
          <w:lang w:eastAsia="en-IN"/>
        </w:rPr>
        <w:t>ervices s</w:t>
      </w:r>
      <w:r>
        <w:rPr>
          <w:rFonts w:ascii="Times New Roman" w:eastAsia="Times New Roman" w:hAnsi="Times New Roman" w:cs="Times New Roman"/>
          <w:lang w:eastAsia="en-IN"/>
        </w:rPr>
        <w:t>hould</w:t>
      </w:r>
      <w:r>
        <w:rPr>
          <w:rFonts w:ascii="Times New Roman" w:eastAsia="Times New Roman" w:hAnsi="Times New Roman" w:cs="Times New Roman"/>
          <w:highlight w:val="yellow"/>
          <w:lang w:eastAsia="en-IN"/>
        </w:rPr>
        <w:t xml:space="preserve"> be</w:t>
      </w:r>
      <w:r>
        <w:rPr>
          <w:rFonts w:ascii="Times New Roman" w:eastAsia="Times New Roman" w:hAnsi="Times New Roman" w:cs="Times New Roman"/>
          <w:lang w:eastAsia="en-IN"/>
        </w:rPr>
        <w:t xml:space="preserve"> extend</w:t>
      </w:r>
      <w:r>
        <w:rPr>
          <w:rFonts w:ascii="Times New Roman" w:eastAsia="Times New Roman" w:hAnsi="Times New Roman" w:cs="Times New Roman"/>
          <w:highlight w:val="yellow"/>
          <w:lang w:eastAsia="en-IN"/>
        </w:rPr>
        <w:t>ed</w:t>
      </w:r>
      <w:r>
        <w:rPr>
          <w:rFonts w:ascii="Times New Roman" w:eastAsia="Times New Roman" w:hAnsi="Times New Roman" w:cs="Times New Roman"/>
          <w:lang w:eastAsia="en-IN"/>
        </w:rPr>
        <w:t xml:space="preserve"> to </w:t>
      </w:r>
      <w:r>
        <w:rPr>
          <w:rFonts w:ascii="Times New Roman" w:eastAsia="Times New Roman" w:hAnsi="Times New Roman" w:cs="Times New Roman"/>
          <w:highlight w:val="yellow"/>
          <w:lang w:eastAsia="en-IN"/>
        </w:rPr>
        <w:t>u</w:t>
      </w:r>
      <w:r>
        <w:rPr>
          <w:rFonts w:ascii="Times New Roman" w:eastAsia="Times New Roman" w:hAnsi="Times New Roman" w:cs="Times New Roman"/>
          <w:lang w:eastAsia="en-IN"/>
        </w:rPr>
        <w:t>nde</w:t>
      </w:r>
      <w:r>
        <w:rPr>
          <w:rFonts w:ascii="Times New Roman" w:eastAsia="Times New Roman" w:hAnsi="Times New Roman" w:cs="Times New Roman"/>
          <w:highlight w:val="yellow"/>
          <w:lang w:eastAsia="en-IN"/>
        </w:rPr>
        <w:t>rserved</w:t>
      </w:r>
      <w:r>
        <w:rPr>
          <w:rFonts w:ascii="Times New Roman" w:eastAsia="Times New Roman" w:hAnsi="Times New Roman" w:cs="Times New Roman"/>
          <w:lang w:eastAsia="en-IN"/>
        </w:rPr>
        <w:t xml:space="preserve"> areas.</w:t>
      </w:r>
    </w:p>
    <w:p w14:paraId="7BAF8DFF" w14:textId="77777777" w:rsidR="00803FCE" w:rsidRPr="00CE02BB" w:rsidRDefault="00803FCE" w:rsidP="00CE02BB">
      <w:pPr>
        <w:numPr>
          <w:ilvl w:val="0"/>
          <w:numId w:val="17"/>
        </w:numPr>
        <w:spacing w:after="0" w:line="360" w:lineRule="auto"/>
        <w:ind w:left="284" w:hanging="284"/>
        <w:jc w:val="both"/>
        <w:rPr>
          <w:rFonts w:ascii="Times New Roman" w:eastAsia="Times New Roman" w:hAnsi="Times New Roman" w:cs="Times New Roman"/>
          <w:lang w:eastAsia="en-IN"/>
        </w:rPr>
      </w:pPr>
      <w:r>
        <w:rPr>
          <w:rFonts w:ascii="Times New Roman" w:eastAsia="Times New Roman" w:hAnsi="Times New Roman" w:cs="Times New Roman"/>
          <w:b/>
          <w:lang w:eastAsia="en-IN"/>
        </w:rPr>
        <w:t>Region-Specific Policies:</w:t>
      </w:r>
      <w:r>
        <w:rPr>
          <w:rFonts w:ascii="Times New Roman" w:eastAsia="Times New Roman" w:hAnsi="Times New Roman" w:cs="Times New Roman"/>
          <w:lang w:eastAsia="en-IN"/>
        </w:rPr>
        <w:t xml:space="preserve"> Region-specific financial strategies are essential to reduce disparities in agricultural credit distribution. In particular, the north-eastern states require customi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ed financial interventions that consider their unique economic conditions, terrain-related constraints, infrastructure limitations, and local livelihood patterns.</w:t>
      </w:r>
    </w:p>
    <w:p w14:paraId="18E77730" w14:textId="77777777" w:rsidR="00803FCE" w:rsidRPr="001F7EA5" w:rsidRDefault="00CE02BB" w:rsidP="00C1172A">
      <w:pPr>
        <w:numPr>
          <w:ilvl w:val="0"/>
          <w:numId w:val="17"/>
        </w:numPr>
        <w:spacing w:after="0" w:line="360" w:lineRule="auto"/>
        <w:ind w:left="284" w:hanging="284"/>
        <w:jc w:val="both"/>
        <w:rPr>
          <w:rFonts w:ascii="Times New Roman" w:eastAsia="Times New Roman" w:hAnsi="Times New Roman" w:cs="Times New Roman"/>
          <w:lang w:eastAsia="en-IN"/>
        </w:rPr>
      </w:pPr>
      <w:r>
        <w:rPr>
          <w:rFonts w:ascii="Times New Roman" w:eastAsia="Times New Roman" w:hAnsi="Times New Roman" w:cs="Times New Roman"/>
          <w:b/>
          <w:lang w:eastAsia="en-IN"/>
        </w:rPr>
        <w:t xml:space="preserve">Enhancing Farmer Capability through Financial Education and Support Systems: </w:t>
      </w:r>
      <w:r>
        <w:rPr>
          <w:rFonts w:ascii="Times New Roman" w:eastAsia="Times New Roman" w:hAnsi="Times New Roman" w:cs="Times New Roman"/>
          <w:lang w:eastAsia="en-IN"/>
        </w:rPr>
        <w:t>Strengthening farmers’ financial awareness is essential for improving their ability to access and effectively utili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 formal financial services. Training initiatives should focus on improving understanding of available credit schemes, insurance products, savings mechanisms, and responsible loan</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management practices. Such capacity-building efforts can encourage greater participation in institutional finance and gradually reduce reliance on informal lenders.</w:t>
      </w:r>
    </w:p>
    <w:p w14:paraId="02D4271C" w14:textId="77777777" w:rsidR="00BB3223" w:rsidRDefault="00803FCE" w:rsidP="00BB3223">
      <w:pPr>
        <w:numPr>
          <w:ilvl w:val="0"/>
          <w:numId w:val="17"/>
        </w:numPr>
        <w:spacing w:after="0" w:line="360" w:lineRule="auto"/>
        <w:ind w:left="284" w:hanging="284"/>
        <w:jc w:val="both"/>
        <w:rPr>
          <w:rFonts w:ascii="Times New Roman" w:eastAsia="Times New Roman" w:hAnsi="Times New Roman" w:cs="Times New Roman"/>
          <w:lang w:eastAsia="en-IN"/>
        </w:rPr>
      </w:pPr>
      <w:r>
        <w:rPr>
          <w:rFonts w:ascii="Times New Roman" w:eastAsia="Times New Roman" w:hAnsi="Times New Roman" w:cs="Times New Roman"/>
          <w:b/>
          <w:lang w:eastAsia="en-IN"/>
        </w:rPr>
        <w:t>Strengthening Cooperative Networks:</w:t>
      </w:r>
      <w:r>
        <w:rPr>
          <w:rFonts w:ascii="Times New Roman" w:eastAsia="Times New Roman" w:hAnsi="Times New Roman" w:cs="Times New Roman"/>
          <w:lang w:eastAsia="en-IN"/>
        </w:rPr>
        <w:t xml:space="preserve"> Revitali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ing cooperative institutions can improve grassroots credit availability. Investment in the moderni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ation and governance </w:t>
      </w:r>
      <w:r>
        <w:rPr>
          <w:rFonts w:ascii="Times New Roman" w:eastAsia="Times New Roman" w:hAnsi="Times New Roman" w:cs="Times New Roman"/>
          <w:highlight w:val="yellow"/>
          <w:lang w:eastAsia="en-IN"/>
        </w:rPr>
        <w:t xml:space="preserve">of PACS </w:t>
      </w:r>
      <w:r>
        <w:rPr>
          <w:rFonts w:ascii="Times New Roman" w:eastAsia="Times New Roman" w:hAnsi="Times New Roman" w:cs="Times New Roman"/>
          <w:lang w:eastAsia="en-IN"/>
        </w:rPr>
        <w:t>will</w:t>
      </w:r>
      <w:r>
        <w:rPr>
          <w:rFonts w:ascii="Times New Roman" w:eastAsia="Times New Roman" w:hAnsi="Times New Roman" w:cs="Times New Roman"/>
          <w:highlight w:val="yellow"/>
          <w:lang w:eastAsia="en-IN"/>
        </w:rPr>
        <w:t xml:space="preserve"> help</w:t>
      </w:r>
      <w:r>
        <w:rPr>
          <w:rFonts w:ascii="Times New Roman" w:eastAsia="Times New Roman" w:hAnsi="Times New Roman" w:cs="Times New Roman"/>
          <w:lang w:eastAsia="en-IN"/>
        </w:rPr>
        <w:t xml:space="preserve"> ensure that </w:t>
      </w:r>
      <w:r>
        <w:rPr>
          <w:rFonts w:ascii="Times New Roman" w:eastAsia="Times New Roman" w:hAnsi="Times New Roman" w:cs="Times New Roman"/>
          <w:highlight w:val="yellow"/>
          <w:lang w:eastAsia="en-IN"/>
        </w:rPr>
        <w:t>they</w:t>
      </w:r>
      <w:r>
        <w:rPr>
          <w:rFonts w:ascii="Times New Roman" w:eastAsia="Times New Roman" w:hAnsi="Times New Roman" w:cs="Times New Roman"/>
          <w:lang w:eastAsia="en-IN"/>
        </w:rPr>
        <w:t xml:space="preserve"> remain relevant institution</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 for rural finance.</w:t>
      </w:r>
    </w:p>
    <w:p w14:paraId="1FED1944" w14:textId="77777777" w:rsidR="00803FCE" w:rsidRPr="00BB3223" w:rsidRDefault="00D21C66" w:rsidP="00BB3223">
      <w:pPr>
        <w:numPr>
          <w:ilvl w:val="0"/>
          <w:numId w:val="17"/>
        </w:numPr>
        <w:spacing w:after="0" w:line="360" w:lineRule="auto"/>
        <w:ind w:left="284" w:hanging="284"/>
        <w:jc w:val="both"/>
        <w:rPr>
          <w:rFonts w:ascii="Times New Roman" w:eastAsia="Times New Roman" w:hAnsi="Times New Roman" w:cs="Times New Roman"/>
          <w:lang w:eastAsia="en-IN"/>
        </w:rPr>
      </w:pPr>
      <w:r>
        <w:rPr>
          <w:rFonts w:ascii="Times New Roman" w:eastAsia="Times New Roman" w:hAnsi="Times New Roman" w:cs="Times New Roman"/>
          <w:b/>
          <w:lang w:eastAsia="en-IN"/>
        </w:rPr>
        <w:t xml:space="preserve">Public-Private Partnerships: </w:t>
      </w:r>
      <w:r>
        <w:rPr>
          <w:rFonts w:ascii="Times New Roman" w:eastAsia="Times New Roman" w:hAnsi="Times New Roman" w:cs="Times New Roman"/>
          <w:lang w:eastAsia="en-IN"/>
        </w:rPr>
        <w:t>Collaboration between public institutions, banking organi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ations, and private-sector participants can create a more flexible and inclusive rural finance ecosystem. Such partnerships can support the development of innovative financial products, alternative funding mechanisms, and customi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ed credit solutions that address the diverse requirements of farmers and agribusiness enterprises.</w:t>
      </w:r>
    </w:p>
    <w:p w14:paraId="65EF131B" w14:textId="77777777" w:rsidR="00011D54" w:rsidRPr="00011D54" w:rsidRDefault="00FF5390" w:rsidP="00011D54">
      <w:pPr>
        <w:spacing w:after="0" w:line="360" w:lineRule="auto"/>
        <w:jc w:val="both"/>
        <w:rPr>
          <w:rFonts w:ascii="Times New Roman" w:eastAsia="Times New Roman" w:hAnsi="Times New Roman" w:cs="Times New Roman"/>
          <w:lang w:eastAsia="en-IN"/>
        </w:rPr>
      </w:pPr>
      <w:r w:rsidRPr="00FF5390">
        <w:rPr>
          <w:rFonts w:ascii="Times New Roman" w:eastAsia="Times New Roman" w:hAnsi="Times New Roman" w:cs="Times New Roman"/>
          <w:b/>
          <w:bCs/>
          <w:lang w:eastAsia="en-IN"/>
        </w:rPr>
        <w:t>Need for Diversification and Strengthened Financial Systems:</w:t>
      </w:r>
      <w:r>
        <w:rPr>
          <w:rFonts w:ascii="Times New Roman" w:eastAsia="Times New Roman" w:hAnsi="Times New Roman" w:cs="Times New Roman"/>
          <w:lang w:eastAsia="en-IN"/>
        </w:rPr>
        <w:t xml:space="preserve"> </w:t>
      </w:r>
      <w:r w:rsidR="00CD3272" w:rsidRPr="00CD3272">
        <w:rPr>
          <w:rFonts w:ascii="Times New Roman" w:eastAsia="Times New Roman" w:hAnsi="Times New Roman" w:cs="Times New Roman"/>
          <w:lang w:eastAsia="en-IN"/>
        </w:rPr>
        <w:t xml:space="preserve">Changing consumption patterns and increasing market demand for high-value agricultural commodities create opportunities for diversification beyond traditional cereal-based farming. To support this transition, farmers require improved access to finance, value-addition facilities, modern technology, and efficient infrastructure. Diversification strategies </w:t>
      </w:r>
      <w:r w:rsidR="00CD3272" w:rsidRPr="00CD3272">
        <w:rPr>
          <w:rFonts w:ascii="Times New Roman" w:eastAsia="Times New Roman" w:hAnsi="Times New Roman" w:cs="Times New Roman"/>
          <w:lang w:eastAsia="en-IN"/>
        </w:rPr>
        <w:lastRenderedPageBreak/>
        <w:t>should be adapted according to regional agricultural conditions and local resource availability to enhance rural employment and income stability.</w:t>
      </w:r>
    </w:p>
    <w:p w14:paraId="1FBCD5A4" w14:textId="77777777" w:rsidR="00FC157C" w:rsidRPr="001F7EA5" w:rsidRDefault="00011D54" w:rsidP="00011D54">
      <w:pPr>
        <w:spacing w:after="0" w:line="360" w:lineRule="auto"/>
        <w:jc w:val="both"/>
        <w:rPr>
          <w:rFonts w:ascii="Times New Roman" w:eastAsia="Times New Roman" w:hAnsi="Times New Roman" w:cs="Times New Roman"/>
          <w:lang w:eastAsia="en-IN"/>
        </w:rPr>
      </w:pPr>
      <w:r w:rsidRPr="00011D54">
        <w:rPr>
          <w:rFonts w:ascii="Times New Roman" w:eastAsia="Times New Roman" w:hAnsi="Times New Roman" w:cs="Times New Roman"/>
          <w:lang w:eastAsia="en-IN"/>
        </w:rPr>
        <w:t>Strengthening market participation calls for integrating private suppliers, microfinance institutions, self‑help groups (SHGs), and cooperatives into the rural financial ecosystem. Priority should be given to diversified activities such as horticulture, aquaculture, dairying, and food processing. Enhancing the share of credit to small and marginal farmers to 40% under the SACP, lowering credit costs, simplifying loan procedures, and aligning NPA norms with farmers</w:t>
      </w:r>
      <w:r w:rsidR="00C14183">
        <w:rPr>
          <w:rFonts w:ascii="Times New Roman" w:eastAsia="Times New Roman" w:hAnsi="Times New Roman" w:cs="Times New Roman"/>
          <w:lang w:eastAsia="en-IN"/>
        </w:rPr>
        <w:t>’</w:t>
      </w:r>
      <w:r w:rsidRPr="00011D54">
        <w:rPr>
          <w:rFonts w:ascii="Times New Roman" w:eastAsia="Times New Roman" w:hAnsi="Times New Roman" w:cs="Times New Roman"/>
          <w:lang w:eastAsia="en-IN"/>
        </w:rPr>
        <w:t xml:space="preserve"> cash‑flow cycles can significantly improve financial access and stability.</w:t>
      </w:r>
      <w:r>
        <w:rPr>
          <w:rFonts w:ascii="Times New Roman" w:eastAsia="Times New Roman" w:hAnsi="Times New Roman" w:cs="Times New Roman"/>
          <w:lang w:eastAsia="en-IN"/>
        </w:rPr>
        <w:t xml:space="preserve"> </w:t>
      </w:r>
      <w:r w:rsidR="00CD3272" w:rsidRPr="00CD3272">
        <w:rPr>
          <w:rFonts w:ascii="Times New Roman" w:eastAsia="Times New Roman" w:hAnsi="Times New Roman" w:cs="Times New Roman"/>
          <w:lang w:eastAsia="en-IN"/>
        </w:rPr>
        <w:t>Strengthening microfinance institutions and integrating Panchayati Raj bodies into rural financial planning can improve outreach among underserved communities. These local-level mechanisms can enhance credit accessibility, encourage collective financial participation, and support livelihood diversification among vulnerable farming households (Mohan, 2006)</w:t>
      </w:r>
      <w:r w:rsidR="00CD3272">
        <w:rPr>
          <w:rFonts w:ascii="Times New Roman" w:eastAsia="Times New Roman" w:hAnsi="Times New Roman" w:cs="Times New Roman"/>
          <w:lang w:eastAsia="en-IN"/>
        </w:rPr>
        <w:t>.</w:t>
      </w:r>
      <w:r w:rsidR="00E072F4" w:rsidRPr="001F7EA5">
        <w:t xml:space="preserve"> </w:t>
      </w:r>
    </w:p>
    <w:p w14:paraId="2A5CBE76" w14:textId="77777777" w:rsidR="00E971C5" w:rsidRPr="001F7EA5" w:rsidRDefault="00AB6C1B" w:rsidP="00AB6C1B">
      <w:pPr>
        <w:spacing w:before="240" w:after="0" w:line="360" w:lineRule="auto"/>
        <w:jc w:val="both"/>
        <w:rPr>
          <w:rFonts w:ascii="Times New Roman" w:eastAsia="Times New Roman" w:hAnsi="Times New Roman" w:cs="Times New Roman"/>
          <w:b/>
          <w:lang w:eastAsia="en-IN"/>
        </w:rPr>
      </w:pPr>
      <w:r>
        <w:rPr>
          <w:rFonts w:ascii="Times New Roman" w:eastAsia="Times New Roman" w:hAnsi="Times New Roman" w:cs="Times New Roman"/>
          <w:b/>
          <w:lang w:eastAsia="en-IN"/>
        </w:rPr>
        <w:t xml:space="preserve">Discussion </w:t>
      </w:r>
      <w:r>
        <w:rPr>
          <w:rFonts w:ascii="Times New Roman" w:eastAsia="Times New Roman" w:hAnsi="Times New Roman" w:cs="Times New Roman"/>
          <w:b/>
          <w:highlight w:val="yellow"/>
          <w:lang w:eastAsia="en-IN"/>
        </w:rPr>
        <w:t>o</w:t>
      </w:r>
      <w:r>
        <w:rPr>
          <w:rFonts w:ascii="Times New Roman" w:eastAsia="Times New Roman" w:hAnsi="Times New Roman" w:cs="Times New Roman"/>
          <w:b/>
          <w:lang w:eastAsia="en-IN"/>
        </w:rPr>
        <w:t>f Findings</w:t>
      </w:r>
    </w:p>
    <w:p w14:paraId="43036C17" w14:textId="77777777" w:rsidR="003B6199" w:rsidRPr="003B6199" w:rsidRDefault="002350B5" w:rsidP="003B6199">
      <w:pPr>
        <w:spacing w:after="0" w:line="360" w:lineRule="auto"/>
        <w:jc w:val="both"/>
        <w:rPr>
          <w:rFonts w:ascii="Times New Roman" w:eastAsia="Times New Roman" w:hAnsi="Times New Roman" w:cs="Times New Roman"/>
          <w:lang w:eastAsia="en-IN"/>
        </w:rPr>
      </w:pPr>
      <w:r w:rsidRPr="002350B5">
        <w:rPr>
          <w:rFonts w:ascii="Times New Roman" w:eastAsia="Times New Roman" w:hAnsi="Times New Roman" w:cs="Times New Roman"/>
          <w:lang w:eastAsia="en-IN"/>
        </w:rPr>
        <w:t>This study provides an overview of the transformation of India’s rural finance system and its contribution to strengthening agribusiness development. The analysis demonstrates that agricultural finance has gradually evolved from a system largely dependent on informal sources of borrowing into a diversified institutional framework involving commercial banks, cooperative institutions, RRBs, and NABARD. This transition has improved the availability of formal credit and created greater opportunities for farmers to invest in production activities, technology adoption, and agribusiness expansion.</w:t>
      </w:r>
    </w:p>
    <w:p w14:paraId="7556832C" w14:textId="77777777" w:rsidR="00E971C5" w:rsidRPr="001F7EA5" w:rsidRDefault="002350B5" w:rsidP="003B6199">
      <w:pPr>
        <w:spacing w:after="0" w:line="360" w:lineRule="auto"/>
        <w:jc w:val="both"/>
        <w:rPr>
          <w:rFonts w:ascii="Times New Roman" w:eastAsia="Times New Roman" w:hAnsi="Times New Roman" w:cs="Times New Roman"/>
          <w:lang w:eastAsia="en-IN"/>
        </w:rPr>
      </w:pPr>
      <w:r w:rsidRPr="002350B5">
        <w:rPr>
          <w:rFonts w:ascii="Times New Roman" w:eastAsia="Times New Roman" w:hAnsi="Times New Roman" w:cs="Times New Roman"/>
          <w:lang w:eastAsia="en-IN"/>
        </w:rPr>
        <w:t>The findings indicate that institutional financial agencies have become the primary drivers of agricultural credit delivery in India. Among these institutions, commercial banks have emerged as the dominant contributors, accounting for 76.83% of total agricultural credit disbursement during 2019–2020. Cooperative banks and Regional Rural Banks contributed 11.30% and 11.87%, respectively, highlighting their continued but comparatively smaller role in supporting rural borrowers. The substantial increase in institutional credit flow</w:t>
      </w:r>
      <w:r w:rsidR="00C4379D">
        <w:rPr>
          <w:rFonts w:ascii="Times New Roman" w:eastAsia="Times New Roman" w:hAnsi="Times New Roman" w:cs="Times New Roman"/>
          <w:lang w:eastAsia="en-IN"/>
        </w:rPr>
        <w:t xml:space="preserve"> – </w:t>
      </w:r>
      <w:r w:rsidRPr="002350B5">
        <w:rPr>
          <w:rFonts w:ascii="Times New Roman" w:eastAsia="Times New Roman" w:hAnsi="Times New Roman" w:cs="Times New Roman"/>
          <w:lang w:eastAsia="en-IN"/>
        </w:rPr>
        <w:t>₹46,268 crore in 1999–2000 to ₹13,92,729 crore in 2019–2020—reflects the increas</w:t>
      </w:r>
      <w:r w:rsidR="00C4379D">
        <w:rPr>
          <w:rFonts w:ascii="Times New Roman" w:eastAsia="Times New Roman" w:hAnsi="Times New Roman" w:cs="Times New Roman"/>
          <w:lang w:eastAsia="en-IN"/>
        </w:rPr>
        <w:t>ed</w:t>
      </w:r>
      <w:r w:rsidRPr="002350B5">
        <w:rPr>
          <w:rFonts w:ascii="Times New Roman" w:eastAsia="Times New Roman" w:hAnsi="Times New Roman" w:cs="Times New Roman"/>
          <w:lang w:eastAsia="en-IN"/>
        </w:rPr>
        <w:t xml:space="preserve"> emphasis placed on formal financial mechanisms for agricultural development.</w:t>
      </w:r>
      <w:r w:rsidR="003B6199" w:rsidRPr="003B6199">
        <w:rPr>
          <w:rFonts w:ascii="Times New Roman" w:eastAsia="Times New Roman" w:hAnsi="Times New Roman" w:cs="Times New Roman"/>
          <w:lang w:eastAsia="en-IN"/>
        </w:rPr>
        <w:t xml:space="preserve"> The CAGR of 19.81% underscores the growing national emphasis on agricultural finance.</w:t>
      </w:r>
      <w:r w:rsidR="003B6199">
        <w:rPr>
          <w:rFonts w:ascii="Times New Roman" w:eastAsia="Times New Roman" w:hAnsi="Times New Roman" w:cs="Times New Roman"/>
          <w:lang w:eastAsia="en-IN"/>
        </w:rPr>
        <w:t xml:space="preserve"> </w:t>
      </w:r>
      <w:r w:rsidR="003B6199" w:rsidRPr="003B6199">
        <w:rPr>
          <w:rFonts w:ascii="Times New Roman" w:eastAsia="Times New Roman" w:hAnsi="Times New Roman" w:cs="Times New Roman"/>
          <w:lang w:eastAsia="en-IN"/>
        </w:rPr>
        <w:t>However, this growth has been uneven across regions. The southern region received 43.95% of agricultural credit in 2019–2020, whereas the north‑eastern states accounted for only 0.85%, revealing persistent structural disparities in credit distribution.</w:t>
      </w:r>
    </w:p>
    <w:p w14:paraId="12F32081" w14:textId="77777777" w:rsidR="00E84894" w:rsidRPr="001F7EA5" w:rsidRDefault="00E84894" w:rsidP="00E84894">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Credit utili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ation was </w:t>
      </w:r>
      <w:r>
        <w:rPr>
          <w:rFonts w:ascii="Times New Roman" w:eastAsia="Times New Roman" w:hAnsi="Times New Roman" w:cs="Times New Roman"/>
          <w:highlight w:val="yellow"/>
          <w:lang w:eastAsia="en-IN"/>
        </w:rPr>
        <w:t>f</w:t>
      </w:r>
      <w:r>
        <w:rPr>
          <w:rFonts w:ascii="Times New Roman" w:eastAsia="Times New Roman" w:hAnsi="Times New Roman" w:cs="Times New Roman"/>
          <w:lang w:eastAsia="en-IN"/>
        </w:rPr>
        <w:t>o</w:t>
      </w:r>
      <w:r>
        <w:rPr>
          <w:rFonts w:ascii="Times New Roman" w:eastAsia="Times New Roman" w:hAnsi="Times New Roman" w:cs="Times New Roman"/>
          <w:highlight w:val="yellow"/>
          <w:lang w:eastAsia="en-IN"/>
        </w:rPr>
        <w:t>u</w:t>
      </w:r>
      <w:r>
        <w:rPr>
          <w:rFonts w:ascii="Times New Roman" w:eastAsia="Times New Roman" w:hAnsi="Times New Roman" w:cs="Times New Roman"/>
          <w:lang w:eastAsia="en-IN"/>
        </w:rPr>
        <w:t>n</w:t>
      </w:r>
      <w:r>
        <w:rPr>
          <w:rFonts w:ascii="Times New Roman" w:eastAsia="Times New Roman" w:hAnsi="Times New Roman" w:cs="Times New Roman"/>
          <w:highlight w:val="yellow"/>
          <w:lang w:eastAsia="en-IN"/>
        </w:rPr>
        <w:t>d</w:t>
      </w:r>
      <w:r>
        <w:rPr>
          <w:rFonts w:ascii="Times New Roman" w:eastAsia="Times New Roman" w:hAnsi="Times New Roman" w:cs="Times New Roman"/>
          <w:lang w:eastAsia="en-IN"/>
        </w:rPr>
        <w:t xml:space="preserve"> to influence agribusiness productivity</w:t>
      </w:r>
      <w:r>
        <w:rPr>
          <w:rFonts w:ascii="Times New Roman" w:eastAsia="Times New Roman" w:hAnsi="Times New Roman" w:cs="Times New Roman"/>
          <w:highlight w:val="yellow"/>
          <w:lang w:eastAsia="en-IN"/>
        </w:rPr>
        <w:t xml:space="preserve"> significantly</w:t>
      </w:r>
      <w:r>
        <w:rPr>
          <w:rFonts w:ascii="Times New Roman" w:eastAsia="Times New Roman" w:hAnsi="Times New Roman" w:cs="Times New Roman"/>
          <w:lang w:eastAsia="en-IN"/>
        </w:rPr>
        <w:t>. Expan</w:t>
      </w:r>
      <w:r>
        <w:rPr>
          <w:rFonts w:ascii="Times New Roman" w:eastAsia="Times New Roman" w:hAnsi="Times New Roman" w:cs="Times New Roman"/>
          <w:highlight w:val="yellow"/>
          <w:lang w:eastAsia="en-IN"/>
        </w:rPr>
        <w:t>d</w:t>
      </w:r>
      <w:r>
        <w:rPr>
          <w:rFonts w:ascii="Times New Roman" w:eastAsia="Times New Roman" w:hAnsi="Times New Roman" w:cs="Times New Roman"/>
          <w:lang w:eastAsia="en-IN"/>
        </w:rPr>
        <w:t>in</w:t>
      </w:r>
      <w:r>
        <w:rPr>
          <w:rFonts w:ascii="Times New Roman" w:eastAsia="Times New Roman" w:hAnsi="Times New Roman" w:cs="Times New Roman"/>
          <w:highlight w:val="yellow"/>
          <w:lang w:eastAsia="en-IN"/>
        </w:rPr>
        <w:t>g</w:t>
      </w:r>
      <w:r>
        <w:rPr>
          <w:rFonts w:ascii="Times New Roman" w:eastAsia="Times New Roman" w:hAnsi="Times New Roman" w:cs="Times New Roman"/>
          <w:lang w:eastAsia="en-IN"/>
        </w:rPr>
        <w:t xml:space="preserve"> formal credit access increased farmers’ opportunities </w:t>
      </w:r>
      <w:r>
        <w:rPr>
          <w:rFonts w:ascii="Times New Roman" w:eastAsia="Times New Roman" w:hAnsi="Times New Roman" w:cs="Times New Roman"/>
          <w:highlight w:val="yellow"/>
          <w:lang w:eastAsia="en-IN"/>
        </w:rPr>
        <w:t>t</w:t>
      </w:r>
      <w:r>
        <w:rPr>
          <w:rFonts w:ascii="Times New Roman" w:eastAsia="Times New Roman" w:hAnsi="Times New Roman" w:cs="Times New Roman"/>
          <w:lang w:eastAsia="en-IN"/>
        </w:rPr>
        <w:t>o</w:t>
      </w:r>
      <w:r>
        <w:rPr>
          <w:rFonts w:ascii="Times New Roman" w:eastAsia="Times New Roman" w:hAnsi="Times New Roman" w:cs="Times New Roman"/>
          <w:highlight w:val="yellow"/>
          <w:lang w:eastAsia="en-IN"/>
        </w:rPr>
        <w:t xml:space="preserve"> adopt</w:t>
      </w:r>
      <w:r>
        <w:rPr>
          <w:rFonts w:ascii="Times New Roman" w:eastAsia="Times New Roman" w:hAnsi="Times New Roman" w:cs="Times New Roman"/>
          <w:lang w:eastAsia="en-IN"/>
        </w:rPr>
        <w:t xml:space="preserve"> modern farming</w:t>
      </w:r>
      <w:r>
        <w:rPr>
          <w:rFonts w:ascii="Times New Roman" w:eastAsia="Times New Roman" w:hAnsi="Times New Roman" w:cs="Times New Roman"/>
          <w:highlight w:val="yellow"/>
          <w:lang w:eastAsia="en-IN"/>
        </w:rPr>
        <w:t xml:space="preserve"> practices</w:t>
      </w:r>
      <w:r>
        <w:rPr>
          <w:rFonts w:ascii="Times New Roman" w:eastAsia="Times New Roman" w:hAnsi="Times New Roman" w:cs="Times New Roman"/>
          <w:lang w:eastAsia="en-IN"/>
        </w:rPr>
        <w:t xml:space="preserve">, </w:t>
      </w:r>
      <w:r>
        <w:rPr>
          <w:rFonts w:ascii="Times New Roman" w:eastAsia="Times New Roman" w:hAnsi="Times New Roman" w:cs="Times New Roman"/>
          <w:highlight w:val="yellow"/>
          <w:lang w:eastAsia="en-IN"/>
        </w:rPr>
        <w:t>us</w:t>
      </w:r>
      <w:r>
        <w:rPr>
          <w:rFonts w:ascii="Times New Roman" w:eastAsia="Times New Roman" w:hAnsi="Times New Roman" w:cs="Times New Roman"/>
          <w:lang w:eastAsia="en-IN"/>
        </w:rPr>
        <w:t>e resource</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 </w:t>
      </w:r>
      <w:r>
        <w:rPr>
          <w:rFonts w:ascii="Times New Roman" w:eastAsia="Times New Roman" w:hAnsi="Times New Roman" w:cs="Times New Roman"/>
          <w:highlight w:val="yellow"/>
          <w:lang w:eastAsia="en-IN"/>
        </w:rPr>
        <w:t>mor</w:t>
      </w:r>
      <w:r>
        <w:rPr>
          <w:rFonts w:ascii="Times New Roman" w:eastAsia="Times New Roman" w:hAnsi="Times New Roman" w:cs="Times New Roman"/>
          <w:lang w:eastAsia="en-IN"/>
        </w:rPr>
        <w:t>e efficien</w:t>
      </w:r>
      <w:r>
        <w:rPr>
          <w:rFonts w:ascii="Times New Roman" w:eastAsia="Times New Roman" w:hAnsi="Times New Roman" w:cs="Times New Roman"/>
          <w:highlight w:val="yellow"/>
          <w:lang w:eastAsia="en-IN"/>
        </w:rPr>
        <w:t>tl</w:t>
      </w:r>
      <w:r>
        <w:rPr>
          <w:rFonts w:ascii="Times New Roman" w:eastAsia="Times New Roman" w:hAnsi="Times New Roman" w:cs="Times New Roman"/>
          <w:lang w:eastAsia="en-IN"/>
        </w:rPr>
        <w:t>y, and i</w:t>
      </w:r>
      <w:r>
        <w:rPr>
          <w:rFonts w:ascii="Times New Roman" w:eastAsia="Times New Roman" w:hAnsi="Times New Roman" w:cs="Times New Roman"/>
          <w:highlight w:val="yellow"/>
          <w:lang w:eastAsia="en-IN"/>
        </w:rPr>
        <w:t>mprov</w:t>
      </w:r>
      <w:r>
        <w:rPr>
          <w:rFonts w:ascii="Times New Roman" w:eastAsia="Times New Roman" w:hAnsi="Times New Roman" w:cs="Times New Roman"/>
          <w:lang w:eastAsia="en-IN"/>
        </w:rPr>
        <w:t xml:space="preserve">e yield quality. Initiatives such as </w:t>
      </w:r>
      <w:r>
        <w:rPr>
          <w:rFonts w:ascii="Times New Roman" w:eastAsia="Times New Roman" w:hAnsi="Times New Roman" w:cs="Times New Roman"/>
          <w:highlight w:val="yellow"/>
          <w:lang w:eastAsia="en-IN"/>
        </w:rPr>
        <w:t xml:space="preserve">the </w:t>
      </w:r>
      <w:r>
        <w:rPr>
          <w:rFonts w:ascii="Times New Roman" w:eastAsia="Times New Roman" w:hAnsi="Times New Roman" w:cs="Times New Roman"/>
          <w:lang w:eastAsia="en-IN"/>
        </w:rPr>
        <w:t>Kisan Credit Card have s</w:t>
      </w:r>
      <w:r>
        <w:rPr>
          <w:rFonts w:ascii="Times New Roman" w:eastAsia="Times New Roman" w:hAnsi="Times New Roman" w:cs="Times New Roman"/>
          <w:highlight w:val="yellow"/>
          <w:lang w:eastAsia="en-IN"/>
        </w:rPr>
        <w:t>implifi</w:t>
      </w:r>
      <w:r>
        <w:rPr>
          <w:rFonts w:ascii="Times New Roman" w:eastAsia="Times New Roman" w:hAnsi="Times New Roman" w:cs="Times New Roman"/>
          <w:lang w:eastAsia="en-IN"/>
        </w:rPr>
        <w:t xml:space="preserve">ed </w:t>
      </w:r>
      <w:r>
        <w:rPr>
          <w:rFonts w:ascii="Times New Roman" w:eastAsia="Times New Roman" w:hAnsi="Times New Roman" w:cs="Times New Roman"/>
          <w:highlight w:val="yellow"/>
          <w:lang w:eastAsia="en-IN"/>
        </w:rPr>
        <w:t>ac</w:t>
      </w:r>
      <w:r>
        <w:rPr>
          <w:rFonts w:ascii="Times New Roman" w:eastAsia="Times New Roman" w:hAnsi="Times New Roman" w:cs="Times New Roman"/>
          <w:lang w:eastAsia="en-IN"/>
        </w:rPr>
        <w:t xml:space="preserve">cess </w:t>
      </w:r>
      <w:r>
        <w:rPr>
          <w:rFonts w:ascii="Times New Roman" w:eastAsia="Times New Roman" w:hAnsi="Times New Roman" w:cs="Times New Roman"/>
          <w:highlight w:val="yellow"/>
          <w:lang w:eastAsia="en-IN"/>
        </w:rPr>
        <w:t>t</w:t>
      </w:r>
      <w:r>
        <w:rPr>
          <w:rFonts w:ascii="Times New Roman" w:eastAsia="Times New Roman" w:hAnsi="Times New Roman" w:cs="Times New Roman"/>
          <w:lang w:eastAsia="en-IN"/>
        </w:rPr>
        <w:t>o short-term credit, enabling the purchase of seeds, fertili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ers, and machinery. </w:t>
      </w:r>
      <w:r>
        <w:rPr>
          <w:rFonts w:ascii="Times New Roman" w:eastAsia="Times New Roman" w:hAnsi="Times New Roman" w:cs="Times New Roman"/>
          <w:highlight w:val="yellow"/>
          <w:lang w:eastAsia="en-IN"/>
        </w:rPr>
        <w:t>How</w:t>
      </w:r>
      <w:r>
        <w:rPr>
          <w:rFonts w:ascii="Times New Roman" w:eastAsia="Times New Roman" w:hAnsi="Times New Roman" w:cs="Times New Roman"/>
          <w:lang w:eastAsia="en-IN"/>
        </w:rPr>
        <w:t>e</w:t>
      </w:r>
      <w:r>
        <w:rPr>
          <w:rFonts w:ascii="Times New Roman" w:eastAsia="Times New Roman" w:hAnsi="Times New Roman" w:cs="Times New Roman"/>
          <w:highlight w:val="yellow"/>
          <w:lang w:eastAsia="en-IN"/>
        </w:rPr>
        <w:t>v</w:t>
      </w:r>
      <w:r>
        <w:rPr>
          <w:rFonts w:ascii="Times New Roman" w:eastAsia="Times New Roman" w:hAnsi="Times New Roman" w:cs="Times New Roman"/>
          <w:lang w:eastAsia="en-IN"/>
        </w:rPr>
        <w:t xml:space="preserve">er, inefficiencies have also been </w:t>
      </w:r>
      <w:r>
        <w:rPr>
          <w:rFonts w:ascii="Times New Roman" w:eastAsia="Times New Roman" w:hAnsi="Times New Roman" w:cs="Times New Roman"/>
          <w:highlight w:val="yellow"/>
          <w:lang w:eastAsia="en-IN"/>
        </w:rPr>
        <w:t>obse</w:t>
      </w:r>
      <w:r>
        <w:rPr>
          <w:rFonts w:ascii="Times New Roman" w:eastAsia="Times New Roman" w:hAnsi="Times New Roman" w:cs="Times New Roman"/>
          <w:lang w:eastAsia="en-IN"/>
        </w:rPr>
        <w:t>r</w:t>
      </w:r>
      <w:r>
        <w:rPr>
          <w:rFonts w:ascii="Times New Roman" w:eastAsia="Times New Roman" w:hAnsi="Times New Roman" w:cs="Times New Roman"/>
          <w:highlight w:val="yellow"/>
          <w:lang w:eastAsia="en-IN"/>
        </w:rPr>
        <w:t>v</w:t>
      </w:r>
      <w:r>
        <w:rPr>
          <w:rFonts w:ascii="Times New Roman" w:eastAsia="Times New Roman" w:hAnsi="Times New Roman" w:cs="Times New Roman"/>
          <w:lang w:eastAsia="en-IN"/>
        </w:rPr>
        <w:t>ed. For instance, long-term credit disbursement declined during the years preceding 2014</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2015</w:t>
      </w:r>
      <w:r>
        <w:rPr>
          <w:rFonts w:ascii="Times New Roman" w:eastAsia="Times New Roman" w:hAnsi="Times New Roman" w:cs="Times New Roman"/>
          <w:highlight w:val="yellow"/>
          <w:lang w:eastAsia="en-IN"/>
        </w:rPr>
        <w:t>, raising concerns</w:t>
      </w:r>
      <w:r>
        <w:rPr>
          <w:rFonts w:ascii="Times New Roman" w:eastAsia="Times New Roman" w:hAnsi="Times New Roman" w:cs="Times New Roman"/>
          <w:lang w:eastAsia="en-IN"/>
        </w:rPr>
        <w:t xml:space="preserve"> a</w:t>
      </w:r>
      <w:r>
        <w:rPr>
          <w:rFonts w:ascii="Times New Roman" w:eastAsia="Times New Roman" w:hAnsi="Times New Roman" w:cs="Times New Roman"/>
          <w:highlight w:val="yellow"/>
          <w:lang w:eastAsia="en-IN"/>
        </w:rPr>
        <w:t>b</w:t>
      </w:r>
      <w:r>
        <w:rPr>
          <w:rFonts w:ascii="Times New Roman" w:eastAsia="Times New Roman" w:hAnsi="Times New Roman" w:cs="Times New Roman"/>
          <w:lang w:eastAsia="en-IN"/>
        </w:rPr>
        <w:t>out private capital formation in crucial sectors such as irrigation infrastructure and farm mechani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w:t>
      </w:r>
    </w:p>
    <w:p w14:paraId="1432AF89" w14:textId="77777777" w:rsidR="00E84894" w:rsidRPr="001F7EA5" w:rsidRDefault="00E84894" w:rsidP="00E84894">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lastRenderedPageBreak/>
        <w:t xml:space="preserve">Another important finding </w:t>
      </w:r>
      <w:r>
        <w:rPr>
          <w:rFonts w:ascii="Times New Roman" w:eastAsia="Times New Roman" w:hAnsi="Times New Roman" w:cs="Times New Roman"/>
          <w:highlight w:val="yellow"/>
          <w:lang w:eastAsia="en-IN"/>
        </w:rPr>
        <w:t>concerned</w:t>
      </w:r>
      <w:r>
        <w:rPr>
          <w:rFonts w:ascii="Times New Roman" w:eastAsia="Times New Roman" w:hAnsi="Times New Roman" w:cs="Times New Roman"/>
          <w:lang w:eastAsia="en-IN"/>
        </w:rPr>
        <w:t xml:space="preserve"> the problems</w:t>
      </w:r>
      <w:r>
        <w:rPr>
          <w:rFonts w:ascii="Times New Roman" w:eastAsia="Times New Roman" w:hAnsi="Times New Roman" w:cs="Times New Roman"/>
          <w:highlight w:val="yellow"/>
          <w:lang w:eastAsia="en-IN"/>
        </w:rPr>
        <w:t xml:space="preserve"> that</w:t>
      </w:r>
      <w:r>
        <w:rPr>
          <w:rFonts w:ascii="Times New Roman" w:eastAsia="Times New Roman" w:hAnsi="Times New Roman" w:cs="Times New Roman"/>
          <w:lang w:eastAsia="en-IN"/>
        </w:rPr>
        <w:t xml:space="preserve"> small and marginal farmers face in accessing institutional credit. Despite contributing significantly to agricultural output, small and marginal farmers often lack collateral and creditworthiness</w:t>
      </w:r>
      <w:r>
        <w:rPr>
          <w:rFonts w:ascii="Times New Roman" w:eastAsia="Times New Roman" w:hAnsi="Times New Roman" w:cs="Times New Roman"/>
          <w:highlight w:val="yellow"/>
          <w:lang w:eastAsia="en-IN"/>
        </w:rPr>
        <w:t xml:space="preserve"> and</w:t>
      </w:r>
      <w:r>
        <w:rPr>
          <w:rFonts w:ascii="Times New Roman" w:eastAsia="Times New Roman" w:hAnsi="Times New Roman" w:cs="Times New Roman"/>
          <w:lang w:eastAsia="en-IN"/>
        </w:rPr>
        <w:t xml:space="preserve"> thus rely on informal sources</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w:t>
      </w:r>
      <w:r>
        <w:rPr>
          <w:rFonts w:ascii="Times New Roman" w:eastAsia="Times New Roman" w:hAnsi="Times New Roman" w:cs="Times New Roman"/>
          <w:highlight w:val="yellow"/>
          <w:lang w:eastAsia="en-IN"/>
        </w:rPr>
        <w:t>such as</w:t>
      </w:r>
      <w:r>
        <w:rPr>
          <w:rFonts w:ascii="Times New Roman" w:eastAsia="Times New Roman" w:hAnsi="Times New Roman" w:cs="Times New Roman"/>
          <w:lang w:eastAsia="en-IN"/>
        </w:rPr>
        <w:t xml:space="preserve"> moneylenders</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who charge exorbitant interest rates. This </w:t>
      </w:r>
      <w:r>
        <w:rPr>
          <w:rFonts w:ascii="Times New Roman" w:eastAsia="Times New Roman" w:hAnsi="Times New Roman" w:cs="Times New Roman"/>
          <w:highlight w:val="yellow"/>
          <w:lang w:eastAsia="en-IN"/>
        </w:rPr>
        <w:t>tra</w:t>
      </w:r>
      <w:r>
        <w:rPr>
          <w:rFonts w:ascii="Times New Roman" w:eastAsia="Times New Roman" w:hAnsi="Times New Roman" w:cs="Times New Roman"/>
          <w:lang w:eastAsia="en-IN"/>
        </w:rPr>
        <w:t xml:space="preserve">ps them in debt cycles and restricts their economic mobility. The results from </w:t>
      </w:r>
      <w:r>
        <w:rPr>
          <w:rFonts w:ascii="Times New Roman" w:eastAsia="Times New Roman" w:hAnsi="Times New Roman" w:cs="Times New Roman"/>
          <w:highlight w:val="yellow"/>
          <w:lang w:eastAsia="en-IN"/>
        </w:rPr>
        <w:t xml:space="preserve">the </w:t>
      </w:r>
      <w:r>
        <w:rPr>
          <w:rFonts w:ascii="Times New Roman" w:eastAsia="Times New Roman" w:hAnsi="Times New Roman" w:cs="Times New Roman"/>
          <w:lang w:eastAsia="en-IN"/>
        </w:rPr>
        <w:t>region-wise credit</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flow analyses further </w:t>
      </w:r>
      <w:r>
        <w:rPr>
          <w:rFonts w:ascii="Times New Roman" w:eastAsia="Times New Roman" w:hAnsi="Times New Roman" w:cs="Times New Roman"/>
          <w:highlight w:val="yellow"/>
          <w:lang w:eastAsia="en-IN"/>
        </w:rPr>
        <w:t>conf</w:t>
      </w:r>
      <w:r>
        <w:rPr>
          <w:rFonts w:ascii="Times New Roman" w:eastAsia="Times New Roman" w:hAnsi="Times New Roman" w:cs="Times New Roman"/>
          <w:lang w:eastAsia="en-IN"/>
        </w:rPr>
        <w:t>i</w:t>
      </w:r>
      <w:r>
        <w:rPr>
          <w:rFonts w:ascii="Times New Roman" w:eastAsia="Times New Roman" w:hAnsi="Times New Roman" w:cs="Times New Roman"/>
          <w:highlight w:val="yellow"/>
          <w:lang w:eastAsia="en-IN"/>
        </w:rPr>
        <w:t>rm</w:t>
      </w:r>
      <w:r>
        <w:rPr>
          <w:rFonts w:ascii="Times New Roman" w:eastAsia="Times New Roman" w:hAnsi="Times New Roman" w:cs="Times New Roman"/>
          <w:lang w:eastAsia="en-IN"/>
        </w:rPr>
        <w:t>ed the disparities in credit allocation. The regional analysis reveals significant variations in access to agricultural finance across different parts of India. The southern region recorded the highest average loan disbursement per agricultural account, indicating stronger institutional penetration and greater utili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 of formal credit facilities. In contrast, the north-eastern and eastern regions showed comparatively lower levels of credit availability, reflecting persistent limitations related to financial infrastructure, accessibility, and institutional outreach. These differences emphasi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e the importance of region-specific strategies that address local economic conditions and improve equitable access to agricultural finance, particularly for underserved farming communities. Similarly, average loan amounts for small and marginal farmers were significantly lower than those for all farmers nationally, thereby underlining systemic biases in credit distribution.</w:t>
      </w:r>
    </w:p>
    <w:p w14:paraId="7784D6DC" w14:textId="77777777" w:rsidR="00E84894" w:rsidRPr="001F7EA5" w:rsidRDefault="00E84894" w:rsidP="00E84894">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highlight w:val="yellow"/>
          <w:lang w:eastAsia="en-IN"/>
        </w:rPr>
        <w:t>The study r</w:t>
      </w:r>
      <w:r>
        <w:rPr>
          <w:rFonts w:ascii="Times New Roman" w:eastAsia="Times New Roman" w:hAnsi="Times New Roman" w:cs="Times New Roman"/>
          <w:lang w:eastAsia="en-IN"/>
        </w:rPr>
        <w:t>ecommends adoptin</w:t>
      </w:r>
      <w:r>
        <w:rPr>
          <w:rFonts w:ascii="Times New Roman" w:eastAsia="Times New Roman" w:hAnsi="Times New Roman" w:cs="Times New Roman"/>
          <w:highlight w:val="yellow"/>
          <w:lang w:eastAsia="en-IN"/>
        </w:rPr>
        <w:t>g</w:t>
      </w:r>
      <w:r>
        <w:rPr>
          <w:rFonts w:ascii="Times New Roman" w:eastAsia="Times New Roman" w:hAnsi="Times New Roman" w:cs="Times New Roman"/>
          <w:lang w:eastAsia="en-IN"/>
        </w:rPr>
        <w:t xml:space="preserve"> digital financial product</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 such as mobile banking </w:t>
      </w:r>
      <w:r>
        <w:rPr>
          <w:rFonts w:ascii="Times New Roman" w:eastAsia="Times New Roman" w:hAnsi="Times New Roman" w:cs="Times New Roman"/>
          <w:highlight w:val="yellow"/>
          <w:lang w:eastAsia="en-IN"/>
        </w:rPr>
        <w:t>and</w:t>
      </w:r>
      <w:r>
        <w:rPr>
          <w:rFonts w:ascii="Times New Roman" w:eastAsia="Times New Roman" w:hAnsi="Times New Roman" w:cs="Times New Roman"/>
          <w:lang w:eastAsia="en-IN"/>
        </w:rPr>
        <w:t xml:space="preserve"> Aadhaar</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linked accounts, t</w:t>
      </w:r>
      <w:r>
        <w:rPr>
          <w:rFonts w:ascii="Times New Roman" w:eastAsia="Times New Roman" w:hAnsi="Times New Roman" w:cs="Times New Roman"/>
          <w:highlight w:val="yellow"/>
          <w:lang w:eastAsia="en-IN"/>
        </w:rPr>
        <w:t>o</w:t>
      </w:r>
      <w:r>
        <w:rPr>
          <w:rFonts w:ascii="Times New Roman" w:eastAsia="Times New Roman" w:hAnsi="Times New Roman" w:cs="Times New Roman"/>
          <w:lang w:eastAsia="en-IN"/>
        </w:rPr>
        <w:t xml:space="preserve"> improve credit penetration and transparency</w:t>
      </w:r>
      <w:r>
        <w:rPr>
          <w:rFonts w:ascii="Times New Roman" w:eastAsia="Times New Roman" w:hAnsi="Times New Roman" w:cs="Times New Roman"/>
          <w:highlight w:val="yellow"/>
          <w:lang w:eastAsia="en-IN"/>
        </w:rPr>
        <w:t>. It</w:t>
      </w:r>
      <w:r>
        <w:rPr>
          <w:rFonts w:ascii="Times New Roman" w:eastAsia="Times New Roman" w:hAnsi="Times New Roman" w:cs="Times New Roman"/>
          <w:lang w:eastAsia="en-IN"/>
        </w:rPr>
        <w:t xml:space="preserve"> a</w:t>
      </w:r>
      <w:r>
        <w:rPr>
          <w:rFonts w:ascii="Times New Roman" w:eastAsia="Times New Roman" w:hAnsi="Times New Roman" w:cs="Times New Roman"/>
          <w:highlight w:val="yellow"/>
          <w:lang w:eastAsia="en-IN"/>
        </w:rPr>
        <w:t>lso recomme</w:t>
      </w:r>
      <w:r>
        <w:rPr>
          <w:rFonts w:ascii="Times New Roman" w:eastAsia="Times New Roman" w:hAnsi="Times New Roman" w:cs="Times New Roman"/>
          <w:lang w:eastAsia="en-IN"/>
        </w:rPr>
        <w:t>nd</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 xml:space="preserve"> region-specific interventions</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w:t>
      </w:r>
      <w:r>
        <w:rPr>
          <w:rFonts w:ascii="Times New Roman" w:eastAsia="Times New Roman" w:hAnsi="Times New Roman" w:cs="Times New Roman"/>
          <w:highlight w:val="yellow"/>
          <w:lang w:eastAsia="en-IN"/>
        </w:rPr>
        <w:t>stro</w:t>
      </w:r>
      <w:r>
        <w:rPr>
          <w:rFonts w:ascii="Times New Roman" w:eastAsia="Times New Roman" w:hAnsi="Times New Roman" w:cs="Times New Roman"/>
          <w:lang w:eastAsia="en-IN"/>
        </w:rPr>
        <w:t>ng</w:t>
      </w:r>
      <w:r>
        <w:rPr>
          <w:rFonts w:ascii="Times New Roman" w:eastAsia="Times New Roman" w:hAnsi="Times New Roman" w:cs="Times New Roman"/>
          <w:highlight w:val="yellow"/>
          <w:lang w:eastAsia="en-IN"/>
        </w:rPr>
        <w:t>er</w:t>
      </w:r>
      <w:r>
        <w:rPr>
          <w:rFonts w:ascii="Times New Roman" w:eastAsia="Times New Roman" w:hAnsi="Times New Roman" w:cs="Times New Roman"/>
          <w:lang w:eastAsia="en-IN"/>
        </w:rPr>
        <w:t xml:space="preserve"> cooperative institutions, </w:t>
      </w:r>
      <w:r>
        <w:rPr>
          <w:rFonts w:ascii="Times New Roman" w:eastAsia="Times New Roman" w:hAnsi="Times New Roman" w:cs="Times New Roman"/>
          <w:highlight w:val="yellow"/>
          <w:lang w:eastAsia="en-IN"/>
        </w:rPr>
        <w:t>i</w:t>
      </w:r>
      <w:r>
        <w:rPr>
          <w:rFonts w:ascii="Times New Roman" w:eastAsia="Times New Roman" w:hAnsi="Times New Roman" w:cs="Times New Roman"/>
          <w:lang w:eastAsia="en-IN"/>
        </w:rPr>
        <w:t>m</w:t>
      </w:r>
      <w:r>
        <w:rPr>
          <w:rFonts w:ascii="Times New Roman" w:eastAsia="Times New Roman" w:hAnsi="Times New Roman" w:cs="Times New Roman"/>
          <w:highlight w:val="yellow"/>
          <w:lang w:eastAsia="en-IN"/>
        </w:rPr>
        <w:t>pr</w:t>
      </w:r>
      <w:r>
        <w:rPr>
          <w:rFonts w:ascii="Times New Roman" w:eastAsia="Times New Roman" w:hAnsi="Times New Roman" w:cs="Times New Roman"/>
          <w:lang w:eastAsia="en-IN"/>
        </w:rPr>
        <w:t>o</w:t>
      </w:r>
      <w:r>
        <w:rPr>
          <w:rFonts w:ascii="Times New Roman" w:eastAsia="Times New Roman" w:hAnsi="Times New Roman" w:cs="Times New Roman"/>
          <w:highlight w:val="yellow"/>
          <w:lang w:eastAsia="en-IN"/>
        </w:rPr>
        <w:t>ved</w:t>
      </w:r>
      <w:r>
        <w:rPr>
          <w:rFonts w:ascii="Times New Roman" w:eastAsia="Times New Roman" w:hAnsi="Times New Roman" w:cs="Times New Roman"/>
          <w:lang w:eastAsia="en-IN"/>
        </w:rPr>
        <w:t xml:space="preserve"> </w:t>
      </w:r>
      <w:r>
        <w:rPr>
          <w:rFonts w:ascii="Times New Roman" w:eastAsia="Times New Roman" w:hAnsi="Times New Roman" w:cs="Times New Roman"/>
          <w:highlight w:val="yellow"/>
          <w:lang w:eastAsia="en-IN"/>
        </w:rPr>
        <w:t>f</w:t>
      </w:r>
      <w:r>
        <w:rPr>
          <w:rFonts w:ascii="Times New Roman" w:eastAsia="Times New Roman" w:hAnsi="Times New Roman" w:cs="Times New Roman"/>
          <w:lang w:eastAsia="en-IN"/>
        </w:rPr>
        <w:t>inancial literacy a</w:t>
      </w:r>
      <w:r>
        <w:rPr>
          <w:rFonts w:ascii="Times New Roman" w:eastAsia="Times New Roman" w:hAnsi="Times New Roman" w:cs="Times New Roman"/>
          <w:highlight w:val="yellow"/>
          <w:lang w:eastAsia="en-IN"/>
        </w:rPr>
        <w:t>mo</w:t>
      </w:r>
      <w:r>
        <w:rPr>
          <w:rFonts w:ascii="Times New Roman" w:eastAsia="Times New Roman" w:hAnsi="Times New Roman" w:cs="Times New Roman"/>
          <w:lang w:eastAsia="en-IN"/>
        </w:rPr>
        <w:t>ng farmers</w:t>
      </w:r>
      <w:r>
        <w:rPr>
          <w:rFonts w:ascii="Times New Roman" w:eastAsia="Times New Roman" w:hAnsi="Times New Roman" w:cs="Times New Roman"/>
          <w:highlight w:val="yellow"/>
          <w:lang w:eastAsia="en-IN"/>
        </w:rPr>
        <w:t>,</w:t>
      </w:r>
      <w:r>
        <w:rPr>
          <w:rFonts w:ascii="Times New Roman" w:eastAsia="Times New Roman" w:hAnsi="Times New Roman" w:cs="Times New Roman"/>
          <w:lang w:eastAsia="en-IN"/>
        </w:rPr>
        <w:t xml:space="preserve"> and reduc</w:t>
      </w:r>
      <w:r>
        <w:rPr>
          <w:rFonts w:ascii="Times New Roman" w:eastAsia="Times New Roman" w:hAnsi="Times New Roman" w:cs="Times New Roman"/>
          <w:highlight w:val="yellow"/>
          <w:lang w:eastAsia="en-IN"/>
        </w:rPr>
        <w:t xml:space="preserve">ed dependence </w:t>
      </w:r>
      <w:r>
        <w:rPr>
          <w:rFonts w:ascii="Times New Roman" w:eastAsia="Times New Roman" w:hAnsi="Times New Roman" w:cs="Times New Roman"/>
          <w:lang w:eastAsia="en-IN"/>
        </w:rPr>
        <w:t xml:space="preserve">on informal </w:t>
      </w:r>
      <w:r>
        <w:rPr>
          <w:rFonts w:ascii="Times New Roman" w:eastAsia="Times New Roman" w:hAnsi="Times New Roman" w:cs="Times New Roman"/>
          <w:highlight w:val="yellow"/>
          <w:lang w:eastAsia="en-IN"/>
        </w:rPr>
        <w:t xml:space="preserve">credit </w:t>
      </w:r>
      <w:r>
        <w:rPr>
          <w:rFonts w:ascii="Times New Roman" w:eastAsia="Times New Roman" w:hAnsi="Times New Roman" w:cs="Times New Roman"/>
          <w:lang w:eastAsia="en-IN"/>
        </w:rPr>
        <w:t>sources.</w:t>
      </w:r>
    </w:p>
    <w:p w14:paraId="3E33A9B0" w14:textId="77777777" w:rsidR="007140F5" w:rsidRPr="00723FFC" w:rsidRDefault="007140F5" w:rsidP="007140F5">
      <w:pPr>
        <w:spacing w:before="100" w:beforeAutospacing="1" w:after="100" w:afterAutospacing="1" w:line="240" w:lineRule="auto"/>
        <w:rPr>
          <w:rFonts w:ascii="Times New Roman" w:eastAsia="Times New Roman" w:hAnsi="Times New Roman" w:cs="Times New Roman"/>
        </w:rPr>
      </w:pPr>
      <w:r w:rsidRPr="00723FFC">
        <w:rPr>
          <w:rFonts w:ascii="Times New Roman" w:eastAsia="Times New Roman" w:hAnsi="Times New Roman" w:cs="Times New Roman"/>
          <w:b/>
          <w:bCs/>
        </w:rPr>
        <w:t>Conclusion</w:t>
      </w:r>
    </w:p>
    <w:p w14:paraId="5F0190D7" w14:textId="77777777" w:rsidR="007140F5" w:rsidRPr="00723FFC" w:rsidRDefault="007140F5" w:rsidP="00F07F33">
      <w:pPr>
        <w:spacing w:after="0" w:line="360" w:lineRule="auto"/>
        <w:jc w:val="both"/>
        <w:rPr>
          <w:rFonts w:ascii="Times New Roman" w:eastAsia="Times New Roman" w:hAnsi="Times New Roman" w:cs="Times New Roman"/>
          <w:lang w:eastAsia="en-IN"/>
        </w:rPr>
      </w:pPr>
      <w:r w:rsidRPr="00723FFC">
        <w:rPr>
          <w:rFonts w:ascii="Times New Roman" w:eastAsia="Times New Roman" w:hAnsi="Times New Roman" w:cs="Times New Roman"/>
          <w:lang w:eastAsia="en-IN"/>
        </w:rPr>
        <w:t>The study shows that rural finance has played a significant role in transforming agribusiness in India by expanding access to institutional credit and supporting agricultural investment. Over the years, the agricultural credit system has moved away from heavy dependence on informal lenders toward a broader institutional structure involving commercial banks, cooperative banks, Regional Rural Banks, NABARD, and other financial institutions. This transition has increased the overall availability of credit and has supported the adoption of improved inputs, farm technologies, post-harvest infrastructure, and risk-management mechanisms.</w:t>
      </w:r>
    </w:p>
    <w:p w14:paraId="5A1E6205" w14:textId="77777777" w:rsidR="007140F5" w:rsidRPr="00723FFC" w:rsidRDefault="007140F5" w:rsidP="00F07F33">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Despite this progress, important gaps remain. Credit distribution continues to be uneven across regions, with the southern region receiving a much larger share than the north-eastern and eastern regions. Small and marginal farmers face persistent difficulties in obtaining formal credit because of collateral requirements, procedural complexity, limited institutional reach, and perceived repayment risk. Dependence on informal lenders therefore remains a concern in several rural areas. The study also indicates the need for greater attention to medium- and long-term credit, which is important for capital formation in irrigation, mechani</w:t>
      </w:r>
      <w:r>
        <w:rPr>
          <w:rFonts w:ascii="Times New Roman" w:eastAsia="Times New Roman" w:hAnsi="Times New Roman" w:cs="Times New Roman"/>
          <w:highlight w:val="yellow"/>
          <w:lang w:eastAsia="en-IN"/>
        </w:rPr>
        <w:t>s</w:t>
      </w:r>
      <w:r>
        <w:rPr>
          <w:rFonts w:ascii="Times New Roman" w:eastAsia="Times New Roman" w:hAnsi="Times New Roman" w:cs="Times New Roman"/>
          <w:lang w:eastAsia="en-IN"/>
        </w:rPr>
        <w:t>ation, land development, and other productive assets.</w:t>
      </w:r>
    </w:p>
    <w:p w14:paraId="5AA33275" w14:textId="77777777" w:rsidR="007140F5" w:rsidRPr="00723FFC" w:rsidRDefault="007140F5" w:rsidP="00F07F33">
      <w:pPr>
        <w:spacing w:after="0" w:line="360" w:lineRule="auto"/>
        <w:jc w:val="both"/>
        <w:rPr>
          <w:rFonts w:ascii="Times New Roman" w:eastAsia="Times New Roman" w:hAnsi="Times New Roman" w:cs="Times New Roman"/>
          <w:lang w:eastAsia="en-IN"/>
        </w:rPr>
      </w:pPr>
      <w:r w:rsidRPr="00723FFC">
        <w:rPr>
          <w:rFonts w:ascii="Times New Roman" w:eastAsia="Times New Roman" w:hAnsi="Times New Roman" w:cs="Times New Roman"/>
          <w:lang w:eastAsia="en-IN"/>
        </w:rPr>
        <w:t>Overall, rural finance can contribute more effectively to sustainable agribusiness if credit delivery becomes more inclusive, region-sensitive, transparent, and farmer-oriented.</w:t>
      </w:r>
    </w:p>
    <w:p w14:paraId="41D387C6" w14:textId="77777777" w:rsidR="007140F5" w:rsidRPr="00723FFC" w:rsidRDefault="007140F5" w:rsidP="007140F5">
      <w:pPr>
        <w:spacing w:before="100" w:beforeAutospacing="1" w:after="100" w:afterAutospacing="1" w:line="240" w:lineRule="auto"/>
        <w:rPr>
          <w:rFonts w:ascii="Times New Roman" w:eastAsia="Times New Roman" w:hAnsi="Times New Roman" w:cs="Times New Roman"/>
        </w:rPr>
      </w:pPr>
      <w:r w:rsidRPr="00723FFC">
        <w:rPr>
          <w:rFonts w:ascii="Times New Roman" w:eastAsia="Times New Roman" w:hAnsi="Times New Roman" w:cs="Times New Roman"/>
          <w:b/>
          <w:bCs/>
        </w:rPr>
        <w:lastRenderedPageBreak/>
        <w:t>Limitations</w:t>
      </w:r>
    </w:p>
    <w:p w14:paraId="5A6B7AA3" w14:textId="291B1CFE" w:rsidR="007140F5" w:rsidRDefault="008E1991" w:rsidP="007B7A8C">
      <w:pPr>
        <w:jc w:val="both"/>
        <w:rPr>
          <w:rFonts w:ascii="Times New Roman" w:eastAsia="Times New Roman" w:hAnsi="Times New Roman" w:cs="Times New Roman"/>
          <w:lang w:eastAsia="en-IN"/>
        </w:rPr>
      </w:pPr>
      <w:r w:rsidRPr="008E1991">
        <w:rPr>
          <w:rFonts w:ascii="Times New Roman" w:eastAsia="Times New Roman" w:hAnsi="Times New Roman" w:cs="Times New Roman"/>
          <w:lang w:eastAsia="en-IN"/>
        </w:rPr>
        <w:t>This study relies exclusively on secondary data from published reports, surveys, and previous research. Differences in definitions, coverage, and reporting periods across sources may affect comparability. Several credit-flow datasets extend only to 2019–2020, limiting assessment of more recent developments. The use of aggregate national and regional data also restricts detailed examination of household- and district-level variation. Because no primary survey or econometric modelling was undertaken, the analysis identifies patterns and associations but does not establish causal relationships between rural finance and agribusiness outcomes.</w:t>
      </w:r>
    </w:p>
    <w:p w14:paraId="06F40DA0" w14:textId="77777777" w:rsidR="008E1991" w:rsidRDefault="008E1991" w:rsidP="007140F5">
      <w:pPr>
        <w:rPr>
          <w:rFonts w:ascii="Times New Roman" w:eastAsia="Times New Roman" w:hAnsi="Times New Roman" w:cs="Times New Roman"/>
          <w:lang w:eastAsia="en-IN"/>
        </w:rPr>
      </w:pPr>
    </w:p>
    <w:p w14:paraId="3FF72CA2" w14:textId="77777777" w:rsidR="008E1991" w:rsidRDefault="008E1991" w:rsidP="007140F5"/>
    <w:p w14:paraId="684C9CF3" w14:textId="77777777" w:rsidR="007140F5" w:rsidRPr="000839CE" w:rsidRDefault="007140F5" w:rsidP="007140F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5E2DF908" w14:textId="77777777" w:rsidR="007140F5" w:rsidRPr="000839CE" w:rsidRDefault="007140F5" w:rsidP="007140F5">
      <w:pPr>
        <w:spacing w:after="0" w:line="240" w:lineRule="auto"/>
        <w:rPr>
          <w:rFonts w:ascii="Times New Roman" w:hAnsi="Times New Roman" w:cs="Times New Roman"/>
        </w:rPr>
      </w:pPr>
    </w:p>
    <w:p w14:paraId="24B7912F" w14:textId="77777777" w:rsidR="007140F5" w:rsidRDefault="007D18E3" w:rsidP="00F07F33">
      <w:pPr>
        <w:spacing w:after="0" w:line="360" w:lineRule="auto"/>
        <w:jc w:val="both"/>
        <w:rPr>
          <w:rFonts w:ascii="Times New Roman" w:eastAsia="Times New Roman" w:hAnsi="Times New Roman" w:cs="Times New Roman"/>
          <w:lang w:eastAsia="en-IN"/>
        </w:rPr>
      </w:pPr>
      <w:r w:rsidRPr="007D18E3">
        <w:rPr>
          <w:rFonts w:ascii="Times New Roman" w:eastAsia="Times New Roman" w:hAnsi="Times New Roman" w:cs="Times New Roman"/>
          <w:lang w:eastAsia="en-IN"/>
        </w:rPr>
        <w:t>The authors confirm that this manuscript reflects their independent scholarly work, including contributions to conceptualisation, data interpretation, analysis, and writing. Tools such as Grammarly and ChatGPT were used only for language refinement, grammar improvement, and reference formatting. These tools did not generate substantive content, nor did they replace the authors’ academic judgement. All AI‑assisted suggestions were critically reviewed, edited, and validated by the authors. The authors take full responsibility for the accuracy, integrity, and final presentation of the manuscript.</w:t>
      </w:r>
    </w:p>
    <w:p w14:paraId="3149736B" w14:textId="77777777" w:rsidR="009015E3" w:rsidRPr="009015E3" w:rsidRDefault="009015E3" w:rsidP="009015E3">
      <w:pPr>
        <w:spacing w:after="0" w:line="240" w:lineRule="auto"/>
        <w:jc w:val="both"/>
        <w:rPr>
          <w:rFonts w:ascii="Times New Roman" w:eastAsia="Times New Roman" w:hAnsi="Times New Roman" w:cs="Times New Roman"/>
          <w:b/>
          <w:bCs/>
          <w:lang w:eastAsia="en-IN"/>
        </w:rPr>
      </w:pPr>
    </w:p>
    <w:p w14:paraId="69DDA450" w14:textId="77777777" w:rsidR="00745099" w:rsidRPr="009015E3" w:rsidRDefault="00745099" w:rsidP="009015E3">
      <w:pPr>
        <w:jc w:val="both"/>
        <w:outlineLvl w:val="0"/>
        <w:rPr>
          <w:rFonts w:ascii="Times New Roman" w:eastAsia="Times New Roman" w:hAnsi="Times New Roman" w:cs="Times New Roman"/>
          <w:b/>
          <w:bCs/>
          <w:lang w:eastAsia="en-IN"/>
        </w:rPr>
      </w:pPr>
      <w:r w:rsidRPr="009015E3">
        <w:rPr>
          <w:rFonts w:ascii="Times New Roman" w:eastAsia="Times New Roman" w:hAnsi="Times New Roman" w:cs="Times New Roman"/>
          <w:b/>
          <w:bCs/>
          <w:lang w:eastAsia="en-IN"/>
        </w:rPr>
        <w:t>COMPETING INTERESTS:</w:t>
      </w:r>
    </w:p>
    <w:p w14:paraId="76F58619" w14:textId="77777777" w:rsidR="00745099" w:rsidRPr="009015E3" w:rsidRDefault="007F3698" w:rsidP="00F07F33">
      <w:pPr>
        <w:spacing w:after="0" w:line="360" w:lineRule="auto"/>
        <w:jc w:val="both"/>
        <w:rPr>
          <w:rFonts w:ascii="Times New Roman" w:eastAsia="Times New Roman" w:hAnsi="Times New Roman" w:cs="Times New Roman"/>
          <w:lang w:eastAsia="en-IN"/>
        </w:rPr>
      </w:pPr>
      <w:r w:rsidRPr="007F3698">
        <w:rPr>
          <w:rFonts w:ascii="Times New Roman" w:eastAsia="Times New Roman" w:hAnsi="Times New Roman" w:cs="Times New Roman"/>
          <w:lang w:eastAsia="en-IN"/>
        </w:rPr>
        <w:t>The authors confirm that there are no financial arrangements, personal associations, professional affiliations, or other non-financial interests that could be perceived as influencing the research process, interpretation of findings, or presentation of this manuscript. The authors declare that the study has been conducted independently and that no external relationship has affected the objectivity, integrity, or conclusions of the reported work.</w:t>
      </w:r>
    </w:p>
    <w:p w14:paraId="442662A5" w14:textId="77777777" w:rsidR="007140F5" w:rsidRPr="001F7EA5" w:rsidRDefault="007140F5" w:rsidP="005B16CF">
      <w:pPr>
        <w:spacing w:after="0" w:line="360" w:lineRule="auto"/>
        <w:jc w:val="both"/>
        <w:rPr>
          <w:rFonts w:ascii="Times New Roman" w:eastAsia="Times New Roman" w:hAnsi="Times New Roman" w:cs="Times New Roman"/>
          <w:lang w:eastAsia="en-IN"/>
        </w:rPr>
      </w:pPr>
    </w:p>
    <w:p w14:paraId="0FA32DA2" w14:textId="77777777" w:rsidR="009B1764" w:rsidRPr="001F7EA5" w:rsidRDefault="00373195" w:rsidP="00E84894">
      <w:pPr>
        <w:spacing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REFERENCES</w:t>
      </w:r>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Binswanger, H. P., &amp; Khandker, S. R. (1992). </w:t>
      </w:r>
      <w:r>
        <w:rPr>
          <w:rFonts w:ascii="Times New Roman" w:hAnsi="Times New Roman" w:eastAsia="Times New Roman" w:cs="Times New Roman"/>
          <w:i/>
        </w:rPr>
        <w:t>The impact of formal finance on the rural economy of India</w:t>
      </w:r>
      <w:r>
        <w:rPr>
          <w:rFonts w:ascii="Times New Roman" w:hAnsi="Times New Roman" w:eastAsia="Times New Roman" w:cs="Times New Roman"/>
          <w:i w:val="0"/>
        </w:rPr>
        <w:t xml:space="preserve"> (Policy Research Working Paper No. 949). World Bank. </w:t>
      </w:r>
      <w:hyperlink r:id="rId15">
        <w:r>
          <w:rPr>
            <w:rStyle w:val="Hyperlink"/>
            <w:rFonts w:ascii="Times New Roman" w:hAnsi="Times New Roman" w:eastAsia="Times New Roman" w:cs="Times New Roman"/>
          </w:rPr>
          <w:t>https://documents.worldbank.org/en/publication/documents-reports/documentdetail/182621468771647603</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Chand, R. (1992). Agricultural credit in India: Distributional disparities and overdues. </w:t>
      </w:r>
      <w:r>
        <w:rPr>
          <w:rFonts w:ascii="Times New Roman" w:hAnsi="Times New Roman" w:eastAsia="Times New Roman" w:cs="Times New Roman"/>
          <w:i/>
        </w:rPr>
        <w:t>Agricultural Economics Research Review, 5</w:t>
      </w:r>
      <w:r>
        <w:rPr>
          <w:rFonts w:ascii="Times New Roman" w:hAnsi="Times New Roman" w:eastAsia="Times New Roman" w:cs="Times New Roman"/>
          <w:i w:val="0"/>
        </w:rPr>
        <w:t xml:space="preserve">(2), 176–192. </w:t>
      </w:r>
      <w:hyperlink r:id="rId17">
        <w:r>
          <w:rPr>
            <w:rStyle w:val="Hyperlink"/>
            <w:rFonts w:ascii="Times New Roman" w:hAnsi="Times New Roman" w:eastAsia="Times New Roman" w:cs="Times New Roman"/>
          </w:rPr>
          <w:t>https://doi.org/10.22004/ag.econ.265791</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Chavan, P. (2012). Debt of rural households in India: A note on the All-India Debt and Investment Survey. </w:t>
      </w:r>
      <w:r>
        <w:rPr>
          <w:rFonts w:ascii="Times New Roman" w:hAnsi="Times New Roman" w:eastAsia="Times New Roman" w:cs="Times New Roman"/>
          <w:i/>
        </w:rPr>
        <w:t>Review of Agrarian Studies, 2</w:t>
      </w:r>
      <w:r>
        <w:rPr>
          <w:rFonts w:ascii="Times New Roman" w:hAnsi="Times New Roman" w:eastAsia="Times New Roman" w:cs="Times New Roman"/>
          <w:i w:val="0"/>
        </w:rPr>
        <w:t xml:space="preserve">(1), 151–161. </w:t>
      </w:r>
      <w:hyperlink r:id="rId19">
        <w:r>
          <w:rPr>
            <w:rStyle w:val="Hyperlink"/>
            <w:rFonts w:ascii="Times New Roman" w:hAnsi="Times New Roman" w:eastAsia="Times New Roman" w:cs="Times New Roman"/>
          </w:rPr>
          <w:t>https://doi.org/10.25003/RAS.02.01.0007</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Choudhary, N. (2022). Performance of banks in India during the COVID-19 pandemic. </w:t>
      </w:r>
      <w:r>
        <w:rPr>
          <w:rFonts w:ascii="Times New Roman" w:hAnsi="Times New Roman" w:eastAsia="Times New Roman" w:cs="Times New Roman"/>
          <w:i/>
        </w:rPr>
        <w:t>International Journal of Creative Research Thoughts, 10</w:t>
      </w:r>
      <w:r>
        <w:rPr>
          <w:rFonts w:ascii="Times New Roman" w:hAnsi="Times New Roman" w:eastAsia="Times New Roman" w:cs="Times New Roman"/>
          <w:i w:val="0"/>
        </w:rPr>
        <w:t xml:space="preserve">(3), d510–d517. </w:t>
      </w:r>
      <w:hyperlink r:id="rId59">
        <w:r>
          <w:rPr>
            <w:rStyle w:val="Hyperlink"/>
            <w:rFonts w:ascii="Times New Roman" w:hAnsi="Times New Roman" w:eastAsia="Times New Roman" w:cs="Times New Roman"/>
          </w:rPr>
          <w:t>https://ijcrt.org/papers/IJCRT2203395.pdf</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Das, A., Senapati, M., &amp; John, J. (2009). Impact of agricultural credit on agriculture production: An empirical analysis in India. </w:t>
      </w:r>
      <w:r>
        <w:rPr>
          <w:rFonts w:ascii="Times New Roman" w:hAnsi="Times New Roman" w:eastAsia="Times New Roman" w:cs="Times New Roman"/>
          <w:i/>
        </w:rPr>
        <w:t>Reserve Bank of India Occasional Papers, 30</w:t>
      </w:r>
      <w:r>
        <w:rPr>
          <w:rFonts w:ascii="Times New Roman" w:hAnsi="Times New Roman" w:eastAsia="Times New Roman" w:cs="Times New Roman"/>
          <w:i w:val="0"/>
        </w:rPr>
        <w:t xml:space="preserve">(2), 75–107. </w:t>
      </w:r>
      <w:hyperlink r:id="rId21">
        <w:r>
          <w:rPr>
            <w:rStyle w:val="Hyperlink"/>
            <w:rFonts w:ascii="Times New Roman" w:hAnsi="Times New Roman" w:eastAsia="Times New Roman" w:cs="Times New Roman"/>
          </w:rPr>
          <w:t>https://www.rbi.org.in/scripts/bs_viewcontent.aspx?Id=2240</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Department of Agriculture, Cooperation &amp; Farmers Welfare. (2020). </w:t>
      </w:r>
      <w:r>
        <w:rPr>
          <w:rFonts w:ascii="Times New Roman" w:hAnsi="Times New Roman" w:eastAsia="Times New Roman" w:cs="Times New Roman"/>
          <w:i/>
        </w:rPr>
        <w:t>Annual report 2019–20</w:t>
      </w:r>
      <w:r>
        <w:rPr>
          <w:rFonts w:ascii="Times New Roman" w:hAnsi="Times New Roman" w:eastAsia="Times New Roman" w:cs="Times New Roman"/>
          <w:i w:val="0"/>
        </w:rPr>
        <w:t xml:space="preserve">. Ministry of Agriculture &amp; Farmers Welfare, Government of India. </w:t>
      </w:r>
      <w:hyperlink r:id="rId60">
        <w:r>
          <w:rPr>
            <w:rStyle w:val="Hyperlink"/>
            <w:rFonts w:ascii="Times New Roman" w:hAnsi="Times New Roman" w:eastAsia="Times New Roman" w:cs="Times New Roman"/>
          </w:rPr>
          <w:t>https://agriwelfare.gov.in/Documents/Annual%20Report%202019-20.pdf</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Department for Promotion of Industry and Internal Trade. (2020). </w:t>
      </w:r>
      <w:r>
        <w:rPr>
          <w:rFonts w:ascii="Times New Roman" w:hAnsi="Times New Roman" w:eastAsia="Times New Roman" w:cs="Times New Roman"/>
          <w:i/>
        </w:rPr>
        <w:t>Statement on sector-wise/year-wise FDI equity inflows from January 2000 to March 2020</w:t>
      </w:r>
      <w:r>
        <w:rPr>
          <w:rFonts w:ascii="Times New Roman" w:hAnsi="Times New Roman" w:eastAsia="Times New Roman" w:cs="Times New Roman"/>
          <w:i w:val="0"/>
        </w:rPr>
        <w:t xml:space="preserve">. Government of India. </w:t>
      </w:r>
      <w:hyperlink r:id="rId61">
        <w:r>
          <w:rPr>
            <w:rStyle w:val="Hyperlink"/>
            <w:rFonts w:ascii="Times New Roman" w:hAnsi="Times New Roman" w:eastAsia="Times New Roman" w:cs="Times New Roman"/>
          </w:rPr>
          <w:t>https://www.dpiit.gov.in/static/uploads/2025/07/87ab3268f6add155f34816a62ea9bb21.pdf</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Golait, R. (2007). Current issues in agriculture credit in India: An assessment. </w:t>
      </w:r>
      <w:r>
        <w:rPr>
          <w:rFonts w:ascii="Times New Roman" w:hAnsi="Times New Roman" w:eastAsia="Times New Roman" w:cs="Times New Roman"/>
          <w:i/>
        </w:rPr>
        <w:t>Reserve Bank of India Occasional Papers, 28</w:t>
      </w:r>
      <w:r>
        <w:rPr>
          <w:rFonts w:ascii="Times New Roman" w:hAnsi="Times New Roman" w:eastAsia="Times New Roman" w:cs="Times New Roman"/>
          <w:i w:val="0"/>
        </w:rPr>
        <w:t xml:space="preserve">(1), 79–99. </w:t>
      </w:r>
      <w:hyperlink r:id="rId62">
        <w:r>
          <w:rPr>
            <w:rStyle w:val="Hyperlink"/>
            <w:rFonts w:ascii="Times New Roman" w:hAnsi="Times New Roman" w:eastAsia="Times New Roman" w:cs="Times New Roman"/>
          </w:rPr>
          <w:t>https://www.rbi.org.in/SCRIPTs/PublicationsView.aspx?id=10198</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Hoda, A., &amp; Terway, P. (2015). </w:t>
      </w:r>
      <w:r>
        <w:rPr>
          <w:rFonts w:ascii="Times New Roman" w:hAnsi="Times New Roman" w:eastAsia="Times New Roman" w:cs="Times New Roman"/>
          <w:i/>
        </w:rPr>
        <w:t>Credit policy for agriculture in India: An evaluation</w:t>
      </w:r>
      <w:r>
        <w:rPr>
          <w:rFonts w:ascii="Times New Roman" w:hAnsi="Times New Roman" w:eastAsia="Times New Roman" w:cs="Times New Roman"/>
          <w:i w:val="0"/>
        </w:rPr>
        <w:t xml:space="preserve"> (Working Paper No. 302). Indian Council for Research on International Economic Relations. </w:t>
      </w:r>
      <w:hyperlink r:id="rId63">
        <w:r>
          <w:rPr>
            <w:rStyle w:val="Hyperlink"/>
            <w:rFonts w:ascii="Times New Roman" w:hAnsi="Times New Roman" w:eastAsia="Times New Roman" w:cs="Times New Roman"/>
          </w:rPr>
          <w:t>https://icrier.org/pdf/Working_Paper_302.pdf</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Kannan, E. (2011). Relationship between agricultural credit policy, credit disbursements and crop productivity: A study in Karnataka. </w:t>
      </w:r>
      <w:r>
        <w:rPr>
          <w:rFonts w:ascii="Times New Roman" w:hAnsi="Times New Roman" w:eastAsia="Times New Roman" w:cs="Times New Roman"/>
          <w:i/>
        </w:rPr>
        <w:t>Indian Journal of Agricultural Economics, 66</w:t>
      </w:r>
      <w:r>
        <w:rPr>
          <w:rFonts w:ascii="Times New Roman" w:hAnsi="Times New Roman" w:eastAsia="Times New Roman" w:cs="Times New Roman"/>
          <w:i w:val="0"/>
        </w:rPr>
        <w:t xml:space="preserve">(3), 444–456. </w:t>
      </w:r>
      <w:hyperlink r:id="rId24">
        <w:r>
          <w:rPr>
            <w:rStyle w:val="Hyperlink"/>
            <w:rFonts w:ascii="Times New Roman" w:hAnsi="Times New Roman" w:eastAsia="Times New Roman" w:cs="Times New Roman"/>
          </w:rPr>
          <w:t>https://doi.org/10.22004/ag.econ.204767</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Kesarwani, S. K., Tiwari, S. C., Jee, K., &amp; Kumar, A. (2022). Advancement of agricultural finance in India: A chronicled point of view. </w:t>
      </w:r>
      <w:r>
        <w:rPr>
          <w:rFonts w:ascii="Times New Roman" w:hAnsi="Times New Roman" w:eastAsia="Times New Roman" w:cs="Times New Roman"/>
          <w:i/>
        </w:rPr>
        <w:t>Empirical Economics Letters, 21</w:t>
      </w:r>
      <w:r>
        <w:rPr>
          <w:rFonts w:ascii="Times New Roman" w:hAnsi="Times New Roman" w:eastAsia="Times New Roman" w:cs="Times New Roman"/>
          <w:i w:val="0"/>
        </w:rPr>
        <w:t xml:space="preserve">(Special Issue 3), 339–365. </w:t>
      </w:r>
      <w:hyperlink r:id="rId25">
        <w:r>
          <w:rPr>
            <w:rStyle w:val="Hyperlink"/>
            <w:rFonts w:ascii="Times New Roman" w:hAnsi="Times New Roman" w:eastAsia="Times New Roman" w:cs="Times New Roman"/>
          </w:rPr>
          <w:t>https://doi.org/10.5281/zenodo.7647978</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Kumar, A., Mishra, A. K., Saroj, S., &amp; Joshi, P. K. (2017). Institutional versus non-institutional credit to agricultural households in India: Evidence on impact from a national farmers’ survey. </w:t>
      </w:r>
      <w:r>
        <w:rPr>
          <w:rFonts w:ascii="Times New Roman" w:hAnsi="Times New Roman" w:eastAsia="Times New Roman" w:cs="Times New Roman"/>
          <w:i/>
        </w:rPr>
        <w:t>Economic Systems, 41</w:t>
      </w:r>
      <w:r>
        <w:rPr>
          <w:rFonts w:ascii="Times New Roman" w:hAnsi="Times New Roman" w:eastAsia="Times New Roman" w:cs="Times New Roman"/>
          <w:i w:val="0"/>
        </w:rPr>
        <w:t xml:space="preserve">(3), 420–432. </w:t>
      </w:r>
      <w:hyperlink r:id="rId64">
        <w:r>
          <w:rPr>
            <w:rStyle w:val="Hyperlink"/>
            <w:rFonts w:ascii="Times New Roman" w:hAnsi="Times New Roman" w:eastAsia="Times New Roman" w:cs="Times New Roman"/>
          </w:rPr>
          <w:t>https://doi.org/10.1016/j.ecosys.2016.10.005</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Kumar, A., Singh, K. M., &amp; Sinha, S. (2010). Institutional credit to agriculture sector in India: Status, performance and determinants. </w:t>
      </w:r>
      <w:r>
        <w:rPr>
          <w:rFonts w:ascii="Times New Roman" w:hAnsi="Times New Roman" w:eastAsia="Times New Roman" w:cs="Times New Roman"/>
          <w:i/>
        </w:rPr>
        <w:t>Agricultural Economics Research Review, 23</w:t>
      </w:r>
      <w:r>
        <w:rPr>
          <w:rFonts w:ascii="Times New Roman" w:hAnsi="Times New Roman" w:eastAsia="Times New Roman" w:cs="Times New Roman"/>
          <w:i w:val="0"/>
        </w:rPr>
        <w:t xml:space="preserve">(2), 253–264. </w:t>
      </w:r>
      <w:hyperlink r:id="rId26">
        <w:r>
          <w:rPr>
            <w:rStyle w:val="Hyperlink"/>
            <w:rFonts w:ascii="Times New Roman" w:hAnsi="Times New Roman" w:eastAsia="Times New Roman" w:cs="Times New Roman"/>
          </w:rPr>
          <w:t>https://doi.org/10.22004/ag.econ.96935</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Kumar, S. M. (2013). Does access to formal agricultural credit depend on caste? </w:t>
      </w:r>
      <w:r>
        <w:rPr>
          <w:rFonts w:ascii="Times New Roman" w:hAnsi="Times New Roman" w:eastAsia="Times New Roman" w:cs="Times New Roman"/>
          <w:i/>
        </w:rPr>
        <w:t>World Development, 43</w:t>
      </w:r>
      <w:r>
        <w:rPr>
          <w:rFonts w:ascii="Times New Roman" w:hAnsi="Times New Roman" w:eastAsia="Times New Roman" w:cs="Times New Roman"/>
          <w:i w:val="0"/>
        </w:rPr>
        <w:t xml:space="preserve">, 315–328. </w:t>
      </w:r>
      <w:hyperlink r:id="rId65">
        <w:r>
          <w:rPr>
            <w:rStyle w:val="Hyperlink"/>
            <w:rFonts w:ascii="Times New Roman" w:hAnsi="Times New Roman" w:eastAsia="Times New Roman" w:cs="Times New Roman"/>
          </w:rPr>
          <w:t>https://doi.org/10.1016/j.worlddev.2012.11.001</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Kumar, V. (2021). </w:t>
      </w:r>
      <w:r>
        <w:rPr>
          <w:rFonts w:ascii="Times New Roman" w:hAnsi="Times New Roman" w:eastAsia="Times New Roman" w:cs="Times New Roman"/>
          <w:i/>
        </w:rPr>
        <w:t>Trends and patterns in agriculture credit in India: A district-level analysis of Uttar Pradesh</w:t>
      </w:r>
      <w:r>
        <w:rPr>
          <w:rFonts w:ascii="Times New Roman" w:hAnsi="Times New Roman" w:eastAsia="Times New Roman" w:cs="Times New Roman"/>
          <w:i w:val="0"/>
        </w:rPr>
        <w:t xml:space="preserve"> (Working Paper No. 1). National Bank for Agriculture and Rural Development. </w:t>
      </w:r>
      <w:hyperlink r:id="rId66">
        <w:r>
          <w:rPr>
            <w:rStyle w:val="Hyperlink"/>
            <w:rFonts w:ascii="Times New Roman" w:hAnsi="Times New Roman" w:eastAsia="Times New Roman" w:cs="Times New Roman"/>
          </w:rPr>
          <w:t>https://www.nabard.org/auth/writereaddata/tender/2501235626trends-and-patterns-in-agriculture-credit-in-india.pdf</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Lamba, P. S. (2026). </w:t>
      </w:r>
      <w:r>
        <w:rPr>
          <w:rFonts w:ascii="Times New Roman" w:hAnsi="Times New Roman" w:eastAsia="Times New Roman" w:cs="Times New Roman"/>
          <w:i/>
        </w:rPr>
        <w:t>Rural agri-business development: Concepts and strategies</w:t>
      </w:r>
      <w:r>
        <w:rPr>
          <w:rFonts w:ascii="Times New Roman" w:hAnsi="Times New Roman" w:eastAsia="Times New Roman" w:cs="Times New Roman"/>
          <w:i w:val="0"/>
        </w:rPr>
        <w:t xml:space="preserve">. Addition Publishing House. </w:t>
      </w:r>
      <w:hyperlink r:id="rId67">
        <w:r>
          <w:rPr>
            <w:rStyle w:val="Hyperlink"/>
            <w:rFonts w:ascii="Times New Roman" w:hAnsi="Times New Roman" w:eastAsia="Times New Roman" w:cs="Times New Roman"/>
          </w:rPr>
          <w:t>https://store.additionbooks.com/product/rural-agri-business-development-concepts-and-strategies/</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Maitra, P., Mitra, S., Mookherjee, D., &amp; Visaria, S. (2024). Decentralized targeting of agricultural credit programs: Private versus political intermediaries. </w:t>
      </w:r>
      <w:r>
        <w:rPr>
          <w:rFonts w:ascii="Times New Roman" w:hAnsi="Times New Roman" w:eastAsia="Times New Roman" w:cs="Times New Roman"/>
          <w:i/>
        </w:rPr>
        <w:t>Journal of the European Economic Association, 22</w:t>
      </w:r>
      <w:r>
        <w:rPr>
          <w:rFonts w:ascii="Times New Roman" w:hAnsi="Times New Roman" w:eastAsia="Times New Roman" w:cs="Times New Roman"/>
          <w:i w:val="0"/>
        </w:rPr>
        <w:t xml:space="preserve">(6), 2648–2699. </w:t>
      </w:r>
      <w:hyperlink r:id="rId30">
        <w:r>
          <w:rPr>
            <w:rStyle w:val="Hyperlink"/>
            <w:rFonts w:ascii="Times New Roman" w:hAnsi="Times New Roman" w:eastAsia="Times New Roman" w:cs="Times New Roman"/>
          </w:rPr>
          <w:t>https://doi.org/10.1093/jeea/jvae018</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Mohan, R. (2004). Agricultural credit in India: Status, issues and future agenda. </w:t>
      </w:r>
      <w:r>
        <w:rPr>
          <w:rFonts w:ascii="Times New Roman" w:hAnsi="Times New Roman" w:eastAsia="Times New Roman" w:cs="Times New Roman"/>
          <w:i/>
        </w:rPr>
        <w:t>Reserve Bank of India Bulletin</w:t>
      </w:r>
      <w:r>
        <w:rPr>
          <w:rFonts w:ascii="Times New Roman" w:hAnsi="Times New Roman" w:eastAsia="Times New Roman" w:cs="Times New Roman"/>
          <w:i w:val="0"/>
        </w:rPr>
        <w:t xml:space="preserve">, 993–1007. </w:t>
      </w:r>
      <w:hyperlink r:id="rId68">
        <w:r>
          <w:rPr>
            <w:rStyle w:val="Hyperlink"/>
            <w:rFonts w:ascii="Times New Roman" w:hAnsi="Times New Roman" w:eastAsia="Times New Roman" w:cs="Times New Roman"/>
          </w:rPr>
          <w:t>https://www.rbi.org.in/scripts/BS_ViewBulletin.aspx?Id=5715</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Mohan, R. (2006). Agricultural credit in India: Status, issues and future agenda. </w:t>
      </w:r>
      <w:r>
        <w:rPr>
          <w:rFonts w:ascii="Times New Roman" w:hAnsi="Times New Roman" w:eastAsia="Times New Roman" w:cs="Times New Roman"/>
          <w:i/>
        </w:rPr>
        <w:t>Economic and Political Weekly, 41</w:t>
      </w:r>
      <w:r>
        <w:rPr>
          <w:rFonts w:ascii="Times New Roman" w:hAnsi="Times New Roman" w:eastAsia="Times New Roman" w:cs="Times New Roman"/>
          <w:i w:val="0"/>
        </w:rPr>
        <w:t xml:space="preserve">(11), 1013–1023. </w:t>
      </w:r>
      <w:hyperlink r:id="rId69">
        <w:r>
          <w:rPr>
            <w:rStyle w:val="Hyperlink"/>
            <w:rFonts w:ascii="Times New Roman" w:hAnsi="Times New Roman" w:eastAsia="Times New Roman" w:cs="Times New Roman"/>
          </w:rPr>
          <w:t>https://www.epw.in/journal/2006/11/banking-and-finance-money-special-issues-specials/agricultural-credit-india.html</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National Bank for Agriculture and Rural Development. (2018). </w:t>
      </w:r>
      <w:r>
        <w:rPr>
          <w:rFonts w:ascii="Times New Roman" w:hAnsi="Times New Roman" w:eastAsia="Times New Roman" w:cs="Times New Roman"/>
          <w:i/>
        </w:rPr>
        <w:t>NABARD All India Rural Financial Inclusion Survey 2016–17</w:t>
      </w:r>
      <w:r>
        <w:rPr>
          <w:rFonts w:ascii="Times New Roman" w:hAnsi="Times New Roman" w:eastAsia="Times New Roman" w:cs="Times New Roman"/>
          <w:i w:val="0"/>
        </w:rPr>
        <w:t xml:space="preserve">. </w:t>
      </w:r>
      <w:hyperlink r:id="rId70">
        <w:r>
          <w:rPr>
            <w:rStyle w:val="Hyperlink"/>
            <w:rFonts w:ascii="Times New Roman" w:hAnsi="Times New Roman" w:eastAsia="Times New Roman" w:cs="Times New Roman"/>
          </w:rPr>
          <w:t>https://www.nabard.org/auth/writereaddata/tender/1608180417NABARD-Repo-16_Web_P.pdf</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National Bank for Agriculture and Rural Development. (2020). </w:t>
      </w:r>
      <w:r>
        <w:rPr>
          <w:rFonts w:ascii="Times New Roman" w:hAnsi="Times New Roman" w:eastAsia="Times New Roman" w:cs="Times New Roman"/>
          <w:i/>
        </w:rPr>
        <w:t>Annual report 2019–20</w:t>
      </w:r>
      <w:r>
        <w:rPr>
          <w:rFonts w:ascii="Times New Roman" w:hAnsi="Times New Roman" w:eastAsia="Times New Roman" w:cs="Times New Roman"/>
          <w:i w:val="0"/>
        </w:rPr>
        <w:t xml:space="preserve">. </w:t>
      </w:r>
      <w:hyperlink r:id="rId71">
        <w:r>
          <w:rPr>
            <w:rStyle w:val="Hyperlink"/>
            <w:rFonts w:ascii="Times New Roman" w:hAnsi="Times New Roman" w:eastAsia="Times New Roman" w:cs="Times New Roman"/>
          </w:rPr>
          <w:t>https://www.nabard.org/auth/writereaddata/tender/1008203730Nabard%20English%20Annual%20Report%20for%20Website.pdf</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National Bank for Agriculture and Rural Development. (2021). </w:t>
      </w:r>
      <w:r>
        <w:rPr>
          <w:rFonts w:ascii="Times New Roman" w:hAnsi="Times New Roman" w:eastAsia="Times New Roman" w:cs="Times New Roman"/>
          <w:i/>
        </w:rPr>
        <w:t>State focus paper 2021–22: Uttar Pradesh</w:t>
      </w:r>
      <w:r>
        <w:rPr>
          <w:rFonts w:ascii="Times New Roman" w:hAnsi="Times New Roman" w:eastAsia="Times New Roman" w:cs="Times New Roman"/>
          <w:i w:val="0"/>
        </w:rPr>
        <w:t xml:space="preserve">. </w:t>
      </w:r>
      <w:hyperlink r:id="rId72">
        <w:r>
          <w:rPr>
            <w:rStyle w:val="Hyperlink"/>
            <w:rFonts w:ascii="Times New Roman" w:hAnsi="Times New Roman" w:eastAsia="Times New Roman" w:cs="Times New Roman"/>
          </w:rPr>
          <w:t>https://www.nabard.org/info-centre-state-focus-papers.aspx?cid=512&amp;id=24</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National Bank for Agriculture and Rural Development. (2023). </w:t>
      </w:r>
      <w:r>
        <w:rPr>
          <w:rFonts w:ascii="Times New Roman" w:hAnsi="Times New Roman" w:eastAsia="Times New Roman" w:cs="Times New Roman"/>
          <w:i/>
        </w:rPr>
        <w:t>Annual report 2022–23</w:t>
      </w:r>
      <w:r>
        <w:rPr>
          <w:rFonts w:ascii="Times New Roman" w:hAnsi="Times New Roman" w:eastAsia="Times New Roman" w:cs="Times New Roman"/>
          <w:i w:val="0"/>
        </w:rPr>
        <w:t xml:space="preserve">. </w:t>
      </w:r>
      <w:hyperlink r:id="rId73">
        <w:r>
          <w:rPr>
            <w:rStyle w:val="Hyperlink"/>
            <w:rFonts w:ascii="Times New Roman" w:hAnsi="Times New Roman" w:eastAsia="Times New Roman" w:cs="Times New Roman"/>
          </w:rPr>
          <w:t>https://www.nabard.org/nabard-annual-report-2022-23.aspx</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National Bank for Agriculture and Rural Development. (2024). </w:t>
      </w:r>
      <w:r>
        <w:rPr>
          <w:rFonts w:ascii="Times New Roman" w:hAnsi="Times New Roman" w:eastAsia="Times New Roman" w:cs="Times New Roman"/>
          <w:i/>
        </w:rPr>
        <w:t>Annual report 2023–24</w:t>
      </w:r>
      <w:r>
        <w:rPr>
          <w:rFonts w:ascii="Times New Roman" w:hAnsi="Times New Roman" w:eastAsia="Times New Roman" w:cs="Times New Roman"/>
          <w:i w:val="0"/>
        </w:rPr>
        <w:t xml:space="preserve">. </w:t>
      </w:r>
      <w:hyperlink r:id="rId36">
        <w:r>
          <w:rPr>
            <w:rStyle w:val="Hyperlink"/>
            <w:rFonts w:ascii="Times New Roman" w:hAnsi="Times New Roman" w:eastAsia="Times New Roman" w:cs="Times New Roman"/>
          </w:rPr>
          <w:t>https://www.nabard.org/nabard-annual-report-2023-24.aspx</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National Bank for Agriculture and Rural Development. (n.d.-a). </w:t>
      </w:r>
      <w:r>
        <w:rPr>
          <w:rFonts w:ascii="Times New Roman" w:hAnsi="Times New Roman" w:eastAsia="Times New Roman" w:cs="Times New Roman"/>
          <w:i/>
        </w:rPr>
        <w:t>Annual reports</w:t>
      </w:r>
      <w:r>
        <w:rPr>
          <w:rFonts w:ascii="Times New Roman" w:hAnsi="Times New Roman" w:eastAsia="Times New Roman" w:cs="Times New Roman"/>
          <w:i w:val="0"/>
        </w:rPr>
        <w:t xml:space="preserve">. </w:t>
      </w:r>
      <w:hyperlink r:id="rId37">
        <w:r>
          <w:rPr>
            <w:rStyle w:val="Hyperlink"/>
            <w:rFonts w:ascii="Times New Roman" w:hAnsi="Times New Roman" w:eastAsia="Times New Roman" w:cs="Times New Roman"/>
          </w:rPr>
          <w:t>https://www.nabard.org/financialreport.aspx?cid=505&amp;id=24</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National Bank for Agriculture and Rural Development. (n.d.-b). </w:t>
      </w:r>
      <w:r>
        <w:rPr>
          <w:rFonts w:ascii="Times New Roman" w:hAnsi="Times New Roman" w:eastAsia="Times New Roman" w:cs="Times New Roman"/>
          <w:i/>
        </w:rPr>
        <w:t>NABARD data bank</w:t>
      </w:r>
      <w:r>
        <w:rPr>
          <w:rFonts w:ascii="Times New Roman" w:hAnsi="Times New Roman" w:eastAsia="Times New Roman" w:cs="Times New Roman"/>
          <w:i w:val="0"/>
        </w:rPr>
        <w:t xml:space="preserve">. </w:t>
      </w:r>
      <w:hyperlink r:id="rId74">
        <w:r>
          <w:rPr>
            <w:rStyle w:val="Hyperlink"/>
            <w:rFonts w:ascii="Times New Roman" w:hAnsi="Times New Roman" w:eastAsia="Times New Roman" w:cs="Times New Roman"/>
          </w:rPr>
          <w:t>https://nabdata.nabard.org/</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National Statistical Office. (n.d.). </w:t>
      </w:r>
      <w:r>
        <w:rPr>
          <w:rFonts w:ascii="Times New Roman" w:hAnsi="Times New Roman" w:eastAsia="Times New Roman" w:cs="Times New Roman"/>
          <w:i/>
        </w:rPr>
        <w:t>All-India Debt and Investment Survey</w:t>
      </w:r>
      <w:r>
        <w:rPr>
          <w:rFonts w:ascii="Times New Roman" w:hAnsi="Times New Roman" w:eastAsia="Times New Roman" w:cs="Times New Roman"/>
          <w:i w:val="0"/>
        </w:rPr>
        <w:t xml:space="preserve">. Ministry of Statistics and Programme Implementation, Government of India. </w:t>
      </w:r>
      <w:hyperlink r:id="rId75">
        <w:r>
          <w:rPr>
            <w:rStyle w:val="Hyperlink"/>
            <w:rFonts w:ascii="Times New Roman" w:hAnsi="Times New Roman" w:eastAsia="Times New Roman" w:cs="Times New Roman"/>
          </w:rPr>
          <w:t>https://mospi.gov.in/themes/product/70-all-india-debt-and-investment-survey</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Pandian, M. S. (2021). Evolution of agricultural credit in India: A review. </w:t>
      </w:r>
      <w:r>
        <w:rPr>
          <w:rFonts w:ascii="Times New Roman" w:hAnsi="Times New Roman" w:eastAsia="Times New Roman" w:cs="Times New Roman"/>
          <w:i/>
        </w:rPr>
        <w:t>Turkish Online Journal of Qualitative Inquiry, 12</w:t>
      </w:r>
      <w:r>
        <w:rPr>
          <w:rFonts w:ascii="Times New Roman" w:hAnsi="Times New Roman" w:eastAsia="Times New Roman" w:cs="Times New Roman"/>
          <w:i w:val="0"/>
        </w:rPr>
        <w:t xml:space="preserve">(3), 4070–4081. </w:t>
      </w:r>
      <w:hyperlink r:id="rId76">
        <w:r>
          <w:rPr>
            <w:rStyle w:val="Hyperlink"/>
            <w:rFonts w:ascii="Times New Roman" w:hAnsi="Times New Roman" w:eastAsia="Times New Roman" w:cs="Times New Roman"/>
          </w:rPr>
          <w:t>https://www.tojqi.net/index.php/journal/article/download/2025/1177/2206</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Parthiban, J. J., &amp; Anjugam, M. (2022). An economic analysis of agricultural credit-led agricultural growth in India. </w:t>
      </w:r>
      <w:r>
        <w:rPr>
          <w:rFonts w:ascii="Times New Roman" w:hAnsi="Times New Roman" w:eastAsia="Times New Roman" w:cs="Times New Roman"/>
          <w:i/>
        </w:rPr>
        <w:t>Asian Journal of Agricultural Extension, Economics &amp; Sociology, 40</w:t>
      </w:r>
      <w:r>
        <w:rPr>
          <w:rFonts w:ascii="Times New Roman" w:hAnsi="Times New Roman" w:eastAsia="Times New Roman" w:cs="Times New Roman"/>
          <w:i w:val="0"/>
        </w:rPr>
        <w:t xml:space="preserve">(5), 38–49. </w:t>
      </w:r>
      <w:hyperlink r:id="rId42">
        <w:r>
          <w:rPr>
            <w:rStyle w:val="Hyperlink"/>
            <w:rFonts w:ascii="Times New Roman" w:hAnsi="Times New Roman" w:eastAsia="Times New Roman" w:cs="Times New Roman"/>
          </w:rPr>
          <w:t>https://doi.org/10.9734/ajaees/2022/v40i530884</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Poddar, R. S., Kumar, H. S. V., Murthy, H. G. S., &amp; Murthy, T. N. V. (1995). Impact of credit on cropping pattern and cropping intensity on farms in unirrigated and irrigated villages in Bijapur District of Karnataka: An application of linear programming technique. </w:t>
      </w:r>
      <w:r>
        <w:rPr>
          <w:rFonts w:ascii="Times New Roman" w:hAnsi="Times New Roman" w:eastAsia="Times New Roman" w:cs="Times New Roman"/>
          <w:i/>
        </w:rPr>
        <w:t>Agricultural Economics Research Review, 8</w:t>
      </w:r>
      <w:r>
        <w:rPr>
          <w:rFonts w:ascii="Times New Roman" w:hAnsi="Times New Roman" w:eastAsia="Times New Roman" w:cs="Times New Roman"/>
          <w:i w:val="0"/>
        </w:rPr>
        <w:t xml:space="preserve">(1), 29–42. </w:t>
      </w:r>
      <w:hyperlink r:id="rId43">
        <w:r>
          <w:rPr>
            <w:rStyle w:val="Hyperlink"/>
            <w:rFonts w:ascii="Times New Roman" w:hAnsi="Times New Roman" w:eastAsia="Times New Roman" w:cs="Times New Roman"/>
          </w:rPr>
          <w:t>https://doi.org/10.22004/ag.econ.265859</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Prakash, P., &amp; Kumar, P. (2016). Performance of Kisan Credit Card Scheme in Tamil Nadu. </w:t>
      </w:r>
      <w:r>
        <w:rPr>
          <w:rFonts w:ascii="Times New Roman" w:hAnsi="Times New Roman" w:eastAsia="Times New Roman" w:cs="Times New Roman"/>
          <w:i/>
        </w:rPr>
        <w:t>Indian Journal of Agricultural Economics, 71</w:t>
      </w:r>
      <w:r>
        <w:rPr>
          <w:rFonts w:ascii="Times New Roman" w:hAnsi="Times New Roman" w:eastAsia="Times New Roman" w:cs="Times New Roman"/>
          <w:i w:val="0"/>
        </w:rPr>
        <w:t xml:space="preserve">(2), 191–211. </w:t>
      </w:r>
      <w:hyperlink r:id="rId77">
        <w:r>
          <w:rPr>
            <w:rStyle w:val="Hyperlink"/>
            <w:rFonts w:ascii="Times New Roman" w:hAnsi="Times New Roman" w:eastAsia="Times New Roman" w:cs="Times New Roman"/>
          </w:rPr>
          <w:t>https://doi.org/10.22004/ag.econ.302204</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Ramasamy, P., &amp; Malaiarasan, U. (2023). Agricultural credit in India: Determinants and effects. </w:t>
      </w:r>
      <w:r>
        <w:rPr>
          <w:rFonts w:ascii="Times New Roman" w:hAnsi="Times New Roman" w:eastAsia="Times New Roman" w:cs="Times New Roman"/>
          <w:i/>
        </w:rPr>
        <w:t>Indian Economic Review, 58</w:t>
      </w:r>
      <w:r>
        <w:rPr>
          <w:rFonts w:ascii="Times New Roman" w:hAnsi="Times New Roman" w:eastAsia="Times New Roman" w:cs="Times New Roman"/>
          <w:i w:val="0"/>
        </w:rPr>
        <w:t xml:space="preserve">, 169–195. </w:t>
      </w:r>
      <w:hyperlink r:id="rId78">
        <w:r>
          <w:rPr>
            <w:rStyle w:val="Hyperlink"/>
            <w:rFonts w:ascii="Times New Roman" w:hAnsi="Times New Roman" w:eastAsia="Times New Roman" w:cs="Times New Roman"/>
          </w:rPr>
          <w:t>https://doi.org/10.1007/s41775-023-00187-8</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Reserve Bank of India. (2019). </w:t>
      </w:r>
      <w:r>
        <w:rPr>
          <w:rFonts w:ascii="Times New Roman" w:hAnsi="Times New Roman" w:eastAsia="Times New Roman" w:cs="Times New Roman"/>
          <w:i/>
        </w:rPr>
        <w:t>Report of the Internal Working Group to Review Agricultural Credit</w:t>
      </w:r>
      <w:r>
        <w:rPr>
          <w:rFonts w:ascii="Times New Roman" w:hAnsi="Times New Roman" w:eastAsia="Times New Roman" w:cs="Times New Roman"/>
          <w:i w:val="0"/>
        </w:rPr>
        <w:t xml:space="preserve">. </w:t>
      </w:r>
      <w:hyperlink r:id="rId79">
        <w:r>
          <w:rPr>
            <w:rStyle w:val="Hyperlink"/>
            <w:rFonts w:ascii="Times New Roman" w:hAnsi="Times New Roman" w:eastAsia="Times New Roman" w:cs="Times New Roman"/>
          </w:rPr>
          <w:t>https://www.rbi.org.in/Scripts/PublicationReportDetails.aspx?ID=942</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Saha, N., Bhushan, M., Naik, O. N., &amp; Kumar, P. (2025). Self-Help Group–Bank Linkage Programme in India: Trends, regional variations and institutional performance. </w:t>
      </w:r>
      <w:r>
        <w:rPr>
          <w:rFonts w:ascii="Times New Roman" w:hAnsi="Times New Roman" w:eastAsia="Times New Roman" w:cs="Times New Roman"/>
          <w:i/>
        </w:rPr>
        <w:t>Asian Journal of Current Research, 10</w:t>
      </w:r>
      <w:r>
        <w:rPr>
          <w:rFonts w:ascii="Times New Roman" w:hAnsi="Times New Roman" w:eastAsia="Times New Roman" w:cs="Times New Roman"/>
          <w:i w:val="0"/>
        </w:rPr>
        <w:t xml:space="preserve">(4), 15–22. </w:t>
      </w:r>
      <w:hyperlink r:id="rId45">
        <w:r>
          <w:rPr>
            <w:rStyle w:val="Hyperlink"/>
            <w:rFonts w:ascii="Times New Roman" w:hAnsi="Times New Roman" w:eastAsia="Times New Roman" w:cs="Times New Roman"/>
          </w:rPr>
          <w:t>https://doi.org/10.56557/ajocr/2025/v10i49735</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Satyasai, K. J. S. (2008). Rural credit delivery in India: Structural constraints and some corrective measures. </w:t>
      </w:r>
      <w:r>
        <w:rPr>
          <w:rFonts w:ascii="Times New Roman" w:hAnsi="Times New Roman" w:eastAsia="Times New Roman" w:cs="Times New Roman"/>
          <w:i/>
        </w:rPr>
        <w:t>Agricultural Economics Research Review, 21</w:t>
      </w:r>
      <w:r>
        <w:rPr>
          <w:rFonts w:ascii="Times New Roman" w:hAnsi="Times New Roman" w:eastAsia="Times New Roman" w:cs="Times New Roman"/>
          <w:i w:val="0"/>
        </w:rPr>
        <w:t xml:space="preserve">(Conference Issue), 387–394. </w:t>
      </w:r>
      <w:hyperlink r:id="rId46">
        <w:r>
          <w:rPr>
            <w:rStyle w:val="Hyperlink"/>
            <w:rFonts w:ascii="Times New Roman" w:hAnsi="Times New Roman" w:eastAsia="Times New Roman" w:cs="Times New Roman"/>
          </w:rPr>
          <w:t>https://doi.org/10.22004/ag.econ.47889</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Sidhu, R. S., Vatta, K., &amp; Kaur, A. (2008). Dynamics of institutional agricultural credit and growth in Punjab: Contribution and demand–supply gap. </w:t>
      </w:r>
      <w:r>
        <w:rPr>
          <w:rFonts w:ascii="Times New Roman" w:hAnsi="Times New Roman" w:eastAsia="Times New Roman" w:cs="Times New Roman"/>
          <w:i/>
        </w:rPr>
        <w:t>Agricultural Economics Research Review, 21</w:t>
      </w:r>
      <w:r>
        <w:rPr>
          <w:rFonts w:ascii="Times New Roman" w:hAnsi="Times New Roman" w:eastAsia="Times New Roman" w:cs="Times New Roman"/>
          <w:i w:val="0"/>
        </w:rPr>
        <w:t xml:space="preserve">(Conference Issue), 407–414. </w:t>
      </w:r>
      <w:hyperlink r:id="rId47">
        <w:r>
          <w:rPr>
            <w:rStyle w:val="Hyperlink"/>
            <w:rFonts w:ascii="Times New Roman" w:hAnsi="Times New Roman" w:eastAsia="Times New Roman" w:cs="Times New Roman"/>
          </w:rPr>
          <w:t>https://doi.org/10.22004/ag.econ.47891</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Singh, S. P., &amp; Mruthyunjaya. (1992). Impact of short-term credit on income and employment of marginal and small farmers of Aligarh District, Uttar Pradesh. </w:t>
      </w:r>
      <w:r>
        <w:rPr>
          <w:rFonts w:ascii="Times New Roman" w:hAnsi="Times New Roman" w:eastAsia="Times New Roman" w:cs="Times New Roman"/>
          <w:i/>
        </w:rPr>
        <w:t>Agricultural Economics Research Review, 5</w:t>
      </w:r>
      <w:r>
        <w:rPr>
          <w:rFonts w:ascii="Times New Roman" w:hAnsi="Times New Roman" w:eastAsia="Times New Roman" w:cs="Times New Roman"/>
          <w:i w:val="0"/>
        </w:rPr>
        <w:t xml:space="preserve">(1), 48–59. </w:t>
      </w:r>
      <w:hyperlink r:id="rId48">
        <w:r>
          <w:rPr>
            <w:rStyle w:val="Hyperlink"/>
            <w:rFonts w:ascii="Times New Roman" w:hAnsi="Times New Roman" w:eastAsia="Times New Roman" w:cs="Times New Roman"/>
          </w:rPr>
          <w:t>https://doi.org/10.22004/ag.econ.265751</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Sriram, M. S. (2007). </w:t>
      </w:r>
      <w:r>
        <w:rPr>
          <w:rFonts w:ascii="Times New Roman" w:hAnsi="Times New Roman" w:eastAsia="Times New Roman" w:cs="Times New Roman"/>
          <w:i/>
        </w:rPr>
        <w:t>Productivity of rural credit: A review of issues and some recent literature</w:t>
      </w:r>
      <w:r>
        <w:rPr>
          <w:rFonts w:ascii="Times New Roman" w:hAnsi="Times New Roman" w:eastAsia="Times New Roman" w:cs="Times New Roman"/>
          <w:i w:val="0"/>
        </w:rPr>
        <w:t xml:space="preserve"> (Working Paper No. 2007-06-01). Indian Institute of Management Ahmedabad. </w:t>
      </w:r>
      <w:hyperlink r:id="rId49">
        <w:r>
          <w:rPr>
            <w:rStyle w:val="Hyperlink"/>
            <w:rFonts w:ascii="Times New Roman" w:hAnsi="Times New Roman" w:eastAsia="Times New Roman" w:cs="Times New Roman"/>
          </w:rPr>
          <w:t>https://www.iima.ac.in/publication/productivity-rural-credit-review-issues-and-some-recent-literature</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Tripuraneni, V., &amp; Robbins, P. (2024). Credit in agrarian India: Narrative policy struggles over farmer surplus. </w:t>
      </w:r>
      <w:r>
        <w:rPr>
          <w:rFonts w:ascii="Times New Roman" w:hAnsi="Times New Roman" w:eastAsia="Times New Roman" w:cs="Times New Roman"/>
          <w:i/>
        </w:rPr>
        <w:t>Geoforum, 155</w:t>
      </w:r>
      <w:r>
        <w:rPr>
          <w:rFonts w:ascii="Times New Roman" w:hAnsi="Times New Roman" w:eastAsia="Times New Roman" w:cs="Times New Roman"/>
          <w:i w:val="0"/>
        </w:rPr>
        <w:t xml:space="preserve">, Article 104081. </w:t>
      </w:r>
      <w:hyperlink r:id="rId50">
        <w:r>
          <w:rPr>
            <w:rStyle w:val="Hyperlink"/>
            <w:rFonts w:ascii="Times New Roman" w:hAnsi="Times New Roman" w:eastAsia="Times New Roman" w:cs="Times New Roman"/>
          </w:rPr>
          <w:t>https://doi.org/10.1016/j.geoforum.2024.104081</w:t>
        </w:r>
      </w:hyperlink>
    </w:p>
    <w:p>
      <w:pPr>
        <w:spacing w:after="80" w:line="240" w:lineRule="auto"/>
        <w:ind w:left="432" w:hanging="432"/>
        <w:rPr>
          <w:rFonts w:ascii="Times New Roman" w:eastAsia="Times New Roman" w:hAnsi="Times New Roman" w:cs="Times New Roman"/>
          <w:lang w:eastAsia="en-IN"/>
        </w:rPr>
      </w:pPr>
      <w:r>
        <w:rPr>
          <w:rFonts w:ascii="Times New Roman" w:hAnsi="Times New Roman" w:eastAsia="Times New Roman" w:cs="Times New Roman"/>
          <w:i w:val="0"/>
        </w:rPr>
        <w:t xml:space="preserve">Yadav, I. S., &amp; Rao, M. S. (2024). Agricultural credit and productivity of crops in India: Field evidence from small and marginal farmers across social groups. </w:t>
      </w:r>
      <w:r>
        <w:rPr>
          <w:rFonts w:ascii="Times New Roman" w:hAnsi="Times New Roman" w:eastAsia="Times New Roman" w:cs="Times New Roman"/>
          <w:i/>
        </w:rPr>
        <w:t>Journal of Agribusiness in Developing and Emerging Economies, 14</w:t>
      </w:r>
      <w:r>
        <w:rPr>
          <w:rFonts w:ascii="Times New Roman" w:hAnsi="Times New Roman" w:eastAsia="Times New Roman" w:cs="Times New Roman"/>
          <w:i w:val="0"/>
        </w:rPr>
        <w:t xml:space="preserve">(3), 435–454. </w:t>
      </w:r>
      <w:hyperlink r:id="rId52">
        <w:r>
          <w:rPr>
            <w:rStyle w:val="Hyperlink"/>
            <w:rFonts w:ascii="Times New Roman" w:hAnsi="Times New Roman" w:eastAsia="Times New Roman" w:cs="Times New Roman"/>
          </w:rPr>
          <w:t>https://doi.org/10.1108/JADEE-05-2022-0092</w:t>
        </w:r>
      </w:hyperlink>
    </w:p>
    <w:sectPr w:rsidR="00525521" w:rsidSect="00A63C52">
      <w:headerReference w:type="even" r:id="rId53"/>
      <w:headerReference w:type="default" r:id="rId54"/>
      <w:footerReference w:type="default" r:id="rId55"/>
      <w:headerReference w:type="first" r:id="rId56"/>
      <w:pgSz w:w="11906" w:h="16838"/>
      <w:pgMar w:top="1440"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3CD80" w14:textId="77777777" w:rsidR="005E560F" w:rsidRDefault="005E560F" w:rsidP="001E3FA2">
      <w:pPr>
        <w:spacing w:after="0" w:line="240" w:lineRule="auto"/>
      </w:pPr>
      <w:r>
        <w:separator/>
      </w:r>
    </w:p>
  </w:endnote>
  <w:endnote w:type="continuationSeparator" w:id="0">
    <w:p w14:paraId="126A116D" w14:textId="77777777" w:rsidR="005E560F" w:rsidRDefault="005E560F" w:rsidP="001E3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de2000">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528561"/>
      <w:docPartObj>
        <w:docPartGallery w:val="Page Numbers (Bottom of Page)"/>
        <w:docPartUnique/>
      </w:docPartObj>
    </w:sdtPr>
    <w:sdtEndPr>
      <w:rPr>
        <w:noProof/>
      </w:rPr>
    </w:sdtEndPr>
    <w:sdtContent>
      <w:p w14:paraId="5DC89EE4" w14:textId="77777777" w:rsidR="0032723E" w:rsidRDefault="003272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84718F" w14:textId="77777777" w:rsidR="00AF42DD" w:rsidRDefault="00AF4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3FEA2" w14:textId="77777777" w:rsidR="005E560F" w:rsidRDefault="005E560F" w:rsidP="001E3FA2">
      <w:pPr>
        <w:spacing w:after="0" w:line="240" w:lineRule="auto"/>
      </w:pPr>
      <w:r>
        <w:separator/>
      </w:r>
    </w:p>
  </w:footnote>
  <w:footnote w:type="continuationSeparator" w:id="0">
    <w:p w14:paraId="7F720AC1" w14:textId="77777777" w:rsidR="005E560F" w:rsidRDefault="005E560F" w:rsidP="001E3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25CE" w14:textId="77777777" w:rsidR="00D36A2A" w:rsidRDefault="00000000">
    <w:pPr>
      <w:pStyle w:val="Header"/>
    </w:pPr>
    <w:r>
      <w:rPr>
        <w:noProof/>
      </w:rPr>
      <w:pict w14:anchorId="3E3B3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15782" o:spid="_x0000_s1026" type="#_x0000_t136" style="position:absolute;margin-left:0;margin-top:0;width:563.85pt;height:105.7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B0F8" w14:textId="77777777" w:rsidR="00D36A2A" w:rsidRDefault="00000000">
    <w:pPr>
      <w:pStyle w:val="Header"/>
    </w:pPr>
    <w:r>
      <w:rPr>
        <w:noProof/>
      </w:rPr>
      <w:pict w14:anchorId="19FBFB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15783" o:spid="_x0000_s1027" type="#_x0000_t136" style="position:absolute;margin-left:0;margin-top:0;width:563.85pt;height:105.7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9A3B" w14:textId="77777777" w:rsidR="00D36A2A" w:rsidRDefault="00000000">
    <w:pPr>
      <w:pStyle w:val="Header"/>
    </w:pPr>
    <w:r>
      <w:rPr>
        <w:noProof/>
      </w:rPr>
      <w:pict w14:anchorId="1CEC1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15781" o:spid="_x0000_s1025" type="#_x0000_t136" style="position:absolute;margin-left:0;margin-top:0;width:563.85pt;height:105.7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C10"/>
    <w:multiLevelType w:val="multilevel"/>
    <w:tmpl w:val="F668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3257B"/>
    <w:multiLevelType w:val="multilevel"/>
    <w:tmpl w:val="CDACC1BE"/>
    <w:lvl w:ilvl="0">
      <w:start w:val="1"/>
      <w:numFmt w:val="lowerLetter"/>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36A60"/>
    <w:multiLevelType w:val="hybridMultilevel"/>
    <w:tmpl w:val="F5B239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5BD48F2"/>
    <w:multiLevelType w:val="hybridMultilevel"/>
    <w:tmpl w:val="B6ECFB44"/>
    <w:lvl w:ilvl="0" w:tplc="EC7AB008">
      <w:start w:val="1"/>
      <w:numFmt w:val="decimal"/>
      <w:lvlText w:val="%1."/>
      <w:lvlJc w:val="left"/>
      <w:pPr>
        <w:ind w:left="405" w:hanging="360"/>
      </w:pPr>
      <w:rPr>
        <w:rFonts w:hint="default"/>
        <w:b/>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4" w15:restartNumberingAfterBreak="0">
    <w:nsid w:val="0C541784"/>
    <w:multiLevelType w:val="multilevel"/>
    <w:tmpl w:val="9FF27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B65EE4"/>
    <w:multiLevelType w:val="multilevel"/>
    <w:tmpl w:val="1F626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747EF9"/>
    <w:multiLevelType w:val="multilevel"/>
    <w:tmpl w:val="B59E0A96"/>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21A20995"/>
    <w:multiLevelType w:val="hybridMultilevel"/>
    <w:tmpl w:val="58447B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3540B96"/>
    <w:multiLevelType w:val="hybridMultilevel"/>
    <w:tmpl w:val="A9687E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8404CCE"/>
    <w:multiLevelType w:val="multilevel"/>
    <w:tmpl w:val="6B7E5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34140F"/>
    <w:multiLevelType w:val="hybridMultilevel"/>
    <w:tmpl w:val="747899D4"/>
    <w:lvl w:ilvl="0" w:tplc="4009000B">
      <w:start w:val="1"/>
      <w:numFmt w:val="bullet"/>
      <w:lvlText w:val=""/>
      <w:lvlJc w:val="left"/>
      <w:pPr>
        <w:ind w:left="1287" w:hanging="360"/>
      </w:pPr>
      <w:rPr>
        <w:rFonts w:ascii="Wingdings" w:hAnsi="Wingdings"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1" w15:restartNumberingAfterBreak="0">
    <w:nsid w:val="2C5B6982"/>
    <w:multiLevelType w:val="hybridMultilevel"/>
    <w:tmpl w:val="762AA79A"/>
    <w:lvl w:ilvl="0" w:tplc="5DD41A2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0E922DF"/>
    <w:multiLevelType w:val="multilevel"/>
    <w:tmpl w:val="E3340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C00D97"/>
    <w:multiLevelType w:val="hybridMultilevel"/>
    <w:tmpl w:val="B42453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C095876"/>
    <w:multiLevelType w:val="hybridMultilevel"/>
    <w:tmpl w:val="C0AC1D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C2047F4"/>
    <w:multiLevelType w:val="hybridMultilevel"/>
    <w:tmpl w:val="E76467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EE229CA"/>
    <w:multiLevelType w:val="hybridMultilevel"/>
    <w:tmpl w:val="C188257A"/>
    <w:lvl w:ilvl="0" w:tplc="AF585FC6">
      <w:start w:val="1"/>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13D7656"/>
    <w:multiLevelType w:val="hybridMultilevel"/>
    <w:tmpl w:val="8BDE2B28"/>
    <w:lvl w:ilvl="0" w:tplc="178493D8">
      <w:start w:val="1"/>
      <w:numFmt w:val="lowerLetter"/>
      <w:lvlText w:val="%1)"/>
      <w:lvlJc w:val="left"/>
      <w:pPr>
        <w:ind w:left="720" w:hanging="360"/>
      </w:pPr>
      <w:rPr>
        <w:rFonts w:ascii="Times New Roman" w:eastAsiaTheme="minorEastAsia"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1C31B9C"/>
    <w:multiLevelType w:val="hybridMultilevel"/>
    <w:tmpl w:val="C408E1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27C5754"/>
    <w:multiLevelType w:val="hybridMultilevel"/>
    <w:tmpl w:val="DA56D5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DD23D10"/>
    <w:multiLevelType w:val="hybridMultilevel"/>
    <w:tmpl w:val="B6ECFB44"/>
    <w:lvl w:ilvl="0" w:tplc="EC7AB008">
      <w:start w:val="1"/>
      <w:numFmt w:val="decimal"/>
      <w:lvlText w:val="%1."/>
      <w:lvlJc w:val="left"/>
      <w:pPr>
        <w:ind w:left="405" w:hanging="360"/>
      </w:pPr>
      <w:rPr>
        <w:rFonts w:hint="default"/>
        <w:b/>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21" w15:restartNumberingAfterBreak="0">
    <w:nsid w:val="4FA81A9C"/>
    <w:multiLevelType w:val="hybridMultilevel"/>
    <w:tmpl w:val="51827170"/>
    <w:lvl w:ilvl="0" w:tplc="319A6D46">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62C1FDB"/>
    <w:multiLevelType w:val="multilevel"/>
    <w:tmpl w:val="A494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FF23B5"/>
    <w:multiLevelType w:val="hybridMultilevel"/>
    <w:tmpl w:val="5C861E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5FF32A0"/>
    <w:multiLevelType w:val="hybridMultilevel"/>
    <w:tmpl w:val="9F0054D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7934AE1"/>
    <w:multiLevelType w:val="hybridMultilevel"/>
    <w:tmpl w:val="C37863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EAF7C08"/>
    <w:multiLevelType w:val="hybridMultilevel"/>
    <w:tmpl w:val="16309E2C"/>
    <w:lvl w:ilvl="0" w:tplc="9AE61754">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06346EE"/>
    <w:multiLevelType w:val="multilevel"/>
    <w:tmpl w:val="DBF036D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7B8039C8"/>
    <w:multiLevelType w:val="hybridMultilevel"/>
    <w:tmpl w:val="F9D6428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93554789">
    <w:abstractNumId w:val="22"/>
  </w:num>
  <w:num w:numId="2" w16cid:durableId="1063603935">
    <w:abstractNumId w:val="4"/>
  </w:num>
  <w:num w:numId="3" w16cid:durableId="1471553392">
    <w:abstractNumId w:val="9"/>
  </w:num>
  <w:num w:numId="4" w16cid:durableId="1955214404">
    <w:abstractNumId w:val="5"/>
  </w:num>
  <w:num w:numId="5" w16cid:durableId="1973561580">
    <w:abstractNumId w:val="12"/>
  </w:num>
  <w:num w:numId="6" w16cid:durableId="10188674">
    <w:abstractNumId w:val="0"/>
  </w:num>
  <w:num w:numId="7" w16cid:durableId="1519927011">
    <w:abstractNumId w:val="1"/>
  </w:num>
  <w:num w:numId="8" w16cid:durableId="1402369304">
    <w:abstractNumId w:val="17"/>
  </w:num>
  <w:num w:numId="9" w16cid:durableId="1673995542">
    <w:abstractNumId w:val="8"/>
  </w:num>
  <w:num w:numId="10" w16cid:durableId="1446384215">
    <w:abstractNumId w:val="24"/>
  </w:num>
  <w:num w:numId="11" w16cid:durableId="1226183873">
    <w:abstractNumId w:val="23"/>
  </w:num>
  <w:num w:numId="12" w16cid:durableId="160585475">
    <w:abstractNumId w:val="10"/>
  </w:num>
  <w:num w:numId="13" w16cid:durableId="126317223">
    <w:abstractNumId w:val="2"/>
  </w:num>
  <w:num w:numId="14" w16cid:durableId="164438461">
    <w:abstractNumId w:val="14"/>
  </w:num>
  <w:num w:numId="15" w16cid:durableId="1148398156">
    <w:abstractNumId w:val="13"/>
  </w:num>
  <w:num w:numId="16" w16cid:durableId="1253314271">
    <w:abstractNumId w:val="19"/>
  </w:num>
  <w:num w:numId="17" w16cid:durableId="1810442326">
    <w:abstractNumId w:val="25"/>
  </w:num>
  <w:num w:numId="18" w16cid:durableId="1230577712">
    <w:abstractNumId w:val="28"/>
  </w:num>
  <w:num w:numId="19" w16cid:durableId="786244294">
    <w:abstractNumId w:val="26"/>
  </w:num>
  <w:num w:numId="20" w16cid:durableId="1940749290">
    <w:abstractNumId w:val="11"/>
  </w:num>
  <w:num w:numId="21" w16cid:durableId="160587296">
    <w:abstractNumId w:val="21"/>
  </w:num>
  <w:num w:numId="22" w16cid:durableId="895776111">
    <w:abstractNumId w:val="6"/>
  </w:num>
  <w:num w:numId="23" w16cid:durableId="1430466493">
    <w:abstractNumId w:val="27"/>
  </w:num>
  <w:num w:numId="24" w16cid:durableId="649141221">
    <w:abstractNumId w:val="18"/>
  </w:num>
  <w:num w:numId="25" w16cid:durableId="1926651562">
    <w:abstractNumId w:val="20"/>
  </w:num>
  <w:num w:numId="26" w16cid:durableId="628627408">
    <w:abstractNumId w:val="3"/>
  </w:num>
  <w:num w:numId="27" w16cid:durableId="85152691">
    <w:abstractNumId w:val="16"/>
  </w:num>
  <w:num w:numId="28" w16cid:durableId="972097039">
    <w:abstractNumId w:val="15"/>
  </w:num>
  <w:num w:numId="29" w16cid:durableId="2367914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wNLMwM7W0NDE2M7VQ0lEKTi0uzszPAykwrAUAe58v5ywAAAA="/>
  </w:docVars>
  <w:rsids>
    <w:rsidRoot w:val="00803FCE"/>
    <w:rsid w:val="00002C25"/>
    <w:rsid w:val="00011D54"/>
    <w:rsid w:val="00012333"/>
    <w:rsid w:val="00017F3A"/>
    <w:rsid w:val="00022E36"/>
    <w:rsid w:val="00027247"/>
    <w:rsid w:val="00034601"/>
    <w:rsid w:val="00053262"/>
    <w:rsid w:val="0007639D"/>
    <w:rsid w:val="0008230B"/>
    <w:rsid w:val="00082358"/>
    <w:rsid w:val="00082889"/>
    <w:rsid w:val="00083AA3"/>
    <w:rsid w:val="000902E1"/>
    <w:rsid w:val="00096911"/>
    <w:rsid w:val="000A3108"/>
    <w:rsid w:val="000A31DF"/>
    <w:rsid w:val="000A6B18"/>
    <w:rsid w:val="000B0D0B"/>
    <w:rsid w:val="000B6115"/>
    <w:rsid w:val="000C7DEA"/>
    <w:rsid w:val="000E29E5"/>
    <w:rsid w:val="000E617A"/>
    <w:rsid w:val="000F17C0"/>
    <w:rsid w:val="00105014"/>
    <w:rsid w:val="00113C96"/>
    <w:rsid w:val="0011620A"/>
    <w:rsid w:val="00120CB6"/>
    <w:rsid w:val="00132B2F"/>
    <w:rsid w:val="00135ACF"/>
    <w:rsid w:val="001528FB"/>
    <w:rsid w:val="00153B03"/>
    <w:rsid w:val="0015777B"/>
    <w:rsid w:val="00170B33"/>
    <w:rsid w:val="00171927"/>
    <w:rsid w:val="00173481"/>
    <w:rsid w:val="00184155"/>
    <w:rsid w:val="001861F5"/>
    <w:rsid w:val="00191191"/>
    <w:rsid w:val="001B1BC1"/>
    <w:rsid w:val="001B3BF6"/>
    <w:rsid w:val="001B49E4"/>
    <w:rsid w:val="001C05E8"/>
    <w:rsid w:val="001C40A1"/>
    <w:rsid w:val="001C53DC"/>
    <w:rsid w:val="001C6103"/>
    <w:rsid w:val="001C7316"/>
    <w:rsid w:val="001D445F"/>
    <w:rsid w:val="001D790E"/>
    <w:rsid w:val="001E0552"/>
    <w:rsid w:val="001E26C6"/>
    <w:rsid w:val="001E3FA2"/>
    <w:rsid w:val="001F40C6"/>
    <w:rsid w:val="001F7EA5"/>
    <w:rsid w:val="00201A2C"/>
    <w:rsid w:val="002048AF"/>
    <w:rsid w:val="00215820"/>
    <w:rsid w:val="00227AC8"/>
    <w:rsid w:val="00234433"/>
    <w:rsid w:val="002350B5"/>
    <w:rsid w:val="00242DCA"/>
    <w:rsid w:val="00243CCF"/>
    <w:rsid w:val="00243DF7"/>
    <w:rsid w:val="00246506"/>
    <w:rsid w:val="00250942"/>
    <w:rsid w:val="00260697"/>
    <w:rsid w:val="002626BB"/>
    <w:rsid w:val="00264A1F"/>
    <w:rsid w:val="00266628"/>
    <w:rsid w:val="002722A1"/>
    <w:rsid w:val="00277AC1"/>
    <w:rsid w:val="002A0B8F"/>
    <w:rsid w:val="002B2652"/>
    <w:rsid w:val="002B41F0"/>
    <w:rsid w:val="002B7DD1"/>
    <w:rsid w:val="002E23A3"/>
    <w:rsid w:val="00306557"/>
    <w:rsid w:val="00310F88"/>
    <w:rsid w:val="003168F1"/>
    <w:rsid w:val="00322DBD"/>
    <w:rsid w:val="00325F39"/>
    <w:rsid w:val="003262FD"/>
    <w:rsid w:val="0032723E"/>
    <w:rsid w:val="003304B9"/>
    <w:rsid w:val="00361A98"/>
    <w:rsid w:val="00372667"/>
    <w:rsid w:val="00373195"/>
    <w:rsid w:val="00382D25"/>
    <w:rsid w:val="00397C3D"/>
    <w:rsid w:val="003A50C7"/>
    <w:rsid w:val="003B5FCE"/>
    <w:rsid w:val="003B5FF4"/>
    <w:rsid w:val="003B6199"/>
    <w:rsid w:val="003B72CC"/>
    <w:rsid w:val="003C5E44"/>
    <w:rsid w:val="003D4393"/>
    <w:rsid w:val="003D48E0"/>
    <w:rsid w:val="003E0369"/>
    <w:rsid w:val="003E741C"/>
    <w:rsid w:val="003F1E73"/>
    <w:rsid w:val="003F2449"/>
    <w:rsid w:val="00406487"/>
    <w:rsid w:val="004212A0"/>
    <w:rsid w:val="004362FB"/>
    <w:rsid w:val="00447018"/>
    <w:rsid w:val="004475FF"/>
    <w:rsid w:val="00454340"/>
    <w:rsid w:val="00470794"/>
    <w:rsid w:val="00484848"/>
    <w:rsid w:val="0048622E"/>
    <w:rsid w:val="004926B2"/>
    <w:rsid w:val="004A6F1E"/>
    <w:rsid w:val="004C4C61"/>
    <w:rsid w:val="004D69A8"/>
    <w:rsid w:val="004E49D5"/>
    <w:rsid w:val="004E7921"/>
    <w:rsid w:val="004F0D5B"/>
    <w:rsid w:val="0050062E"/>
    <w:rsid w:val="00506C0E"/>
    <w:rsid w:val="00512417"/>
    <w:rsid w:val="005219E6"/>
    <w:rsid w:val="00525521"/>
    <w:rsid w:val="005259DF"/>
    <w:rsid w:val="00526904"/>
    <w:rsid w:val="00535292"/>
    <w:rsid w:val="0053789C"/>
    <w:rsid w:val="005452DB"/>
    <w:rsid w:val="00551C2C"/>
    <w:rsid w:val="0056287E"/>
    <w:rsid w:val="00567EDF"/>
    <w:rsid w:val="00577534"/>
    <w:rsid w:val="00582F48"/>
    <w:rsid w:val="0058546A"/>
    <w:rsid w:val="00586CD5"/>
    <w:rsid w:val="005955F8"/>
    <w:rsid w:val="005A02FD"/>
    <w:rsid w:val="005A3701"/>
    <w:rsid w:val="005A45F3"/>
    <w:rsid w:val="005A7B6F"/>
    <w:rsid w:val="005B16CF"/>
    <w:rsid w:val="005C6C5E"/>
    <w:rsid w:val="005E560F"/>
    <w:rsid w:val="005F5288"/>
    <w:rsid w:val="005F7E88"/>
    <w:rsid w:val="00605644"/>
    <w:rsid w:val="00607699"/>
    <w:rsid w:val="006215A8"/>
    <w:rsid w:val="00621C52"/>
    <w:rsid w:val="00621CBF"/>
    <w:rsid w:val="00623B99"/>
    <w:rsid w:val="00625C2F"/>
    <w:rsid w:val="00627EEE"/>
    <w:rsid w:val="00645888"/>
    <w:rsid w:val="00656B00"/>
    <w:rsid w:val="00677492"/>
    <w:rsid w:val="006875DF"/>
    <w:rsid w:val="00695728"/>
    <w:rsid w:val="0069589E"/>
    <w:rsid w:val="006B41A5"/>
    <w:rsid w:val="006B446E"/>
    <w:rsid w:val="006B747E"/>
    <w:rsid w:val="006C7EA0"/>
    <w:rsid w:val="006D06E9"/>
    <w:rsid w:val="006D206F"/>
    <w:rsid w:val="006D4EF9"/>
    <w:rsid w:val="006F6C91"/>
    <w:rsid w:val="007076C7"/>
    <w:rsid w:val="00710534"/>
    <w:rsid w:val="007140F5"/>
    <w:rsid w:val="00730ADB"/>
    <w:rsid w:val="00745099"/>
    <w:rsid w:val="0074603B"/>
    <w:rsid w:val="00746D9A"/>
    <w:rsid w:val="00754BC3"/>
    <w:rsid w:val="00755271"/>
    <w:rsid w:val="007607E6"/>
    <w:rsid w:val="007646C5"/>
    <w:rsid w:val="0076614C"/>
    <w:rsid w:val="00770677"/>
    <w:rsid w:val="007769F2"/>
    <w:rsid w:val="0079435C"/>
    <w:rsid w:val="007A0C21"/>
    <w:rsid w:val="007A1195"/>
    <w:rsid w:val="007A24E2"/>
    <w:rsid w:val="007B7A8C"/>
    <w:rsid w:val="007C0228"/>
    <w:rsid w:val="007C5204"/>
    <w:rsid w:val="007C6F14"/>
    <w:rsid w:val="007D18E3"/>
    <w:rsid w:val="007E139F"/>
    <w:rsid w:val="007F0EFF"/>
    <w:rsid w:val="007F3698"/>
    <w:rsid w:val="00800AA5"/>
    <w:rsid w:val="00803FCE"/>
    <w:rsid w:val="008049B0"/>
    <w:rsid w:val="008131AE"/>
    <w:rsid w:val="00826F1F"/>
    <w:rsid w:val="00854312"/>
    <w:rsid w:val="00863244"/>
    <w:rsid w:val="00871CA3"/>
    <w:rsid w:val="00871CB5"/>
    <w:rsid w:val="008745CB"/>
    <w:rsid w:val="00877C99"/>
    <w:rsid w:val="0088126E"/>
    <w:rsid w:val="008A10E6"/>
    <w:rsid w:val="008B04C5"/>
    <w:rsid w:val="008C54DF"/>
    <w:rsid w:val="008E1991"/>
    <w:rsid w:val="008F3B9E"/>
    <w:rsid w:val="009015E3"/>
    <w:rsid w:val="009103CC"/>
    <w:rsid w:val="009556DB"/>
    <w:rsid w:val="0096283B"/>
    <w:rsid w:val="00987866"/>
    <w:rsid w:val="009925C3"/>
    <w:rsid w:val="009A03A9"/>
    <w:rsid w:val="009A390C"/>
    <w:rsid w:val="009B1764"/>
    <w:rsid w:val="009C0339"/>
    <w:rsid w:val="009C1358"/>
    <w:rsid w:val="009D6DBF"/>
    <w:rsid w:val="009E6C45"/>
    <w:rsid w:val="00A03743"/>
    <w:rsid w:val="00A1588A"/>
    <w:rsid w:val="00A17DC5"/>
    <w:rsid w:val="00A20242"/>
    <w:rsid w:val="00A3299E"/>
    <w:rsid w:val="00A406D2"/>
    <w:rsid w:val="00A426B8"/>
    <w:rsid w:val="00A472AD"/>
    <w:rsid w:val="00A504AB"/>
    <w:rsid w:val="00A61BA0"/>
    <w:rsid w:val="00A63C52"/>
    <w:rsid w:val="00A7654F"/>
    <w:rsid w:val="00A82364"/>
    <w:rsid w:val="00A91C10"/>
    <w:rsid w:val="00A9605C"/>
    <w:rsid w:val="00A96AD7"/>
    <w:rsid w:val="00AA17E6"/>
    <w:rsid w:val="00AB2F2D"/>
    <w:rsid w:val="00AB6C1B"/>
    <w:rsid w:val="00AC5765"/>
    <w:rsid w:val="00AD03CD"/>
    <w:rsid w:val="00AD2513"/>
    <w:rsid w:val="00AE2413"/>
    <w:rsid w:val="00AE5952"/>
    <w:rsid w:val="00AF42DD"/>
    <w:rsid w:val="00AF4FAC"/>
    <w:rsid w:val="00B04AB3"/>
    <w:rsid w:val="00B226D3"/>
    <w:rsid w:val="00B31186"/>
    <w:rsid w:val="00B54BAA"/>
    <w:rsid w:val="00B57B42"/>
    <w:rsid w:val="00B62673"/>
    <w:rsid w:val="00B62A61"/>
    <w:rsid w:val="00B6547F"/>
    <w:rsid w:val="00B82679"/>
    <w:rsid w:val="00B83A1F"/>
    <w:rsid w:val="00B9745A"/>
    <w:rsid w:val="00BB3223"/>
    <w:rsid w:val="00BC60A7"/>
    <w:rsid w:val="00BD003D"/>
    <w:rsid w:val="00BD1B7B"/>
    <w:rsid w:val="00BD325B"/>
    <w:rsid w:val="00BD5351"/>
    <w:rsid w:val="00BD56BA"/>
    <w:rsid w:val="00BE2995"/>
    <w:rsid w:val="00BE6202"/>
    <w:rsid w:val="00BF088E"/>
    <w:rsid w:val="00BF2315"/>
    <w:rsid w:val="00BF2EC9"/>
    <w:rsid w:val="00C1081C"/>
    <w:rsid w:val="00C10FD9"/>
    <w:rsid w:val="00C1172A"/>
    <w:rsid w:val="00C137A8"/>
    <w:rsid w:val="00C14183"/>
    <w:rsid w:val="00C17E89"/>
    <w:rsid w:val="00C2246A"/>
    <w:rsid w:val="00C25D68"/>
    <w:rsid w:val="00C26F02"/>
    <w:rsid w:val="00C42868"/>
    <w:rsid w:val="00C4379D"/>
    <w:rsid w:val="00C976F4"/>
    <w:rsid w:val="00CA7C11"/>
    <w:rsid w:val="00CB1872"/>
    <w:rsid w:val="00CD2118"/>
    <w:rsid w:val="00CD262D"/>
    <w:rsid w:val="00CD3272"/>
    <w:rsid w:val="00CE02BB"/>
    <w:rsid w:val="00CE1AEC"/>
    <w:rsid w:val="00CE7AFA"/>
    <w:rsid w:val="00CF4465"/>
    <w:rsid w:val="00D072C4"/>
    <w:rsid w:val="00D21C66"/>
    <w:rsid w:val="00D26490"/>
    <w:rsid w:val="00D36A2A"/>
    <w:rsid w:val="00D4422F"/>
    <w:rsid w:val="00D565F7"/>
    <w:rsid w:val="00D73D4C"/>
    <w:rsid w:val="00D753BF"/>
    <w:rsid w:val="00D76230"/>
    <w:rsid w:val="00D83118"/>
    <w:rsid w:val="00DA0A7F"/>
    <w:rsid w:val="00DA1332"/>
    <w:rsid w:val="00DB0411"/>
    <w:rsid w:val="00DB2457"/>
    <w:rsid w:val="00DB34A4"/>
    <w:rsid w:val="00DC001A"/>
    <w:rsid w:val="00DC0021"/>
    <w:rsid w:val="00DC1A9E"/>
    <w:rsid w:val="00DF2395"/>
    <w:rsid w:val="00DF3AB3"/>
    <w:rsid w:val="00DF6D7F"/>
    <w:rsid w:val="00E06F99"/>
    <w:rsid w:val="00E072F4"/>
    <w:rsid w:val="00E17BA1"/>
    <w:rsid w:val="00E33457"/>
    <w:rsid w:val="00E3478D"/>
    <w:rsid w:val="00E3760B"/>
    <w:rsid w:val="00E413AF"/>
    <w:rsid w:val="00E71994"/>
    <w:rsid w:val="00E746E6"/>
    <w:rsid w:val="00E76AFA"/>
    <w:rsid w:val="00E84894"/>
    <w:rsid w:val="00E92AF9"/>
    <w:rsid w:val="00E971C5"/>
    <w:rsid w:val="00EC3332"/>
    <w:rsid w:val="00EC6941"/>
    <w:rsid w:val="00ED436C"/>
    <w:rsid w:val="00EF5E25"/>
    <w:rsid w:val="00F01E8B"/>
    <w:rsid w:val="00F0348B"/>
    <w:rsid w:val="00F07F33"/>
    <w:rsid w:val="00F12561"/>
    <w:rsid w:val="00F12DFC"/>
    <w:rsid w:val="00F20355"/>
    <w:rsid w:val="00F22BFC"/>
    <w:rsid w:val="00F3171A"/>
    <w:rsid w:val="00F35721"/>
    <w:rsid w:val="00F42DAD"/>
    <w:rsid w:val="00F46C2F"/>
    <w:rsid w:val="00F529BF"/>
    <w:rsid w:val="00F701B6"/>
    <w:rsid w:val="00F71F0D"/>
    <w:rsid w:val="00F73B8D"/>
    <w:rsid w:val="00F7656E"/>
    <w:rsid w:val="00F776B4"/>
    <w:rsid w:val="00F85A00"/>
    <w:rsid w:val="00F869F8"/>
    <w:rsid w:val="00F87E84"/>
    <w:rsid w:val="00F9284B"/>
    <w:rsid w:val="00FA0369"/>
    <w:rsid w:val="00FA4481"/>
    <w:rsid w:val="00FA7EE5"/>
    <w:rsid w:val="00FB06E0"/>
    <w:rsid w:val="00FB6650"/>
    <w:rsid w:val="00FC1519"/>
    <w:rsid w:val="00FC157C"/>
    <w:rsid w:val="00FC3233"/>
    <w:rsid w:val="00FC36D4"/>
    <w:rsid w:val="00FC6C8C"/>
    <w:rsid w:val="00FC7E87"/>
    <w:rsid w:val="00FE3A8E"/>
    <w:rsid w:val="00FF0F20"/>
    <w:rsid w:val="00FF5390"/>
    <w:rsid w:val="00FF7D9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E6052"/>
  <w15:docId w15:val="{18B17DC8-5167-4502-841E-F9849A29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B2F"/>
  </w:style>
  <w:style w:type="paragraph" w:styleId="Heading1">
    <w:name w:val="heading 1"/>
    <w:basedOn w:val="Normal"/>
    <w:link w:val="Heading1Char"/>
    <w:uiPriority w:val="1"/>
    <w:qFormat/>
    <w:rsid w:val="00803F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803FCE"/>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803FCE"/>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semiHidden/>
    <w:unhideWhenUsed/>
    <w:qFormat/>
    <w:rsid w:val="00803FCE"/>
    <w:pPr>
      <w:keepNext/>
      <w:keepLines/>
      <w:spacing w:before="200" w:after="0"/>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03FCE"/>
    <w:rPr>
      <w:rFonts w:ascii="Times New Roman" w:eastAsia="Times New Roman" w:hAnsi="Times New Roman" w:cs="Times New Roman"/>
      <w:b/>
      <w:bCs/>
      <w:kern w:val="36"/>
      <w:sz w:val="48"/>
      <w:szCs w:val="48"/>
      <w:lang w:eastAsia="en-IN"/>
    </w:rPr>
  </w:style>
  <w:style w:type="paragraph" w:customStyle="1" w:styleId="Heading21">
    <w:name w:val="Heading 21"/>
    <w:basedOn w:val="Normal"/>
    <w:next w:val="Normal"/>
    <w:uiPriority w:val="9"/>
    <w:semiHidden/>
    <w:unhideWhenUsed/>
    <w:qFormat/>
    <w:rsid w:val="00803FCE"/>
    <w:pPr>
      <w:keepNext/>
      <w:keepLines/>
      <w:spacing w:before="200" w:after="0" w:line="276" w:lineRule="auto"/>
      <w:outlineLvl w:val="1"/>
    </w:pPr>
    <w:rPr>
      <w:rFonts w:ascii="Cambria" w:eastAsia="Times New Roman" w:hAnsi="Cambria" w:cs="Times New Roman"/>
      <w:b/>
      <w:bCs/>
      <w:color w:val="4F81BD"/>
      <w:sz w:val="26"/>
      <w:szCs w:val="26"/>
      <w:lang w:eastAsia="en-IN"/>
    </w:rPr>
  </w:style>
  <w:style w:type="paragraph" w:customStyle="1" w:styleId="Heading31">
    <w:name w:val="Heading 31"/>
    <w:basedOn w:val="Normal"/>
    <w:next w:val="Normal"/>
    <w:uiPriority w:val="9"/>
    <w:semiHidden/>
    <w:unhideWhenUsed/>
    <w:qFormat/>
    <w:rsid w:val="00803FCE"/>
    <w:pPr>
      <w:keepNext/>
      <w:keepLines/>
      <w:spacing w:before="200" w:after="0" w:line="276" w:lineRule="auto"/>
      <w:outlineLvl w:val="2"/>
    </w:pPr>
    <w:rPr>
      <w:rFonts w:ascii="Cambria" w:eastAsia="Times New Roman" w:hAnsi="Cambria" w:cs="Times New Roman"/>
      <w:b/>
      <w:bCs/>
      <w:color w:val="4F81BD"/>
      <w:lang w:eastAsia="en-IN"/>
    </w:rPr>
  </w:style>
  <w:style w:type="paragraph" w:customStyle="1" w:styleId="Heading41">
    <w:name w:val="Heading 41"/>
    <w:basedOn w:val="Normal"/>
    <w:next w:val="Normal"/>
    <w:uiPriority w:val="9"/>
    <w:semiHidden/>
    <w:unhideWhenUsed/>
    <w:qFormat/>
    <w:rsid w:val="00803FCE"/>
    <w:pPr>
      <w:keepNext/>
      <w:keepLines/>
      <w:spacing w:before="200" w:after="0" w:line="276" w:lineRule="auto"/>
      <w:outlineLvl w:val="3"/>
    </w:pPr>
    <w:rPr>
      <w:rFonts w:ascii="Cambria" w:eastAsia="Times New Roman" w:hAnsi="Cambria" w:cs="Times New Roman"/>
      <w:b/>
      <w:bCs/>
      <w:i/>
      <w:iCs/>
      <w:color w:val="4F81BD"/>
      <w:lang w:eastAsia="en-IN"/>
    </w:rPr>
  </w:style>
  <w:style w:type="numbering" w:customStyle="1" w:styleId="NoList1">
    <w:name w:val="No List1"/>
    <w:next w:val="NoList"/>
    <w:uiPriority w:val="99"/>
    <w:semiHidden/>
    <w:unhideWhenUsed/>
    <w:rsid w:val="00803FCE"/>
  </w:style>
  <w:style w:type="character" w:styleId="Strong">
    <w:name w:val="Strong"/>
    <w:basedOn w:val="DefaultParagraphFont"/>
    <w:uiPriority w:val="22"/>
    <w:qFormat/>
    <w:rsid w:val="00803FCE"/>
    <w:rPr>
      <w:b/>
      <w:bCs/>
    </w:rPr>
  </w:style>
  <w:style w:type="paragraph" w:styleId="NormalWeb">
    <w:name w:val="Normal (Web)"/>
    <w:basedOn w:val="Normal"/>
    <w:uiPriority w:val="99"/>
    <w:unhideWhenUsed/>
    <w:rsid w:val="00803FC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803FCE"/>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803F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803FCE"/>
    <w:rPr>
      <w:rFonts w:ascii="Cambria" w:eastAsia="Times New Roman" w:hAnsi="Cambria" w:cs="Times New Roman"/>
      <w:b/>
      <w:bCs/>
      <w:i/>
      <w:iCs/>
      <w:color w:val="4F81BD"/>
    </w:rPr>
  </w:style>
  <w:style w:type="paragraph" w:styleId="BalloonText">
    <w:name w:val="Balloon Text"/>
    <w:basedOn w:val="Normal"/>
    <w:link w:val="BalloonTextChar"/>
    <w:uiPriority w:val="99"/>
    <w:semiHidden/>
    <w:unhideWhenUsed/>
    <w:rsid w:val="00803FCE"/>
    <w:pPr>
      <w:spacing w:after="0" w:line="240" w:lineRule="auto"/>
    </w:pPr>
    <w:rPr>
      <w:rFonts w:ascii="Tahoma" w:eastAsia="Times New Roman" w:hAnsi="Tahoma" w:cs="Tahoma"/>
      <w:sz w:val="16"/>
      <w:szCs w:val="16"/>
      <w:lang w:eastAsia="en-IN"/>
    </w:rPr>
  </w:style>
  <w:style w:type="character" w:customStyle="1" w:styleId="BalloonTextChar">
    <w:name w:val="Balloon Text Char"/>
    <w:basedOn w:val="DefaultParagraphFont"/>
    <w:link w:val="BalloonText"/>
    <w:uiPriority w:val="99"/>
    <w:semiHidden/>
    <w:rsid w:val="00803FCE"/>
    <w:rPr>
      <w:rFonts w:ascii="Tahoma" w:eastAsia="Times New Roman" w:hAnsi="Tahoma" w:cs="Tahoma"/>
      <w:sz w:val="16"/>
      <w:szCs w:val="16"/>
      <w:lang w:eastAsia="en-IN"/>
    </w:rPr>
  </w:style>
  <w:style w:type="paragraph" w:customStyle="1" w:styleId="Default">
    <w:name w:val="Default"/>
    <w:rsid w:val="00803FCE"/>
    <w:pPr>
      <w:autoSpaceDE w:val="0"/>
      <w:autoSpaceDN w:val="0"/>
      <w:adjustRightInd w:val="0"/>
      <w:spacing w:after="0" w:line="240" w:lineRule="auto"/>
    </w:pPr>
    <w:rPr>
      <w:rFonts w:ascii="Times New Roman" w:eastAsia="Times New Roman" w:hAnsi="Times New Roman" w:cs="Times New Roman"/>
      <w:color w:val="000000"/>
      <w:sz w:val="24"/>
      <w:szCs w:val="24"/>
      <w:lang w:eastAsia="en-IN"/>
    </w:rPr>
  </w:style>
  <w:style w:type="character" w:customStyle="1" w:styleId="overflow-hidden">
    <w:name w:val="overflow-hidden"/>
    <w:basedOn w:val="DefaultParagraphFont"/>
    <w:rsid w:val="00803FCE"/>
  </w:style>
  <w:style w:type="paragraph" w:styleId="Header">
    <w:name w:val="header"/>
    <w:basedOn w:val="Normal"/>
    <w:link w:val="HeaderChar"/>
    <w:uiPriority w:val="99"/>
    <w:unhideWhenUsed/>
    <w:rsid w:val="00803FCE"/>
    <w:pPr>
      <w:tabs>
        <w:tab w:val="center" w:pos="4513"/>
        <w:tab w:val="right" w:pos="9026"/>
      </w:tabs>
      <w:spacing w:after="0" w:line="240" w:lineRule="auto"/>
    </w:pPr>
    <w:rPr>
      <w:rFonts w:eastAsia="Times New Roman"/>
      <w:lang w:eastAsia="en-IN"/>
    </w:rPr>
  </w:style>
  <w:style w:type="character" w:customStyle="1" w:styleId="HeaderChar">
    <w:name w:val="Header Char"/>
    <w:basedOn w:val="DefaultParagraphFont"/>
    <w:link w:val="Header"/>
    <w:uiPriority w:val="99"/>
    <w:rsid w:val="00803FCE"/>
    <w:rPr>
      <w:rFonts w:eastAsia="Times New Roman"/>
      <w:lang w:eastAsia="en-IN"/>
    </w:rPr>
  </w:style>
  <w:style w:type="paragraph" w:styleId="Footer">
    <w:name w:val="footer"/>
    <w:basedOn w:val="Normal"/>
    <w:link w:val="FooterChar"/>
    <w:uiPriority w:val="99"/>
    <w:unhideWhenUsed/>
    <w:rsid w:val="00803FCE"/>
    <w:pPr>
      <w:tabs>
        <w:tab w:val="center" w:pos="4513"/>
        <w:tab w:val="right" w:pos="9026"/>
      </w:tabs>
      <w:spacing w:after="0" w:line="240" w:lineRule="auto"/>
    </w:pPr>
    <w:rPr>
      <w:rFonts w:eastAsia="Times New Roman"/>
      <w:lang w:eastAsia="en-IN"/>
    </w:rPr>
  </w:style>
  <w:style w:type="character" w:customStyle="1" w:styleId="FooterChar">
    <w:name w:val="Footer Char"/>
    <w:basedOn w:val="DefaultParagraphFont"/>
    <w:link w:val="Footer"/>
    <w:uiPriority w:val="99"/>
    <w:rsid w:val="00803FCE"/>
    <w:rPr>
      <w:rFonts w:eastAsia="Times New Roman"/>
      <w:lang w:eastAsia="en-IN"/>
    </w:rPr>
  </w:style>
  <w:style w:type="paragraph" w:styleId="NoSpacing">
    <w:name w:val="No Spacing"/>
    <w:uiPriority w:val="1"/>
    <w:qFormat/>
    <w:rsid w:val="00803FCE"/>
    <w:pPr>
      <w:spacing w:after="0" w:line="240" w:lineRule="auto"/>
    </w:pPr>
    <w:rPr>
      <w:rFonts w:eastAsia="Times New Roman"/>
      <w:lang w:eastAsia="en-IN"/>
    </w:rPr>
  </w:style>
  <w:style w:type="paragraph" w:styleId="ListParagraph">
    <w:name w:val="List Paragraph"/>
    <w:basedOn w:val="Normal"/>
    <w:uiPriority w:val="34"/>
    <w:qFormat/>
    <w:rsid w:val="00803FCE"/>
    <w:pPr>
      <w:spacing w:after="200" w:line="276" w:lineRule="auto"/>
      <w:ind w:left="720"/>
      <w:contextualSpacing/>
    </w:pPr>
    <w:rPr>
      <w:rFonts w:eastAsia="Times New Roman"/>
      <w:lang w:eastAsia="en-IN"/>
    </w:rPr>
  </w:style>
  <w:style w:type="table" w:customStyle="1" w:styleId="TableGrid1">
    <w:name w:val="Table Grid1"/>
    <w:basedOn w:val="TableNormal"/>
    <w:next w:val="TableGrid"/>
    <w:uiPriority w:val="59"/>
    <w:rsid w:val="00803FCE"/>
    <w:pPr>
      <w:spacing w:after="0" w:line="240" w:lineRule="auto"/>
    </w:pPr>
    <w:rPr>
      <w:rFonts w:eastAsia="Times New Roman"/>
      <w:lang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803FCE"/>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2Char1">
    <w:name w:val="Heading 2 Char1"/>
    <w:basedOn w:val="DefaultParagraphFont"/>
    <w:uiPriority w:val="9"/>
    <w:semiHidden/>
    <w:rsid w:val="00803FCE"/>
    <w:rPr>
      <w:rFonts w:asciiTheme="majorHAnsi" w:eastAsiaTheme="majorEastAsia" w:hAnsiTheme="majorHAnsi" w:cstheme="majorBidi"/>
      <w:b/>
      <w:bCs/>
      <w:color w:val="5B9BD5" w:themeColor="accent1"/>
      <w:sz w:val="26"/>
      <w:szCs w:val="26"/>
    </w:rPr>
  </w:style>
  <w:style w:type="character" w:customStyle="1" w:styleId="Heading3Char1">
    <w:name w:val="Heading 3 Char1"/>
    <w:basedOn w:val="DefaultParagraphFont"/>
    <w:uiPriority w:val="9"/>
    <w:semiHidden/>
    <w:rsid w:val="00803FCE"/>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803FCE"/>
    <w:rPr>
      <w:rFonts w:asciiTheme="majorHAnsi" w:eastAsiaTheme="majorEastAsia" w:hAnsiTheme="majorHAnsi" w:cstheme="majorBidi"/>
      <w:b/>
      <w:bCs/>
      <w:i/>
      <w:iCs/>
      <w:color w:val="5B9BD5" w:themeColor="accent1"/>
    </w:rPr>
  </w:style>
  <w:style w:type="table" w:styleId="TableGrid">
    <w:name w:val="Table Grid"/>
    <w:basedOn w:val="TableNormal"/>
    <w:uiPriority w:val="39"/>
    <w:rsid w:val="00803F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442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4382">
      <w:bodyDiv w:val="1"/>
      <w:marLeft w:val="0"/>
      <w:marRight w:val="0"/>
      <w:marTop w:val="0"/>
      <w:marBottom w:val="0"/>
      <w:divBdr>
        <w:top w:val="none" w:sz="0" w:space="0" w:color="auto"/>
        <w:left w:val="none" w:sz="0" w:space="0" w:color="auto"/>
        <w:bottom w:val="none" w:sz="0" w:space="0" w:color="auto"/>
        <w:right w:val="none" w:sz="0" w:space="0" w:color="auto"/>
      </w:divBdr>
      <w:divsChild>
        <w:div w:id="1627925651">
          <w:marLeft w:val="0"/>
          <w:marRight w:val="0"/>
          <w:marTop w:val="0"/>
          <w:marBottom w:val="0"/>
          <w:divBdr>
            <w:top w:val="none" w:sz="0" w:space="0" w:color="auto"/>
            <w:left w:val="none" w:sz="0" w:space="0" w:color="auto"/>
            <w:bottom w:val="none" w:sz="0" w:space="0" w:color="auto"/>
            <w:right w:val="none" w:sz="0" w:space="0" w:color="auto"/>
          </w:divBdr>
          <w:divsChild>
            <w:div w:id="319315840">
              <w:marLeft w:val="0"/>
              <w:marRight w:val="0"/>
              <w:marTop w:val="0"/>
              <w:marBottom w:val="0"/>
              <w:divBdr>
                <w:top w:val="none" w:sz="0" w:space="0" w:color="auto"/>
                <w:left w:val="none" w:sz="0" w:space="0" w:color="auto"/>
                <w:bottom w:val="none" w:sz="0" w:space="0" w:color="auto"/>
                <w:right w:val="none" w:sz="0" w:space="0" w:color="auto"/>
              </w:divBdr>
              <w:divsChild>
                <w:div w:id="1126001719">
                  <w:marLeft w:val="0"/>
                  <w:marRight w:val="0"/>
                  <w:marTop w:val="0"/>
                  <w:marBottom w:val="0"/>
                  <w:divBdr>
                    <w:top w:val="none" w:sz="0" w:space="0" w:color="auto"/>
                    <w:left w:val="none" w:sz="0" w:space="0" w:color="auto"/>
                    <w:bottom w:val="none" w:sz="0" w:space="0" w:color="auto"/>
                    <w:right w:val="none" w:sz="0" w:space="0" w:color="auto"/>
                  </w:divBdr>
                  <w:divsChild>
                    <w:div w:id="187947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86460">
          <w:marLeft w:val="0"/>
          <w:marRight w:val="0"/>
          <w:marTop w:val="0"/>
          <w:marBottom w:val="0"/>
          <w:divBdr>
            <w:top w:val="none" w:sz="0" w:space="0" w:color="auto"/>
            <w:left w:val="none" w:sz="0" w:space="0" w:color="auto"/>
            <w:bottom w:val="none" w:sz="0" w:space="0" w:color="auto"/>
            <w:right w:val="none" w:sz="0" w:space="0" w:color="auto"/>
          </w:divBdr>
          <w:divsChild>
            <w:div w:id="1043140659">
              <w:marLeft w:val="0"/>
              <w:marRight w:val="0"/>
              <w:marTop w:val="0"/>
              <w:marBottom w:val="0"/>
              <w:divBdr>
                <w:top w:val="none" w:sz="0" w:space="0" w:color="auto"/>
                <w:left w:val="none" w:sz="0" w:space="0" w:color="auto"/>
                <w:bottom w:val="none" w:sz="0" w:space="0" w:color="auto"/>
                <w:right w:val="none" w:sz="0" w:space="0" w:color="auto"/>
              </w:divBdr>
              <w:divsChild>
                <w:div w:id="880093942">
                  <w:marLeft w:val="0"/>
                  <w:marRight w:val="0"/>
                  <w:marTop w:val="0"/>
                  <w:marBottom w:val="0"/>
                  <w:divBdr>
                    <w:top w:val="none" w:sz="0" w:space="0" w:color="auto"/>
                    <w:left w:val="none" w:sz="0" w:space="0" w:color="auto"/>
                    <w:bottom w:val="none" w:sz="0" w:space="0" w:color="auto"/>
                    <w:right w:val="none" w:sz="0" w:space="0" w:color="auto"/>
                  </w:divBdr>
                  <w:divsChild>
                    <w:div w:id="72452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721663">
      <w:bodyDiv w:val="1"/>
      <w:marLeft w:val="0"/>
      <w:marRight w:val="0"/>
      <w:marTop w:val="0"/>
      <w:marBottom w:val="0"/>
      <w:divBdr>
        <w:top w:val="none" w:sz="0" w:space="0" w:color="auto"/>
        <w:left w:val="none" w:sz="0" w:space="0" w:color="auto"/>
        <w:bottom w:val="none" w:sz="0" w:space="0" w:color="auto"/>
        <w:right w:val="none" w:sz="0" w:space="0" w:color="auto"/>
      </w:divBdr>
    </w:div>
    <w:div w:id="283462820">
      <w:bodyDiv w:val="1"/>
      <w:marLeft w:val="0"/>
      <w:marRight w:val="0"/>
      <w:marTop w:val="0"/>
      <w:marBottom w:val="0"/>
      <w:divBdr>
        <w:top w:val="none" w:sz="0" w:space="0" w:color="auto"/>
        <w:left w:val="none" w:sz="0" w:space="0" w:color="auto"/>
        <w:bottom w:val="none" w:sz="0" w:space="0" w:color="auto"/>
        <w:right w:val="none" w:sz="0" w:space="0" w:color="auto"/>
      </w:divBdr>
    </w:div>
    <w:div w:id="462114291">
      <w:bodyDiv w:val="1"/>
      <w:marLeft w:val="0"/>
      <w:marRight w:val="0"/>
      <w:marTop w:val="0"/>
      <w:marBottom w:val="0"/>
      <w:divBdr>
        <w:top w:val="none" w:sz="0" w:space="0" w:color="auto"/>
        <w:left w:val="none" w:sz="0" w:space="0" w:color="auto"/>
        <w:bottom w:val="none" w:sz="0" w:space="0" w:color="auto"/>
        <w:right w:val="none" w:sz="0" w:space="0" w:color="auto"/>
      </w:divBdr>
    </w:div>
    <w:div w:id="611473300">
      <w:bodyDiv w:val="1"/>
      <w:marLeft w:val="0"/>
      <w:marRight w:val="0"/>
      <w:marTop w:val="0"/>
      <w:marBottom w:val="0"/>
      <w:divBdr>
        <w:top w:val="none" w:sz="0" w:space="0" w:color="auto"/>
        <w:left w:val="none" w:sz="0" w:space="0" w:color="auto"/>
        <w:bottom w:val="none" w:sz="0" w:space="0" w:color="auto"/>
        <w:right w:val="none" w:sz="0" w:space="0" w:color="auto"/>
      </w:divBdr>
    </w:div>
    <w:div w:id="648899497">
      <w:bodyDiv w:val="1"/>
      <w:marLeft w:val="0"/>
      <w:marRight w:val="0"/>
      <w:marTop w:val="0"/>
      <w:marBottom w:val="0"/>
      <w:divBdr>
        <w:top w:val="none" w:sz="0" w:space="0" w:color="auto"/>
        <w:left w:val="none" w:sz="0" w:space="0" w:color="auto"/>
        <w:bottom w:val="none" w:sz="0" w:space="0" w:color="auto"/>
        <w:right w:val="none" w:sz="0" w:space="0" w:color="auto"/>
      </w:divBdr>
    </w:div>
    <w:div w:id="785731986">
      <w:bodyDiv w:val="1"/>
      <w:marLeft w:val="0"/>
      <w:marRight w:val="0"/>
      <w:marTop w:val="0"/>
      <w:marBottom w:val="0"/>
      <w:divBdr>
        <w:top w:val="none" w:sz="0" w:space="0" w:color="auto"/>
        <w:left w:val="none" w:sz="0" w:space="0" w:color="auto"/>
        <w:bottom w:val="none" w:sz="0" w:space="0" w:color="auto"/>
        <w:right w:val="none" w:sz="0" w:space="0" w:color="auto"/>
      </w:divBdr>
    </w:div>
    <w:div w:id="812336501">
      <w:bodyDiv w:val="1"/>
      <w:marLeft w:val="0"/>
      <w:marRight w:val="0"/>
      <w:marTop w:val="0"/>
      <w:marBottom w:val="0"/>
      <w:divBdr>
        <w:top w:val="none" w:sz="0" w:space="0" w:color="auto"/>
        <w:left w:val="none" w:sz="0" w:space="0" w:color="auto"/>
        <w:bottom w:val="none" w:sz="0" w:space="0" w:color="auto"/>
        <w:right w:val="none" w:sz="0" w:space="0" w:color="auto"/>
      </w:divBdr>
    </w:div>
    <w:div w:id="824397660">
      <w:bodyDiv w:val="1"/>
      <w:marLeft w:val="0"/>
      <w:marRight w:val="0"/>
      <w:marTop w:val="0"/>
      <w:marBottom w:val="0"/>
      <w:divBdr>
        <w:top w:val="none" w:sz="0" w:space="0" w:color="auto"/>
        <w:left w:val="none" w:sz="0" w:space="0" w:color="auto"/>
        <w:bottom w:val="none" w:sz="0" w:space="0" w:color="auto"/>
        <w:right w:val="none" w:sz="0" w:space="0" w:color="auto"/>
      </w:divBdr>
    </w:div>
    <w:div w:id="868568374">
      <w:bodyDiv w:val="1"/>
      <w:marLeft w:val="0"/>
      <w:marRight w:val="0"/>
      <w:marTop w:val="0"/>
      <w:marBottom w:val="0"/>
      <w:divBdr>
        <w:top w:val="none" w:sz="0" w:space="0" w:color="auto"/>
        <w:left w:val="none" w:sz="0" w:space="0" w:color="auto"/>
        <w:bottom w:val="none" w:sz="0" w:space="0" w:color="auto"/>
        <w:right w:val="none" w:sz="0" w:space="0" w:color="auto"/>
      </w:divBdr>
    </w:div>
    <w:div w:id="1179545034">
      <w:bodyDiv w:val="1"/>
      <w:marLeft w:val="0"/>
      <w:marRight w:val="0"/>
      <w:marTop w:val="0"/>
      <w:marBottom w:val="0"/>
      <w:divBdr>
        <w:top w:val="none" w:sz="0" w:space="0" w:color="auto"/>
        <w:left w:val="none" w:sz="0" w:space="0" w:color="auto"/>
        <w:bottom w:val="none" w:sz="0" w:space="0" w:color="auto"/>
        <w:right w:val="none" w:sz="0" w:space="0" w:color="auto"/>
      </w:divBdr>
    </w:div>
    <w:div w:id="1232345864">
      <w:bodyDiv w:val="1"/>
      <w:marLeft w:val="0"/>
      <w:marRight w:val="0"/>
      <w:marTop w:val="0"/>
      <w:marBottom w:val="0"/>
      <w:divBdr>
        <w:top w:val="none" w:sz="0" w:space="0" w:color="auto"/>
        <w:left w:val="none" w:sz="0" w:space="0" w:color="auto"/>
        <w:bottom w:val="none" w:sz="0" w:space="0" w:color="auto"/>
        <w:right w:val="none" w:sz="0" w:space="0" w:color="auto"/>
      </w:divBdr>
    </w:div>
    <w:div w:id="1346517793">
      <w:bodyDiv w:val="1"/>
      <w:marLeft w:val="0"/>
      <w:marRight w:val="0"/>
      <w:marTop w:val="0"/>
      <w:marBottom w:val="0"/>
      <w:divBdr>
        <w:top w:val="none" w:sz="0" w:space="0" w:color="auto"/>
        <w:left w:val="none" w:sz="0" w:space="0" w:color="auto"/>
        <w:bottom w:val="none" w:sz="0" w:space="0" w:color="auto"/>
        <w:right w:val="none" w:sz="0" w:space="0" w:color="auto"/>
      </w:divBdr>
    </w:div>
    <w:div w:id="1348824716">
      <w:bodyDiv w:val="1"/>
      <w:marLeft w:val="0"/>
      <w:marRight w:val="0"/>
      <w:marTop w:val="0"/>
      <w:marBottom w:val="0"/>
      <w:divBdr>
        <w:top w:val="none" w:sz="0" w:space="0" w:color="auto"/>
        <w:left w:val="none" w:sz="0" w:space="0" w:color="auto"/>
        <w:bottom w:val="none" w:sz="0" w:space="0" w:color="auto"/>
        <w:right w:val="none" w:sz="0" w:space="0" w:color="auto"/>
      </w:divBdr>
    </w:div>
    <w:div w:id="1415400349">
      <w:bodyDiv w:val="1"/>
      <w:marLeft w:val="0"/>
      <w:marRight w:val="0"/>
      <w:marTop w:val="0"/>
      <w:marBottom w:val="0"/>
      <w:divBdr>
        <w:top w:val="none" w:sz="0" w:space="0" w:color="auto"/>
        <w:left w:val="none" w:sz="0" w:space="0" w:color="auto"/>
        <w:bottom w:val="none" w:sz="0" w:space="0" w:color="auto"/>
        <w:right w:val="none" w:sz="0" w:space="0" w:color="auto"/>
      </w:divBdr>
    </w:div>
    <w:div w:id="1443837945">
      <w:bodyDiv w:val="1"/>
      <w:marLeft w:val="0"/>
      <w:marRight w:val="0"/>
      <w:marTop w:val="0"/>
      <w:marBottom w:val="0"/>
      <w:divBdr>
        <w:top w:val="none" w:sz="0" w:space="0" w:color="auto"/>
        <w:left w:val="none" w:sz="0" w:space="0" w:color="auto"/>
        <w:bottom w:val="none" w:sz="0" w:space="0" w:color="auto"/>
        <w:right w:val="none" w:sz="0" w:space="0" w:color="auto"/>
      </w:divBdr>
    </w:div>
    <w:div w:id="1460686879">
      <w:bodyDiv w:val="1"/>
      <w:marLeft w:val="0"/>
      <w:marRight w:val="0"/>
      <w:marTop w:val="0"/>
      <w:marBottom w:val="0"/>
      <w:divBdr>
        <w:top w:val="none" w:sz="0" w:space="0" w:color="auto"/>
        <w:left w:val="none" w:sz="0" w:space="0" w:color="auto"/>
        <w:bottom w:val="none" w:sz="0" w:space="0" w:color="auto"/>
        <w:right w:val="none" w:sz="0" w:space="0" w:color="auto"/>
      </w:divBdr>
    </w:div>
    <w:div w:id="1591309893">
      <w:bodyDiv w:val="1"/>
      <w:marLeft w:val="0"/>
      <w:marRight w:val="0"/>
      <w:marTop w:val="0"/>
      <w:marBottom w:val="0"/>
      <w:divBdr>
        <w:top w:val="none" w:sz="0" w:space="0" w:color="auto"/>
        <w:left w:val="none" w:sz="0" w:space="0" w:color="auto"/>
        <w:bottom w:val="none" w:sz="0" w:space="0" w:color="auto"/>
        <w:right w:val="none" w:sz="0" w:space="0" w:color="auto"/>
      </w:divBdr>
    </w:div>
    <w:div w:id="1634406509">
      <w:bodyDiv w:val="1"/>
      <w:marLeft w:val="0"/>
      <w:marRight w:val="0"/>
      <w:marTop w:val="0"/>
      <w:marBottom w:val="0"/>
      <w:divBdr>
        <w:top w:val="none" w:sz="0" w:space="0" w:color="auto"/>
        <w:left w:val="none" w:sz="0" w:space="0" w:color="auto"/>
        <w:bottom w:val="none" w:sz="0" w:space="0" w:color="auto"/>
        <w:right w:val="none" w:sz="0" w:space="0" w:color="auto"/>
      </w:divBdr>
    </w:div>
    <w:div w:id="1742754774">
      <w:bodyDiv w:val="1"/>
      <w:marLeft w:val="0"/>
      <w:marRight w:val="0"/>
      <w:marTop w:val="0"/>
      <w:marBottom w:val="0"/>
      <w:divBdr>
        <w:top w:val="none" w:sz="0" w:space="0" w:color="auto"/>
        <w:left w:val="none" w:sz="0" w:space="0" w:color="auto"/>
        <w:bottom w:val="none" w:sz="0" w:space="0" w:color="auto"/>
        <w:right w:val="none" w:sz="0" w:space="0" w:color="auto"/>
      </w:divBdr>
    </w:div>
    <w:div w:id="1755734767">
      <w:bodyDiv w:val="1"/>
      <w:marLeft w:val="0"/>
      <w:marRight w:val="0"/>
      <w:marTop w:val="0"/>
      <w:marBottom w:val="0"/>
      <w:divBdr>
        <w:top w:val="none" w:sz="0" w:space="0" w:color="auto"/>
        <w:left w:val="none" w:sz="0" w:space="0" w:color="auto"/>
        <w:bottom w:val="none" w:sz="0" w:space="0" w:color="auto"/>
        <w:right w:val="none" w:sz="0" w:space="0" w:color="auto"/>
      </w:divBdr>
    </w:div>
    <w:div w:id="1812282295">
      <w:bodyDiv w:val="1"/>
      <w:marLeft w:val="0"/>
      <w:marRight w:val="0"/>
      <w:marTop w:val="0"/>
      <w:marBottom w:val="0"/>
      <w:divBdr>
        <w:top w:val="none" w:sz="0" w:space="0" w:color="auto"/>
        <w:left w:val="none" w:sz="0" w:space="0" w:color="auto"/>
        <w:bottom w:val="none" w:sz="0" w:space="0" w:color="auto"/>
        <w:right w:val="none" w:sz="0" w:space="0" w:color="auto"/>
      </w:divBdr>
    </w:div>
    <w:div w:id="1883519323">
      <w:bodyDiv w:val="1"/>
      <w:marLeft w:val="0"/>
      <w:marRight w:val="0"/>
      <w:marTop w:val="0"/>
      <w:marBottom w:val="0"/>
      <w:divBdr>
        <w:top w:val="none" w:sz="0" w:space="0" w:color="auto"/>
        <w:left w:val="none" w:sz="0" w:space="0" w:color="auto"/>
        <w:bottom w:val="none" w:sz="0" w:space="0" w:color="auto"/>
        <w:right w:val="none" w:sz="0" w:space="0" w:color="auto"/>
      </w:divBdr>
    </w:div>
    <w:div w:id="1953199766">
      <w:bodyDiv w:val="1"/>
      <w:marLeft w:val="0"/>
      <w:marRight w:val="0"/>
      <w:marTop w:val="0"/>
      <w:marBottom w:val="0"/>
      <w:divBdr>
        <w:top w:val="none" w:sz="0" w:space="0" w:color="auto"/>
        <w:left w:val="none" w:sz="0" w:space="0" w:color="auto"/>
        <w:bottom w:val="none" w:sz="0" w:space="0" w:color="auto"/>
        <w:right w:val="none" w:sz="0" w:space="0" w:color="auto"/>
      </w:divBdr>
    </w:div>
    <w:div w:id="2028679906">
      <w:bodyDiv w:val="1"/>
      <w:marLeft w:val="0"/>
      <w:marRight w:val="0"/>
      <w:marTop w:val="0"/>
      <w:marBottom w:val="0"/>
      <w:divBdr>
        <w:top w:val="none" w:sz="0" w:space="0" w:color="auto"/>
        <w:left w:val="none" w:sz="0" w:space="0" w:color="auto"/>
        <w:bottom w:val="none" w:sz="0" w:space="0" w:color="auto"/>
        <w:right w:val="none" w:sz="0" w:space="0" w:color="auto"/>
      </w:divBdr>
    </w:div>
    <w:div w:id="21266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www.epw.in/journal/2023/7" TargetMode="External"/><Relationship Id="rId26" Type="http://schemas.openxmlformats.org/officeDocument/2006/relationships/hyperlink" Target="https://doi.org/10.22004/ag.econ.96935" TargetMode="External"/><Relationship Id="rId39" Type="http://schemas.openxmlformats.org/officeDocument/2006/relationships/hyperlink" Target="https://www.nabard.org/" TargetMode="External"/><Relationship Id="rId21" Type="http://schemas.openxmlformats.org/officeDocument/2006/relationships/hyperlink" Target="https://www.rbi.org.in/scripts/bs_viewcontent.aspx?Id=2240" TargetMode="External"/><Relationship Id="rId34" Type="http://schemas.openxmlformats.org/officeDocument/2006/relationships/hyperlink" Target="https://www.nabard.org/" TargetMode="External"/><Relationship Id="rId42" Type="http://schemas.openxmlformats.org/officeDocument/2006/relationships/hyperlink" Target="https://doi.org/10.9734/ajaees/2022/v40i530884" TargetMode="External"/><Relationship Id="rId47" Type="http://schemas.openxmlformats.org/officeDocument/2006/relationships/hyperlink" Target="https://doi.org/10.22004/ag.econ.47891" TargetMode="External"/><Relationship Id="rId50" Type="http://schemas.openxmlformats.org/officeDocument/2006/relationships/hyperlink" Target="https://doi.org/10.1016/j.geoforum.2024.10408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geconsearch.umn.edu/" TargetMode="External"/><Relationship Id="rId29" Type="http://schemas.openxmlformats.org/officeDocument/2006/relationships/hyperlink" Target="https://additionbooks.com/" TargetMode="External"/><Relationship Id="rId11" Type="http://schemas.openxmlformats.org/officeDocument/2006/relationships/chart" Target="charts/chart2.xml"/><Relationship Id="rId24" Type="http://schemas.openxmlformats.org/officeDocument/2006/relationships/hyperlink" Target="https://doi.org/10.22004/ag.econ.204767" TargetMode="External"/><Relationship Id="rId32" Type="http://schemas.openxmlformats.org/officeDocument/2006/relationships/hyperlink" Target="https://www.epw.in/journal/2006/11/special-articles/agricultural-credit-india.html" TargetMode="External"/><Relationship Id="rId37" Type="http://schemas.openxmlformats.org/officeDocument/2006/relationships/hyperlink" Target="https://www.nabard.org/financialreport.aspx?cid=505&amp;id=24" TargetMode="External"/><Relationship Id="rId40" Type="http://schemas.openxmlformats.org/officeDocument/2006/relationships/hyperlink" Target="https://www.mospi.gov.in/" TargetMode="External"/><Relationship Id="rId45" Type="http://schemas.openxmlformats.org/officeDocument/2006/relationships/hyperlink" Target="https://doi.org/10.56557/ajocr/2025/v10i49735"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oi.org/10.25003/RAS.02.01.0007"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5.xml"/><Relationship Id="rId22" Type="http://schemas.openxmlformats.org/officeDocument/2006/relationships/hyperlink" Target="https://www.econbiz.de/10003699833" TargetMode="External"/><Relationship Id="rId27" Type="http://schemas.openxmlformats.org/officeDocument/2006/relationships/hyperlink" Target="https://isaeindia.org/" TargetMode="External"/><Relationship Id="rId30" Type="http://schemas.openxmlformats.org/officeDocument/2006/relationships/hyperlink" Target="https://doi.org/10.1093/jeea/jvae018" TargetMode="External"/><Relationship Id="rId35" Type="http://schemas.openxmlformats.org/officeDocument/2006/relationships/hyperlink" Target="https://www.nabard.org/financialreport.aspx?cid=505&amp;id=24" TargetMode="External"/><Relationship Id="rId43" Type="http://schemas.openxmlformats.org/officeDocument/2006/relationships/hyperlink" Target="https://doi.org/10.22004/ag.econ.265859" TargetMode="External"/><Relationship Id="rId48" Type="http://schemas.openxmlformats.org/officeDocument/2006/relationships/hyperlink" Target="https://doi.org/10.22004/ag.econ.265751" TargetMode="External"/><Relationship Id="rId5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doi.org/10.33545/26175754.2026.v9.i2a.719"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https://doi.org/10.22004/ag.econ.265791" TargetMode="External"/><Relationship Id="rId25" Type="http://schemas.openxmlformats.org/officeDocument/2006/relationships/hyperlink" Target="https://doi.org/10.5281/zenodo.7647978" TargetMode="External"/><Relationship Id="rId33" Type="http://schemas.openxmlformats.org/officeDocument/2006/relationships/hyperlink" Target="https://www.nabard.org/" TargetMode="External"/><Relationship Id="rId38" Type="http://schemas.openxmlformats.org/officeDocument/2006/relationships/hyperlink" Target="https://www.nabard.org/" TargetMode="External"/><Relationship Id="rId46" Type="http://schemas.openxmlformats.org/officeDocument/2006/relationships/hyperlink" Target="https://doi.org/10.22004/ag.econ.47889" TargetMode="External"/><Relationship Id="rId20" Type="http://schemas.openxmlformats.org/officeDocument/2006/relationships/hyperlink" Target="https://ijcrt.org/" TargetMode="External"/><Relationship Id="rId41" Type="http://schemas.openxmlformats.org/officeDocument/2006/relationships/hyperlink" Target="https://www.tojqi.net/"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uments.worldbank.org/en/publication/documents-reports/documentdetail/182621468771647603" TargetMode="External"/><Relationship Id="rId23" Type="http://schemas.openxmlformats.org/officeDocument/2006/relationships/hyperlink" Target="https://isaeindia.org/" TargetMode="External"/><Relationship Id="rId28" Type="http://schemas.openxmlformats.org/officeDocument/2006/relationships/hyperlink" Target="https://www.nabard.org/" TargetMode="External"/><Relationship Id="rId36" Type="http://schemas.openxmlformats.org/officeDocument/2006/relationships/hyperlink" Target="https://www.nabard.org/nabard-annual-report-2023-24.aspx" TargetMode="External"/><Relationship Id="rId49" Type="http://schemas.openxmlformats.org/officeDocument/2006/relationships/hyperlink" Target="https://www.iima.ac.in/publication/productivity-rural-credit-review-issues-and-some-recent-literature" TargetMode="External"/><Relationship Id="rId57" Type="http://schemas.openxmlformats.org/officeDocument/2006/relationships/fontTable" Target="fontTable.xml"/><Relationship Id="rId10" Type="http://schemas.openxmlformats.org/officeDocument/2006/relationships/chart" Target="charts/chart1.xml"/><Relationship Id="rId31" Type="http://schemas.openxmlformats.org/officeDocument/2006/relationships/hyperlink" Target="https://www.rbi.org.in/" TargetMode="External"/><Relationship Id="rId44" Type="http://schemas.openxmlformats.org/officeDocument/2006/relationships/hyperlink" Target="https://www.nabard.org/" TargetMode="External"/><Relationship Id="rId52" Type="http://schemas.openxmlformats.org/officeDocument/2006/relationships/hyperlink" Target="https://doi.org/10.1108/JADEE-05-2022-0092" TargetMode="External"/><Relationship Id="rId59" Type="http://schemas.openxmlformats.org/officeDocument/2006/relationships/hyperlink" Target="https://ijcrt.org/papers/IJCRT2203395.pdf" TargetMode="External"/><Relationship Id="rId60" Type="http://schemas.openxmlformats.org/officeDocument/2006/relationships/hyperlink" Target="https://agriwelfare.gov.in/Documents/Annual%20Report%202019-20.pdf" TargetMode="External"/><Relationship Id="rId61" Type="http://schemas.openxmlformats.org/officeDocument/2006/relationships/hyperlink" Target="https://www.dpiit.gov.in/static/uploads/2025/07/87ab3268f6add155f34816a62ea9bb21.pdf" TargetMode="External"/><Relationship Id="rId62" Type="http://schemas.openxmlformats.org/officeDocument/2006/relationships/hyperlink" Target="https://www.rbi.org.in/SCRIPTs/PublicationsView.aspx?id=10198" TargetMode="External"/><Relationship Id="rId63" Type="http://schemas.openxmlformats.org/officeDocument/2006/relationships/hyperlink" Target="https://icrier.org/pdf/Working_Paper_302.pdf" TargetMode="External"/><Relationship Id="rId64" Type="http://schemas.openxmlformats.org/officeDocument/2006/relationships/hyperlink" Target="https://doi.org/10.1016/j.ecosys.2016.10.005" TargetMode="External"/><Relationship Id="rId65" Type="http://schemas.openxmlformats.org/officeDocument/2006/relationships/hyperlink" Target="https://doi.org/10.1016/j.worlddev.2012.11.001" TargetMode="External"/><Relationship Id="rId66" Type="http://schemas.openxmlformats.org/officeDocument/2006/relationships/hyperlink" Target="https://www.nabard.org/auth/writereaddata/tender/2501235626trends-and-patterns-in-agriculture-credit-in-india.pdf" TargetMode="External"/><Relationship Id="rId67" Type="http://schemas.openxmlformats.org/officeDocument/2006/relationships/hyperlink" Target="https://store.additionbooks.com/product/rural-agri-business-development-concepts-and-strategies/" TargetMode="External"/><Relationship Id="rId68" Type="http://schemas.openxmlformats.org/officeDocument/2006/relationships/hyperlink" Target="https://www.rbi.org.in/scripts/BS_ViewBulletin.aspx?Id=5715" TargetMode="External"/><Relationship Id="rId69" Type="http://schemas.openxmlformats.org/officeDocument/2006/relationships/hyperlink" Target="https://www.epw.in/journal/2006/11/banking-and-finance-money-special-issues-specials/agricultural-credit-india.html" TargetMode="External"/><Relationship Id="rId70" Type="http://schemas.openxmlformats.org/officeDocument/2006/relationships/hyperlink" Target="https://www.nabard.org/auth/writereaddata/tender/1608180417NABARD-Repo-16_Web_P.pdf" TargetMode="External"/><Relationship Id="rId71" Type="http://schemas.openxmlformats.org/officeDocument/2006/relationships/hyperlink" Target="https://www.nabard.org/auth/writereaddata/tender/1008203730Nabard%20English%20Annual%20Report%20for%20Website.pdf" TargetMode="External"/><Relationship Id="rId72" Type="http://schemas.openxmlformats.org/officeDocument/2006/relationships/hyperlink" Target="https://www.nabard.org/info-centre-state-focus-papers.aspx?cid=512&amp;id=24" TargetMode="External"/><Relationship Id="rId73" Type="http://schemas.openxmlformats.org/officeDocument/2006/relationships/hyperlink" Target="https://www.nabard.org/nabard-annual-report-2022-23.aspx" TargetMode="External"/><Relationship Id="rId74" Type="http://schemas.openxmlformats.org/officeDocument/2006/relationships/hyperlink" Target="https://nabdata.nabard.org/" TargetMode="External"/><Relationship Id="rId75" Type="http://schemas.openxmlformats.org/officeDocument/2006/relationships/hyperlink" Target="https://mospi.gov.in/themes/product/70-all-india-debt-and-investment-survey" TargetMode="External"/><Relationship Id="rId76" Type="http://schemas.openxmlformats.org/officeDocument/2006/relationships/hyperlink" Target="https://www.tojqi.net/index.php/journal/article/download/2025/1177/2206" TargetMode="External"/><Relationship Id="rId77" Type="http://schemas.openxmlformats.org/officeDocument/2006/relationships/hyperlink" Target="https://doi.org/10.22004/ag.econ.302204" TargetMode="External"/><Relationship Id="rId78" Type="http://schemas.openxmlformats.org/officeDocument/2006/relationships/hyperlink" Target="https://doi.org/10.1007/s41775-023-00187-8" TargetMode="External"/><Relationship Id="rId79" Type="http://schemas.openxmlformats.org/officeDocument/2006/relationships/hyperlink" Target="https://www.rbi.org.in/Scripts/PublicationReportDetails.aspx?ID=94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d.uws.edu.au\dfshare\StudentHomes2014\22226060\Desktop\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uws.edu.au\dfshare\StudentHomes2014\22226060\Desktop\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uws.edu.au\dfshare\StudentHomes2014\22226060\Desktop\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uws.edu.au\dfshare\StudentHomes2014\22226060\Desktop\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d.uws.edu.au\dfshare\StudentHomes2014\22226060\Desktop\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b="1">
                <a:latin typeface="Times New Roman" panose="02020603050405020304" pitchFamily="18" charset="0"/>
                <a:cs typeface="Times New Roman" panose="02020603050405020304" pitchFamily="18" charset="0"/>
              </a:rPr>
              <a:t>Credit Agencies (Rural-All </a:t>
            </a:r>
            <a:r>
              <a:rPr lang="en-US" sz="1200" b="1" i="0" u="none" strike="noStrike" baseline="0">
                <a:effectLst/>
                <a:latin typeface="Times New Roman" panose="02020603050405020304" pitchFamily="18" charset="0"/>
                <a:cs typeface="Times New Roman" panose="02020603050405020304" pitchFamily="18" charset="0"/>
              </a:rPr>
              <a:t>Households &amp; Cultivator) </a:t>
            </a:r>
            <a:endParaRPr lang="en-AU"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tx>
            <c:strRef>
              <c:f>Sheet1!$B$96</c:f>
              <c:strCache>
                <c:ptCount val="1"/>
                <c:pt idx="0">
                  <c:v>1951</c:v>
                </c:pt>
              </c:strCache>
            </c:strRef>
          </c:tx>
          <c:spPr>
            <a:solidFill>
              <a:schemeClr val="accent1"/>
            </a:solidFill>
            <a:ln>
              <a:noFill/>
            </a:ln>
            <a:effectLst/>
          </c:spPr>
          <c:invertIfNegative val="0"/>
          <c:cat>
            <c:strRef>
              <c:f>Sheet1!$A$97:$A$140</c:f>
              <c:strCache>
                <c:ptCount val="44"/>
                <c:pt idx="0">
                  <c:v>Credit Agencies</c:v>
                </c:pt>
                <c:pt idx="2">
                  <c:v>Institutional Agencies</c:v>
                </c:pt>
                <c:pt idx="3">
                  <c:v>Government</c:v>
                </c:pt>
                <c:pt idx="4">
                  <c:v>Co-operative Society/Bank</c:v>
                </c:pt>
                <c:pt idx="5">
                  <c:v>Commercial Bank incl. Regional Rural Bank</c:v>
                </c:pt>
                <c:pt idx="6">
                  <c:v>Insurance</c:v>
                </c:pt>
                <c:pt idx="7">
                  <c:v>Provident Fund</c:v>
                </c:pt>
                <c:pt idx="8">
                  <c:v>Financial corporation/institution</c:v>
                </c:pt>
                <c:pt idx="9">
                  <c:v>Financial company</c:v>
                </c:pt>
                <c:pt idx="10">
                  <c:v>Self-help group-bank linked</c:v>
                </c:pt>
                <c:pt idx="11">
                  <c:v>Self-help group-NBFC</c:v>
                </c:pt>
                <c:pt idx="12">
                  <c:v>Other Institutions</c:v>
                </c:pt>
                <c:pt idx="13">
                  <c:v>Non-Institutional Agencies</c:v>
                </c:pt>
                <c:pt idx="14">
                  <c:v>Landlord</c:v>
                </c:pt>
                <c:pt idx="15">
                  <c:v>Agricultural Money Lender</c:v>
                </c:pt>
                <c:pt idx="16">
                  <c:v>Professional Money Lender</c:v>
                </c:pt>
                <c:pt idx="17">
                  <c:v>Traders/Input supplier</c:v>
                </c:pt>
                <c:pt idx="18">
                  <c:v>Relatives and Friends</c:v>
                </c:pt>
                <c:pt idx="19">
                  <c:v>Doctors, lawyers etc.</c:v>
                </c:pt>
                <c:pt idx="20">
                  <c:v>Others Sources</c:v>
                </c:pt>
                <c:pt idx="21">
                  <c:v>Sources not specified</c:v>
                </c:pt>
                <c:pt idx="23">
                  <c:v>Institutional Agencies</c:v>
                </c:pt>
                <c:pt idx="24">
                  <c:v>Government</c:v>
                </c:pt>
                <c:pt idx="25">
                  <c:v>Co-operative Society/Bank</c:v>
                </c:pt>
                <c:pt idx="26">
                  <c:v>Commercial Bank incl Regional Rural</c:v>
                </c:pt>
                <c:pt idx="27">
                  <c:v>Bank</c:v>
                </c:pt>
                <c:pt idx="28">
                  <c:v>Insurance</c:v>
                </c:pt>
                <c:pt idx="29">
                  <c:v>Provident Fund</c:v>
                </c:pt>
                <c:pt idx="30">
                  <c:v>Financial corporation/institution</c:v>
                </c:pt>
                <c:pt idx="31">
                  <c:v>Financial company</c:v>
                </c:pt>
                <c:pt idx="32">
                  <c:v>Self-help group-bank linked</c:v>
                </c:pt>
                <c:pt idx="33">
                  <c:v>Self-help group-NBFC</c:v>
                </c:pt>
                <c:pt idx="34">
                  <c:v>Other Institutions</c:v>
                </c:pt>
                <c:pt idx="35">
                  <c:v>Non-Institutional Agencies</c:v>
                </c:pt>
                <c:pt idx="36">
                  <c:v>Landlord</c:v>
                </c:pt>
                <c:pt idx="37">
                  <c:v>Agricultural Money Lender</c:v>
                </c:pt>
                <c:pt idx="38">
                  <c:v>Professional Money Lender</c:v>
                </c:pt>
                <c:pt idx="39">
                  <c:v>Traders/Input supplier</c:v>
                </c:pt>
                <c:pt idx="40">
                  <c:v>Relatives and Friends</c:v>
                </c:pt>
                <c:pt idx="41">
                  <c:v>Doctors, lawyers etc.</c:v>
                </c:pt>
                <c:pt idx="42">
                  <c:v>Others Sources</c:v>
                </c:pt>
                <c:pt idx="43">
                  <c:v>Sources not specified</c:v>
                </c:pt>
              </c:strCache>
            </c:strRef>
          </c:cat>
          <c:val>
            <c:numRef>
              <c:f>Sheet1!$B$97:$B$140</c:f>
              <c:numCache>
                <c:formatCode>General</c:formatCode>
                <c:ptCount val="44"/>
                <c:pt idx="0">
                  <c:v>0</c:v>
                </c:pt>
                <c:pt idx="1">
                  <c:v>0</c:v>
                </c:pt>
                <c:pt idx="2">
                  <c:v>7.2</c:v>
                </c:pt>
                <c:pt idx="3">
                  <c:v>3.7</c:v>
                </c:pt>
                <c:pt idx="4">
                  <c:v>3.5</c:v>
                </c:pt>
                <c:pt idx="13">
                  <c:v>92.8</c:v>
                </c:pt>
                <c:pt idx="14">
                  <c:v>3.5</c:v>
                </c:pt>
                <c:pt idx="15">
                  <c:v>25.2</c:v>
                </c:pt>
                <c:pt idx="16">
                  <c:v>46.4</c:v>
                </c:pt>
                <c:pt idx="17">
                  <c:v>5.0999999999999996</c:v>
                </c:pt>
                <c:pt idx="18">
                  <c:v>11.5</c:v>
                </c:pt>
                <c:pt idx="21">
                  <c:v>1.1000000000000001</c:v>
                </c:pt>
                <c:pt idx="22">
                  <c:v>0</c:v>
                </c:pt>
              </c:numCache>
            </c:numRef>
          </c:val>
          <c:extLst>
            <c:ext xmlns:c16="http://schemas.microsoft.com/office/drawing/2014/chart" uri="{C3380CC4-5D6E-409C-BE32-E72D297353CC}">
              <c16:uniqueId val="{00000000-C7CE-4B93-8366-32835FA22190}"/>
            </c:ext>
          </c:extLst>
        </c:ser>
        <c:ser>
          <c:idx val="1"/>
          <c:order val="1"/>
          <c:tx>
            <c:strRef>
              <c:f>Sheet1!$C$96</c:f>
              <c:strCache>
                <c:ptCount val="1"/>
                <c:pt idx="0">
                  <c:v>1961</c:v>
                </c:pt>
              </c:strCache>
            </c:strRef>
          </c:tx>
          <c:spPr>
            <a:solidFill>
              <a:schemeClr val="accent2"/>
            </a:solidFill>
            <a:ln>
              <a:noFill/>
            </a:ln>
            <a:effectLst/>
          </c:spPr>
          <c:invertIfNegative val="0"/>
          <c:cat>
            <c:strRef>
              <c:f>Sheet1!$A$97:$A$140</c:f>
              <c:strCache>
                <c:ptCount val="44"/>
                <c:pt idx="0">
                  <c:v>Credit Agencies</c:v>
                </c:pt>
                <c:pt idx="2">
                  <c:v>Institutional Agencies</c:v>
                </c:pt>
                <c:pt idx="3">
                  <c:v>Government</c:v>
                </c:pt>
                <c:pt idx="4">
                  <c:v>Co-operative Society/Bank</c:v>
                </c:pt>
                <c:pt idx="5">
                  <c:v>Commercial Bank incl. Regional Rural Bank</c:v>
                </c:pt>
                <c:pt idx="6">
                  <c:v>Insurance</c:v>
                </c:pt>
                <c:pt idx="7">
                  <c:v>Provident Fund</c:v>
                </c:pt>
                <c:pt idx="8">
                  <c:v>Financial corporation/institution</c:v>
                </c:pt>
                <c:pt idx="9">
                  <c:v>Financial company</c:v>
                </c:pt>
                <c:pt idx="10">
                  <c:v>Self-help group-bank linked</c:v>
                </c:pt>
                <c:pt idx="11">
                  <c:v>Self-help group-NBFC</c:v>
                </c:pt>
                <c:pt idx="12">
                  <c:v>Other Institutions</c:v>
                </c:pt>
                <c:pt idx="13">
                  <c:v>Non-Institutional Agencies</c:v>
                </c:pt>
                <c:pt idx="14">
                  <c:v>Landlord</c:v>
                </c:pt>
                <c:pt idx="15">
                  <c:v>Agricultural Money Lender</c:v>
                </c:pt>
                <c:pt idx="16">
                  <c:v>Professional Money Lender</c:v>
                </c:pt>
                <c:pt idx="17">
                  <c:v>Traders/Input supplier</c:v>
                </c:pt>
                <c:pt idx="18">
                  <c:v>Relatives and Friends</c:v>
                </c:pt>
                <c:pt idx="19">
                  <c:v>Doctors, lawyers etc.</c:v>
                </c:pt>
                <c:pt idx="20">
                  <c:v>Others Sources</c:v>
                </c:pt>
                <c:pt idx="21">
                  <c:v>Sources not specified</c:v>
                </c:pt>
                <c:pt idx="23">
                  <c:v>Institutional Agencies</c:v>
                </c:pt>
                <c:pt idx="24">
                  <c:v>Government</c:v>
                </c:pt>
                <c:pt idx="25">
                  <c:v>Co-operative Society/Bank</c:v>
                </c:pt>
                <c:pt idx="26">
                  <c:v>Commercial Bank incl Regional Rural</c:v>
                </c:pt>
                <c:pt idx="27">
                  <c:v>Bank</c:v>
                </c:pt>
                <c:pt idx="28">
                  <c:v>Insurance</c:v>
                </c:pt>
                <c:pt idx="29">
                  <c:v>Provident Fund</c:v>
                </c:pt>
                <c:pt idx="30">
                  <c:v>Financial corporation/institution</c:v>
                </c:pt>
                <c:pt idx="31">
                  <c:v>Financial company</c:v>
                </c:pt>
                <c:pt idx="32">
                  <c:v>Self-help group-bank linked</c:v>
                </c:pt>
                <c:pt idx="33">
                  <c:v>Self-help group-NBFC</c:v>
                </c:pt>
                <c:pt idx="34">
                  <c:v>Other Institutions</c:v>
                </c:pt>
                <c:pt idx="35">
                  <c:v>Non-Institutional Agencies</c:v>
                </c:pt>
                <c:pt idx="36">
                  <c:v>Landlord</c:v>
                </c:pt>
                <c:pt idx="37">
                  <c:v>Agricultural Money Lender</c:v>
                </c:pt>
                <c:pt idx="38">
                  <c:v>Professional Money Lender</c:v>
                </c:pt>
                <c:pt idx="39">
                  <c:v>Traders/Input supplier</c:v>
                </c:pt>
                <c:pt idx="40">
                  <c:v>Relatives and Friends</c:v>
                </c:pt>
                <c:pt idx="41">
                  <c:v>Doctors, lawyers etc.</c:v>
                </c:pt>
                <c:pt idx="42">
                  <c:v>Others Sources</c:v>
                </c:pt>
                <c:pt idx="43">
                  <c:v>Sources not specified</c:v>
                </c:pt>
              </c:strCache>
            </c:strRef>
          </c:cat>
          <c:val>
            <c:numRef>
              <c:f>Sheet1!$C$97:$C$140</c:f>
              <c:numCache>
                <c:formatCode>General</c:formatCode>
                <c:ptCount val="44"/>
                <c:pt idx="2">
                  <c:v>17.3</c:v>
                </c:pt>
                <c:pt idx="3">
                  <c:v>6.6</c:v>
                </c:pt>
                <c:pt idx="4">
                  <c:v>10.4</c:v>
                </c:pt>
                <c:pt idx="5">
                  <c:v>0.3</c:v>
                </c:pt>
                <c:pt idx="13">
                  <c:v>82.7</c:v>
                </c:pt>
                <c:pt idx="14">
                  <c:v>1.1000000000000001</c:v>
                </c:pt>
                <c:pt idx="15">
                  <c:v>47</c:v>
                </c:pt>
                <c:pt idx="16">
                  <c:v>13.8</c:v>
                </c:pt>
                <c:pt idx="17">
                  <c:v>7.5</c:v>
                </c:pt>
                <c:pt idx="18">
                  <c:v>5.8</c:v>
                </c:pt>
                <c:pt idx="20">
                  <c:v>7.5</c:v>
                </c:pt>
                <c:pt idx="23">
                  <c:v>18.399999999999999</c:v>
                </c:pt>
                <c:pt idx="24">
                  <c:v>6.7</c:v>
                </c:pt>
                <c:pt idx="25">
                  <c:v>11.4</c:v>
                </c:pt>
                <c:pt idx="26">
                  <c:v>0.3</c:v>
                </c:pt>
                <c:pt idx="35">
                  <c:v>81.599999999999994</c:v>
                </c:pt>
                <c:pt idx="36">
                  <c:v>0.9</c:v>
                </c:pt>
                <c:pt idx="37">
                  <c:v>48.1</c:v>
                </c:pt>
                <c:pt idx="38">
                  <c:v>13.8</c:v>
                </c:pt>
                <c:pt idx="39">
                  <c:v>7.1</c:v>
                </c:pt>
                <c:pt idx="40">
                  <c:v>5.2</c:v>
                </c:pt>
                <c:pt idx="42">
                  <c:v>6.5</c:v>
                </c:pt>
              </c:numCache>
            </c:numRef>
          </c:val>
          <c:extLst>
            <c:ext xmlns:c16="http://schemas.microsoft.com/office/drawing/2014/chart" uri="{C3380CC4-5D6E-409C-BE32-E72D297353CC}">
              <c16:uniqueId val="{00000001-C7CE-4B93-8366-32835FA22190}"/>
            </c:ext>
          </c:extLst>
        </c:ser>
        <c:ser>
          <c:idx val="2"/>
          <c:order val="2"/>
          <c:tx>
            <c:strRef>
              <c:f>Sheet1!$D$96</c:f>
              <c:strCache>
                <c:ptCount val="1"/>
                <c:pt idx="0">
                  <c:v>1971</c:v>
                </c:pt>
              </c:strCache>
            </c:strRef>
          </c:tx>
          <c:spPr>
            <a:solidFill>
              <a:schemeClr val="accent3"/>
            </a:solidFill>
            <a:ln>
              <a:noFill/>
            </a:ln>
            <a:effectLst/>
          </c:spPr>
          <c:invertIfNegative val="0"/>
          <c:cat>
            <c:strRef>
              <c:f>Sheet1!$A$97:$A$140</c:f>
              <c:strCache>
                <c:ptCount val="44"/>
                <c:pt idx="0">
                  <c:v>Credit Agencies</c:v>
                </c:pt>
                <c:pt idx="2">
                  <c:v>Institutional Agencies</c:v>
                </c:pt>
                <c:pt idx="3">
                  <c:v>Government</c:v>
                </c:pt>
                <c:pt idx="4">
                  <c:v>Co-operative Society/Bank</c:v>
                </c:pt>
                <c:pt idx="5">
                  <c:v>Commercial Bank incl. Regional Rural Bank</c:v>
                </c:pt>
                <c:pt idx="6">
                  <c:v>Insurance</c:v>
                </c:pt>
                <c:pt idx="7">
                  <c:v>Provident Fund</c:v>
                </c:pt>
                <c:pt idx="8">
                  <c:v>Financial corporation/institution</c:v>
                </c:pt>
                <c:pt idx="9">
                  <c:v>Financial company</c:v>
                </c:pt>
                <c:pt idx="10">
                  <c:v>Self-help group-bank linked</c:v>
                </c:pt>
                <c:pt idx="11">
                  <c:v>Self-help group-NBFC</c:v>
                </c:pt>
                <c:pt idx="12">
                  <c:v>Other Institutions</c:v>
                </c:pt>
                <c:pt idx="13">
                  <c:v>Non-Institutional Agencies</c:v>
                </c:pt>
                <c:pt idx="14">
                  <c:v>Landlord</c:v>
                </c:pt>
                <c:pt idx="15">
                  <c:v>Agricultural Money Lender</c:v>
                </c:pt>
                <c:pt idx="16">
                  <c:v>Professional Money Lender</c:v>
                </c:pt>
                <c:pt idx="17">
                  <c:v>Traders/Input supplier</c:v>
                </c:pt>
                <c:pt idx="18">
                  <c:v>Relatives and Friends</c:v>
                </c:pt>
                <c:pt idx="19">
                  <c:v>Doctors, lawyers etc.</c:v>
                </c:pt>
                <c:pt idx="20">
                  <c:v>Others Sources</c:v>
                </c:pt>
                <c:pt idx="21">
                  <c:v>Sources not specified</c:v>
                </c:pt>
                <c:pt idx="23">
                  <c:v>Institutional Agencies</c:v>
                </c:pt>
                <c:pt idx="24">
                  <c:v>Government</c:v>
                </c:pt>
                <c:pt idx="25">
                  <c:v>Co-operative Society/Bank</c:v>
                </c:pt>
                <c:pt idx="26">
                  <c:v>Commercial Bank incl Regional Rural</c:v>
                </c:pt>
                <c:pt idx="27">
                  <c:v>Bank</c:v>
                </c:pt>
                <c:pt idx="28">
                  <c:v>Insurance</c:v>
                </c:pt>
                <c:pt idx="29">
                  <c:v>Provident Fund</c:v>
                </c:pt>
                <c:pt idx="30">
                  <c:v>Financial corporation/institution</c:v>
                </c:pt>
                <c:pt idx="31">
                  <c:v>Financial company</c:v>
                </c:pt>
                <c:pt idx="32">
                  <c:v>Self-help group-bank linked</c:v>
                </c:pt>
                <c:pt idx="33">
                  <c:v>Self-help group-NBFC</c:v>
                </c:pt>
                <c:pt idx="34">
                  <c:v>Other Institutions</c:v>
                </c:pt>
                <c:pt idx="35">
                  <c:v>Non-Institutional Agencies</c:v>
                </c:pt>
                <c:pt idx="36">
                  <c:v>Landlord</c:v>
                </c:pt>
                <c:pt idx="37">
                  <c:v>Agricultural Money Lender</c:v>
                </c:pt>
                <c:pt idx="38">
                  <c:v>Professional Money Lender</c:v>
                </c:pt>
                <c:pt idx="39">
                  <c:v>Traders/Input supplier</c:v>
                </c:pt>
                <c:pt idx="40">
                  <c:v>Relatives and Friends</c:v>
                </c:pt>
                <c:pt idx="41">
                  <c:v>Doctors, lawyers etc.</c:v>
                </c:pt>
                <c:pt idx="42">
                  <c:v>Others Sources</c:v>
                </c:pt>
                <c:pt idx="43">
                  <c:v>Sources not specified</c:v>
                </c:pt>
              </c:strCache>
            </c:strRef>
          </c:cat>
          <c:val>
            <c:numRef>
              <c:f>Sheet1!$D$97:$D$140</c:f>
              <c:numCache>
                <c:formatCode>General</c:formatCode>
                <c:ptCount val="44"/>
                <c:pt idx="2">
                  <c:v>29.2</c:v>
                </c:pt>
                <c:pt idx="3">
                  <c:v>6.7</c:v>
                </c:pt>
                <c:pt idx="4">
                  <c:v>20.100000000000001</c:v>
                </c:pt>
                <c:pt idx="5">
                  <c:v>2.2000000000000002</c:v>
                </c:pt>
                <c:pt idx="6">
                  <c:v>0.1</c:v>
                </c:pt>
                <c:pt idx="7">
                  <c:v>0.1</c:v>
                </c:pt>
                <c:pt idx="12">
                  <c:v>0</c:v>
                </c:pt>
                <c:pt idx="13">
                  <c:v>70.8</c:v>
                </c:pt>
                <c:pt idx="14">
                  <c:v>8.6</c:v>
                </c:pt>
                <c:pt idx="15">
                  <c:v>23.1</c:v>
                </c:pt>
                <c:pt idx="16">
                  <c:v>13.8</c:v>
                </c:pt>
                <c:pt idx="17">
                  <c:v>8.6999999999999993</c:v>
                </c:pt>
                <c:pt idx="18">
                  <c:v>13.8</c:v>
                </c:pt>
                <c:pt idx="21">
                  <c:v>2.8</c:v>
                </c:pt>
                <c:pt idx="23">
                  <c:v>31.7</c:v>
                </c:pt>
                <c:pt idx="24">
                  <c:v>7.1</c:v>
                </c:pt>
                <c:pt idx="25">
                  <c:v>22</c:v>
                </c:pt>
                <c:pt idx="26">
                  <c:v>2.4</c:v>
                </c:pt>
                <c:pt idx="28">
                  <c:v>0.1</c:v>
                </c:pt>
                <c:pt idx="29">
                  <c:v>0.1</c:v>
                </c:pt>
                <c:pt idx="35">
                  <c:v>68.3</c:v>
                </c:pt>
                <c:pt idx="36">
                  <c:v>8.1</c:v>
                </c:pt>
                <c:pt idx="37">
                  <c:v>23</c:v>
                </c:pt>
                <c:pt idx="38">
                  <c:v>13.1</c:v>
                </c:pt>
                <c:pt idx="39">
                  <c:v>8.4</c:v>
                </c:pt>
                <c:pt idx="40">
                  <c:v>13.1</c:v>
                </c:pt>
                <c:pt idx="42">
                  <c:v>2.6</c:v>
                </c:pt>
              </c:numCache>
            </c:numRef>
          </c:val>
          <c:extLst>
            <c:ext xmlns:c16="http://schemas.microsoft.com/office/drawing/2014/chart" uri="{C3380CC4-5D6E-409C-BE32-E72D297353CC}">
              <c16:uniqueId val="{00000002-C7CE-4B93-8366-32835FA22190}"/>
            </c:ext>
          </c:extLst>
        </c:ser>
        <c:ser>
          <c:idx val="3"/>
          <c:order val="3"/>
          <c:tx>
            <c:strRef>
              <c:f>Sheet1!$E$96</c:f>
              <c:strCache>
                <c:ptCount val="1"/>
                <c:pt idx="0">
                  <c:v>1981</c:v>
                </c:pt>
              </c:strCache>
            </c:strRef>
          </c:tx>
          <c:spPr>
            <a:solidFill>
              <a:schemeClr val="accent4"/>
            </a:solidFill>
            <a:ln>
              <a:noFill/>
            </a:ln>
            <a:effectLst/>
          </c:spPr>
          <c:invertIfNegative val="0"/>
          <c:cat>
            <c:strRef>
              <c:f>Sheet1!$A$97:$A$140</c:f>
              <c:strCache>
                <c:ptCount val="44"/>
                <c:pt idx="0">
                  <c:v>Credit Agencies</c:v>
                </c:pt>
                <c:pt idx="2">
                  <c:v>Institutional Agencies</c:v>
                </c:pt>
                <c:pt idx="3">
                  <c:v>Government</c:v>
                </c:pt>
                <c:pt idx="4">
                  <c:v>Co-operative Society/Bank</c:v>
                </c:pt>
                <c:pt idx="5">
                  <c:v>Commercial Bank incl. Regional Rural Bank</c:v>
                </c:pt>
                <c:pt idx="6">
                  <c:v>Insurance</c:v>
                </c:pt>
                <c:pt idx="7">
                  <c:v>Provident Fund</c:v>
                </c:pt>
                <c:pt idx="8">
                  <c:v>Financial corporation/institution</c:v>
                </c:pt>
                <c:pt idx="9">
                  <c:v>Financial company</c:v>
                </c:pt>
                <c:pt idx="10">
                  <c:v>Self-help group-bank linked</c:v>
                </c:pt>
                <c:pt idx="11">
                  <c:v>Self-help group-NBFC</c:v>
                </c:pt>
                <c:pt idx="12">
                  <c:v>Other Institutions</c:v>
                </c:pt>
                <c:pt idx="13">
                  <c:v>Non-Institutional Agencies</c:v>
                </c:pt>
                <c:pt idx="14">
                  <c:v>Landlord</c:v>
                </c:pt>
                <c:pt idx="15">
                  <c:v>Agricultural Money Lender</c:v>
                </c:pt>
                <c:pt idx="16">
                  <c:v>Professional Money Lender</c:v>
                </c:pt>
                <c:pt idx="17">
                  <c:v>Traders/Input supplier</c:v>
                </c:pt>
                <c:pt idx="18">
                  <c:v>Relatives and Friends</c:v>
                </c:pt>
                <c:pt idx="19">
                  <c:v>Doctors, lawyers etc.</c:v>
                </c:pt>
                <c:pt idx="20">
                  <c:v>Others Sources</c:v>
                </c:pt>
                <c:pt idx="21">
                  <c:v>Sources not specified</c:v>
                </c:pt>
                <c:pt idx="23">
                  <c:v>Institutional Agencies</c:v>
                </c:pt>
                <c:pt idx="24">
                  <c:v>Government</c:v>
                </c:pt>
                <c:pt idx="25">
                  <c:v>Co-operative Society/Bank</c:v>
                </c:pt>
                <c:pt idx="26">
                  <c:v>Commercial Bank incl Regional Rural</c:v>
                </c:pt>
                <c:pt idx="27">
                  <c:v>Bank</c:v>
                </c:pt>
                <c:pt idx="28">
                  <c:v>Insurance</c:v>
                </c:pt>
                <c:pt idx="29">
                  <c:v>Provident Fund</c:v>
                </c:pt>
                <c:pt idx="30">
                  <c:v>Financial corporation/institution</c:v>
                </c:pt>
                <c:pt idx="31">
                  <c:v>Financial company</c:v>
                </c:pt>
                <c:pt idx="32">
                  <c:v>Self-help group-bank linked</c:v>
                </c:pt>
                <c:pt idx="33">
                  <c:v>Self-help group-NBFC</c:v>
                </c:pt>
                <c:pt idx="34">
                  <c:v>Other Institutions</c:v>
                </c:pt>
                <c:pt idx="35">
                  <c:v>Non-Institutional Agencies</c:v>
                </c:pt>
                <c:pt idx="36">
                  <c:v>Landlord</c:v>
                </c:pt>
                <c:pt idx="37">
                  <c:v>Agricultural Money Lender</c:v>
                </c:pt>
                <c:pt idx="38">
                  <c:v>Professional Money Lender</c:v>
                </c:pt>
                <c:pt idx="39">
                  <c:v>Traders/Input supplier</c:v>
                </c:pt>
                <c:pt idx="40">
                  <c:v>Relatives and Friends</c:v>
                </c:pt>
                <c:pt idx="41">
                  <c:v>Doctors, lawyers etc.</c:v>
                </c:pt>
                <c:pt idx="42">
                  <c:v>Others Sources</c:v>
                </c:pt>
                <c:pt idx="43">
                  <c:v>Sources not specified</c:v>
                </c:pt>
              </c:strCache>
            </c:strRef>
          </c:cat>
          <c:val>
            <c:numRef>
              <c:f>Sheet1!$E$97:$E$140</c:f>
              <c:numCache>
                <c:formatCode>General</c:formatCode>
                <c:ptCount val="44"/>
                <c:pt idx="2">
                  <c:v>61.2</c:v>
                </c:pt>
                <c:pt idx="3">
                  <c:v>4</c:v>
                </c:pt>
                <c:pt idx="4">
                  <c:v>28.6</c:v>
                </c:pt>
                <c:pt idx="5">
                  <c:v>28</c:v>
                </c:pt>
                <c:pt idx="6">
                  <c:v>0.3</c:v>
                </c:pt>
                <c:pt idx="7">
                  <c:v>0.3</c:v>
                </c:pt>
                <c:pt idx="13">
                  <c:v>38.799999999999997</c:v>
                </c:pt>
                <c:pt idx="14">
                  <c:v>4</c:v>
                </c:pt>
                <c:pt idx="15">
                  <c:v>8.6</c:v>
                </c:pt>
                <c:pt idx="16">
                  <c:v>8.3000000000000007</c:v>
                </c:pt>
                <c:pt idx="17">
                  <c:v>3.4</c:v>
                </c:pt>
                <c:pt idx="18">
                  <c:v>9</c:v>
                </c:pt>
                <c:pt idx="20">
                  <c:v>4.9000000000000004</c:v>
                </c:pt>
                <c:pt idx="21">
                  <c:v>0.6</c:v>
                </c:pt>
                <c:pt idx="23">
                  <c:v>63.2</c:v>
                </c:pt>
                <c:pt idx="24">
                  <c:v>3.9</c:v>
                </c:pt>
                <c:pt idx="25">
                  <c:v>29.8</c:v>
                </c:pt>
                <c:pt idx="26">
                  <c:v>28.8</c:v>
                </c:pt>
                <c:pt idx="28">
                  <c:v>0.4</c:v>
                </c:pt>
                <c:pt idx="29">
                  <c:v>0.3</c:v>
                </c:pt>
                <c:pt idx="35">
                  <c:v>36.799999999999997</c:v>
                </c:pt>
                <c:pt idx="36">
                  <c:v>3.7</c:v>
                </c:pt>
                <c:pt idx="37">
                  <c:v>8.3000000000000007</c:v>
                </c:pt>
                <c:pt idx="38">
                  <c:v>7.8</c:v>
                </c:pt>
                <c:pt idx="39">
                  <c:v>3.1</c:v>
                </c:pt>
                <c:pt idx="40">
                  <c:v>8.6999999999999993</c:v>
                </c:pt>
                <c:pt idx="42">
                  <c:v>4.5</c:v>
                </c:pt>
                <c:pt idx="43">
                  <c:v>0.7</c:v>
                </c:pt>
              </c:numCache>
            </c:numRef>
          </c:val>
          <c:extLst>
            <c:ext xmlns:c16="http://schemas.microsoft.com/office/drawing/2014/chart" uri="{C3380CC4-5D6E-409C-BE32-E72D297353CC}">
              <c16:uniqueId val="{00000003-C7CE-4B93-8366-32835FA22190}"/>
            </c:ext>
          </c:extLst>
        </c:ser>
        <c:ser>
          <c:idx val="4"/>
          <c:order val="4"/>
          <c:tx>
            <c:strRef>
              <c:f>Sheet1!$F$96</c:f>
              <c:strCache>
                <c:ptCount val="1"/>
                <c:pt idx="0">
                  <c:v>1991</c:v>
                </c:pt>
              </c:strCache>
            </c:strRef>
          </c:tx>
          <c:spPr>
            <a:solidFill>
              <a:schemeClr val="accent5"/>
            </a:solidFill>
            <a:ln>
              <a:noFill/>
            </a:ln>
            <a:effectLst/>
          </c:spPr>
          <c:invertIfNegative val="0"/>
          <c:cat>
            <c:strRef>
              <c:f>Sheet1!$A$97:$A$140</c:f>
              <c:strCache>
                <c:ptCount val="44"/>
                <c:pt idx="0">
                  <c:v>Credit Agencies</c:v>
                </c:pt>
                <c:pt idx="2">
                  <c:v>Institutional Agencies</c:v>
                </c:pt>
                <c:pt idx="3">
                  <c:v>Government</c:v>
                </c:pt>
                <c:pt idx="4">
                  <c:v>Co-operative Society/Bank</c:v>
                </c:pt>
                <c:pt idx="5">
                  <c:v>Commercial Bank incl. Regional Rural Bank</c:v>
                </c:pt>
                <c:pt idx="6">
                  <c:v>Insurance</c:v>
                </c:pt>
                <c:pt idx="7">
                  <c:v>Provident Fund</c:v>
                </c:pt>
                <c:pt idx="8">
                  <c:v>Financial corporation/institution</c:v>
                </c:pt>
                <c:pt idx="9">
                  <c:v>Financial company</c:v>
                </c:pt>
                <c:pt idx="10">
                  <c:v>Self-help group-bank linked</c:v>
                </c:pt>
                <c:pt idx="11">
                  <c:v>Self-help group-NBFC</c:v>
                </c:pt>
                <c:pt idx="12">
                  <c:v>Other Institutions</c:v>
                </c:pt>
                <c:pt idx="13">
                  <c:v>Non-Institutional Agencies</c:v>
                </c:pt>
                <c:pt idx="14">
                  <c:v>Landlord</c:v>
                </c:pt>
                <c:pt idx="15">
                  <c:v>Agricultural Money Lender</c:v>
                </c:pt>
                <c:pt idx="16">
                  <c:v>Professional Money Lender</c:v>
                </c:pt>
                <c:pt idx="17">
                  <c:v>Traders/Input supplier</c:v>
                </c:pt>
                <c:pt idx="18">
                  <c:v>Relatives and Friends</c:v>
                </c:pt>
                <c:pt idx="19">
                  <c:v>Doctors, lawyers etc.</c:v>
                </c:pt>
                <c:pt idx="20">
                  <c:v>Others Sources</c:v>
                </c:pt>
                <c:pt idx="21">
                  <c:v>Sources not specified</c:v>
                </c:pt>
                <c:pt idx="23">
                  <c:v>Institutional Agencies</c:v>
                </c:pt>
                <c:pt idx="24">
                  <c:v>Government</c:v>
                </c:pt>
                <c:pt idx="25">
                  <c:v>Co-operative Society/Bank</c:v>
                </c:pt>
                <c:pt idx="26">
                  <c:v>Commercial Bank incl Regional Rural</c:v>
                </c:pt>
                <c:pt idx="27">
                  <c:v>Bank</c:v>
                </c:pt>
                <c:pt idx="28">
                  <c:v>Insurance</c:v>
                </c:pt>
                <c:pt idx="29">
                  <c:v>Provident Fund</c:v>
                </c:pt>
                <c:pt idx="30">
                  <c:v>Financial corporation/institution</c:v>
                </c:pt>
                <c:pt idx="31">
                  <c:v>Financial company</c:v>
                </c:pt>
                <c:pt idx="32">
                  <c:v>Self-help group-bank linked</c:v>
                </c:pt>
                <c:pt idx="33">
                  <c:v>Self-help group-NBFC</c:v>
                </c:pt>
                <c:pt idx="34">
                  <c:v>Other Institutions</c:v>
                </c:pt>
                <c:pt idx="35">
                  <c:v>Non-Institutional Agencies</c:v>
                </c:pt>
                <c:pt idx="36">
                  <c:v>Landlord</c:v>
                </c:pt>
                <c:pt idx="37">
                  <c:v>Agricultural Money Lender</c:v>
                </c:pt>
                <c:pt idx="38">
                  <c:v>Professional Money Lender</c:v>
                </c:pt>
                <c:pt idx="39">
                  <c:v>Traders/Input supplier</c:v>
                </c:pt>
                <c:pt idx="40">
                  <c:v>Relatives and Friends</c:v>
                </c:pt>
                <c:pt idx="41">
                  <c:v>Doctors, lawyers etc.</c:v>
                </c:pt>
                <c:pt idx="42">
                  <c:v>Others Sources</c:v>
                </c:pt>
                <c:pt idx="43">
                  <c:v>Sources not specified</c:v>
                </c:pt>
              </c:strCache>
            </c:strRef>
          </c:cat>
          <c:val>
            <c:numRef>
              <c:f>Sheet1!$F$97:$F$140</c:f>
              <c:numCache>
                <c:formatCode>General</c:formatCode>
                <c:ptCount val="44"/>
                <c:pt idx="2">
                  <c:v>64</c:v>
                </c:pt>
                <c:pt idx="3">
                  <c:v>6.1</c:v>
                </c:pt>
                <c:pt idx="4">
                  <c:v>21.6</c:v>
                </c:pt>
                <c:pt idx="5">
                  <c:v>33.700000000000003</c:v>
                </c:pt>
                <c:pt idx="6">
                  <c:v>0.3</c:v>
                </c:pt>
                <c:pt idx="7">
                  <c:v>0.7</c:v>
                </c:pt>
                <c:pt idx="12">
                  <c:v>1.6</c:v>
                </c:pt>
                <c:pt idx="13">
                  <c:v>36</c:v>
                </c:pt>
                <c:pt idx="14">
                  <c:v>4</c:v>
                </c:pt>
                <c:pt idx="15">
                  <c:v>7.1</c:v>
                </c:pt>
                <c:pt idx="16">
                  <c:v>10.5</c:v>
                </c:pt>
                <c:pt idx="17">
                  <c:v>2.5</c:v>
                </c:pt>
                <c:pt idx="18">
                  <c:v>5.5</c:v>
                </c:pt>
                <c:pt idx="19">
                  <c:v>0.2</c:v>
                </c:pt>
                <c:pt idx="20">
                  <c:v>3</c:v>
                </c:pt>
                <c:pt idx="21">
                  <c:v>3.3</c:v>
                </c:pt>
                <c:pt idx="23">
                  <c:v>66.3</c:v>
                </c:pt>
                <c:pt idx="24">
                  <c:v>5.7</c:v>
                </c:pt>
                <c:pt idx="25">
                  <c:v>23.6</c:v>
                </c:pt>
                <c:pt idx="26">
                  <c:v>35.200000000000003</c:v>
                </c:pt>
                <c:pt idx="28">
                  <c:v>0.2</c:v>
                </c:pt>
                <c:pt idx="29">
                  <c:v>0.5</c:v>
                </c:pt>
                <c:pt idx="34">
                  <c:v>1.1000000000000001</c:v>
                </c:pt>
                <c:pt idx="35">
                  <c:v>33.700000000000003</c:v>
                </c:pt>
                <c:pt idx="36">
                  <c:v>3.7</c:v>
                </c:pt>
                <c:pt idx="37">
                  <c:v>6.8</c:v>
                </c:pt>
                <c:pt idx="38">
                  <c:v>10.7</c:v>
                </c:pt>
                <c:pt idx="39">
                  <c:v>2.2000000000000002</c:v>
                </c:pt>
                <c:pt idx="40">
                  <c:v>4.5999999999999996</c:v>
                </c:pt>
                <c:pt idx="41">
                  <c:v>0.2</c:v>
                </c:pt>
                <c:pt idx="42">
                  <c:v>2.4</c:v>
                </c:pt>
                <c:pt idx="43">
                  <c:v>3.1</c:v>
                </c:pt>
              </c:numCache>
            </c:numRef>
          </c:val>
          <c:extLst>
            <c:ext xmlns:c16="http://schemas.microsoft.com/office/drawing/2014/chart" uri="{C3380CC4-5D6E-409C-BE32-E72D297353CC}">
              <c16:uniqueId val="{00000004-C7CE-4B93-8366-32835FA22190}"/>
            </c:ext>
          </c:extLst>
        </c:ser>
        <c:ser>
          <c:idx val="5"/>
          <c:order val="5"/>
          <c:tx>
            <c:strRef>
              <c:f>Sheet1!$G$96</c:f>
              <c:strCache>
                <c:ptCount val="1"/>
                <c:pt idx="0">
                  <c:v>2002</c:v>
                </c:pt>
              </c:strCache>
            </c:strRef>
          </c:tx>
          <c:spPr>
            <a:solidFill>
              <a:schemeClr val="accent6"/>
            </a:solidFill>
            <a:ln>
              <a:noFill/>
            </a:ln>
            <a:effectLst/>
          </c:spPr>
          <c:invertIfNegative val="0"/>
          <c:cat>
            <c:strRef>
              <c:f>Sheet1!$A$97:$A$140</c:f>
              <c:strCache>
                <c:ptCount val="44"/>
                <c:pt idx="0">
                  <c:v>Credit Agencies</c:v>
                </c:pt>
                <c:pt idx="2">
                  <c:v>Institutional Agencies</c:v>
                </c:pt>
                <c:pt idx="3">
                  <c:v>Government</c:v>
                </c:pt>
                <c:pt idx="4">
                  <c:v>Co-operative Society/Bank</c:v>
                </c:pt>
                <c:pt idx="5">
                  <c:v>Commercial Bank incl. Regional Rural Bank</c:v>
                </c:pt>
                <c:pt idx="6">
                  <c:v>Insurance</c:v>
                </c:pt>
                <c:pt idx="7">
                  <c:v>Provident Fund</c:v>
                </c:pt>
                <c:pt idx="8">
                  <c:v>Financial corporation/institution</c:v>
                </c:pt>
                <c:pt idx="9">
                  <c:v>Financial company</c:v>
                </c:pt>
                <c:pt idx="10">
                  <c:v>Self-help group-bank linked</c:v>
                </c:pt>
                <c:pt idx="11">
                  <c:v>Self-help group-NBFC</c:v>
                </c:pt>
                <c:pt idx="12">
                  <c:v>Other Institutions</c:v>
                </c:pt>
                <c:pt idx="13">
                  <c:v>Non-Institutional Agencies</c:v>
                </c:pt>
                <c:pt idx="14">
                  <c:v>Landlord</c:v>
                </c:pt>
                <c:pt idx="15">
                  <c:v>Agricultural Money Lender</c:v>
                </c:pt>
                <c:pt idx="16">
                  <c:v>Professional Money Lender</c:v>
                </c:pt>
                <c:pt idx="17">
                  <c:v>Traders/Input supplier</c:v>
                </c:pt>
                <c:pt idx="18">
                  <c:v>Relatives and Friends</c:v>
                </c:pt>
                <c:pt idx="19">
                  <c:v>Doctors, lawyers etc.</c:v>
                </c:pt>
                <c:pt idx="20">
                  <c:v>Others Sources</c:v>
                </c:pt>
                <c:pt idx="21">
                  <c:v>Sources not specified</c:v>
                </c:pt>
                <c:pt idx="23">
                  <c:v>Institutional Agencies</c:v>
                </c:pt>
                <c:pt idx="24">
                  <c:v>Government</c:v>
                </c:pt>
                <c:pt idx="25">
                  <c:v>Co-operative Society/Bank</c:v>
                </c:pt>
                <c:pt idx="26">
                  <c:v>Commercial Bank incl Regional Rural</c:v>
                </c:pt>
                <c:pt idx="27">
                  <c:v>Bank</c:v>
                </c:pt>
                <c:pt idx="28">
                  <c:v>Insurance</c:v>
                </c:pt>
                <c:pt idx="29">
                  <c:v>Provident Fund</c:v>
                </c:pt>
                <c:pt idx="30">
                  <c:v>Financial corporation/institution</c:v>
                </c:pt>
                <c:pt idx="31">
                  <c:v>Financial company</c:v>
                </c:pt>
                <c:pt idx="32">
                  <c:v>Self-help group-bank linked</c:v>
                </c:pt>
                <c:pt idx="33">
                  <c:v>Self-help group-NBFC</c:v>
                </c:pt>
                <c:pt idx="34">
                  <c:v>Other Institutions</c:v>
                </c:pt>
                <c:pt idx="35">
                  <c:v>Non-Institutional Agencies</c:v>
                </c:pt>
                <c:pt idx="36">
                  <c:v>Landlord</c:v>
                </c:pt>
                <c:pt idx="37">
                  <c:v>Agricultural Money Lender</c:v>
                </c:pt>
                <c:pt idx="38">
                  <c:v>Professional Money Lender</c:v>
                </c:pt>
                <c:pt idx="39">
                  <c:v>Traders/Input supplier</c:v>
                </c:pt>
                <c:pt idx="40">
                  <c:v>Relatives and Friends</c:v>
                </c:pt>
                <c:pt idx="41">
                  <c:v>Doctors, lawyers etc.</c:v>
                </c:pt>
                <c:pt idx="42">
                  <c:v>Others Sources</c:v>
                </c:pt>
                <c:pt idx="43">
                  <c:v>Sources not specified</c:v>
                </c:pt>
              </c:strCache>
            </c:strRef>
          </c:cat>
          <c:val>
            <c:numRef>
              <c:f>Sheet1!$G$97:$G$140</c:f>
              <c:numCache>
                <c:formatCode>General</c:formatCode>
                <c:ptCount val="44"/>
                <c:pt idx="2">
                  <c:v>57.1</c:v>
                </c:pt>
                <c:pt idx="3">
                  <c:v>2.2999999999999998</c:v>
                </c:pt>
                <c:pt idx="4">
                  <c:v>27.3</c:v>
                </c:pt>
                <c:pt idx="5">
                  <c:v>24.5</c:v>
                </c:pt>
                <c:pt idx="6">
                  <c:v>0.3</c:v>
                </c:pt>
                <c:pt idx="7">
                  <c:v>0.3</c:v>
                </c:pt>
                <c:pt idx="8">
                  <c:v>1.1000000000000001</c:v>
                </c:pt>
                <c:pt idx="9">
                  <c:v>0.6</c:v>
                </c:pt>
                <c:pt idx="12">
                  <c:v>0.7</c:v>
                </c:pt>
                <c:pt idx="13">
                  <c:v>42.9</c:v>
                </c:pt>
                <c:pt idx="14">
                  <c:v>1</c:v>
                </c:pt>
                <c:pt idx="15">
                  <c:v>10</c:v>
                </c:pt>
                <c:pt idx="16">
                  <c:v>19.600000000000001</c:v>
                </c:pt>
                <c:pt idx="17">
                  <c:v>2.6</c:v>
                </c:pt>
                <c:pt idx="18">
                  <c:v>7.1</c:v>
                </c:pt>
                <c:pt idx="19">
                  <c:v>0.3</c:v>
                </c:pt>
                <c:pt idx="20">
                  <c:v>2.2999999999999998</c:v>
                </c:pt>
                <c:pt idx="23">
                  <c:v>61.1</c:v>
                </c:pt>
                <c:pt idx="24">
                  <c:v>1.7</c:v>
                </c:pt>
                <c:pt idx="25">
                  <c:v>30.2</c:v>
                </c:pt>
                <c:pt idx="26">
                  <c:v>26.3</c:v>
                </c:pt>
                <c:pt idx="28">
                  <c:v>0.3</c:v>
                </c:pt>
                <c:pt idx="29">
                  <c:v>0.2</c:v>
                </c:pt>
                <c:pt idx="30">
                  <c:v>1</c:v>
                </c:pt>
                <c:pt idx="31">
                  <c:v>0.7</c:v>
                </c:pt>
                <c:pt idx="34">
                  <c:v>0.7</c:v>
                </c:pt>
                <c:pt idx="35">
                  <c:v>38.9</c:v>
                </c:pt>
                <c:pt idx="36">
                  <c:v>0.9</c:v>
                </c:pt>
                <c:pt idx="37">
                  <c:v>9.9</c:v>
                </c:pt>
                <c:pt idx="38">
                  <c:v>16.899999999999999</c:v>
                </c:pt>
                <c:pt idx="39">
                  <c:v>2.6</c:v>
                </c:pt>
                <c:pt idx="40">
                  <c:v>6.2</c:v>
                </c:pt>
                <c:pt idx="41">
                  <c:v>0.4</c:v>
                </c:pt>
                <c:pt idx="42">
                  <c:v>2</c:v>
                </c:pt>
              </c:numCache>
            </c:numRef>
          </c:val>
          <c:extLst>
            <c:ext xmlns:c16="http://schemas.microsoft.com/office/drawing/2014/chart" uri="{C3380CC4-5D6E-409C-BE32-E72D297353CC}">
              <c16:uniqueId val="{00000005-C7CE-4B93-8366-32835FA22190}"/>
            </c:ext>
          </c:extLst>
        </c:ser>
        <c:ser>
          <c:idx val="6"/>
          <c:order val="6"/>
          <c:tx>
            <c:strRef>
              <c:f>Sheet1!$H$96</c:f>
              <c:strCache>
                <c:ptCount val="1"/>
                <c:pt idx="0">
                  <c:v>2012</c:v>
                </c:pt>
              </c:strCache>
            </c:strRef>
          </c:tx>
          <c:spPr>
            <a:solidFill>
              <a:schemeClr val="accent1">
                <a:lumMod val="60000"/>
              </a:schemeClr>
            </a:solidFill>
            <a:ln>
              <a:noFill/>
            </a:ln>
            <a:effectLst/>
          </c:spPr>
          <c:invertIfNegative val="0"/>
          <c:cat>
            <c:strRef>
              <c:f>Sheet1!$A$97:$A$140</c:f>
              <c:strCache>
                <c:ptCount val="44"/>
                <c:pt idx="0">
                  <c:v>Credit Agencies</c:v>
                </c:pt>
                <c:pt idx="2">
                  <c:v>Institutional Agencies</c:v>
                </c:pt>
                <c:pt idx="3">
                  <c:v>Government</c:v>
                </c:pt>
                <c:pt idx="4">
                  <c:v>Co-operative Society/Bank</c:v>
                </c:pt>
                <c:pt idx="5">
                  <c:v>Commercial Bank incl. Regional Rural Bank</c:v>
                </c:pt>
                <c:pt idx="6">
                  <c:v>Insurance</c:v>
                </c:pt>
                <c:pt idx="7">
                  <c:v>Provident Fund</c:v>
                </c:pt>
                <c:pt idx="8">
                  <c:v>Financial corporation/institution</c:v>
                </c:pt>
                <c:pt idx="9">
                  <c:v>Financial company</c:v>
                </c:pt>
                <c:pt idx="10">
                  <c:v>Self-help group-bank linked</c:v>
                </c:pt>
                <c:pt idx="11">
                  <c:v>Self-help group-NBFC</c:v>
                </c:pt>
                <c:pt idx="12">
                  <c:v>Other Institutions</c:v>
                </c:pt>
                <c:pt idx="13">
                  <c:v>Non-Institutional Agencies</c:v>
                </c:pt>
                <c:pt idx="14">
                  <c:v>Landlord</c:v>
                </c:pt>
                <c:pt idx="15">
                  <c:v>Agricultural Money Lender</c:v>
                </c:pt>
                <c:pt idx="16">
                  <c:v>Professional Money Lender</c:v>
                </c:pt>
                <c:pt idx="17">
                  <c:v>Traders/Input supplier</c:v>
                </c:pt>
                <c:pt idx="18">
                  <c:v>Relatives and Friends</c:v>
                </c:pt>
                <c:pt idx="19">
                  <c:v>Doctors, lawyers etc.</c:v>
                </c:pt>
                <c:pt idx="20">
                  <c:v>Others Sources</c:v>
                </c:pt>
                <c:pt idx="21">
                  <c:v>Sources not specified</c:v>
                </c:pt>
                <c:pt idx="23">
                  <c:v>Institutional Agencies</c:v>
                </c:pt>
                <c:pt idx="24">
                  <c:v>Government</c:v>
                </c:pt>
                <c:pt idx="25">
                  <c:v>Co-operative Society/Bank</c:v>
                </c:pt>
                <c:pt idx="26">
                  <c:v>Commercial Bank incl Regional Rural</c:v>
                </c:pt>
                <c:pt idx="27">
                  <c:v>Bank</c:v>
                </c:pt>
                <c:pt idx="28">
                  <c:v>Insurance</c:v>
                </c:pt>
                <c:pt idx="29">
                  <c:v>Provident Fund</c:v>
                </c:pt>
                <c:pt idx="30">
                  <c:v>Financial corporation/institution</c:v>
                </c:pt>
                <c:pt idx="31">
                  <c:v>Financial company</c:v>
                </c:pt>
                <c:pt idx="32">
                  <c:v>Self-help group-bank linked</c:v>
                </c:pt>
                <c:pt idx="33">
                  <c:v>Self-help group-NBFC</c:v>
                </c:pt>
                <c:pt idx="34">
                  <c:v>Other Institutions</c:v>
                </c:pt>
                <c:pt idx="35">
                  <c:v>Non-Institutional Agencies</c:v>
                </c:pt>
                <c:pt idx="36">
                  <c:v>Landlord</c:v>
                </c:pt>
                <c:pt idx="37">
                  <c:v>Agricultural Money Lender</c:v>
                </c:pt>
                <c:pt idx="38">
                  <c:v>Professional Money Lender</c:v>
                </c:pt>
                <c:pt idx="39">
                  <c:v>Traders/Input supplier</c:v>
                </c:pt>
                <c:pt idx="40">
                  <c:v>Relatives and Friends</c:v>
                </c:pt>
                <c:pt idx="41">
                  <c:v>Doctors, lawyers etc.</c:v>
                </c:pt>
                <c:pt idx="42">
                  <c:v>Others Sources</c:v>
                </c:pt>
                <c:pt idx="43">
                  <c:v>Sources not specified</c:v>
                </c:pt>
              </c:strCache>
            </c:strRef>
          </c:cat>
          <c:val>
            <c:numRef>
              <c:f>Sheet1!$H$97:$H$140</c:f>
              <c:numCache>
                <c:formatCode>General</c:formatCode>
                <c:ptCount val="44"/>
                <c:pt idx="2">
                  <c:v>56.1</c:v>
                </c:pt>
                <c:pt idx="3">
                  <c:v>1.2</c:v>
                </c:pt>
                <c:pt idx="4">
                  <c:v>24.8</c:v>
                </c:pt>
                <c:pt idx="5">
                  <c:v>25.1</c:v>
                </c:pt>
                <c:pt idx="6">
                  <c:v>0.2</c:v>
                </c:pt>
                <c:pt idx="7">
                  <c:v>0.1</c:v>
                </c:pt>
                <c:pt idx="8">
                  <c:v>0.6</c:v>
                </c:pt>
                <c:pt idx="9">
                  <c:v>1.1000000000000001</c:v>
                </c:pt>
                <c:pt idx="10">
                  <c:v>1.9</c:v>
                </c:pt>
                <c:pt idx="11">
                  <c:v>0.3</c:v>
                </c:pt>
                <c:pt idx="12">
                  <c:v>0.7</c:v>
                </c:pt>
                <c:pt idx="13">
                  <c:v>43.9</c:v>
                </c:pt>
                <c:pt idx="14">
                  <c:v>0.7</c:v>
                </c:pt>
                <c:pt idx="15">
                  <c:v>5</c:v>
                </c:pt>
                <c:pt idx="16">
                  <c:v>28.2</c:v>
                </c:pt>
                <c:pt idx="17">
                  <c:v>0.1</c:v>
                </c:pt>
                <c:pt idx="18">
                  <c:v>8</c:v>
                </c:pt>
                <c:pt idx="19">
                  <c:v>0.5</c:v>
                </c:pt>
                <c:pt idx="20">
                  <c:v>1.4</c:v>
                </c:pt>
                <c:pt idx="23">
                  <c:v>58.4</c:v>
                </c:pt>
                <c:pt idx="24">
                  <c:v>1.1000000000000001</c:v>
                </c:pt>
                <c:pt idx="25">
                  <c:v>25.2</c:v>
                </c:pt>
                <c:pt idx="26">
                  <c:v>27.7</c:v>
                </c:pt>
                <c:pt idx="28">
                  <c:v>0.2</c:v>
                </c:pt>
                <c:pt idx="29">
                  <c:v>0.1</c:v>
                </c:pt>
                <c:pt idx="30">
                  <c:v>0.5</c:v>
                </c:pt>
                <c:pt idx="31">
                  <c:v>1.2</c:v>
                </c:pt>
                <c:pt idx="32">
                  <c:v>1.5</c:v>
                </c:pt>
                <c:pt idx="33">
                  <c:v>0.2</c:v>
                </c:pt>
                <c:pt idx="34">
                  <c:v>0.8</c:v>
                </c:pt>
                <c:pt idx="35">
                  <c:v>41.7</c:v>
                </c:pt>
                <c:pt idx="36">
                  <c:v>0.7</c:v>
                </c:pt>
                <c:pt idx="37">
                  <c:v>5.5</c:v>
                </c:pt>
                <c:pt idx="38">
                  <c:v>26</c:v>
                </c:pt>
                <c:pt idx="39">
                  <c:v>0.1</c:v>
                </c:pt>
                <c:pt idx="40">
                  <c:v>7.7</c:v>
                </c:pt>
                <c:pt idx="41">
                  <c:v>0.4</c:v>
                </c:pt>
                <c:pt idx="42">
                  <c:v>1.3</c:v>
                </c:pt>
              </c:numCache>
            </c:numRef>
          </c:val>
          <c:extLst>
            <c:ext xmlns:c16="http://schemas.microsoft.com/office/drawing/2014/chart" uri="{C3380CC4-5D6E-409C-BE32-E72D297353CC}">
              <c16:uniqueId val="{00000006-C7CE-4B93-8366-32835FA22190}"/>
            </c:ext>
          </c:extLst>
        </c:ser>
        <c:ser>
          <c:idx val="7"/>
          <c:order val="7"/>
          <c:tx>
            <c:strRef>
              <c:f>Sheet1!$I$96</c:f>
              <c:strCache>
                <c:ptCount val="1"/>
                <c:pt idx="0">
                  <c:v>2016</c:v>
                </c:pt>
              </c:strCache>
            </c:strRef>
          </c:tx>
          <c:spPr>
            <a:solidFill>
              <a:schemeClr val="accent2">
                <a:lumMod val="60000"/>
              </a:schemeClr>
            </a:solidFill>
            <a:ln>
              <a:noFill/>
            </a:ln>
            <a:effectLst/>
          </c:spPr>
          <c:invertIfNegative val="0"/>
          <c:cat>
            <c:strRef>
              <c:f>Sheet1!$A$97:$A$140</c:f>
              <c:strCache>
                <c:ptCount val="44"/>
                <c:pt idx="0">
                  <c:v>Credit Agencies</c:v>
                </c:pt>
                <c:pt idx="2">
                  <c:v>Institutional Agencies</c:v>
                </c:pt>
                <c:pt idx="3">
                  <c:v>Government</c:v>
                </c:pt>
                <c:pt idx="4">
                  <c:v>Co-operative Society/Bank</c:v>
                </c:pt>
                <c:pt idx="5">
                  <c:v>Commercial Bank incl. Regional Rural Bank</c:v>
                </c:pt>
                <c:pt idx="6">
                  <c:v>Insurance</c:v>
                </c:pt>
                <c:pt idx="7">
                  <c:v>Provident Fund</c:v>
                </c:pt>
                <c:pt idx="8">
                  <c:v>Financial corporation/institution</c:v>
                </c:pt>
                <c:pt idx="9">
                  <c:v>Financial company</c:v>
                </c:pt>
                <c:pt idx="10">
                  <c:v>Self-help group-bank linked</c:v>
                </c:pt>
                <c:pt idx="11">
                  <c:v>Self-help group-NBFC</c:v>
                </c:pt>
                <c:pt idx="12">
                  <c:v>Other Institutions</c:v>
                </c:pt>
                <c:pt idx="13">
                  <c:v>Non-Institutional Agencies</c:v>
                </c:pt>
                <c:pt idx="14">
                  <c:v>Landlord</c:v>
                </c:pt>
                <c:pt idx="15">
                  <c:v>Agricultural Money Lender</c:v>
                </c:pt>
                <c:pt idx="16">
                  <c:v>Professional Money Lender</c:v>
                </c:pt>
                <c:pt idx="17">
                  <c:v>Traders/Input supplier</c:v>
                </c:pt>
                <c:pt idx="18">
                  <c:v>Relatives and Friends</c:v>
                </c:pt>
                <c:pt idx="19">
                  <c:v>Doctors, lawyers etc.</c:v>
                </c:pt>
                <c:pt idx="20">
                  <c:v>Others Sources</c:v>
                </c:pt>
                <c:pt idx="21">
                  <c:v>Sources not specified</c:v>
                </c:pt>
                <c:pt idx="23">
                  <c:v>Institutional Agencies</c:v>
                </c:pt>
                <c:pt idx="24">
                  <c:v>Government</c:v>
                </c:pt>
                <c:pt idx="25">
                  <c:v>Co-operative Society/Bank</c:v>
                </c:pt>
                <c:pt idx="26">
                  <c:v>Commercial Bank incl Regional Rural</c:v>
                </c:pt>
                <c:pt idx="27">
                  <c:v>Bank</c:v>
                </c:pt>
                <c:pt idx="28">
                  <c:v>Insurance</c:v>
                </c:pt>
                <c:pt idx="29">
                  <c:v>Provident Fund</c:v>
                </c:pt>
                <c:pt idx="30">
                  <c:v>Financial corporation/institution</c:v>
                </c:pt>
                <c:pt idx="31">
                  <c:v>Financial company</c:v>
                </c:pt>
                <c:pt idx="32">
                  <c:v>Self-help group-bank linked</c:v>
                </c:pt>
                <c:pt idx="33">
                  <c:v>Self-help group-NBFC</c:v>
                </c:pt>
                <c:pt idx="34">
                  <c:v>Other Institutions</c:v>
                </c:pt>
                <c:pt idx="35">
                  <c:v>Non-Institutional Agencies</c:v>
                </c:pt>
                <c:pt idx="36">
                  <c:v>Landlord</c:v>
                </c:pt>
                <c:pt idx="37">
                  <c:v>Agricultural Money Lender</c:v>
                </c:pt>
                <c:pt idx="38">
                  <c:v>Professional Money Lender</c:v>
                </c:pt>
                <c:pt idx="39">
                  <c:v>Traders/Input supplier</c:v>
                </c:pt>
                <c:pt idx="40">
                  <c:v>Relatives and Friends</c:v>
                </c:pt>
                <c:pt idx="41">
                  <c:v>Doctors, lawyers etc.</c:v>
                </c:pt>
                <c:pt idx="42">
                  <c:v>Others Sources</c:v>
                </c:pt>
                <c:pt idx="43">
                  <c:v>Sources not specified</c:v>
                </c:pt>
              </c:strCache>
            </c:strRef>
          </c:cat>
          <c:val>
            <c:numRef>
              <c:f>Sheet1!$I$97:$I$140</c:f>
              <c:numCache>
                <c:formatCode>General</c:formatCode>
                <c:ptCount val="44"/>
                <c:pt idx="2">
                  <c:v>69.099999999999994</c:v>
                </c:pt>
                <c:pt idx="4">
                  <c:v>5.7</c:v>
                </c:pt>
                <c:pt idx="5">
                  <c:v>36.6</c:v>
                </c:pt>
                <c:pt idx="6">
                  <c:v>0.2</c:v>
                </c:pt>
                <c:pt idx="7">
                  <c:v>0.3</c:v>
                </c:pt>
                <c:pt idx="8">
                  <c:v>1.3</c:v>
                </c:pt>
                <c:pt idx="9">
                  <c:v>1.3</c:v>
                </c:pt>
                <c:pt idx="10">
                  <c:v>12.4</c:v>
                </c:pt>
                <c:pt idx="11">
                  <c:v>11.3</c:v>
                </c:pt>
                <c:pt idx="13">
                  <c:v>41.6</c:v>
                </c:pt>
                <c:pt idx="14">
                  <c:v>5.2</c:v>
                </c:pt>
                <c:pt idx="15">
                  <c:v>11.5</c:v>
                </c:pt>
                <c:pt idx="17">
                  <c:v>0.1</c:v>
                </c:pt>
                <c:pt idx="18">
                  <c:v>24.7</c:v>
                </c:pt>
                <c:pt idx="19">
                  <c:v>0.1</c:v>
                </c:pt>
                <c:pt idx="23">
                  <c:v>74.5</c:v>
                </c:pt>
                <c:pt idx="25">
                  <c:v>6</c:v>
                </c:pt>
                <c:pt idx="26">
                  <c:v>46.2</c:v>
                </c:pt>
                <c:pt idx="28">
                  <c:v>0.3</c:v>
                </c:pt>
                <c:pt idx="29">
                  <c:v>0.5</c:v>
                </c:pt>
                <c:pt idx="30">
                  <c:v>0.7</c:v>
                </c:pt>
                <c:pt idx="31">
                  <c:v>1</c:v>
                </c:pt>
                <c:pt idx="32">
                  <c:v>10.6</c:v>
                </c:pt>
                <c:pt idx="33">
                  <c:v>9.1999999999999993</c:v>
                </c:pt>
                <c:pt idx="35">
                  <c:v>39.799999999999997</c:v>
                </c:pt>
                <c:pt idx="37">
                  <c:v>10.8</c:v>
                </c:pt>
                <c:pt idx="39">
                  <c:v>0.1</c:v>
                </c:pt>
                <c:pt idx="40">
                  <c:v>22.7</c:v>
                </c:pt>
                <c:pt idx="41">
                  <c:v>0.1</c:v>
                </c:pt>
              </c:numCache>
            </c:numRef>
          </c:val>
          <c:extLst>
            <c:ext xmlns:c16="http://schemas.microsoft.com/office/drawing/2014/chart" uri="{C3380CC4-5D6E-409C-BE32-E72D297353CC}">
              <c16:uniqueId val="{00000007-C7CE-4B93-8366-32835FA22190}"/>
            </c:ext>
          </c:extLst>
        </c:ser>
        <c:dLbls>
          <c:showLegendKey val="0"/>
          <c:showVal val="0"/>
          <c:showCatName val="0"/>
          <c:showSerName val="0"/>
          <c:showPercent val="0"/>
          <c:showBubbleSize val="0"/>
        </c:dLbls>
        <c:gapWidth val="219"/>
        <c:overlap val="-27"/>
        <c:axId val="638375919"/>
        <c:axId val="638377359"/>
      </c:barChart>
      <c:catAx>
        <c:axId val="638375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377359"/>
        <c:crosses val="autoZero"/>
        <c:auto val="1"/>
        <c:lblAlgn val="ctr"/>
        <c:lblOffset val="100"/>
        <c:noMultiLvlLbl val="0"/>
      </c:catAx>
      <c:valAx>
        <c:axId val="6383773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375919"/>
        <c:crosses val="autoZero"/>
        <c:crossBetween val="between"/>
      </c:valAx>
      <c:spPr>
        <a:noFill/>
        <a:ln>
          <a:noFill/>
        </a:ln>
        <a:effectLst/>
      </c:spPr>
    </c:plotArea>
    <c:legend>
      <c:legendPos val="b"/>
      <c:layout>
        <c:manualLayout>
          <c:xMode val="edge"/>
          <c:yMode val="edge"/>
          <c:x val="0.21571404174604517"/>
          <c:y val="0.9405763914528219"/>
          <c:w val="0.56857175070425103"/>
          <c:h val="0"/>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IN" sz="1200" b="1" i="0" u="none" strike="noStrike" cap="none" baseline="0">
                <a:effectLst/>
                <a:latin typeface="Times New Roman" panose="02020603050405020304" pitchFamily="18" charset="0"/>
                <a:cs typeface="Times New Roman" panose="02020603050405020304" pitchFamily="18" charset="0"/>
              </a:rPr>
              <a:t>Growth of Institutional Agencies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Sheet1!$B$49</c:f>
              <c:strCache>
                <c:ptCount val="1"/>
                <c:pt idx="0">
                  <c:v>Cooperative Banks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Sheet1!$A$50:$A$93</c:f>
              <c:strCache>
                <c:ptCount val="44"/>
                <c:pt idx="0">
                  <c:v>1999-2000</c:v>
                </c:pt>
                <c:pt idx="2">
                  <c:v>2000-2001</c:v>
                </c:pt>
                <c:pt idx="4">
                  <c:v>2001-2002</c:v>
                </c:pt>
                <c:pt idx="6">
                  <c:v>2002-2003</c:v>
                </c:pt>
                <c:pt idx="8">
                  <c:v>2003-2004</c:v>
                </c:pt>
                <c:pt idx="10">
                  <c:v>2004-2005</c:v>
                </c:pt>
                <c:pt idx="12">
                  <c:v>2005-2006</c:v>
                </c:pt>
                <c:pt idx="14">
                  <c:v>2006-2007</c:v>
                </c:pt>
                <c:pt idx="16">
                  <c:v>2007-2008</c:v>
                </c:pt>
                <c:pt idx="18">
                  <c:v>2008-2009</c:v>
                </c:pt>
                <c:pt idx="20">
                  <c:v>2009-2010</c:v>
                </c:pt>
                <c:pt idx="22">
                  <c:v>2010-2011</c:v>
                </c:pt>
                <c:pt idx="24">
                  <c:v>2011-2012</c:v>
                </c:pt>
                <c:pt idx="26">
                  <c:v>2012-2013</c:v>
                </c:pt>
                <c:pt idx="28">
                  <c:v>2013-2014</c:v>
                </c:pt>
                <c:pt idx="30">
                  <c:v>2014-2015</c:v>
                </c:pt>
                <c:pt idx="32">
                  <c:v>2015-2016</c:v>
                </c:pt>
                <c:pt idx="34">
                  <c:v>2016-2017</c:v>
                </c:pt>
                <c:pt idx="36">
                  <c:v>2017-2018</c:v>
                </c:pt>
                <c:pt idx="38">
                  <c:v>2018-2019</c:v>
                </c:pt>
                <c:pt idx="40">
                  <c:v>2019-2020</c:v>
                </c:pt>
                <c:pt idx="42">
                  <c:v>CAGR</c:v>
                </c:pt>
                <c:pt idx="43">
                  <c:v>CV (%)</c:v>
                </c:pt>
              </c:strCache>
            </c:strRef>
          </c:cat>
          <c:val>
            <c:numRef>
              <c:f>Sheet1!$B$50:$B$93</c:f>
              <c:numCache>
                <c:formatCode>General</c:formatCode>
                <c:ptCount val="44"/>
                <c:pt idx="0">
                  <c:v>18260</c:v>
                </c:pt>
                <c:pt idx="1">
                  <c:v>-39.47</c:v>
                </c:pt>
                <c:pt idx="2">
                  <c:v>20718</c:v>
                </c:pt>
                <c:pt idx="3">
                  <c:v>-29.22</c:v>
                </c:pt>
                <c:pt idx="4">
                  <c:v>23524</c:v>
                </c:pt>
                <c:pt idx="5">
                  <c:v>-37.909999999999997</c:v>
                </c:pt>
                <c:pt idx="6">
                  <c:v>23636</c:v>
                </c:pt>
                <c:pt idx="7">
                  <c:v>-33.979999999999997</c:v>
                </c:pt>
                <c:pt idx="8">
                  <c:v>26875</c:v>
                </c:pt>
                <c:pt idx="9">
                  <c:v>-30.9</c:v>
                </c:pt>
                <c:pt idx="10">
                  <c:v>31231</c:v>
                </c:pt>
                <c:pt idx="11">
                  <c:v>-24.92</c:v>
                </c:pt>
                <c:pt idx="12">
                  <c:v>39403</c:v>
                </c:pt>
                <c:pt idx="13">
                  <c:v>-21.83</c:v>
                </c:pt>
                <c:pt idx="14">
                  <c:v>42480</c:v>
                </c:pt>
                <c:pt idx="15">
                  <c:v>-18.52</c:v>
                </c:pt>
                <c:pt idx="16">
                  <c:v>48258</c:v>
                </c:pt>
                <c:pt idx="17">
                  <c:v>-18.95</c:v>
                </c:pt>
                <c:pt idx="18">
                  <c:v>45966</c:v>
                </c:pt>
                <c:pt idx="19">
                  <c:v>-15.23</c:v>
                </c:pt>
                <c:pt idx="20">
                  <c:v>63497</c:v>
                </c:pt>
                <c:pt idx="21">
                  <c:v>-16.510000000000002</c:v>
                </c:pt>
                <c:pt idx="22">
                  <c:v>78121</c:v>
                </c:pt>
                <c:pt idx="23">
                  <c:v>-16.68</c:v>
                </c:pt>
                <c:pt idx="24">
                  <c:v>87963</c:v>
                </c:pt>
                <c:pt idx="25">
                  <c:v>-17.21</c:v>
                </c:pt>
                <c:pt idx="26">
                  <c:v>111203</c:v>
                </c:pt>
                <c:pt idx="27">
                  <c:v>-18.309999999999999</c:v>
                </c:pt>
                <c:pt idx="28">
                  <c:v>119964</c:v>
                </c:pt>
                <c:pt idx="29">
                  <c:v>-16.43</c:v>
                </c:pt>
                <c:pt idx="30">
                  <c:v>138469</c:v>
                </c:pt>
                <c:pt idx="31">
                  <c:v>-16.38</c:v>
                </c:pt>
                <c:pt idx="32">
                  <c:v>153295</c:v>
                </c:pt>
                <c:pt idx="33">
                  <c:v>-16.739999999999998</c:v>
                </c:pt>
                <c:pt idx="34">
                  <c:v>142758</c:v>
                </c:pt>
                <c:pt idx="35">
                  <c:v>-13.4</c:v>
                </c:pt>
                <c:pt idx="36">
                  <c:v>150389</c:v>
                </c:pt>
                <c:pt idx="37">
                  <c:v>-12.87</c:v>
                </c:pt>
                <c:pt idx="38">
                  <c:v>152340</c:v>
                </c:pt>
                <c:pt idx="39">
                  <c:v>-12.12</c:v>
                </c:pt>
                <c:pt idx="40">
                  <c:v>157367</c:v>
                </c:pt>
                <c:pt idx="41">
                  <c:v>-11.3</c:v>
                </c:pt>
                <c:pt idx="42">
                  <c:v>12.97</c:v>
                </c:pt>
                <c:pt idx="43">
                  <c:v>66.27</c:v>
                </c:pt>
              </c:numCache>
            </c:numRef>
          </c:val>
          <c:extLst>
            <c:ext xmlns:c16="http://schemas.microsoft.com/office/drawing/2014/chart" uri="{C3380CC4-5D6E-409C-BE32-E72D297353CC}">
              <c16:uniqueId val="{00000000-91E6-47A2-95C2-0E25E9E40CB7}"/>
            </c:ext>
          </c:extLst>
        </c:ser>
        <c:ser>
          <c:idx val="1"/>
          <c:order val="1"/>
          <c:tx>
            <c:strRef>
              <c:f>Sheet1!$C$49</c:f>
              <c:strCache>
                <c:ptCount val="1"/>
                <c:pt idx="0">
                  <c:v>Regional Rural Bank</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f>Sheet1!$A$50:$A$93</c:f>
              <c:strCache>
                <c:ptCount val="44"/>
                <c:pt idx="0">
                  <c:v>1999-2000</c:v>
                </c:pt>
                <c:pt idx="2">
                  <c:v>2000-2001</c:v>
                </c:pt>
                <c:pt idx="4">
                  <c:v>2001-2002</c:v>
                </c:pt>
                <c:pt idx="6">
                  <c:v>2002-2003</c:v>
                </c:pt>
                <c:pt idx="8">
                  <c:v>2003-2004</c:v>
                </c:pt>
                <c:pt idx="10">
                  <c:v>2004-2005</c:v>
                </c:pt>
                <c:pt idx="12">
                  <c:v>2005-2006</c:v>
                </c:pt>
                <c:pt idx="14">
                  <c:v>2006-2007</c:v>
                </c:pt>
                <c:pt idx="16">
                  <c:v>2007-2008</c:v>
                </c:pt>
                <c:pt idx="18">
                  <c:v>2008-2009</c:v>
                </c:pt>
                <c:pt idx="20">
                  <c:v>2009-2010</c:v>
                </c:pt>
                <c:pt idx="22">
                  <c:v>2010-2011</c:v>
                </c:pt>
                <c:pt idx="24">
                  <c:v>2011-2012</c:v>
                </c:pt>
                <c:pt idx="26">
                  <c:v>2012-2013</c:v>
                </c:pt>
                <c:pt idx="28">
                  <c:v>2013-2014</c:v>
                </c:pt>
                <c:pt idx="30">
                  <c:v>2014-2015</c:v>
                </c:pt>
                <c:pt idx="32">
                  <c:v>2015-2016</c:v>
                </c:pt>
                <c:pt idx="34">
                  <c:v>2016-2017</c:v>
                </c:pt>
                <c:pt idx="36">
                  <c:v>2017-2018</c:v>
                </c:pt>
                <c:pt idx="38">
                  <c:v>2018-2019</c:v>
                </c:pt>
                <c:pt idx="40">
                  <c:v>2019-2020</c:v>
                </c:pt>
                <c:pt idx="42">
                  <c:v>CAGR</c:v>
                </c:pt>
                <c:pt idx="43">
                  <c:v>CV (%)</c:v>
                </c:pt>
              </c:strCache>
            </c:strRef>
          </c:cat>
          <c:val>
            <c:numRef>
              <c:f>Sheet1!$C$50:$C$93</c:f>
              <c:numCache>
                <c:formatCode>General</c:formatCode>
                <c:ptCount val="44"/>
                <c:pt idx="0">
                  <c:v>3172</c:v>
                </c:pt>
                <c:pt idx="1">
                  <c:v>-6.86</c:v>
                </c:pt>
                <c:pt idx="2">
                  <c:v>4220</c:v>
                </c:pt>
                <c:pt idx="3">
                  <c:v>-7.99</c:v>
                </c:pt>
                <c:pt idx="4">
                  <c:v>4854</c:v>
                </c:pt>
                <c:pt idx="5">
                  <c:v>-7.82</c:v>
                </c:pt>
                <c:pt idx="6">
                  <c:v>6070</c:v>
                </c:pt>
                <c:pt idx="7">
                  <c:v>-8.73</c:v>
                </c:pt>
                <c:pt idx="8">
                  <c:v>7581</c:v>
                </c:pt>
                <c:pt idx="9">
                  <c:v>-8.7200000000000006</c:v>
                </c:pt>
                <c:pt idx="10">
                  <c:v>12404</c:v>
                </c:pt>
                <c:pt idx="11">
                  <c:v>-9.9</c:v>
                </c:pt>
                <c:pt idx="12">
                  <c:v>15223</c:v>
                </c:pt>
                <c:pt idx="13">
                  <c:v>-8.43</c:v>
                </c:pt>
                <c:pt idx="14">
                  <c:v>20435</c:v>
                </c:pt>
                <c:pt idx="15">
                  <c:v>-8.91</c:v>
                </c:pt>
                <c:pt idx="16">
                  <c:v>25312</c:v>
                </c:pt>
                <c:pt idx="17">
                  <c:v>-9.94</c:v>
                </c:pt>
                <c:pt idx="18">
                  <c:v>26765</c:v>
                </c:pt>
                <c:pt idx="19">
                  <c:v>-8.8699999999999992</c:v>
                </c:pt>
                <c:pt idx="20">
                  <c:v>35217</c:v>
                </c:pt>
                <c:pt idx="21">
                  <c:v>-9.16</c:v>
                </c:pt>
                <c:pt idx="22">
                  <c:v>44293</c:v>
                </c:pt>
                <c:pt idx="23">
                  <c:v>-9.4600000000000009</c:v>
                </c:pt>
                <c:pt idx="24">
                  <c:v>54450</c:v>
                </c:pt>
                <c:pt idx="25">
                  <c:v>-10.65</c:v>
                </c:pt>
                <c:pt idx="26">
                  <c:v>63681</c:v>
                </c:pt>
                <c:pt idx="27">
                  <c:v>-10.48</c:v>
                </c:pt>
                <c:pt idx="28">
                  <c:v>82653</c:v>
                </c:pt>
                <c:pt idx="29">
                  <c:v>-11.32</c:v>
                </c:pt>
                <c:pt idx="30">
                  <c:v>102483</c:v>
                </c:pt>
                <c:pt idx="31">
                  <c:v>-12.12</c:v>
                </c:pt>
                <c:pt idx="32">
                  <c:v>119261</c:v>
                </c:pt>
                <c:pt idx="33">
                  <c:v>-13.03</c:v>
                </c:pt>
                <c:pt idx="34">
                  <c:v>123216</c:v>
                </c:pt>
                <c:pt idx="35">
                  <c:v>-11.56</c:v>
                </c:pt>
                <c:pt idx="36">
                  <c:v>140959</c:v>
                </c:pt>
                <c:pt idx="37">
                  <c:v>-12.06</c:v>
                </c:pt>
                <c:pt idx="38">
                  <c:v>149667</c:v>
                </c:pt>
                <c:pt idx="39">
                  <c:v>-11.91</c:v>
                </c:pt>
                <c:pt idx="40">
                  <c:v>165326</c:v>
                </c:pt>
                <c:pt idx="41">
                  <c:v>-11.87</c:v>
                </c:pt>
                <c:pt idx="42">
                  <c:v>22.93</c:v>
                </c:pt>
                <c:pt idx="43">
                  <c:v>94.85</c:v>
                </c:pt>
              </c:numCache>
            </c:numRef>
          </c:val>
          <c:extLst>
            <c:ext xmlns:c16="http://schemas.microsoft.com/office/drawing/2014/chart" uri="{C3380CC4-5D6E-409C-BE32-E72D297353CC}">
              <c16:uniqueId val="{00000001-91E6-47A2-95C2-0E25E9E40CB7}"/>
            </c:ext>
          </c:extLst>
        </c:ser>
        <c:ser>
          <c:idx val="2"/>
          <c:order val="2"/>
          <c:tx>
            <c:strRef>
              <c:f>Sheet1!$D$49</c:f>
              <c:strCache>
                <c:ptCount val="1"/>
                <c:pt idx="0">
                  <c:v>Commercial Banks</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strRef>
              <c:f>Sheet1!$A$50:$A$93</c:f>
              <c:strCache>
                <c:ptCount val="44"/>
                <c:pt idx="0">
                  <c:v>1999-2000</c:v>
                </c:pt>
                <c:pt idx="2">
                  <c:v>2000-2001</c:v>
                </c:pt>
                <c:pt idx="4">
                  <c:v>2001-2002</c:v>
                </c:pt>
                <c:pt idx="6">
                  <c:v>2002-2003</c:v>
                </c:pt>
                <c:pt idx="8">
                  <c:v>2003-2004</c:v>
                </c:pt>
                <c:pt idx="10">
                  <c:v>2004-2005</c:v>
                </c:pt>
                <c:pt idx="12">
                  <c:v>2005-2006</c:v>
                </c:pt>
                <c:pt idx="14">
                  <c:v>2006-2007</c:v>
                </c:pt>
                <c:pt idx="16">
                  <c:v>2007-2008</c:v>
                </c:pt>
                <c:pt idx="18">
                  <c:v>2008-2009</c:v>
                </c:pt>
                <c:pt idx="20">
                  <c:v>2009-2010</c:v>
                </c:pt>
                <c:pt idx="22">
                  <c:v>2010-2011</c:v>
                </c:pt>
                <c:pt idx="24">
                  <c:v>2011-2012</c:v>
                </c:pt>
                <c:pt idx="26">
                  <c:v>2012-2013</c:v>
                </c:pt>
                <c:pt idx="28">
                  <c:v>2013-2014</c:v>
                </c:pt>
                <c:pt idx="30">
                  <c:v>2014-2015</c:v>
                </c:pt>
                <c:pt idx="32">
                  <c:v>2015-2016</c:v>
                </c:pt>
                <c:pt idx="34">
                  <c:v>2016-2017</c:v>
                </c:pt>
                <c:pt idx="36">
                  <c:v>2017-2018</c:v>
                </c:pt>
                <c:pt idx="38">
                  <c:v>2018-2019</c:v>
                </c:pt>
                <c:pt idx="40">
                  <c:v>2019-2020</c:v>
                </c:pt>
                <c:pt idx="42">
                  <c:v>CAGR</c:v>
                </c:pt>
                <c:pt idx="43">
                  <c:v>CV (%)</c:v>
                </c:pt>
              </c:strCache>
            </c:strRef>
          </c:cat>
          <c:val>
            <c:numRef>
              <c:f>Sheet1!$D$50:$D$93</c:f>
              <c:numCache>
                <c:formatCode>General</c:formatCode>
                <c:ptCount val="44"/>
                <c:pt idx="0">
                  <c:v>24733</c:v>
                </c:pt>
                <c:pt idx="1">
                  <c:v>-53.46</c:v>
                </c:pt>
                <c:pt idx="2">
                  <c:v>27807</c:v>
                </c:pt>
                <c:pt idx="3">
                  <c:v>-52.64</c:v>
                </c:pt>
                <c:pt idx="4">
                  <c:v>33587</c:v>
                </c:pt>
                <c:pt idx="5">
                  <c:v>-54.13</c:v>
                </c:pt>
                <c:pt idx="6">
                  <c:v>39774</c:v>
                </c:pt>
                <c:pt idx="7">
                  <c:v>-57.18</c:v>
                </c:pt>
                <c:pt idx="8">
                  <c:v>52441</c:v>
                </c:pt>
                <c:pt idx="9">
                  <c:v>-60.29</c:v>
                </c:pt>
                <c:pt idx="10">
                  <c:v>81481</c:v>
                </c:pt>
                <c:pt idx="11">
                  <c:v>-65.02</c:v>
                </c:pt>
                <c:pt idx="12">
                  <c:v>125477</c:v>
                </c:pt>
                <c:pt idx="13">
                  <c:v>-69.52</c:v>
                </c:pt>
                <c:pt idx="14">
                  <c:v>166485</c:v>
                </c:pt>
                <c:pt idx="15">
                  <c:v>-72.569999999999993</c:v>
                </c:pt>
                <c:pt idx="16">
                  <c:v>181088</c:v>
                </c:pt>
                <c:pt idx="17">
                  <c:v>-71.11</c:v>
                </c:pt>
                <c:pt idx="18">
                  <c:v>228951</c:v>
                </c:pt>
                <c:pt idx="19">
                  <c:v>-75.83</c:v>
                </c:pt>
                <c:pt idx="20">
                  <c:v>285800</c:v>
                </c:pt>
                <c:pt idx="21">
                  <c:v>-74.33</c:v>
                </c:pt>
                <c:pt idx="22">
                  <c:v>345877</c:v>
                </c:pt>
                <c:pt idx="23">
                  <c:v>-73.86</c:v>
                </c:pt>
                <c:pt idx="24">
                  <c:v>368616</c:v>
                </c:pt>
                <c:pt idx="25">
                  <c:v>-72.13</c:v>
                </c:pt>
                <c:pt idx="26">
                  <c:v>432491</c:v>
                </c:pt>
                <c:pt idx="27">
                  <c:v>-71.209999999999994</c:v>
                </c:pt>
                <c:pt idx="28">
                  <c:v>527506</c:v>
                </c:pt>
                <c:pt idx="29">
                  <c:v>-72.25</c:v>
                </c:pt>
                <c:pt idx="30">
                  <c:v>604376</c:v>
                </c:pt>
                <c:pt idx="31">
                  <c:v>-71.5</c:v>
                </c:pt>
                <c:pt idx="32">
                  <c:v>642954</c:v>
                </c:pt>
                <c:pt idx="33">
                  <c:v>-70.23</c:v>
                </c:pt>
                <c:pt idx="34">
                  <c:v>799781</c:v>
                </c:pt>
                <c:pt idx="35">
                  <c:v>-75.040000000000006</c:v>
                </c:pt>
                <c:pt idx="36">
                  <c:v>877155</c:v>
                </c:pt>
                <c:pt idx="37">
                  <c:v>-75.069999999999993</c:v>
                </c:pt>
                <c:pt idx="38">
                  <c:v>954823</c:v>
                </c:pt>
                <c:pt idx="39">
                  <c:v>-75.97</c:v>
                </c:pt>
                <c:pt idx="40">
                  <c:v>1070036</c:v>
                </c:pt>
                <c:pt idx="41">
                  <c:v>-76.83</c:v>
                </c:pt>
                <c:pt idx="42">
                  <c:v>21.84</c:v>
                </c:pt>
                <c:pt idx="43">
                  <c:v>89.26</c:v>
                </c:pt>
              </c:numCache>
            </c:numRef>
          </c:val>
          <c:extLst>
            <c:ext xmlns:c16="http://schemas.microsoft.com/office/drawing/2014/chart" uri="{C3380CC4-5D6E-409C-BE32-E72D297353CC}">
              <c16:uniqueId val="{00000002-91E6-47A2-95C2-0E25E9E40CB7}"/>
            </c:ext>
          </c:extLst>
        </c:ser>
        <c:ser>
          <c:idx val="3"/>
          <c:order val="3"/>
          <c:tx>
            <c:strRef>
              <c:f>Sheet1!$E$49</c:f>
              <c:strCache>
                <c:ptCount val="1"/>
                <c:pt idx="0">
                  <c:v>Other Agencies</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cat>
            <c:strRef>
              <c:f>Sheet1!$A$50:$A$93</c:f>
              <c:strCache>
                <c:ptCount val="44"/>
                <c:pt idx="0">
                  <c:v>1999-2000</c:v>
                </c:pt>
                <c:pt idx="2">
                  <c:v>2000-2001</c:v>
                </c:pt>
                <c:pt idx="4">
                  <c:v>2001-2002</c:v>
                </c:pt>
                <c:pt idx="6">
                  <c:v>2002-2003</c:v>
                </c:pt>
                <c:pt idx="8">
                  <c:v>2003-2004</c:v>
                </c:pt>
                <c:pt idx="10">
                  <c:v>2004-2005</c:v>
                </c:pt>
                <c:pt idx="12">
                  <c:v>2005-2006</c:v>
                </c:pt>
                <c:pt idx="14">
                  <c:v>2006-2007</c:v>
                </c:pt>
                <c:pt idx="16">
                  <c:v>2007-2008</c:v>
                </c:pt>
                <c:pt idx="18">
                  <c:v>2008-2009</c:v>
                </c:pt>
                <c:pt idx="20">
                  <c:v>2009-2010</c:v>
                </c:pt>
                <c:pt idx="22">
                  <c:v>2010-2011</c:v>
                </c:pt>
                <c:pt idx="24">
                  <c:v>2011-2012</c:v>
                </c:pt>
                <c:pt idx="26">
                  <c:v>2012-2013</c:v>
                </c:pt>
                <c:pt idx="28">
                  <c:v>2013-2014</c:v>
                </c:pt>
                <c:pt idx="30">
                  <c:v>2014-2015</c:v>
                </c:pt>
                <c:pt idx="32">
                  <c:v>2015-2016</c:v>
                </c:pt>
                <c:pt idx="34">
                  <c:v>2016-2017</c:v>
                </c:pt>
                <c:pt idx="36">
                  <c:v>2017-2018</c:v>
                </c:pt>
                <c:pt idx="38">
                  <c:v>2018-2019</c:v>
                </c:pt>
                <c:pt idx="40">
                  <c:v>2019-2020</c:v>
                </c:pt>
                <c:pt idx="42">
                  <c:v>CAGR</c:v>
                </c:pt>
                <c:pt idx="43">
                  <c:v>CV (%)</c:v>
                </c:pt>
              </c:strCache>
            </c:strRef>
          </c:cat>
          <c:val>
            <c:numRef>
              <c:f>Sheet1!$E$50:$E$93</c:f>
              <c:numCache>
                <c:formatCode>General</c:formatCode>
                <c:ptCount val="44"/>
                <c:pt idx="0">
                  <c:v>103</c:v>
                </c:pt>
                <c:pt idx="2">
                  <c:v>82</c:v>
                </c:pt>
                <c:pt idx="4">
                  <c:v>80</c:v>
                </c:pt>
                <c:pt idx="6">
                  <c:v>80</c:v>
                </c:pt>
                <c:pt idx="8">
                  <c:v>84</c:v>
                </c:pt>
                <c:pt idx="10">
                  <c:v>193</c:v>
                </c:pt>
                <c:pt idx="12">
                  <c:v>382</c:v>
                </c:pt>
                <c:pt idx="14">
                  <c:v>0</c:v>
                </c:pt>
                <c:pt idx="16">
                  <c:v>0</c:v>
                </c:pt>
                <c:pt idx="18">
                  <c:v>226</c:v>
                </c:pt>
                <c:pt idx="20">
                  <c:v>0</c:v>
                </c:pt>
                <c:pt idx="22">
                  <c:v>0</c:v>
                </c:pt>
                <c:pt idx="24">
                  <c:v>0</c:v>
                </c:pt>
                <c:pt idx="26">
                  <c:v>0</c:v>
                </c:pt>
                <c:pt idx="28">
                  <c:v>0</c:v>
                </c:pt>
                <c:pt idx="30">
                  <c:v>0</c:v>
                </c:pt>
                <c:pt idx="32">
                  <c:v>0</c:v>
                </c:pt>
                <c:pt idx="34">
                  <c:v>0</c:v>
                </c:pt>
                <c:pt idx="36">
                  <c:v>0</c:v>
                </c:pt>
                <c:pt idx="38">
                  <c:v>0</c:v>
                </c:pt>
                <c:pt idx="40">
                  <c:v>0</c:v>
                </c:pt>
                <c:pt idx="42">
                  <c:v>0</c:v>
                </c:pt>
              </c:numCache>
            </c:numRef>
          </c:val>
          <c:extLst>
            <c:ext xmlns:c16="http://schemas.microsoft.com/office/drawing/2014/chart" uri="{C3380CC4-5D6E-409C-BE32-E72D297353CC}">
              <c16:uniqueId val="{00000003-91E6-47A2-95C2-0E25E9E40CB7}"/>
            </c:ext>
          </c:extLst>
        </c:ser>
        <c:ser>
          <c:idx val="4"/>
          <c:order val="4"/>
          <c:tx>
            <c:strRef>
              <c:f>Sheet1!$F$49</c:f>
              <c:strCache>
                <c:ptCount val="1"/>
                <c:pt idx="0">
                  <c:v>Total</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cat>
            <c:strRef>
              <c:f>Sheet1!$A$50:$A$93</c:f>
              <c:strCache>
                <c:ptCount val="44"/>
                <c:pt idx="0">
                  <c:v>1999-2000</c:v>
                </c:pt>
                <c:pt idx="2">
                  <c:v>2000-2001</c:v>
                </c:pt>
                <c:pt idx="4">
                  <c:v>2001-2002</c:v>
                </c:pt>
                <c:pt idx="6">
                  <c:v>2002-2003</c:v>
                </c:pt>
                <c:pt idx="8">
                  <c:v>2003-2004</c:v>
                </c:pt>
                <c:pt idx="10">
                  <c:v>2004-2005</c:v>
                </c:pt>
                <c:pt idx="12">
                  <c:v>2005-2006</c:v>
                </c:pt>
                <c:pt idx="14">
                  <c:v>2006-2007</c:v>
                </c:pt>
                <c:pt idx="16">
                  <c:v>2007-2008</c:v>
                </c:pt>
                <c:pt idx="18">
                  <c:v>2008-2009</c:v>
                </c:pt>
                <c:pt idx="20">
                  <c:v>2009-2010</c:v>
                </c:pt>
                <c:pt idx="22">
                  <c:v>2010-2011</c:v>
                </c:pt>
                <c:pt idx="24">
                  <c:v>2011-2012</c:v>
                </c:pt>
                <c:pt idx="26">
                  <c:v>2012-2013</c:v>
                </c:pt>
                <c:pt idx="28">
                  <c:v>2013-2014</c:v>
                </c:pt>
                <c:pt idx="30">
                  <c:v>2014-2015</c:v>
                </c:pt>
                <c:pt idx="32">
                  <c:v>2015-2016</c:v>
                </c:pt>
                <c:pt idx="34">
                  <c:v>2016-2017</c:v>
                </c:pt>
                <c:pt idx="36">
                  <c:v>2017-2018</c:v>
                </c:pt>
                <c:pt idx="38">
                  <c:v>2018-2019</c:v>
                </c:pt>
                <c:pt idx="40">
                  <c:v>2019-2020</c:v>
                </c:pt>
                <c:pt idx="42">
                  <c:v>CAGR</c:v>
                </c:pt>
                <c:pt idx="43">
                  <c:v>CV (%)</c:v>
                </c:pt>
              </c:strCache>
            </c:strRef>
          </c:cat>
          <c:val>
            <c:numRef>
              <c:f>Sheet1!$F$50:$F$93</c:f>
              <c:numCache>
                <c:formatCode>General</c:formatCode>
                <c:ptCount val="44"/>
                <c:pt idx="0">
                  <c:v>46268</c:v>
                </c:pt>
                <c:pt idx="2">
                  <c:v>52827</c:v>
                </c:pt>
                <c:pt idx="4">
                  <c:v>62045</c:v>
                </c:pt>
                <c:pt idx="6">
                  <c:v>69560</c:v>
                </c:pt>
                <c:pt idx="8">
                  <c:v>86981</c:v>
                </c:pt>
                <c:pt idx="10">
                  <c:v>125309</c:v>
                </c:pt>
                <c:pt idx="12">
                  <c:v>180485</c:v>
                </c:pt>
                <c:pt idx="14">
                  <c:v>229400</c:v>
                </c:pt>
                <c:pt idx="16">
                  <c:v>254658</c:v>
                </c:pt>
                <c:pt idx="18">
                  <c:v>301908</c:v>
                </c:pt>
                <c:pt idx="20">
                  <c:v>384514</c:v>
                </c:pt>
                <c:pt idx="22">
                  <c:v>468291</c:v>
                </c:pt>
                <c:pt idx="24">
                  <c:v>511029</c:v>
                </c:pt>
                <c:pt idx="26">
                  <c:v>607375</c:v>
                </c:pt>
                <c:pt idx="28">
                  <c:v>730123</c:v>
                </c:pt>
                <c:pt idx="30">
                  <c:v>845328</c:v>
                </c:pt>
                <c:pt idx="32">
                  <c:v>915510</c:v>
                </c:pt>
                <c:pt idx="34">
                  <c:v>1065755</c:v>
                </c:pt>
                <c:pt idx="36">
                  <c:v>1168503</c:v>
                </c:pt>
                <c:pt idx="38">
                  <c:v>1256830</c:v>
                </c:pt>
                <c:pt idx="40">
                  <c:v>1392729</c:v>
                </c:pt>
                <c:pt idx="42">
                  <c:v>19.809999999999999</c:v>
                </c:pt>
                <c:pt idx="43">
                  <c:v>85.92</c:v>
                </c:pt>
              </c:numCache>
            </c:numRef>
          </c:val>
          <c:extLst>
            <c:ext xmlns:c16="http://schemas.microsoft.com/office/drawing/2014/chart" uri="{C3380CC4-5D6E-409C-BE32-E72D297353CC}">
              <c16:uniqueId val="{00000004-91E6-47A2-95C2-0E25E9E40CB7}"/>
            </c:ext>
          </c:extLst>
        </c:ser>
        <c:dLbls>
          <c:showLegendKey val="0"/>
          <c:showVal val="0"/>
          <c:showCatName val="0"/>
          <c:showSerName val="0"/>
          <c:showPercent val="0"/>
          <c:showBubbleSize val="0"/>
        </c:dLbls>
        <c:gapWidth val="100"/>
        <c:axId val="545559551"/>
        <c:axId val="545554751"/>
      </c:barChart>
      <c:catAx>
        <c:axId val="5455595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45554751"/>
        <c:crosses val="autoZero"/>
        <c:auto val="1"/>
        <c:lblAlgn val="ctr"/>
        <c:lblOffset val="100"/>
        <c:noMultiLvlLbl val="0"/>
      </c:catAx>
      <c:valAx>
        <c:axId val="545554751"/>
        <c:scaling>
          <c:orientation val="minMax"/>
          <c:max val="15000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45559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200" b="1" i="0" u="none" strike="noStrike" baseline="0">
                <a:effectLst/>
                <a:latin typeface="Times New Roman" panose="02020603050405020304" pitchFamily="18" charset="0"/>
                <a:cs typeface="Times New Roman" panose="02020603050405020304" pitchFamily="18" charset="0"/>
              </a:rPr>
              <a:t>Trends of Overall Growth </a:t>
            </a:r>
            <a:endParaRPr lang="en-A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AU"/>
        </a:p>
      </c:txPr>
    </c:title>
    <c:autoTitleDeleted val="0"/>
    <c:plotArea>
      <c:layout/>
      <c:barChart>
        <c:barDir val="bar"/>
        <c:grouping val="stacked"/>
        <c:varyColors val="0"/>
        <c:ser>
          <c:idx val="0"/>
          <c:order val="0"/>
          <c:tx>
            <c:strRef>
              <c:f>Sheet1!$B$27:$B$28</c:f>
              <c:strCache>
                <c:ptCount val="2"/>
                <c:pt idx="0">
                  <c:v>2008-09</c:v>
                </c:pt>
              </c:strCache>
            </c:strRef>
          </c:tx>
          <c:spPr>
            <a:solidFill>
              <a:schemeClr val="accent1"/>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Sheet1!$B$29:$B$45</c:f>
              <c:numCache>
                <c:formatCode>General</c:formatCode>
                <c:ptCount val="17"/>
                <c:pt idx="0">
                  <c:v>40164</c:v>
                </c:pt>
                <c:pt idx="1">
                  <c:v>22413</c:v>
                </c:pt>
                <c:pt idx="2">
                  <c:v>147818</c:v>
                </c:pt>
                <c:pt idx="3">
                  <c:v>66</c:v>
                </c:pt>
                <c:pt idx="4">
                  <c:v>210461</c:v>
                </c:pt>
                <c:pt idx="6">
                  <c:v>5802</c:v>
                </c:pt>
                <c:pt idx="7">
                  <c:v>4352</c:v>
                </c:pt>
                <c:pt idx="8">
                  <c:v>81133</c:v>
                </c:pt>
                <c:pt idx="9">
                  <c:v>160</c:v>
                </c:pt>
                <c:pt idx="10">
                  <c:v>91447</c:v>
                </c:pt>
                <c:pt idx="12">
                  <c:v>45966</c:v>
                </c:pt>
                <c:pt idx="13">
                  <c:v>26765</c:v>
                </c:pt>
                <c:pt idx="14">
                  <c:v>228951</c:v>
                </c:pt>
                <c:pt idx="15">
                  <c:v>226</c:v>
                </c:pt>
                <c:pt idx="16">
                  <c:v>301908</c:v>
                </c:pt>
              </c:numCache>
            </c:numRef>
          </c:val>
          <c:extLst>
            <c:ext xmlns:c16="http://schemas.microsoft.com/office/drawing/2014/chart" uri="{C3380CC4-5D6E-409C-BE32-E72D297353CC}">
              <c16:uniqueId val="{00000000-F6E7-42DD-8217-F8BDE6CBB54E}"/>
            </c:ext>
          </c:extLst>
        </c:ser>
        <c:ser>
          <c:idx val="1"/>
          <c:order val="1"/>
          <c:tx>
            <c:strRef>
              <c:f>Sheet1!$C$27:$C$28</c:f>
              <c:strCache>
                <c:ptCount val="2"/>
                <c:pt idx="0">
                  <c:v>2009-10</c:v>
                </c:pt>
              </c:strCache>
            </c:strRef>
          </c:tx>
          <c:spPr>
            <a:solidFill>
              <a:schemeClr val="accent2"/>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Sheet1!$C$29:$C$45</c:f>
              <c:numCache>
                <c:formatCode>General</c:formatCode>
                <c:ptCount val="17"/>
                <c:pt idx="0">
                  <c:v>56946</c:v>
                </c:pt>
                <c:pt idx="1">
                  <c:v>29802</c:v>
                </c:pt>
                <c:pt idx="2">
                  <c:v>189908</c:v>
                </c:pt>
                <c:pt idx="4">
                  <c:v>276656</c:v>
                </c:pt>
                <c:pt idx="6">
                  <c:v>6551</c:v>
                </c:pt>
                <c:pt idx="7">
                  <c:v>5415</c:v>
                </c:pt>
                <c:pt idx="8">
                  <c:v>95892</c:v>
                </c:pt>
                <c:pt idx="10">
                  <c:v>107858</c:v>
                </c:pt>
                <c:pt idx="12">
                  <c:v>63497</c:v>
                </c:pt>
                <c:pt idx="13">
                  <c:v>35217</c:v>
                </c:pt>
                <c:pt idx="14">
                  <c:v>285800</c:v>
                </c:pt>
                <c:pt idx="16">
                  <c:v>384514</c:v>
                </c:pt>
              </c:numCache>
            </c:numRef>
          </c:val>
          <c:extLst>
            <c:ext xmlns:c16="http://schemas.microsoft.com/office/drawing/2014/chart" uri="{C3380CC4-5D6E-409C-BE32-E72D297353CC}">
              <c16:uniqueId val="{00000001-F6E7-42DD-8217-F8BDE6CBB54E}"/>
            </c:ext>
          </c:extLst>
        </c:ser>
        <c:ser>
          <c:idx val="2"/>
          <c:order val="2"/>
          <c:tx>
            <c:strRef>
              <c:f>Sheet1!$D$27:$D$28</c:f>
              <c:strCache>
                <c:ptCount val="2"/>
                <c:pt idx="0">
                  <c:v>2010-11</c:v>
                </c:pt>
              </c:strCache>
            </c:strRef>
          </c:tx>
          <c:spPr>
            <a:solidFill>
              <a:schemeClr val="accent3"/>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Sheet1!$D$29:$D$45</c:f>
              <c:numCache>
                <c:formatCode>General</c:formatCode>
                <c:ptCount val="17"/>
                <c:pt idx="0">
                  <c:v>69038</c:v>
                </c:pt>
                <c:pt idx="1">
                  <c:v>38121</c:v>
                </c:pt>
                <c:pt idx="2">
                  <c:v>228391</c:v>
                </c:pt>
                <c:pt idx="4">
                  <c:v>335550</c:v>
                </c:pt>
                <c:pt idx="6">
                  <c:v>9083</c:v>
                </c:pt>
                <c:pt idx="7">
                  <c:v>6172</c:v>
                </c:pt>
                <c:pt idx="8">
                  <c:v>117486</c:v>
                </c:pt>
                <c:pt idx="10">
                  <c:v>132741</c:v>
                </c:pt>
                <c:pt idx="12">
                  <c:v>78121</c:v>
                </c:pt>
                <c:pt idx="13">
                  <c:v>44293</c:v>
                </c:pt>
                <c:pt idx="14">
                  <c:v>345877</c:v>
                </c:pt>
                <c:pt idx="16">
                  <c:v>468291</c:v>
                </c:pt>
              </c:numCache>
            </c:numRef>
          </c:val>
          <c:extLst>
            <c:ext xmlns:c16="http://schemas.microsoft.com/office/drawing/2014/chart" uri="{C3380CC4-5D6E-409C-BE32-E72D297353CC}">
              <c16:uniqueId val="{00000002-F6E7-42DD-8217-F8BDE6CBB54E}"/>
            </c:ext>
          </c:extLst>
        </c:ser>
        <c:ser>
          <c:idx val="3"/>
          <c:order val="3"/>
          <c:tx>
            <c:strRef>
              <c:f>Sheet1!$E$27:$E$28</c:f>
              <c:strCache>
                <c:ptCount val="2"/>
                <c:pt idx="0">
                  <c:v>2011-12</c:v>
                </c:pt>
              </c:strCache>
            </c:strRef>
          </c:tx>
          <c:spPr>
            <a:solidFill>
              <a:schemeClr val="accent4"/>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Sheet1!$E$29:$E$45</c:f>
              <c:numCache>
                <c:formatCode>General</c:formatCode>
                <c:ptCount val="17"/>
                <c:pt idx="0">
                  <c:v>81829</c:v>
                </c:pt>
                <c:pt idx="1">
                  <c:v>47401</c:v>
                </c:pt>
                <c:pt idx="2">
                  <c:v>266928</c:v>
                </c:pt>
                <c:pt idx="4">
                  <c:v>396158</c:v>
                </c:pt>
                <c:pt idx="6">
                  <c:v>6134</c:v>
                </c:pt>
                <c:pt idx="7">
                  <c:v>7049</c:v>
                </c:pt>
                <c:pt idx="8">
                  <c:v>101688</c:v>
                </c:pt>
                <c:pt idx="10">
                  <c:v>114871</c:v>
                </c:pt>
                <c:pt idx="12">
                  <c:v>87963</c:v>
                </c:pt>
                <c:pt idx="13">
                  <c:v>54450</c:v>
                </c:pt>
                <c:pt idx="14">
                  <c:v>368616</c:v>
                </c:pt>
                <c:pt idx="16">
                  <c:v>511029</c:v>
                </c:pt>
              </c:numCache>
            </c:numRef>
          </c:val>
          <c:extLst>
            <c:ext xmlns:c16="http://schemas.microsoft.com/office/drawing/2014/chart" uri="{C3380CC4-5D6E-409C-BE32-E72D297353CC}">
              <c16:uniqueId val="{00000003-F6E7-42DD-8217-F8BDE6CBB54E}"/>
            </c:ext>
          </c:extLst>
        </c:ser>
        <c:ser>
          <c:idx val="4"/>
          <c:order val="4"/>
          <c:tx>
            <c:strRef>
              <c:f>Sheet1!$F$27:$F$28</c:f>
              <c:strCache>
                <c:ptCount val="2"/>
                <c:pt idx="0">
                  <c:v>2012-13</c:v>
                </c:pt>
              </c:strCache>
            </c:strRef>
          </c:tx>
          <c:spPr>
            <a:solidFill>
              <a:schemeClr val="accent5"/>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Sheet1!$F$29:$F$45</c:f>
              <c:numCache>
                <c:formatCode>General</c:formatCode>
                <c:ptCount val="17"/>
                <c:pt idx="0">
                  <c:v>102592</c:v>
                </c:pt>
                <c:pt idx="1">
                  <c:v>55957</c:v>
                </c:pt>
                <c:pt idx="2">
                  <c:v>314951</c:v>
                </c:pt>
                <c:pt idx="4">
                  <c:v>473500</c:v>
                </c:pt>
                <c:pt idx="6">
                  <c:v>8611</c:v>
                </c:pt>
                <c:pt idx="7">
                  <c:v>7724</c:v>
                </c:pt>
                <c:pt idx="8">
                  <c:v>117540</c:v>
                </c:pt>
                <c:pt idx="10">
                  <c:v>133875</c:v>
                </c:pt>
                <c:pt idx="12">
                  <c:v>111203</c:v>
                </c:pt>
                <c:pt idx="13">
                  <c:v>63681</c:v>
                </c:pt>
                <c:pt idx="14">
                  <c:v>432491</c:v>
                </c:pt>
                <c:pt idx="16">
                  <c:v>607375</c:v>
                </c:pt>
              </c:numCache>
            </c:numRef>
          </c:val>
          <c:extLst>
            <c:ext xmlns:c16="http://schemas.microsoft.com/office/drawing/2014/chart" uri="{C3380CC4-5D6E-409C-BE32-E72D297353CC}">
              <c16:uniqueId val="{00000004-F6E7-42DD-8217-F8BDE6CBB54E}"/>
            </c:ext>
          </c:extLst>
        </c:ser>
        <c:ser>
          <c:idx val="5"/>
          <c:order val="5"/>
          <c:tx>
            <c:strRef>
              <c:f>Sheet1!$G$27:$G$28</c:f>
              <c:strCache>
                <c:ptCount val="2"/>
                <c:pt idx="0">
                  <c:v>2013-14</c:v>
                </c:pt>
              </c:strCache>
            </c:strRef>
          </c:tx>
          <c:spPr>
            <a:solidFill>
              <a:schemeClr val="accent6"/>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Sheet1!$G$29:$G$45</c:f>
              <c:numCache>
                <c:formatCode>General</c:formatCode>
                <c:ptCount val="17"/>
                <c:pt idx="0">
                  <c:v>113574</c:v>
                </c:pt>
                <c:pt idx="1">
                  <c:v>70697</c:v>
                </c:pt>
                <c:pt idx="2">
                  <c:v>364164</c:v>
                </c:pt>
                <c:pt idx="4">
                  <c:v>548435</c:v>
                </c:pt>
                <c:pt idx="6">
                  <c:v>6389</c:v>
                </c:pt>
                <c:pt idx="7">
                  <c:v>11956</c:v>
                </c:pt>
                <c:pt idx="8">
                  <c:v>163342</c:v>
                </c:pt>
                <c:pt idx="10">
                  <c:v>181687</c:v>
                </c:pt>
                <c:pt idx="12">
                  <c:v>119963</c:v>
                </c:pt>
                <c:pt idx="13">
                  <c:v>82653</c:v>
                </c:pt>
                <c:pt idx="14">
                  <c:v>527506</c:v>
                </c:pt>
                <c:pt idx="16">
                  <c:v>730122</c:v>
                </c:pt>
              </c:numCache>
            </c:numRef>
          </c:val>
          <c:extLst>
            <c:ext xmlns:c16="http://schemas.microsoft.com/office/drawing/2014/chart" uri="{C3380CC4-5D6E-409C-BE32-E72D297353CC}">
              <c16:uniqueId val="{00000005-F6E7-42DD-8217-F8BDE6CBB54E}"/>
            </c:ext>
          </c:extLst>
        </c:ser>
        <c:ser>
          <c:idx val="6"/>
          <c:order val="6"/>
          <c:tx>
            <c:strRef>
              <c:f>Sheet1!$H$27:$H$28</c:f>
              <c:strCache>
                <c:ptCount val="2"/>
                <c:pt idx="0">
                  <c:v>2014-15</c:v>
                </c:pt>
              </c:strCache>
            </c:strRef>
          </c:tx>
          <c:spPr>
            <a:solidFill>
              <a:schemeClr val="accent1">
                <a:lumMod val="60000"/>
              </a:schemeClr>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Sheet1!$H$29:$H$45</c:f>
              <c:numCache>
                <c:formatCode>General</c:formatCode>
                <c:ptCount val="17"/>
                <c:pt idx="0">
                  <c:v>130350</c:v>
                </c:pt>
                <c:pt idx="1">
                  <c:v>89326</c:v>
                </c:pt>
                <c:pt idx="2">
                  <c:v>415736</c:v>
                </c:pt>
                <c:pt idx="4">
                  <c:v>635412</c:v>
                </c:pt>
                <c:pt idx="6">
                  <c:v>8119</c:v>
                </c:pt>
                <c:pt idx="7">
                  <c:v>13157</c:v>
                </c:pt>
                <c:pt idx="8">
                  <c:v>188640</c:v>
                </c:pt>
                <c:pt idx="10">
                  <c:v>209916</c:v>
                </c:pt>
                <c:pt idx="12">
                  <c:v>138469</c:v>
                </c:pt>
                <c:pt idx="13">
                  <c:v>102483</c:v>
                </c:pt>
                <c:pt idx="14">
                  <c:v>604376</c:v>
                </c:pt>
                <c:pt idx="16">
                  <c:v>845328</c:v>
                </c:pt>
              </c:numCache>
            </c:numRef>
          </c:val>
          <c:extLst>
            <c:ext xmlns:c16="http://schemas.microsoft.com/office/drawing/2014/chart" uri="{C3380CC4-5D6E-409C-BE32-E72D297353CC}">
              <c16:uniqueId val="{00000006-F6E7-42DD-8217-F8BDE6CBB54E}"/>
            </c:ext>
          </c:extLst>
        </c:ser>
        <c:ser>
          <c:idx val="7"/>
          <c:order val="7"/>
          <c:tx>
            <c:strRef>
              <c:f>Sheet1!$I$27:$I$28</c:f>
              <c:strCache>
                <c:ptCount val="2"/>
                <c:pt idx="0">
                  <c:v>2015-16</c:v>
                </c:pt>
              </c:strCache>
            </c:strRef>
          </c:tx>
          <c:spPr>
            <a:solidFill>
              <a:schemeClr val="accent2">
                <a:lumMod val="60000"/>
              </a:schemeClr>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Sheet1!$I$29:$I$45</c:f>
              <c:numCache>
                <c:formatCode>General</c:formatCode>
                <c:ptCount val="17"/>
                <c:pt idx="0">
                  <c:v>143803</c:v>
                </c:pt>
                <c:pt idx="1">
                  <c:v>101579</c:v>
                </c:pt>
                <c:pt idx="2">
                  <c:v>419930</c:v>
                </c:pt>
                <c:pt idx="4">
                  <c:v>665312</c:v>
                </c:pt>
                <c:pt idx="6">
                  <c:v>9492</c:v>
                </c:pt>
                <c:pt idx="7">
                  <c:v>17681</c:v>
                </c:pt>
                <c:pt idx="8">
                  <c:v>223024</c:v>
                </c:pt>
                <c:pt idx="10">
                  <c:v>250197</c:v>
                </c:pt>
                <c:pt idx="12">
                  <c:v>153295</c:v>
                </c:pt>
                <c:pt idx="13">
                  <c:v>119260</c:v>
                </c:pt>
                <c:pt idx="14">
                  <c:v>642954</c:v>
                </c:pt>
                <c:pt idx="16">
                  <c:v>915509</c:v>
                </c:pt>
              </c:numCache>
            </c:numRef>
          </c:val>
          <c:extLst>
            <c:ext xmlns:c16="http://schemas.microsoft.com/office/drawing/2014/chart" uri="{C3380CC4-5D6E-409C-BE32-E72D297353CC}">
              <c16:uniqueId val="{00000007-F6E7-42DD-8217-F8BDE6CBB54E}"/>
            </c:ext>
          </c:extLst>
        </c:ser>
        <c:ser>
          <c:idx val="8"/>
          <c:order val="8"/>
          <c:tx>
            <c:strRef>
              <c:f>Sheet1!$J$27:$J$28</c:f>
              <c:strCache>
                <c:ptCount val="2"/>
                <c:pt idx="0">
                  <c:v>2016-17</c:v>
                </c:pt>
              </c:strCache>
            </c:strRef>
          </c:tx>
          <c:spPr>
            <a:solidFill>
              <a:schemeClr val="accent3">
                <a:lumMod val="60000"/>
              </a:schemeClr>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Sheet1!$J$29:$J$45</c:f>
              <c:numCache>
                <c:formatCode>General</c:formatCode>
                <c:ptCount val="17"/>
                <c:pt idx="0">
                  <c:v>131880</c:v>
                </c:pt>
                <c:pt idx="1">
                  <c:v>105001</c:v>
                </c:pt>
                <c:pt idx="2">
                  <c:v>452576</c:v>
                </c:pt>
                <c:pt idx="4">
                  <c:v>689457</c:v>
                </c:pt>
                <c:pt idx="6">
                  <c:v>10878</c:v>
                </c:pt>
                <c:pt idx="7">
                  <c:v>18215</c:v>
                </c:pt>
                <c:pt idx="8">
                  <c:v>347205</c:v>
                </c:pt>
                <c:pt idx="10">
                  <c:v>376298</c:v>
                </c:pt>
                <c:pt idx="12">
                  <c:v>142758</c:v>
                </c:pt>
                <c:pt idx="13">
                  <c:v>123216</c:v>
                </c:pt>
                <c:pt idx="14">
                  <c:v>799781</c:v>
                </c:pt>
                <c:pt idx="16">
                  <c:v>1065755</c:v>
                </c:pt>
              </c:numCache>
            </c:numRef>
          </c:val>
          <c:extLst>
            <c:ext xmlns:c16="http://schemas.microsoft.com/office/drawing/2014/chart" uri="{C3380CC4-5D6E-409C-BE32-E72D297353CC}">
              <c16:uniqueId val="{00000008-F6E7-42DD-8217-F8BDE6CBB54E}"/>
            </c:ext>
          </c:extLst>
        </c:ser>
        <c:ser>
          <c:idx val="9"/>
          <c:order val="9"/>
          <c:tx>
            <c:strRef>
              <c:f>Sheet1!$K$27:$K$28</c:f>
              <c:strCache>
                <c:ptCount val="2"/>
                <c:pt idx="0">
                  <c:v>2017-18</c:v>
                </c:pt>
              </c:strCache>
            </c:strRef>
          </c:tx>
          <c:spPr>
            <a:solidFill>
              <a:schemeClr val="accent4">
                <a:lumMod val="60000"/>
              </a:schemeClr>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Sheet1!$K$29:$K$45</c:f>
              <c:numCache>
                <c:formatCode>General</c:formatCode>
                <c:ptCount val="17"/>
                <c:pt idx="0">
                  <c:v>138348</c:v>
                </c:pt>
                <c:pt idx="1">
                  <c:v>119546</c:v>
                </c:pt>
                <c:pt idx="2">
                  <c:v>497078</c:v>
                </c:pt>
                <c:pt idx="4">
                  <c:v>754972</c:v>
                </c:pt>
                <c:pt idx="6">
                  <c:v>12041</c:v>
                </c:pt>
                <c:pt idx="7">
                  <c:v>21413</c:v>
                </c:pt>
                <c:pt idx="8">
                  <c:v>380077</c:v>
                </c:pt>
                <c:pt idx="10">
                  <c:v>413531</c:v>
                </c:pt>
                <c:pt idx="12">
                  <c:v>150389</c:v>
                </c:pt>
                <c:pt idx="13">
                  <c:v>140959</c:v>
                </c:pt>
                <c:pt idx="14">
                  <c:v>877155</c:v>
                </c:pt>
                <c:pt idx="16">
                  <c:v>1168503</c:v>
                </c:pt>
              </c:numCache>
            </c:numRef>
          </c:val>
          <c:extLst>
            <c:ext xmlns:c16="http://schemas.microsoft.com/office/drawing/2014/chart" uri="{C3380CC4-5D6E-409C-BE32-E72D297353CC}">
              <c16:uniqueId val="{00000009-F6E7-42DD-8217-F8BDE6CBB54E}"/>
            </c:ext>
          </c:extLst>
        </c:ser>
        <c:ser>
          <c:idx val="10"/>
          <c:order val="10"/>
          <c:tx>
            <c:strRef>
              <c:f>Sheet1!$L$27:$L$28</c:f>
              <c:strCache>
                <c:ptCount val="2"/>
                <c:pt idx="0">
                  <c:v>2018-19</c:v>
                </c:pt>
              </c:strCache>
            </c:strRef>
          </c:tx>
          <c:spPr>
            <a:solidFill>
              <a:schemeClr val="accent5">
                <a:lumMod val="60000"/>
              </a:schemeClr>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Sheet1!$L$29:$L$45</c:f>
              <c:numCache>
                <c:formatCode>General</c:formatCode>
                <c:ptCount val="17"/>
                <c:pt idx="0">
                  <c:v>142750</c:v>
                </c:pt>
                <c:pt idx="1">
                  <c:v>125654</c:v>
                </c:pt>
                <c:pt idx="2">
                  <c:v>483805</c:v>
                </c:pt>
                <c:pt idx="4">
                  <c:v>752209</c:v>
                </c:pt>
                <c:pt idx="6">
                  <c:v>9591</c:v>
                </c:pt>
                <c:pt idx="7">
                  <c:v>24013</c:v>
                </c:pt>
                <c:pt idx="8">
                  <c:v>471016</c:v>
                </c:pt>
                <c:pt idx="10">
                  <c:v>504620</c:v>
                </c:pt>
                <c:pt idx="12">
                  <c:v>152340</c:v>
                </c:pt>
                <c:pt idx="13">
                  <c:v>149667</c:v>
                </c:pt>
                <c:pt idx="14">
                  <c:v>954823</c:v>
                </c:pt>
                <c:pt idx="16">
                  <c:v>1256830</c:v>
                </c:pt>
              </c:numCache>
            </c:numRef>
          </c:val>
          <c:extLst>
            <c:ext xmlns:c16="http://schemas.microsoft.com/office/drawing/2014/chart" uri="{C3380CC4-5D6E-409C-BE32-E72D297353CC}">
              <c16:uniqueId val="{0000000A-F6E7-42DD-8217-F8BDE6CBB54E}"/>
            </c:ext>
          </c:extLst>
        </c:ser>
        <c:ser>
          <c:idx val="11"/>
          <c:order val="11"/>
          <c:tx>
            <c:strRef>
              <c:f>Sheet1!$M$27:$M$28</c:f>
              <c:strCache>
                <c:ptCount val="2"/>
                <c:pt idx="0">
                  <c:v>2019-20</c:v>
                </c:pt>
              </c:strCache>
            </c:strRef>
          </c:tx>
          <c:spPr>
            <a:solidFill>
              <a:schemeClr val="accent6">
                <a:lumMod val="60000"/>
              </a:schemeClr>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Sheet1!$M$29:$M$45</c:f>
              <c:numCache>
                <c:formatCode>General</c:formatCode>
                <c:ptCount val="17"/>
                <c:pt idx="0">
                  <c:v>148287</c:v>
                </c:pt>
                <c:pt idx="1">
                  <c:v>138069</c:v>
                </c:pt>
                <c:pt idx="2">
                  <c:v>538795</c:v>
                </c:pt>
                <c:pt idx="4">
                  <c:v>825151</c:v>
                </c:pt>
                <c:pt idx="6">
                  <c:v>9080</c:v>
                </c:pt>
                <c:pt idx="7">
                  <c:v>27257</c:v>
                </c:pt>
                <c:pt idx="8">
                  <c:v>531241</c:v>
                </c:pt>
                <c:pt idx="10">
                  <c:v>567578</c:v>
                </c:pt>
                <c:pt idx="12">
                  <c:v>157367</c:v>
                </c:pt>
                <c:pt idx="13">
                  <c:v>165326</c:v>
                </c:pt>
                <c:pt idx="14">
                  <c:v>1070036</c:v>
                </c:pt>
                <c:pt idx="16">
                  <c:v>1392729</c:v>
                </c:pt>
              </c:numCache>
            </c:numRef>
          </c:val>
          <c:extLst>
            <c:ext xmlns:c16="http://schemas.microsoft.com/office/drawing/2014/chart" uri="{C3380CC4-5D6E-409C-BE32-E72D297353CC}">
              <c16:uniqueId val="{0000000B-F6E7-42DD-8217-F8BDE6CBB54E}"/>
            </c:ext>
          </c:extLst>
        </c:ser>
        <c:ser>
          <c:idx val="12"/>
          <c:order val="12"/>
          <c:tx>
            <c:strRef>
              <c:f>Sheet1!$N$27:$N$28</c:f>
              <c:strCache>
                <c:ptCount val="2"/>
                <c:pt idx="0">
                  <c:v>CAGR</c:v>
                </c:pt>
              </c:strCache>
            </c:strRef>
          </c:tx>
          <c:spPr>
            <a:solidFill>
              <a:schemeClr val="accent1">
                <a:lumMod val="80000"/>
                <a:lumOff val="20000"/>
              </a:schemeClr>
            </a:solidFill>
            <a:ln>
              <a:noFill/>
            </a:ln>
            <a:effectLst/>
          </c:spPr>
          <c:invertIfNegative val="0"/>
          <c:cat>
            <c:strRef>
              <c:f>Sheet1!$A$29:$A$45</c:f>
              <c:strCache>
                <c:ptCount val="17"/>
                <c:pt idx="0">
                  <c:v>Co-operative Banks</c:v>
                </c:pt>
                <c:pt idx="1">
                  <c:v>RRBs</c:v>
                </c:pt>
                <c:pt idx="2">
                  <c:v>Commercial Banks</c:v>
                </c:pt>
                <c:pt idx="3">
                  <c:v>Other Agencies</c:v>
                </c:pt>
                <c:pt idx="4">
                  <c:v>Sub Total (A)</c:v>
                </c:pt>
                <c:pt idx="5">
                  <c:v>II. MT/LT Credit</c:v>
                </c:pt>
                <c:pt idx="6">
                  <c:v>Co-operative Banks</c:v>
                </c:pt>
                <c:pt idx="7">
                  <c:v>RRBs</c:v>
                </c:pt>
                <c:pt idx="8">
                  <c:v>Commercial Banks</c:v>
                </c:pt>
                <c:pt idx="9">
                  <c:v>Other Agencies</c:v>
                </c:pt>
                <c:pt idx="10">
                  <c:v>Sub Total (B)</c:v>
                </c:pt>
                <c:pt idx="11">
                  <c:v>Total Credit (ST + MT/LT)</c:v>
                </c:pt>
                <c:pt idx="12">
                  <c:v>Co-operative Banks</c:v>
                </c:pt>
                <c:pt idx="13">
                  <c:v>RRBs</c:v>
                </c:pt>
                <c:pt idx="14">
                  <c:v>Commercial Banks</c:v>
                </c:pt>
                <c:pt idx="15">
                  <c:v>Other Agencies</c:v>
                </c:pt>
                <c:pt idx="16">
                  <c:v>Grand Total (A+B)</c:v>
                </c:pt>
              </c:strCache>
            </c:strRef>
          </c:cat>
          <c:val>
            <c:numRef>
              <c:f>Sheet1!$N$29:$N$45</c:f>
              <c:numCache>
                <c:formatCode>General</c:formatCode>
                <c:ptCount val="17"/>
                <c:pt idx="0">
                  <c:v>12.75</c:v>
                </c:pt>
                <c:pt idx="1">
                  <c:v>19.079999999999998</c:v>
                </c:pt>
                <c:pt idx="2">
                  <c:v>12.56</c:v>
                </c:pt>
                <c:pt idx="4">
                  <c:v>13.44</c:v>
                </c:pt>
                <c:pt idx="6">
                  <c:v>5.9</c:v>
                </c:pt>
                <c:pt idx="7">
                  <c:v>19.57</c:v>
                </c:pt>
                <c:pt idx="8">
                  <c:v>19.5</c:v>
                </c:pt>
                <c:pt idx="10">
                  <c:v>18.91</c:v>
                </c:pt>
                <c:pt idx="12">
                  <c:v>12.11</c:v>
                </c:pt>
                <c:pt idx="13">
                  <c:v>19.14</c:v>
                </c:pt>
                <c:pt idx="14">
                  <c:v>15.22</c:v>
                </c:pt>
                <c:pt idx="16">
                  <c:v>15.17</c:v>
                </c:pt>
              </c:numCache>
            </c:numRef>
          </c:val>
          <c:extLst>
            <c:ext xmlns:c16="http://schemas.microsoft.com/office/drawing/2014/chart" uri="{C3380CC4-5D6E-409C-BE32-E72D297353CC}">
              <c16:uniqueId val="{0000000C-F6E7-42DD-8217-F8BDE6CBB54E}"/>
            </c:ext>
          </c:extLst>
        </c:ser>
        <c:dLbls>
          <c:showLegendKey val="0"/>
          <c:showVal val="0"/>
          <c:showCatName val="0"/>
          <c:showSerName val="0"/>
          <c:showPercent val="0"/>
          <c:showBubbleSize val="0"/>
        </c:dLbls>
        <c:gapWidth val="150"/>
        <c:overlap val="100"/>
        <c:axId val="547424767"/>
        <c:axId val="547425247"/>
      </c:barChart>
      <c:catAx>
        <c:axId val="5474247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425247"/>
        <c:crosses val="autoZero"/>
        <c:auto val="1"/>
        <c:lblAlgn val="ctr"/>
        <c:lblOffset val="100"/>
        <c:noMultiLvlLbl val="0"/>
      </c:catAx>
      <c:valAx>
        <c:axId val="547425247"/>
        <c:scaling>
          <c:orientation val="minMax"/>
          <c:max val="10000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424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Sheet1!$B$12</c:f>
              <c:strCache>
                <c:ptCount val="1"/>
                <c:pt idx="0">
                  <c:v>2013-14</c:v>
                </c:pt>
              </c:strCache>
            </c:strRef>
          </c:tx>
          <c:spPr>
            <a:solidFill>
              <a:schemeClr val="accent1"/>
            </a:solidFill>
            <a:ln>
              <a:noFill/>
            </a:ln>
            <a:effectLst/>
          </c:spPr>
          <c:invertIfNegative val="0"/>
          <c:cat>
            <c:strRef>
              <c:f>Sheet1!$A$13:$A$24</c:f>
              <c:strCache>
                <c:ptCount val="11"/>
                <c:pt idx="0">
                  <c:v>Northern Region</c:v>
                </c:pt>
                <c:pt idx="2">
                  <c:v>North Eastern Region</c:v>
                </c:pt>
                <c:pt idx="4">
                  <c:v>Eastern Region</c:v>
                </c:pt>
                <c:pt idx="6">
                  <c:v>Central Region</c:v>
                </c:pt>
                <c:pt idx="8">
                  <c:v>Western Region</c:v>
                </c:pt>
                <c:pt idx="10">
                  <c:v>Southern Region</c:v>
                </c:pt>
              </c:strCache>
            </c:strRef>
          </c:cat>
          <c:val>
            <c:numRef>
              <c:f>Sheet1!$B$13:$B$24</c:f>
              <c:numCache>
                <c:formatCode>General</c:formatCode>
                <c:ptCount val="12"/>
                <c:pt idx="0">
                  <c:v>167813</c:v>
                </c:pt>
                <c:pt idx="1">
                  <c:v>-22.98</c:v>
                </c:pt>
                <c:pt idx="2">
                  <c:v>4345</c:v>
                </c:pt>
                <c:pt idx="3">
                  <c:v>-0.6</c:v>
                </c:pt>
                <c:pt idx="4">
                  <c:v>56217</c:v>
                </c:pt>
                <c:pt idx="5">
                  <c:v>-7.7</c:v>
                </c:pt>
                <c:pt idx="6">
                  <c:v>110929</c:v>
                </c:pt>
                <c:pt idx="7">
                  <c:v>-15.19</c:v>
                </c:pt>
                <c:pt idx="8">
                  <c:v>95420</c:v>
                </c:pt>
                <c:pt idx="9">
                  <c:v>-13.07</c:v>
                </c:pt>
                <c:pt idx="10">
                  <c:v>295398</c:v>
                </c:pt>
                <c:pt idx="11">
                  <c:v>-40.46</c:v>
                </c:pt>
              </c:numCache>
            </c:numRef>
          </c:val>
          <c:extLst>
            <c:ext xmlns:c16="http://schemas.microsoft.com/office/drawing/2014/chart" uri="{C3380CC4-5D6E-409C-BE32-E72D297353CC}">
              <c16:uniqueId val="{00000000-A3F3-4D68-B92F-D50AE7AE7A27}"/>
            </c:ext>
          </c:extLst>
        </c:ser>
        <c:ser>
          <c:idx val="1"/>
          <c:order val="1"/>
          <c:tx>
            <c:strRef>
              <c:f>Sheet1!$C$12</c:f>
              <c:strCache>
                <c:ptCount val="1"/>
                <c:pt idx="0">
                  <c:v>2014-15</c:v>
                </c:pt>
              </c:strCache>
            </c:strRef>
          </c:tx>
          <c:spPr>
            <a:solidFill>
              <a:schemeClr val="accent2"/>
            </a:solidFill>
            <a:ln>
              <a:noFill/>
            </a:ln>
            <a:effectLst/>
          </c:spPr>
          <c:invertIfNegative val="0"/>
          <c:cat>
            <c:strRef>
              <c:f>Sheet1!$A$13:$A$24</c:f>
              <c:strCache>
                <c:ptCount val="11"/>
                <c:pt idx="0">
                  <c:v>Northern Region</c:v>
                </c:pt>
                <c:pt idx="2">
                  <c:v>North Eastern Region</c:v>
                </c:pt>
                <c:pt idx="4">
                  <c:v>Eastern Region</c:v>
                </c:pt>
                <c:pt idx="6">
                  <c:v>Central Region</c:v>
                </c:pt>
                <c:pt idx="8">
                  <c:v>Western Region</c:v>
                </c:pt>
                <c:pt idx="10">
                  <c:v>Southern Region</c:v>
                </c:pt>
              </c:strCache>
            </c:strRef>
          </c:cat>
          <c:val>
            <c:numRef>
              <c:f>Sheet1!$C$13:$C$24</c:f>
              <c:numCache>
                <c:formatCode>General</c:formatCode>
                <c:ptCount val="12"/>
                <c:pt idx="0">
                  <c:v>202479</c:v>
                </c:pt>
                <c:pt idx="1">
                  <c:v>-23.95</c:v>
                </c:pt>
                <c:pt idx="2">
                  <c:v>4453</c:v>
                </c:pt>
                <c:pt idx="3">
                  <c:v>-0.53</c:v>
                </c:pt>
                <c:pt idx="4">
                  <c:v>80013</c:v>
                </c:pt>
                <c:pt idx="5">
                  <c:v>-9.4700000000000006</c:v>
                </c:pt>
                <c:pt idx="6">
                  <c:v>133118</c:v>
                </c:pt>
                <c:pt idx="7">
                  <c:v>-15.75</c:v>
                </c:pt>
                <c:pt idx="8">
                  <c:v>106981</c:v>
                </c:pt>
                <c:pt idx="9">
                  <c:v>-12.66</c:v>
                </c:pt>
                <c:pt idx="10">
                  <c:v>318284</c:v>
                </c:pt>
                <c:pt idx="11">
                  <c:v>-37.65</c:v>
                </c:pt>
              </c:numCache>
            </c:numRef>
          </c:val>
          <c:extLst>
            <c:ext xmlns:c16="http://schemas.microsoft.com/office/drawing/2014/chart" uri="{C3380CC4-5D6E-409C-BE32-E72D297353CC}">
              <c16:uniqueId val="{00000001-A3F3-4D68-B92F-D50AE7AE7A27}"/>
            </c:ext>
          </c:extLst>
        </c:ser>
        <c:ser>
          <c:idx val="2"/>
          <c:order val="2"/>
          <c:tx>
            <c:strRef>
              <c:f>Sheet1!$D$12</c:f>
              <c:strCache>
                <c:ptCount val="1"/>
                <c:pt idx="0">
                  <c:v>2015-16</c:v>
                </c:pt>
              </c:strCache>
            </c:strRef>
          </c:tx>
          <c:spPr>
            <a:solidFill>
              <a:schemeClr val="accent3"/>
            </a:solidFill>
            <a:ln>
              <a:noFill/>
            </a:ln>
            <a:effectLst/>
          </c:spPr>
          <c:invertIfNegative val="0"/>
          <c:cat>
            <c:strRef>
              <c:f>Sheet1!$A$13:$A$24</c:f>
              <c:strCache>
                <c:ptCount val="11"/>
                <c:pt idx="0">
                  <c:v>Northern Region</c:v>
                </c:pt>
                <c:pt idx="2">
                  <c:v>North Eastern Region</c:v>
                </c:pt>
                <c:pt idx="4">
                  <c:v>Eastern Region</c:v>
                </c:pt>
                <c:pt idx="6">
                  <c:v>Central Region</c:v>
                </c:pt>
                <c:pt idx="8">
                  <c:v>Western Region</c:v>
                </c:pt>
                <c:pt idx="10">
                  <c:v>Southern Region</c:v>
                </c:pt>
              </c:strCache>
            </c:strRef>
          </c:cat>
          <c:val>
            <c:numRef>
              <c:f>Sheet1!$D$13:$D$24</c:f>
              <c:numCache>
                <c:formatCode>General</c:formatCode>
                <c:ptCount val="12"/>
                <c:pt idx="0">
                  <c:v>216919</c:v>
                </c:pt>
                <c:pt idx="1">
                  <c:v>-23.69</c:v>
                </c:pt>
                <c:pt idx="2">
                  <c:v>5833</c:v>
                </c:pt>
                <c:pt idx="3">
                  <c:v>-0.64</c:v>
                </c:pt>
                <c:pt idx="4">
                  <c:v>103673</c:v>
                </c:pt>
                <c:pt idx="5">
                  <c:v>-11.32</c:v>
                </c:pt>
                <c:pt idx="6">
                  <c:v>153289</c:v>
                </c:pt>
                <c:pt idx="7">
                  <c:v>-16.739999999999998</c:v>
                </c:pt>
                <c:pt idx="8">
                  <c:v>107934</c:v>
                </c:pt>
                <c:pt idx="9">
                  <c:v>-11.79</c:v>
                </c:pt>
                <c:pt idx="10">
                  <c:v>327862</c:v>
                </c:pt>
                <c:pt idx="11">
                  <c:v>-35.81</c:v>
                </c:pt>
              </c:numCache>
            </c:numRef>
          </c:val>
          <c:extLst>
            <c:ext xmlns:c16="http://schemas.microsoft.com/office/drawing/2014/chart" uri="{C3380CC4-5D6E-409C-BE32-E72D297353CC}">
              <c16:uniqueId val="{00000002-A3F3-4D68-B92F-D50AE7AE7A27}"/>
            </c:ext>
          </c:extLst>
        </c:ser>
        <c:ser>
          <c:idx val="3"/>
          <c:order val="3"/>
          <c:tx>
            <c:strRef>
              <c:f>Sheet1!$E$12</c:f>
              <c:strCache>
                <c:ptCount val="1"/>
                <c:pt idx="0">
                  <c:v>2016-17</c:v>
                </c:pt>
              </c:strCache>
            </c:strRef>
          </c:tx>
          <c:spPr>
            <a:solidFill>
              <a:schemeClr val="accent4"/>
            </a:solidFill>
            <a:ln>
              <a:noFill/>
            </a:ln>
            <a:effectLst/>
          </c:spPr>
          <c:invertIfNegative val="0"/>
          <c:cat>
            <c:strRef>
              <c:f>Sheet1!$A$13:$A$24</c:f>
              <c:strCache>
                <c:ptCount val="11"/>
                <c:pt idx="0">
                  <c:v>Northern Region</c:v>
                </c:pt>
                <c:pt idx="2">
                  <c:v>North Eastern Region</c:v>
                </c:pt>
                <c:pt idx="4">
                  <c:v>Eastern Region</c:v>
                </c:pt>
                <c:pt idx="6">
                  <c:v>Central Region</c:v>
                </c:pt>
                <c:pt idx="8">
                  <c:v>Western Region</c:v>
                </c:pt>
                <c:pt idx="10">
                  <c:v>Southern Region</c:v>
                </c:pt>
              </c:strCache>
            </c:strRef>
          </c:cat>
          <c:val>
            <c:numRef>
              <c:f>Sheet1!$E$13:$E$24</c:f>
              <c:numCache>
                <c:formatCode>General</c:formatCode>
                <c:ptCount val="12"/>
                <c:pt idx="0">
                  <c:v>232847</c:v>
                </c:pt>
                <c:pt idx="1">
                  <c:v>-21.85</c:v>
                </c:pt>
                <c:pt idx="2">
                  <c:v>8773</c:v>
                </c:pt>
                <c:pt idx="3">
                  <c:v>-0.82</c:v>
                </c:pt>
                <c:pt idx="4">
                  <c:v>86860</c:v>
                </c:pt>
                <c:pt idx="5">
                  <c:v>-8.15</c:v>
                </c:pt>
                <c:pt idx="6">
                  <c:v>156476</c:v>
                </c:pt>
                <c:pt idx="7">
                  <c:v>-14.68</c:v>
                </c:pt>
                <c:pt idx="8">
                  <c:v>136787</c:v>
                </c:pt>
                <c:pt idx="9">
                  <c:v>-12.83</c:v>
                </c:pt>
                <c:pt idx="10">
                  <c:v>444013</c:v>
                </c:pt>
                <c:pt idx="11">
                  <c:v>-41.66</c:v>
                </c:pt>
              </c:numCache>
            </c:numRef>
          </c:val>
          <c:extLst>
            <c:ext xmlns:c16="http://schemas.microsoft.com/office/drawing/2014/chart" uri="{C3380CC4-5D6E-409C-BE32-E72D297353CC}">
              <c16:uniqueId val="{00000003-A3F3-4D68-B92F-D50AE7AE7A27}"/>
            </c:ext>
          </c:extLst>
        </c:ser>
        <c:ser>
          <c:idx val="4"/>
          <c:order val="4"/>
          <c:tx>
            <c:strRef>
              <c:f>Sheet1!$F$12</c:f>
              <c:strCache>
                <c:ptCount val="1"/>
                <c:pt idx="0">
                  <c:v>2017-18</c:v>
                </c:pt>
              </c:strCache>
            </c:strRef>
          </c:tx>
          <c:spPr>
            <a:solidFill>
              <a:schemeClr val="accent5"/>
            </a:solidFill>
            <a:ln>
              <a:noFill/>
            </a:ln>
            <a:effectLst/>
          </c:spPr>
          <c:invertIfNegative val="0"/>
          <c:cat>
            <c:strRef>
              <c:f>Sheet1!$A$13:$A$24</c:f>
              <c:strCache>
                <c:ptCount val="11"/>
                <c:pt idx="0">
                  <c:v>Northern Region</c:v>
                </c:pt>
                <c:pt idx="2">
                  <c:v>North Eastern Region</c:v>
                </c:pt>
                <c:pt idx="4">
                  <c:v>Eastern Region</c:v>
                </c:pt>
                <c:pt idx="6">
                  <c:v>Central Region</c:v>
                </c:pt>
                <c:pt idx="8">
                  <c:v>Western Region</c:v>
                </c:pt>
                <c:pt idx="10">
                  <c:v>Southern Region</c:v>
                </c:pt>
              </c:strCache>
            </c:strRef>
          </c:cat>
          <c:val>
            <c:numRef>
              <c:f>Sheet1!$F$13:$F$24</c:f>
              <c:numCache>
                <c:formatCode>General</c:formatCode>
                <c:ptCount val="12"/>
                <c:pt idx="0">
                  <c:v>256991</c:v>
                </c:pt>
                <c:pt idx="1">
                  <c:v>-22.1</c:v>
                </c:pt>
                <c:pt idx="2">
                  <c:v>10273</c:v>
                </c:pt>
                <c:pt idx="3">
                  <c:v>-0.88</c:v>
                </c:pt>
                <c:pt idx="4">
                  <c:v>96751</c:v>
                </c:pt>
                <c:pt idx="5">
                  <c:v>-8.32</c:v>
                </c:pt>
                <c:pt idx="6">
                  <c:v>167096</c:v>
                </c:pt>
                <c:pt idx="7">
                  <c:v>-14.37</c:v>
                </c:pt>
                <c:pt idx="8">
                  <c:v>136374</c:v>
                </c:pt>
                <c:pt idx="9">
                  <c:v>-11.73</c:v>
                </c:pt>
                <c:pt idx="10">
                  <c:v>495132</c:v>
                </c:pt>
                <c:pt idx="11">
                  <c:v>-42.59</c:v>
                </c:pt>
              </c:numCache>
            </c:numRef>
          </c:val>
          <c:extLst>
            <c:ext xmlns:c16="http://schemas.microsoft.com/office/drawing/2014/chart" uri="{C3380CC4-5D6E-409C-BE32-E72D297353CC}">
              <c16:uniqueId val="{00000004-A3F3-4D68-B92F-D50AE7AE7A27}"/>
            </c:ext>
          </c:extLst>
        </c:ser>
        <c:ser>
          <c:idx val="5"/>
          <c:order val="5"/>
          <c:tx>
            <c:strRef>
              <c:f>Sheet1!$G$12</c:f>
              <c:strCache>
                <c:ptCount val="1"/>
                <c:pt idx="0">
                  <c:v>2018-19</c:v>
                </c:pt>
              </c:strCache>
            </c:strRef>
          </c:tx>
          <c:spPr>
            <a:solidFill>
              <a:schemeClr val="accent6"/>
            </a:solidFill>
            <a:ln>
              <a:noFill/>
            </a:ln>
            <a:effectLst/>
          </c:spPr>
          <c:invertIfNegative val="0"/>
          <c:cat>
            <c:strRef>
              <c:f>Sheet1!$A$13:$A$24</c:f>
              <c:strCache>
                <c:ptCount val="11"/>
                <c:pt idx="0">
                  <c:v>Northern Region</c:v>
                </c:pt>
                <c:pt idx="2">
                  <c:v>North Eastern Region</c:v>
                </c:pt>
                <c:pt idx="4">
                  <c:v>Eastern Region</c:v>
                </c:pt>
                <c:pt idx="6">
                  <c:v>Central Region</c:v>
                </c:pt>
                <c:pt idx="8">
                  <c:v>Western Region</c:v>
                </c:pt>
                <c:pt idx="10">
                  <c:v>Southern Region</c:v>
                </c:pt>
              </c:strCache>
            </c:strRef>
          </c:cat>
          <c:val>
            <c:numRef>
              <c:f>Sheet1!$G$13:$G$24</c:f>
              <c:numCache>
                <c:formatCode>General</c:formatCode>
                <c:ptCount val="12"/>
                <c:pt idx="0">
                  <c:v>270197</c:v>
                </c:pt>
                <c:pt idx="1">
                  <c:v>-21.5</c:v>
                </c:pt>
                <c:pt idx="2">
                  <c:v>11172</c:v>
                </c:pt>
                <c:pt idx="3">
                  <c:v>-0.89</c:v>
                </c:pt>
                <c:pt idx="4">
                  <c:v>113792</c:v>
                </c:pt>
                <c:pt idx="5">
                  <c:v>-9.0500000000000007</c:v>
                </c:pt>
                <c:pt idx="6">
                  <c:v>171261</c:v>
                </c:pt>
                <c:pt idx="7">
                  <c:v>-13.63</c:v>
                </c:pt>
                <c:pt idx="8">
                  <c:v>151115</c:v>
                </c:pt>
                <c:pt idx="9">
                  <c:v>-12.02</c:v>
                </c:pt>
                <c:pt idx="10">
                  <c:v>539292</c:v>
                </c:pt>
                <c:pt idx="11">
                  <c:v>-42.91</c:v>
                </c:pt>
              </c:numCache>
            </c:numRef>
          </c:val>
          <c:extLst>
            <c:ext xmlns:c16="http://schemas.microsoft.com/office/drawing/2014/chart" uri="{C3380CC4-5D6E-409C-BE32-E72D297353CC}">
              <c16:uniqueId val="{00000005-A3F3-4D68-B92F-D50AE7AE7A27}"/>
            </c:ext>
          </c:extLst>
        </c:ser>
        <c:ser>
          <c:idx val="6"/>
          <c:order val="6"/>
          <c:tx>
            <c:strRef>
              <c:f>Sheet1!$H$12</c:f>
              <c:strCache>
                <c:ptCount val="1"/>
                <c:pt idx="0">
                  <c:v>2019-20</c:v>
                </c:pt>
              </c:strCache>
            </c:strRef>
          </c:tx>
          <c:spPr>
            <a:solidFill>
              <a:schemeClr val="accent1">
                <a:lumMod val="60000"/>
              </a:schemeClr>
            </a:solidFill>
            <a:ln>
              <a:noFill/>
            </a:ln>
            <a:effectLst/>
          </c:spPr>
          <c:invertIfNegative val="0"/>
          <c:cat>
            <c:strRef>
              <c:f>Sheet1!$A$13:$A$24</c:f>
              <c:strCache>
                <c:ptCount val="11"/>
                <c:pt idx="0">
                  <c:v>Northern Region</c:v>
                </c:pt>
                <c:pt idx="2">
                  <c:v>North Eastern Region</c:v>
                </c:pt>
                <c:pt idx="4">
                  <c:v>Eastern Region</c:v>
                </c:pt>
                <c:pt idx="6">
                  <c:v>Central Region</c:v>
                </c:pt>
                <c:pt idx="8">
                  <c:v>Western Region</c:v>
                </c:pt>
                <c:pt idx="10">
                  <c:v>Southern Region</c:v>
                </c:pt>
              </c:strCache>
            </c:strRef>
          </c:cat>
          <c:val>
            <c:numRef>
              <c:f>Sheet1!$H$13:$H$24</c:f>
              <c:numCache>
                <c:formatCode>General</c:formatCode>
                <c:ptCount val="12"/>
                <c:pt idx="0">
                  <c:v>283945</c:v>
                </c:pt>
                <c:pt idx="1">
                  <c:v>-20.39</c:v>
                </c:pt>
                <c:pt idx="2">
                  <c:v>11809</c:v>
                </c:pt>
                <c:pt idx="3">
                  <c:v>-0.85</c:v>
                </c:pt>
                <c:pt idx="4">
                  <c:v>131668</c:v>
                </c:pt>
                <c:pt idx="5">
                  <c:v>-9.4499999999999993</c:v>
                </c:pt>
                <c:pt idx="6">
                  <c:v>197015</c:v>
                </c:pt>
                <c:pt idx="7">
                  <c:v>-14.15</c:v>
                </c:pt>
                <c:pt idx="8">
                  <c:v>156206</c:v>
                </c:pt>
                <c:pt idx="9">
                  <c:v>-11.21</c:v>
                </c:pt>
                <c:pt idx="10">
                  <c:v>612087</c:v>
                </c:pt>
                <c:pt idx="11">
                  <c:v>-43.95</c:v>
                </c:pt>
              </c:numCache>
            </c:numRef>
          </c:val>
          <c:extLst>
            <c:ext xmlns:c16="http://schemas.microsoft.com/office/drawing/2014/chart" uri="{C3380CC4-5D6E-409C-BE32-E72D297353CC}">
              <c16:uniqueId val="{00000006-A3F3-4D68-B92F-D50AE7AE7A27}"/>
            </c:ext>
          </c:extLst>
        </c:ser>
        <c:ser>
          <c:idx val="7"/>
          <c:order val="7"/>
          <c:tx>
            <c:strRef>
              <c:f>Sheet1!$I$12</c:f>
              <c:strCache>
                <c:ptCount val="1"/>
                <c:pt idx="0">
                  <c:v>CAGR</c:v>
                </c:pt>
              </c:strCache>
            </c:strRef>
          </c:tx>
          <c:spPr>
            <a:solidFill>
              <a:schemeClr val="accent2">
                <a:lumMod val="60000"/>
              </a:schemeClr>
            </a:solidFill>
            <a:ln>
              <a:noFill/>
            </a:ln>
            <a:effectLst/>
          </c:spPr>
          <c:invertIfNegative val="0"/>
          <c:cat>
            <c:strRef>
              <c:f>Sheet1!$A$13:$A$24</c:f>
              <c:strCache>
                <c:ptCount val="11"/>
                <c:pt idx="0">
                  <c:v>Northern Region</c:v>
                </c:pt>
                <c:pt idx="2">
                  <c:v>North Eastern Region</c:v>
                </c:pt>
                <c:pt idx="4">
                  <c:v>Eastern Region</c:v>
                </c:pt>
                <c:pt idx="6">
                  <c:v>Central Region</c:v>
                </c:pt>
                <c:pt idx="8">
                  <c:v>Western Region</c:v>
                </c:pt>
                <c:pt idx="10">
                  <c:v>Southern Region</c:v>
                </c:pt>
              </c:strCache>
            </c:strRef>
          </c:cat>
          <c:val>
            <c:numRef>
              <c:f>Sheet1!$I$13:$I$24</c:f>
              <c:numCache>
                <c:formatCode>General</c:formatCode>
                <c:ptCount val="12"/>
                <c:pt idx="1">
                  <c:v>8.66</c:v>
                </c:pt>
                <c:pt idx="3">
                  <c:v>21.29</c:v>
                </c:pt>
                <c:pt idx="5">
                  <c:v>12.06</c:v>
                </c:pt>
                <c:pt idx="7">
                  <c:v>8.61</c:v>
                </c:pt>
                <c:pt idx="9">
                  <c:v>8.9600000000000009</c:v>
                </c:pt>
                <c:pt idx="11">
                  <c:v>13.93</c:v>
                </c:pt>
              </c:numCache>
            </c:numRef>
          </c:val>
          <c:extLst>
            <c:ext xmlns:c16="http://schemas.microsoft.com/office/drawing/2014/chart" uri="{C3380CC4-5D6E-409C-BE32-E72D297353CC}">
              <c16:uniqueId val="{00000007-A3F3-4D68-B92F-D50AE7AE7A27}"/>
            </c:ext>
          </c:extLst>
        </c:ser>
        <c:dLbls>
          <c:showLegendKey val="0"/>
          <c:showVal val="0"/>
          <c:showCatName val="0"/>
          <c:showSerName val="0"/>
          <c:showPercent val="0"/>
          <c:showBubbleSize val="0"/>
        </c:dLbls>
        <c:gapWidth val="219"/>
        <c:overlap val="-27"/>
        <c:axId val="632813535"/>
        <c:axId val="632818335"/>
      </c:barChart>
      <c:catAx>
        <c:axId val="632813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818335"/>
        <c:crosses val="autoZero"/>
        <c:auto val="1"/>
        <c:lblAlgn val="ctr"/>
        <c:lblOffset val="100"/>
        <c:noMultiLvlLbl val="0"/>
      </c:catAx>
      <c:valAx>
        <c:axId val="632818335"/>
        <c:scaling>
          <c:orientation val="minMax"/>
          <c:max val="680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813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Sheet1!$B$1:$B$2</c:f>
              <c:strCache>
                <c:ptCount val="2"/>
                <c:pt idx="0">
                  <c:v>Average loan amount of all</c:v>
                </c:pt>
                <c:pt idx="1">
                  <c:v>Farmers</c:v>
                </c:pt>
              </c:strCache>
            </c:strRef>
          </c:tx>
          <c:spPr>
            <a:solidFill>
              <a:schemeClr val="accent1"/>
            </a:solidFill>
            <a:ln>
              <a:noFill/>
            </a:ln>
            <a:effectLst/>
            <a:scene3d>
              <a:camera prst="orthographicFront"/>
              <a:lightRig rig="brightRoom" dir="t"/>
            </a:scene3d>
            <a:sp3d prstMaterial="flat">
              <a:bevelT w="50800" h="101600" prst="angle"/>
              <a:contourClr>
                <a:srgbClr val="000000"/>
              </a:contourClr>
            </a:sp3d>
          </c:spPr>
          <c:invertIfNegative val="0"/>
          <c:dLbls>
            <c:dLbl>
              <c:idx val="0"/>
              <c:layout>
                <c:manualLayout>
                  <c:x val="-1.7495105971513304E-17"/>
                  <c:y val="8.11877042976991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E34-406A-8B8C-159FBB40C61F}"/>
                </c:ext>
              </c:extLst>
            </c:dLbl>
            <c:dLbl>
              <c:idx val="1"/>
              <c:layout>
                <c:manualLayout>
                  <c:x val="-3.4990211943026608E-17"/>
                  <c:y val="8.11877042976989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E34-406A-8B8C-159FBB40C61F}"/>
                </c:ext>
              </c:extLst>
            </c:dLbl>
            <c:dLbl>
              <c:idx val="2"/>
              <c:layout>
                <c:manualLayout>
                  <c:x val="1.9085790628876802E-3"/>
                  <c:y val="4.02879087966764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E34-406A-8B8C-159FBB40C61F}"/>
                </c:ext>
              </c:extLst>
            </c:dLbl>
            <c:dLbl>
              <c:idx val="3"/>
              <c:layout>
                <c:manualLayout>
                  <c:x val="0"/>
                  <c:y val="-6.1188670434600588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34-406A-8B8C-159FBB40C61F}"/>
                </c:ext>
              </c:extLst>
            </c:dLbl>
            <c:dLbl>
              <c:idx val="4"/>
              <c:layout>
                <c:manualLayout>
                  <c:x val="0"/>
                  <c:y val="1.62987295299743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34-406A-8B8C-159FBB40C61F}"/>
                </c:ext>
              </c:extLst>
            </c:dLbl>
            <c:dLbl>
              <c:idx val="5"/>
              <c:layout>
                <c:manualLayout>
                  <c:x val="0"/>
                  <c:y val="1.22087499798721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E34-406A-8B8C-159FBB40C61F}"/>
                </c:ext>
              </c:extLst>
            </c:dLbl>
            <c:dLbl>
              <c:idx val="6"/>
              <c:layout>
                <c:manualLayout>
                  <c:x val="0"/>
                  <c:y val="8.1187704297698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E34-406A-8B8C-159FBB40C61F}"/>
                </c:ext>
              </c:extLst>
            </c:dLbl>
            <c:dLbl>
              <c:idx val="7"/>
              <c:layout>
                <c:manualLayout>
                  <c:x val="0"/>
                  <c:y val="4.02879087966764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E34-406A-8B8C-159FBB40C61F}"/>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Sheet1!$A$3:$A$9</c:f>
              <c:strCache>
                <c:ptCount val="7"/>
                <c:pt idx="0">
                  <c:v>Northern Region</c:v>
                </c:pt>
                <c:pt idx="1">
                  <c:v>North Eastern Region</c:v>
                </c:pt>
                <c:pt idx="2">
                  <c:v>Eastern Region</c:v>
                </c:pt>
                <c:pt idx="3">
                  <c:v>Central Region</c:v>
                </c:pt>
                <c:pt idx="4">
                  <c:v>Western Region</c:v>
                </c:pt>
                <c:pt idx="5">
                  <c:v>Southern Region</c:v>
                </c:pt>
                <c:pt idx="6">
                  <c:v>Uttar Pradesh</c:v>
                </c:pt>
              </c:strCache>
            </c:strRef>
          </c:cat>
          <c:val>
            <c:numRef>
              <c:f>Sheet1!$B$3:$B$9</c:f>
              <c:numCache>
                <c:formatCode>General</c:formatCode>
                <c:ptCount val="7"/>
                <c:pt idx="0">
                  <c:v>160165</c:v>
                </c:pt>
                <c:pt idx="1">
                  <c:v>72571</c:v>
                </c:pt>
                <c:pt idx="2">
                  <c:v>66307</c:v>
                </c:pt>
                <c:pt idx="3">
                  <c:v>88545</c:v>
                </c:pt>
                <c:pt idx="4">
                  <c:v>150094</c:v>
                </c:pt>
                <c:pt idx="5">
                  <c:v>95599</c:v>
                </c:pt>
                <c:pt idx="6">
                  <c:v>93906</c:v>
                </c:pt>
              </c:numCache>
            </c:numRef>
          </c:val>
          <c:extLst>
            <c:ext xmlns:c16="http://schemas.microsoft.com/office/drawing/2014/chart" uri="{C3380CC4-5D6E-409C-BE32-E72D297353CC}">
              <c16:uniqueId val="{00000000-4E34-406A-8B8C-159FBB40C61F}"/>
            </c:ext>
          </c:extLst>
        </c:ser>
        <c:ser>
          <c:idx val="1"/>
          <c:order val="1"/>
          <c:tx>
            <c:strRef>
              <c:f>Sheet1!$C$1:$C$2</c:f>
              <c:strCache>
                <c:ptCount val="2"/>
                <c:pt idx="0">
                  <c:v>Average loan amount of</c:v>
                </c:pt>
                <c:pt idx="1">
                  <c:v>SF/MF</c:v>
                </c:pt>
              </c:strCache>
            </c:strRef>
          </c:tx>
          <c:spPr>
            <a:solidFill>
              <a:schemeClr val="accent2"/>
            </a:solidFill>
            <a:ln>
              <a:noFill/>
            </a:ln>
            <a:effectLst/>
            <a:scene3d>
              <a:camera prst="orthographicFront"/>
              <a:lightRig rig="brightRoom" dir="t"/>
            </a:scene3d>
            <a:sp3d prstMaterial="flat">
              <a:bevelT w="50800" h="101600" prst="angle"/>
              <a:contourClr>
                <a:srgbClr val="000000"/>
              </a:contourClr>
            </a:sp3d>
          </c:spPr>
          <c:invertIfNegative val="0"/>
          <c:dLbls>
            <c:dLbl>
              <c:idx val="0"/>
              <c:layout>
                <c:manualLayout>
                  <c:x val="1.1451474377326082E-2"/>
                  <c:y val="1.22087499798721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E34-406A-8B8C-159FBB40C61F}"/>
                </c:ext>
              </c:extLst>
            </c:dLbl>
            <c:dLbl>
              <c:idx val="1"/>
              <c:layout>
                <c:manualLayout>
                  <c:x val="1.1451474377326082E-2"/>
                  <c:y val="1.62987295299743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E34-406A-8B8C-159FBB40C61F}"/>
                </c:ext>
              </c:extLst>
            </c:dLbl>
            <c:dLbl>
              <c:idx val="2"/>
              <c:layout>
                <c:manualLayout>
                  <c:x val="1.1451474377326082E-2"/>
                  <c:y val="4.02879087966764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E34-406A-8B8C-159FBB40C61F}"/>
                </c:ext>
              </c:extLst>
            </c:dLbl>
            <c:dLbl>
              <c:idx val="3"/>
              <c:layout>
                <c:manualLayout>
                  <c:x val="9.5428953144383304E-3"/>
                  <c:y val="8.11877042976989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E34-406A-8B8C-159FBB40C61F}"/>
                </c:ext>
              </c:extLst>
            </c:dLbl>
            <c:dLbl>
              <c:idx val="4"/>
              <c:layout>
                <c:manualLayout>
                  <c:x val="7.6343162515507207E-3"/>
                  <c:y val="4.02879087966764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E34-406A-8B8C-159FBB40C61F}"/>
                </c:ext>
              </c:extLst>
            </c:dLbl>
            <c:dLbl>
              <c:idx val="5"/>
              <c:layout>
                <c:manualLayout>
                  <c:x val="1.1451474377326082E-2"/>
                  <c:y val="8.11877042976989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E34-406A-8B8C-159FBB40C61F}"/>
                </c:ext>
              </c:extLst>
            </c:dLbl>
            <c:dLbl>
              <c:idx val="6"/>
              <c:layout>
                <c:manualLayout>
                  <c:x val="7.6343162515507207E-3"/>
                  <c:y val="1.22087499798721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E34-406A-8B8C-159FBB40C61F}"/>
                </c:ext>
              </c:extLst>
            </c:dLbl>
            <c:dLbl>
              <c:idx val="7"/>
              <c:layout>
                <c:manualLayout>
                  <c:x val="9.5428953144383998E-3"/>
                  <c:y val="1.22087499798720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E34-406A-8B8C-159FBB40C61F}"/>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Sheet1!$A$3:$A$9</c:f>
              <c:strCache>
                <c:ptCount val="7"/>
                <c:pt idx="0">
                  <c:v>Northern Region</c:v>
                </c:pt>
                <c:pt idx="1">
                  <c:v>North Eastern Region</c:v>
                </c:pt>
                <c:pt idx="2">
                  <c:v>Eastern Region</c:v>
                </c:pt>
                <c:pt idx="3">
                  <c:v>Central Region</c:v>
                </c:pt>
                <c:pt idx="4">
                  <c:v>Western Region</c:v>
                </c:pt>
                <c:pt idx="5">
                  <c:v>Southern Region</c:v>
                </c:pt>
                <c:pt idx="6">
                  <c:v>Uttar Pradesh</c:v>
                </c:pt>
              </c:strCache>
            </c:strRef>
          </c:cat>
          <c:val>
            <c:numRef>
              <c:f>Sheet1!$C$3:$C$9</c:f>
              <c:numCache>
                <c:formatCode>General</c:formatCode>
                <c:ptCount val="7"/>
                <c:pt idx="0">
                  <c:v>95351</c:v>
                </c:pt>
                <c:pt idx="1">
                  <c:v>61295</c:v>
                </c:pt>
                <c:pt idx="2">
                  <c:v>51592</c:v>
                </c:pt>
                <c:pt idx="3">
                  <c:v>61324</c:v>
                </c:pt>
                <c:pt idx="4">
                  <c:v>80636</c:v>
                </c:pt>
                <c:pt idx="5">
                  <c:v>73520</c:v>
                </c:pt>
                <c:pt idx="6">
                  <c:v>69689</c:v>
                </c:pt>
              </c:numCache>
            </c:numRef>
          </c:val>
          <c:extLst>
            <c:ext xmlns:c16="http://schemas.microsoft.com/office/drawing/2014/chart" uri="{C3380CC4-5D6E-409C-BE32-E72D297353CC}">
              <c16:uniqueId val="{00000001-4E34-406A-8B8C-159FBB40C61F}"/>
            </c:ext>
          </c:extLst>
        </c:ser>
        <c:dLbls>
          <c:showLegendKey val="0"/>
          <c:showVal val="0"/>
          <c:showCatName val="0"/>
          <c:showSerName val="0"/>
          <c:showPercent val="0"/>
          <c:showBubbleSize val="0"/>
        </c:dLbls>
        <c:gapWidth val="150"/>
        <c:axId val="544378879"/>
        <c:axId val="544380799"/>
      </c:barChart>
      <c:valAx>
        <c:axId val="54438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378879"/>
        <c:crosses val="autoZero"/>
        <c:crossBetween val="between"/>
      </c:valAx>
      <c:catAx>
        <c:axId val="544378879"/>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380799"/>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360E1-5FCB-4504-BCAD-0077E0DA1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20</Pages>
  <Words>9020</Words>
  <Characters>51415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SDI 1020</cp:lastModifiedBy>
  <cp:revision>151</cp:revision>
  <dcterms:created xsi:type="dcterms:W3CDTF">2026-06-20T08:34:00Z</dcterms:created>
  <dcterms:modified xsi:type="dcterms:W3CDTF">2026-07-20T10:28:00Z</dcterms:modified>
</cp:coreProperties>
</file>