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AEA67" w14:textId="77777777" w:rsidR="00F21BF5" w:rsidRPr="00B73A29" w:rsidRDefault="00F21BF5" w:rsidP="0044023E">
      <w:pPr>
        <w:pStyle w:val="Default"/>
        <w:jc w:val="both"/>
        <w:rPr>
          <w:b/>
          <w:bCs/>
          <w:sz w:val="36"/>
          <w:szCs w:val="36"/>
        </w:rPr>
      </w:pPr>
      <w:r w:rsidRPr="00B73A29">
        <w:rPr>
          <w:b/>
          <w:bCs/>
          <w:sz w:val="36"/>
          <w:szCs w:val="36"/>
        </w:rPr>
        <w:t xml:space="preserve">Ultra-Low Power, Low Phase Noise </w:t>
      </w:r>
      <w:r w:rsidR="00074F82" w:rsidRPr="00B73A29">
        <w:rPr>
          <w:rFonts w:eastAsia="Times New Roman"/>
          <w:b/>
          <w:bCs/>
          <w:sz w:val="36"/>
          <w:szCs w:val="36"/>
        </w:rPr>
        <w:t>5.09-6.19</w:t>
      </w:r>
      <w:r w:rsidR="00074F82" w:rsidRPr="00B73A29">
        <w:rPr>
          <w:rFonts w:eastAsia="Times New Roman"/>
        </w:rPr>
        <w:t xml:space="preserve"> </w:t>
      </w:r>
      <w:r w:rsidRPr="00B73A29">
        <w:rPr>
          <w:b/>
          <w:bCs/>
          <w:sz w:val="36"/>
          <w:szCs w:val="36"/>
        </w:rPr>
        <w:t>GHz LC VCO in the Sub Threshold Region</w:t>
      </w:r>
    </w:p>
    <w:p w14:paraId="1C5F4471" w14:textId="77777777" w:rsidR="00553DDF" w:rsidRPr="00B73A29" w:rsidRDefault="00553DDF" w:rsidP="0044023E">
      <w:pPr>
        <w:pStyle w:val="Default"/>
        <w:jc w:val="both"/>
        <w:rPr>
          <w:b/>
          <w:bCs/>
          <w:sz w:val="36"/>
          <w:szCs w:val="36"/>
        </w:rPr>
      </w:pPr>
    </w:p>
    <w:p w14:paraId="0DD1606C" w14:textId="77777777" w:rsidR="009E746A" w:rsidRPr="00B73A29" w:rsidRDefault="009E746A" w:rsidP="0044023E">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B73A29">
        <w:rPr>
          <w:rFonts w:ascii="Times New Roman" w:eastAsia="Times New Roman" w:hAnsi="Times New Roman" w:cs="Times New Roman"/>
          <w:b/>
          <w:bCs/>
          <w:sz w:val="27"/>
          <w:szCs w:val="27"/>
        </w:rPr>
        <w:t>Abstract</w:t>
      </w:r>
    </w:p>
    <w:p w14:paraId="37B66156" w14:textId="77777777" w:rsidR="00C750DB" w:rsidRPr="00B73A29" w:rsidRDefault="00C750DB" w:rsidP="00C750DB">
      <w:pPr>
        <w:pStyle w:val="pdq2pgselectionanchorcontainer"/>
        <w:jc w:val="both"/>
      </w:pPr>
      <w:r w:rsidRPr="00B73A29">
        <w:t xml:space="preserve">This manuscript presents the design and simulation of an ultra-low-power LC voltage-controlled oscillator for low-voltage radio-frequency applications. The proposed circuit is implemented in 0.18 </w:t>
      </w:r>
      <w:proofErr w:type="spellStart"/>
      <w:r w:rsidRPr="00B73A29">
        <w:t>μm</w:t>
      </w:r>
      <w:proofErr w:type="spellEnd"/>
      <w:r w:rsidRPr="00B73A29">
        <w:t xml:space="preserve"> CMOS technology and uses an NMOS-only cross-coupled LC-tank topology biased in the subthreshold region. Subthreshold biasing is employed to reduce dc power consumption while maintaining the negative resistance required to compensate for tank losses and sustain oscillation. An additional PMOS transistor is placed at the drain side of the cross-coupled structure to regulate current flow and support low-power operation. Simulation results show that the oscillator operates from a 0.7 V supply and consumes approximately 0.175 </w:t>
      </w:r>
      <w:proofErr w:type="spellStart"/>
      <w:r w:rsidRPr="00B73A29">
        <w:t>mW</w:t>
      </w:r>
      <w:proofErr w:type="spellEnd"/>
      <w:r w:rsidRPr="00B73A29">
        <w:t xml:space="preserve"> of dc power. The tuning range extends from 5.09 GHz to 6.19 GHz, corresponding to approximately 17.5%. At an oscillation frequency of 6.19 GHz, the simulated phase noise is -108.6 </w:t>
      </w:r>
      <w:proofErr w:type="spellStart"/>
      <w:r w:rsidRPr="00B73A29">
        <w:t>dBc</w:t>
      </w:r>
      <w:proofErr w:type="spellEnd"/>
      <w:r w:rsidRPr="00B73A29">
        <w:t xml:space="preserve">/Hz at a 1 MHz offset. The calculated figure of merit is approximately -192.1 </w:t>
      </w:r>
      <w:proofErr w:type="spellStart"/>
      <w:r w:rsidRPr="00B73A29">
        <w:t>dB.</w:t>
      </w:r>
      <w:proofErr w:type="spellEnd"/>
      <w:r w:rsidRPr="00B73A29">
        <w:t xml:space="preserve"> These results indicate that the proposed subthreshold-biased LC VCO can provide a low-power oscillator solution for energy-constrained RF transceiver systems under simulated circuit conditions. The operating frequency range may also be used with frequency division to support selected wireless communication bands. Overall, the design demonstrates the potential of subthreshold CMOS operation for reducing oscillator power consumption while retaining acceptable simulated phase-noise performance.</w:t>
      </w:r>
    </w:p>
    <w:p w14:paraId="4A1AC170" w14:textId="77777777" w:rsidR="00F21BF5" w:rsidRPr="00B73A29" w:rsidRDefault="00F21BF5" w:rsidP="0044023E">
      <w:pPr>
        <w:jc w:val="both"/>
        <w:rPr>
          <w:rFonts w:ascii="Times New Roman" w:hAnsi="Times New Roman" w:cs="Times New Roman"/>
          <w:color w:val="000000"/>
          <w:sz w:val="24"/>
          <w:szCs w:val="24"/>
        </w:rPr>
      </w:pPr>
      <w:r w:rsidRPr="00B73A29">
        <w:rPr>
          <w:rFonts w:ascii="Times New Roman" w:hAnsi="Times New Roman" w:cs="Times New Roman"/>
          <w:b/>
          <w:bCs/>
          <w:color w:val="000000"/>
          <w:sz w:val="24"/>
          <w:szCs w:val="24"/>
        </w:rPr>
        <w:t xml:space="preserve">Keywords: </w:t>
      </w:r>
      <w:r w:rsidRPr="00B73A29">
        <w:rPr>
          <w:rFonts w:ascii="Times New Roman" w:hAnsi="Times New Roman" w:cs="Times New Roman"/>
          <w:color w:val="000000"/>
          <w:sz w:val="24"/>
          <w:szCs w:val="24"/>
        </w:rPr>
        <w:t>LC Voltage Controlled Oscillator; Low Power</w:t>
      </w:r>
      <w:r w:rsidR="00074F82" w:rsidRPr="00B73A29">
        <w:rPr>
          <w:rFonts w:ascii="Times New Roman" w:hAnsi="Times New Roman" w:cs="Times New Roman"/>
          <w:color w:val="000000"/>
          <w:sz w:val="24"/>
          <w:szCs w:val="24"/>
        </w:rPr>
        <w:t>,</w:t>
      </w:r>
      <w:r w:rsidRPr="00B73A29">
        <w:rPr>
          <w:rFonts w:ascii="Times New Roman" w:hAnsi="Times New Roman" w:cs="Times New Roman"/>
          <w:color w:val="000000"/>
          <w:sz w:val="24"/>
          <w:szCs w:val="24"/>
        </w:rPr>
        <w:t xml:space="preserve"> Low Phase Noise</w:t>
      </w:r>
      <w:r w:rsidR="00074F82" w:rsidRPr="00B73A29">
        <w:rPr>
          <w:rFonts w:ascii="Times New Roman" w:hAnsi="Times New Roman" w:cs="Times New Roman"/>
          <w:color w:val="000000"/>
          <w:sz w:val="24"/>
          <w:szCs w:val="24"/>
        </w:rPr>
        <w:t>,</w:t>
      </w:r>
      <w:r w:rsidRPr="00B73A29">
        <w:rPr>
          <w:rFonts w:ascii="Times New Roman" w:hAnsi="Times New Roman" w:cs="Times New Roman"/>
          <w:color w:val="000000"/>
          <w:sz w:val="24"/>
          <w:szCs w:val="24"/>
        </w:rPr>
        <w:t xml:space="preserve"> Subthreshold</w:t>
      </w:r>
    </w:p>
    <w:p w14:paraId="7F7BBF00" w14:textId="77777777" w:rsidR="00F21BF5" w:rsidRPr="00B73A29" w:rsidRDefault="00F21BF5" w:rsidP="0044023E">
      <w:pPr>
        <w:pStyle w:val="Default"/>
        <w:spacing w:after="120"/>
        <w:jc w:val="both"/>
        <w:rPr>
          <w:b/>
          <w:bCs/>
        </w:rPr>
      </w:pPr>
      <w:r w:rsidRPr="00B73A29">
        <w:t xml:space="preserve"> </w:t>
      </w:r>
      <w:r w:rsidRPr="00B73A29">
        <w:rPr>
          <w:b/>
          <w:bCs/>
        </w:rPr>
        <w:t xml:space="preserve">1. Introduction </w:t>
      </w:r>
    </w:p>
    <w:p w14:paraId="1A6B1FB1" w14:textId="28B4A919" w:rsidR="007C1BEE" w:rsidRPr="00B73A29" w:rsidRDefault="003E5D4B" w:rsidP="0044023E">
      <w:pPr>
        <w:pStyle w:val="Default"/>
        <w:spacing w:after="120" w:line="276" w:lineRule="auto"/>
        <w:jc w:val="both"/>
      </w:pPr>
      <w:r w:rsidRPr="00B73A29">
        <w:t xml:space="preserve">The design of low-power and low-phase-noise voltage-controlled oscillators (VCOs) remains one of the most critical and challenging tasks in radio-frequency (RF) front-end design. Modern wireless communication systems, including Global System for Mobile Communications (GSM), Bluetooth, wireless local area networks (WLANs), wireless personal area networks (WPANs), and wireless sensor networks (WSNs), require highly power-efficient circuit solutions to extend battery life and improve the portability of mobile devices [1], [17-18]. Consequently, considerable research effort has been directed towards VCO architectures that can simultaneously achieve low power consumption, low phase noise, a wide tuning range, and compact chip area. Despite these advances, the key performance parameters of VCOs involve strong trade-offs. Improvement in one specification often leads to degradation in others, making the simultaneous optimisation of power dissipation, phase noise, tuning range, and silicon area particularly challenging [2], [15-16]. Several circuit techniques have been proposed to address these issues. For instance, the current-reuse topology reported in [3] effectively reduces power consumption; however, the resulting differential output becomes asymmetric, which can degrade phase-noise performance. Similarly, the dynamic threshold MOSFET (DTMOS) technique </w:t>
      </w:r>
      <w:r w:rsidRPr="00B73A29">
        <w:lastRenderedPageBreak/>
        <w:t>enables operation at reduced supply voltages but increases the circuit's sensitivity to supply-voltage variation and process fluctuation [4,5]. The need for highly integrated, low-cost CMOS receiver architectures for multistandard mobile terminals has also been highlighted, with fully integrated multistandard CMOS receivers based on Zero-IF and Low-IF architectures proposed to support global wireless connectivity [6]. A wideband low-phase-noise VCO employing a low-coupled 8-shaped inductor has also been reported [8]. A 60 GHz millimetre-wave VCO was implemented in 40-nm CMOS technology using a second-harmonic extraction technique from a 30 GHz oscillator core. The design achieved a wide frequency tuning range while maintaining low phase-noise performance [9]. A thermal and high-frequency noise-suppressed LC-VCO (TH-LCVCO) using 65 nm CMOS technology for Ka-band applications achieved a phase noise of -112.6 dBc/Hz at a 1 MHz offset with 3.29 mW power consumption over a tuning range of 32.17-35.55 GHz [10]. A 5-GHz low-phase-noise CMOS QVCO employing switched biasing transistors for improved coupling and noise performance achieved phase-noise levels of -102 dBc/Hz at a 100 kHz offset and -117 dBc/Hz at a 1 MHz offset while consuming 5.28 mW of power [11]. A 2.4-GHz digitally controlled oscillator (DCO) in 65-nm CMOS technology for all-digital phase-locked loop applications achieved stable frequency synthesis with low phase noise and fine frequency resolution in the ISM band [19]. A low-power active inductor-based DCO and ADPLL architecture in 22 nm FDSOI technology for RF energy-harvesting and battery-less IoT applications has also been presented, offering ultra-low power consumption with a wide millimetre-wave frequency tuning range for energy-efficient wireless communication [20]. Recent CMOS RF and low-power VLSI studies further indicate that reducing supply voltage, power dissipation, and circuit complexity remains a continuing design concern in RF receiver support circuits and nanoscale CMOS blocks [21-22]. Recent LC-VCO studies have addressed related trade-offs through body-biasing and varactor optimisation, Gm-enhanced cross-coupled cores, substrate-bias and current-mirror approaches, linear I-MOS varactors, switchable weakly coupled cores, and compact main-tail inductor structures [23-28].</w:t>
      </w:r>
    </w:p>
    <w:p w14:paraId="1AAB8339" w14:textId="77777777" w:rsidR="008929A3" w:rsidRPr="00B73A29" w:rsidRDefault="003E5D4B" w:rsidP="0044023E">
      <w:pPr>
        <w:pStyle w:val="Default"/>
        <w:spacing w:line="276" w:lineRule="auto"/>
        <w:jc w:val="both"/>
      </w:pPr>
      <w:r w:rsidRPr="00B73A29">
        <w:t>In this work, an NMOS-only cross-coupled LC-VCO operating in the subthreshold region is proposed to achieve ultra-low power consumption while maintaining low phase-noise performance. The proposed oscillator is designed to operate around 6 GHz and is suitable for multistandard WLAN applications, including IEEE 802.11a/b/g systems. The required local oscillator frequencies for these standards can be conveniently generated through frequency division by factors of two or four. The feasibility of achieving stable oscillation at approximately 6 GHz in the subthreshold regime is demonstrated using a 0.18 μm CMOS technology. The conventional NMOS-only cross-coupled differential VCO topology is particularly well suited to subthreshold operation because of its high transconductance-to-power ratio (gm/P) and favourable noise characteristics compared with superthreshold-biased designs [7]. As a result, the proposed VCO provides a combination of low power consumption and low phase noise, making it a potential solution for low-power RF transceivers. Figure 1 shows the conventional cross-coupled NMOS-only VCO.</w:t>
      </w:r>
    </w:p>
    <w:p w14:paraId="40D5E4D8" w14:textId="77777777" w:rsidR="00EC48A6" w:rsidRPr="00B73A29" w:rsidRDefault="00EC48A6" w:rsidP="0044023E">
      <w:pPr>
        <w:pStyle w:val="Default"/>
        <w:spacing w:line="276" w:lineRule="auto"/>
        <w:jc w:val="both"/>
      </w:pPr>
    </w:p>
    <w:p w14:paraId="68B902B7" w14:textId="77777777" w:rsidR="00F21BF5" w:rsidRPr="00B73A29" w:rsidRDefault="00F21BF5" w:rsidP="0044023E">
      <w:pPr>
        <w:pStyle w:val="Default"/>
        <w:spacing w:line="276" w:lineRule="auto"/>
        <w:jc w:val="both"/>
      </w:pPr>
      <w:r w:rsidRPr="00B73A29">
        <w:rPr>
          <w:noProof/>
        </w:rPr>
        <w:lastRenderedPageBreak/>
        <w:drawing>
          <wp:inline distT="0" distB="0" distL="0" distR="0" wp14:anchorId="0FA06D5B" wp14:editId="7A6F5F0F">
            <wp:extent cx="2400300" cy="2486025"/>
            <wp:effectExtent l="0" t="0" r="0" b="0"/>
            <wp:docPr id="34" name="Object 2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867400" cy="5715000"/>
                      <a:chOff x="2362200" y="1447800"/>
                      <a:chExt cx="5867400" cy="5715000"/>
                    </a:xfrm>
                  </a:grpSpPr>
                  <a:pic>
                    <a:nvPicPr>
                      <a:cNvPr id="1032" name="Picture 8" descr="http://mcuplace.com/mcu/media/blogs/cay/nmos.jpg"/>
                      <a:cNvPicPr>
                        <a:picLocks noChangeAspect="1" noChangeArrowheads="1"/>
                      </a:cNvPicPr>
                    </a:nvPicPr>
                    <a:blipFill>
                      <a:blip r:embed="rId7"/>
                      <a:srcRect/>
                      <a:stretch>
                        <a:fillRect/>
                      </a:stretch>
                    </a:blipFill>
                    <a:spPr bwMode="auto">
                      <a:xfrm>
                        <a:off x="5181600" y="4648200"/>
                        <a:ext cx="1628775" cy="1914526"/>
                      </a:xfrm>
                      <a:prstGeom prst="rect">
                        <a:avLst/>
                      </a:prstGeom>
                      <a:noFill/>
                    </a:spPr>
                  </a:pic>
                  <a:pic>
                    <a:nvPicPr>
                      <a:cNvPr id="32" name="Picture 8" descr="http://mcuplace.com/mcu/media/blogs/cay/nmos.jpg"/>
                      <a:cNvPicPr>
                        <a:picLocks noChangeAspect="1" noChangeArrowheads="1"/>
                      </a:cNvPicPr>
                    </a:nvPicPr>
                    <a:blipFill>
                      <a:blip r:embed="rId7"/>
                      <a:srcRect/>
                      <a:stretch>
                        <a:fillRect/>
                      </a:stretch>
                    </a:blipFill>
                    <a:spPr bwMode="auto">
                      <a:xfrm rot="10800000">
                        <a:off x="2362200" y="4867274"/>
                        <a:ext cx="1628775" cy="1990726"/>
                      </a:xfrm>
                      <a:prstGeom prst="rect">
                        <a:avLst/>
                      </a:prstGeom>
                      <a:noFill/>
                    </a:spPr>
                  </a:pic>
                  <a:sp>
                    <a:nvSpPr>
                      <a:cNvPr id="33" name="Chevron 32"/>
                      <a:cNvSpPr/>
                    </a:nvSpPr>
                    <a:spPr>
                      <a:xfrm>
                        <a:off x="6080760" y="5867400"/>
                        <a:ext cx="91440" cy="182880"/>
                      </a:xfrm>
                      <a:prstGeom prst="chevron">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Chevron 33"/>
                      <a:cNvSpPr/>
                    </a:nvSpPr>
                    <a:spPr>
                      <a:xfrm rot="10607766">
                        <a:off x="2976840" y="6098413"/>
                        <a:ext cx="91440" cy="182880"/>
                      </a:xfrm>
                      <a:prstGeom prst="chevron">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1" name="Minus 40"/>
                      <a:cNvSpPr/>
                    </a:nvSpPr>
                    <a:spPr>
                      <a:xfrm rot="5400000">
                        <a:off x="5044440" y="4419600"/>
                        <a:ext cx="219456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Minus 42"/>
                      <a:cNvSpPr/>
                    </a:nvSpPr>
                    <a:spPr>
                      <a:xfrm rot="5400000">
                        <a:off x="1737360" y="4511040"/>
                        <a:ext cx="256032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Minus 43"/>
                      <a:cNvSpPr/>
                    </a:nvSpPr>
                    <a:spPr>
                      <a:xfrm rot="5400000">
                        <a:off x="4419600" y="2971800"/>
                        <a:ext cx="54864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Minus 45"/>
                      <a:cNvSpPr/>
                    </a:nvSpPr>
                    <a:spPr>
                      <a:xfrm rot="5400000">
                        <a:off x="2834640" y="6309360"/>
                        <a:ext cx="36576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7" name="Minus 46"/>
                      <a:cNvSpPr/>
                    </a:nvSpPr>
                    <a:spPr>
                      <a:xfrm rot="5400000">
                        <a:off x="5821680" y="6217920"/>
                        <a:ext cx="64008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8" name="Minus 47"/>
                      <a:cNvSpPr/>
                    </a:nvSpPr>
                    <a:spPr>
                      <a:xfrm>
                        <a:off x="2499360" y="6461760"/>
                        <a:ext cx="420624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9" name="Minus 48"/>
                      <a:cNvSpPr/>
                    </a:nvSpPr>
                    <a:spPr>
                      <a:xfrm rot="5400000">
                        <a:off x="3870960" y="2225040"/>
                        <a:ext cx="164592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0" name="Minus 49"/>
                      <a:cNvSpPr/>
                    </a:nvSpPr>
                    <a:spPr>
                      <a:xfrm>
                        <a:off x="4114800" y="1584960"/>
                        <a:ext cx="411480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1034" name="Picture 10" descr="http://cliparts101.com/files/845/42CE82DB11FCEEFF8F9E8F36611B4732/RSA_IEC_Ground_Symbol.png"/>
                      <a:cNvPicPr>
                        <a:picLocks noChangeAspect="1" noChangeArrowheads="1"/>
                      </a:cNvPicPr>
                    </a:nvPicPr>
                    <a:blipFill>
                      <a:blip r:embed="rId8" cstate="print"/>
                      <a:srcRect/>
                      <a:stretch>
                        <a:fillRect/>
                      </a:stretch>
                    </a:blipFill>
                    <a:spPr bwMode="auto">
                      <a:xfrm>
                        <a:off x="7315200" y="3429000"/>
                        <a:ext cx="685801" cy="609600"/>
                      </a:xfrm>
                      <a:prstGeom prst="rect">
                        <a:avLst/>
                      </a:prstGeom>
                      <a:noFill/>
                    </a:spPr>
                  </a:pic>
                  <a:pic>
                    <a:nvPicPr>
                      <a:cNvPr id="1036" name="Picture 12" descr="http://people.sinclair.edu/nickreeder/eet114/PageArt/batteryPolarity.gif"/>
                      <a:cNvPicPr>
                        <a:picLocks noChangeAspect="1" noChangeArrowheads="1"/>
                      </a:cNvPicPr>
                    </a:nvPicPr>
                    <a:blipFill>
                      <a:blip r:embed="rId9"/>
                      <a:srcRect/>
                      <a:stretch>
                        <a:fillRect/>
                      </a:stretch>
                    </a:blipFill>
                    <a:spPr bwMode="auto">
                      <a:xfrm>
                        <a:off x="7010400" y="2057400"/>
                        <a:ext cx="1066800" cy="1362075"/>
                      </a:xfrm>
                      <a:prstGeom prst="rect">
                        <a:avLst/>
                      </a:prstGeom>
                      <a:noFill/>
                    </a:spPr>
                  </a:pic>
                  <a:sp>
                    <a:nvSpPr>
                      <a:cNvPr id="54" name="Minus 53"/>
                      <a:cNvSpPr/>
                    </a:nvSpPr>
                    <a:spPr>
                      <a:xfrm rot="5400000">
                        <a:off x="7025640" y="2042160"/>
                        <a:ext cx="128016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5" name="Minus 54"/>
                      <a:cNvSpPr/>
                    </a:nvSpPr>
                    <a:spPr>
                      <a:xfrm rot="5400000">
                        <a:off x="7162800" y="3337560"/>
                        <a:ext cx="100584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56" name="Picture 10" descr="http://cliparts101.com/files/845/42CE82DB11FCEEFF8F9E8F36611B4732/RSA_IEC_Ground_Symbol.png"/>
                      <a:cNvPicPr>
                        <a:picLocks noChangeAspect="1" noChangeArrowheads="1"/>
                      </a:cNvPicPr>
                    </a:nvPicPr>
                    <a:blipFill>
                      <a:blip r:embed="rId8" cstate="print"/>
                      <a:srcRect/>
                      <a:stretch>
                        <a:fillRect/>
                      </a:stretch>
                    </a:blipFill>
                    <a:spPr bwMode="auto">
                      <a:xfrm>
                        <a:off x="4572000" y="6553200"/>
                        <a:ext cx="685801" cy="609600"/>
                      </a:xfrm>
                      <a:prstGeom prst="rect">
                        <a:avLst/>
                      </a:prstGeom>
                      <a:noFill/>
                    </a:spPr>
                  </a:pic>
                  <a:pic>
                    <a:nvPicPr>
                      <a:cNvPr id="1044" name="Picture 20" descr="http://upload.wikimedia.org/wikipedia/commons/thumb/1/1b/Variable_capacitor_symbol.svg/150px-Variable_capacitor_symbol.svg.png"/>
                      <a:cNvPicPr>
                        <a:picLocks noChangeAspect="1" noChangeArrowheads="1"/>
                      </a:cNvPicPr>
                    </a:nvPicPr>
                    <a:blipFill>
                      <a:blip r:embed="rId10"/>
                      <a:srcRect/>
                      <a:stretch>
                        <a:fillRect/>
                      </a:stretch>
                    </a:blipFill>
                    <a:spPr bwMode="auto">
                      <a:xfrm>
                        <a:off x="3962400" y="4181474"/>
                        <a:ext cx="1143000" cy="619126"/>
                      </a:xfrm>
                      <a:prstGeom prst="rect">
                        <a:avLst/>
                      </a:prstGeom>
                      <a:noFill/>
                    </a:spPr>
                  </a:pic>
                  <a:pic>
                    <a:nvPicPr>
                      <a:cNvPr id="68" name="Picture 4" descr="http://www.clker.com/cliparts/6/9/a/8/1223615567190235753rsamurti_RSA_IEC_Inductor_Symbol-1.svg.hi.png"/>
                      <a:cNvPicPr>
                        <a:picLocks noChangeAspect="1" noChangeArrowheads="1"/>
                      </a:cNvPicPr>
                    </a:nvPicPr>
                    <a:blipFill>
                      <a:blip r:embed="rId11" cstate="print"/>
                      <a:srcRect/>
                      <a:stretch>
                        <a:fillRect/>
                      </a:stretch>
                    </a:blipFill>
                    <a:spPr bwMode="auto">
                      <a:xfrm>
                        <a:off x="4038600" y="3352801"/>
                        <a:ext cx="1295400" cy="457199"/>
                      </a:xfrm>
                      <a:prstGeom prst="rect">
                        <a:avLst/>
                      </a:prstGeom>
                      <a:noFill/>
                    </a:spPr>
                  </a:pic>
                  <a:sp>
                    <a:nvSpPr>
                      <a:cNvPr id="69" name="Minus 68"/>
                      <a:cNvSpPr/>
                    </a:nvSpPr>
                    <a:spPr>
                      <a:xfrm>
                        <a:off x="2743200" y="4419600"/>
                        <a:ext cx="192024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0" name="Minus 69"/>
                      <a:cNvSpPr/>
                    </a:nvSpPr>
                    <a:spPr>
                      <a:xfrm>
                        <a:off x="4343400" y="4419600"/>
                        <a:ext cx="210312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1" name="Minus 70"/>
                      <a:cNvSpPr/>
                    </a:nvSpPr>
                    <a:spPr>
                      <a:xfrm>
                        <a:off x="5044440" y="3581400"/>
                        <a:ext cx="128016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2" name="Minus 71"/>
                      <a:cNvSpPr/>
                    </a:nvSpPr>
                    <a:spPr>
                      <a:xfrm>
                        <a:off x="2773680" y="3581400"/>
                        <a:ext cx="164592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3" name="Minus 72"/>
                      <a:cNvSpPr/>
                    </a:nvSpPr>
                    <a:spPr>
                      <a:xfrm>
                        <a:off x="2621280" y="4800600"/>
                        <a:ext cx="301752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4" name="Minus 73"/>
                      <a:cNvSpPr/>
                    </a:nvSpPr>
                    <a:spPr>
                      <a:xfrm>
                        <a:off x="3581400" y="4953000"/>
                        <a:ext cx="292608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5" name="Minus 74"/>
                      <a:cNvSpPr/>
                    </a:nvSpPr>
                    <a:spPr>
                      <a:xfrm rot="5400000">
                        <a:off x="3398520" y="5379720"/>
                        <a:ext cx="118872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6" name="Minus 75"/>
                      <a:cNvSpPr/>
                    </a:nvSpPr>
                    <a:spPr>
                      <a:xfrm rot="5400000">
                        <a:off x="4724400" y="5181600"/>
                        <a:ext cx="100584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7" name="Oval 76"/>
                      <a:cNvSpPr/>
                    </a:nvSpPr>
                    <a:spPr>
                      <a:xfrm>
                        <a:off x="4572000" y="3200400"/>
                        <a:ext cx="228600" cy="1524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14:paraId="1CAA14ED" w14:textId="77777777" w:rsidR="00F21BF5" w:rsidRPr="00B73A29" w:rsidRDefault="00F21BF5" w:rsidP="0044023E">
      <w:pPr>
        <w:pStyle w:val="Default"/>
        <w:spacing w:line="276" w:lineRule="auto"/>
        <w:jc w:val="both"/>
      </w:pPr>
      <w:r w:rsidRPr="00B73A29">
        <w:t>Figure 1.  The conventional cross-coupled NMOS only VCO</w:t>
      </w:r>
    </w:p>
    <w:p w14:paraId="31557599" w14:textId="77777777" w:rsidR="0044023E" w:rsidRPr="00B73A29" w:rsidRDefault="00DD5CDB" w:rsidP="0044023E">
      <w:pPr>
        <w:pStyle w:val="a"/>
        <w:spacing w:before="240" w:after="120" w:line="276" w:lineRule="auto"/>
        <w:jc w:val="both"/>
        <w:rPr>
          <w:color w:val="000000"/>
        </w:rPr>
      </w:pPr>
      <w:r w:rsidRPr="00B73A29">
        <w:rPr>
          <w:color w:val="000000"/>
        </w:rPr>
        <w:t>The remainder of this paper is organised as follows. Section 2 describes the methodology employed for the design and analysis of the proposed subthreshold-biased VCO. Section 3 presents the results and discussion, including the performance evaluation and comparison with existing designs. Finally, Section 4 concludes the paper by summarising the key findings and contributions of the proposed work.</w:t>
      </w:r>
    </w:p>
    <w:p w14:paraId="08B33E60" w14:textId="77777777" w:rsidR="0044023E" w:rsidRPr="00B73A29" w:rsidRDefault="00000000" w:rsidP="0044023E">
      <w:pPr>
        <w:pStyle w:val="a"/>
        <w:spacing w:before="240" w:after="120" w:line="276" w:lineRule="auto"/>
        <w:jc w:val="both"/>
        <w:rPr>
          <w:b/>
        </w:rPr>
      </w:pPr>
      <w:r w:rsidRPr="00B73A29">
        <w:rPr>
          <w:b/>
        </w:rPr>
        <w:t>Research gap</w:t>
      </w:r>
    </w:p>
    <w:p w14:paraId="265D1731" w14:textId="0C71E6E3" w:rsidR="007C1BEE" w:rsidRPr="00B73A29" w:rsidRDefault="00000000" w:rsidP="0044023E">
      <w:pPr>
        <w:pStyle w:val="a"/>
        <w:spacing w:before="240" w:after="120" w:line="276" w:lineRule="auto"/>
        <w:jc w:val="both"/>
        <w:rPr>
          <w:bCs/>
          <w:color w:val="000000"/>
        </w:rPr>
      </w:pPr>
      <w:r w:rsidRPr="00B73A29">
        <w:rPr>
          <w:bCs/>
        </w:rPr>
        <w:t>Although the reviewed studies demonstrate several approaches for reducing power consumption, improving tuning behaviour, and suppressing phase noise in CMOS oscillators, there remains a need, within the scope of this manuscript, to evaluate a simple NMOS-only LC-VCO structure that can operate in the subthreshold region with very low simulated dc power while retaining acceptable phase-noise performance around the 6 GHz range.</w:t>
      </w:r>
    </w:p>
    <w:p w14:paraId="0CFF6730" w14:textId="77777777" w:rsidR="0044023E" w:rsidRPr="00B73A29" w:rsidRDefault="00000000" w:rsidP="0044023E">
      <w:pPr>
        <w:pStyle w:val="a"/>
        <w:jc w:val="both"/>
        <w:rPr>
          <w:b/>
        </w:rPr>
      </w:pPr>
      <w:r w:rsidRPr="00B73A29">
        <w:rPr>
          <w:b/>
        </w:rPr>
        <w:t>Objectives</w:t>
      </w:r>
    </w:p>
    <w:p w14:paraId="012DDD2F" w14:textId="77777777" w:rsidR="0044023E" w:rsidRPr="00B73A29" w:rsidRDefault="0044023E" w:rsidP="0044023E">
      <w:pPr>
        <w:pStyle w:val="a"/>
        <w:jc w:val="both"/>
        <w:rPr>
          <w:b/>
        </w:rPr>
      </w:pPr>
    </w:p>
    <w:p w14:paraId="5C4F74F6" w14:textId="3D264B91" w:rsidR="007C1BEE" w:rsidRPr="00B73A29" w:rsidRDefault="00000000" w:rsidP="0044023E">
      <w:pPr>
        <w:pStyle w:val="a"/>
        <w:jc w:val="both"/>
        <w:rPr>
          <w:bCs/>
        </w:rPr>
      </w:pPr>
      <w:r w:rsidRPr="00B73A29">
        <w:rPr>
          <w:bCs/>
        </w:rPr>
        <w:t>The objective of this study is to design and simulate an NMOS-only cross-coupled LC-VCO in 0.18 μm CMOS technology, biased in the subthreshold region, and to evaluate its tuning range, power dissipation, phase-noise performance, and figure of merit under the stated simulation conditions.</w:t>
      </w:r>
    </w:p>
    <w:p w14:paraId="6F46EA1D" w14:textId="77777777" w:rsidR="00DD5CDB" w:rsidRPr="00B73A29" w:rsidRDefault="00F21BF5" w:rsidP="0044023E">
      <w:pPr>
        <w:pStyle w:val="a"/>
        <w:spacing w:before="240" w:after="120" w:line="276" w:lineRule="auto"/>
        <w:ind w:left="220" w:hanging="220"/>
        <w:jc w:val="both"/>
        <w:rPr>
          <w:b/>
          <w:bCs/>
          <w:color w:val="000000"/>
        </w:rPr>
      </w:pPr>
      <w:r w:rsidRPr="00B73A29">
        <w:rPr>
          <w:b/>
          <w:bCs/>
          <w:color w:val="000000"/>
        </w:rPr>
        <w:t xml:space="preserve">2. </w:t>
      </w:r>
      <w:r w:rsidR="00DD5CDB" w:rsidRPr="00B73A29">
        <w:rPr>
          <w:b/>
          <w:bCs/>
          <w:color w:val="000000"/>
        </w:rPr>
        <w:t xml:space="preserve">Methodology </w:t>
      </w:r>
    </w:p>
    <w:p w14:paraId="0E905831" w14:textId="77777777" w:rsidR="00DD5CDB" w:rsidRPr="00B73A29" w:rsidRDefault="0090037C" w:rsidP="0044023E">
      <w:pPr>
        <w:pStyle w:val="a"/>
        <w:spacing w:before="240" w:after="120" w:line="276" w:lineRule="auto"/>
        <w:ind w:left="220" w:hanging="220"/>
        <w:jc w:val="both"/>
        <w:rPr>
          <w:b/>
          <w:bCs/>
        </w:rPr>
      </w:pPr>
      <w:r w:rsidRPr="00B73A29">
        <w:rPr>
          <w:b/>
          <w:bCs/>
          <w:color w:val="000000"/>
        </w:rPr>
        <w:t xml:space="preserve">2.1 </w:t>
      </w:r>
      <w:r w:rsidR="00F21BF5" w:rsidRPr="00B73A29">
        <w:rPr>
          <w:b/>
          <w:bCs/>
          <w:color w:val="000000"/>
        </w:rPr>
        <w:t xml:space="preserve">The Operation of </w:t>
      </w:r>
      <w:r w:rsidRPr="00B73A29">
        <w:rPr>
          <w:b/>
          <w:bCs/>
        </w:rPr>
        <w:t>Sub-threshold</w:t>
      </w:r>
      <w:r w:rsidR="00F21BF5" w:rsidRPr="00B73A29">
        <w:rPr>
          <w:b/>
          <w:bCs/>
        </w:rPr>
        <w:t xml:space="preserve"> region</w:t>
      </w:r>
    </w:p>
    <w:p w14:paraId="52941ACE" w14:textId="77777777" w:rsidR="00F21BF5" w:rsidRPr="00B73A29" w:rsidRDefault="00DD5CDB" w:rsidP="0044023E">
      <w:pPr>
        <w:pStyle w:val="a"/>
        <w:spacing w:before="240" w:after="120" w:line="276" w:lineRule="auto"/>
        <w:ind w:hanging="220"/>
        <w:jc w:val="both"/>
      </w:pPr>
      <w:r w:rsidRPr="00B73A29">
        <w:rPr>
          <w:color w:val="000000"/>
        </w:rPr>
        <w:t xml:space="preserve">As MOS integrated-circuit technology has evolved towards increasingly smaller device structures, it has become important to examine the minority carriers present under the gate when the gate voltage is lower than the threshold voltage, that is, in the subthreshold region. These carriers cannot be completely neglected and play an important role in device and circuit performance. </w:t>
      </w:r>
      <w:r w:rsidRPr="00B73A29">
        <w:rPr>
          <w:color w:val="000000"/>
        </w:rPr>
        <w:lastRenderedPageBreak/>
        <w:t>Initially, they were viewed primarily as a problem because they caused undesirable leakage currents and limited circuit performance. It is now recognised that they also enable a useful mode of MOSFET operation and that the subthreshold region is as important as the traditional cut-off, linear, and saturation regions of operation. This current is significant in at least three respects. It can limit the gain of a MOSFET linear amplifier, it is a major source of power dissipation and heating in modern VLSI digital ICs when the IC is in the off state, and it can be used to realise very-low-voltage, ultra-low-power integrated circuits. The gain of a MOSFET can be improved by increasing the W/L ratio. Because an oscillator is an analogue device used in the ON state, this region can be exploited to design very-low-voltage, ultra-low-power integrated circuits.</w:t>
      </w:r>
    </w:p>
    <w:p w14:paraId="16D523DC" w14:textId="77777777" w:rsidR="003803A0" w:rsidRPr="00B73A29" w:rsidRDefault="003803A0" w:rsidP="0044023E">
      <w:pPr>
        <w:pStyle w:val="a"/>
        <w:spacing w:before="240" w:after="120" w:line="276" w:lineRule="auto"/>
        <w:jc w:val="both"/>
        <w:rPr>
          <w:b/>
          <w:bCs/>
          <w:color w:val="000000"/>
        </w:rPr>
      </w:pPr>
    </w:p>
    <w:p w14:paraId="09CD6C4B" w14:textId="77777777" w:rsidR="00F21BF5" w:rsidRPr="00B73A29" w:rsidRDefault="0090037C" w:rsidP="0044023E">
      <w:pPr>
        <w:pStyle w:val="a"/>
        <w:spacing w:before="240" w:after="120" w:line="276" w:lineRule="auto"/>
        <w:jc w:val="both"/>
        <w:rPr>
          <w:color w:val="000000"/>
        </w:rPr>
      </w:pPr>
      <w:r w:rsidRPr="00B73A29">
        <w:rPr>
          <w:b/>
          <w:bCs/>
          <w:color w:val="000000"/>
        </w:rPr>
        <w:t xml:space="preserve">2.2 </w:t>
      </w:r>
      <w:r w:rsidR="00F21BF5" w:rsidRPr="00B73A29">
        <w:rPr>
          <w:b/>
          <w:bCs/>
          <w:color w:val="000000"/>
        </w:rPr>
        <w:t xml:space="preserve">Phase Noise Considerations in the Subthreshold Regime </w:t>
      </w:r>
    </w:p>
    <w:p w14:paraId="28C023A8" w14:textId="77777777" w:rsidR="00F21BF5" w:rsidRPr="00B73A29" w:rsidRDefault="00F21BF5" w:rsidP="0044023E">
      <w:pPr>
        <w:pStyle w:val="Default"/>
        <w:spacing w:line="276" w:lineRule="auto"/>
        <w:jc w:val="both"/>
      </w:pPr>
      <w:r w:rsidRPr="00B73A29">
        <w:t>When a MOSFET operates in the threshold region, the channel becomes tapered and the electron velocity is high enough to allow penetration into the oxide region, which causes 1/f² noise in the circuit, as shown in Figure 2.</w:t>
      </w:r>
    </w:p>
    <w:p w14:paraId="6E24B686" w14:textId="77777777" w:rsidR="0090037C" w:rsidRPr="00B73A29" w:rsidRDefault="0090037C" w:rsidP="0044023E">
      <w:pPr>
        <w:pStyle w:val="Default"/>
        <w:spacing w:line="276" w:lineRule="auto"/>
        <w:jc w:val="both"/>
      </w:pPr>
    </w:p>
    <w:p w14:paraId="117B325C" w14:textId="77777777" w:rsidR="00F21BF5" w:rsidRPr="00B73A29" w:rsidRDefault="00F21BF5" w:rsidP="0044023E">
      <w:pPr>
        <w:pStyle w:val="Default"/>
        <w:spacing w:line="276" w:lineRule="auto"/>
        <w:jc w:val="both"/>
      </w:pPr>
      <w:r w:rsidRPr="00B73A29">
        <w:rPr>
          <w:noProof/>
        </w:rPr>
        <w:drawing>
          <wp:inline distT="0" distB="0" distL="0" distR="0" wp14:anchorId="6477F15B" wp14:editId="68730C98">
            <wp:extent cx="2743200" cy="1296785"/>
            <wp:effectExtent l="0" t="0" r="0" b="0"/>
            <wp:docPr id="25" name="Object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191000" cy="1981200"/>
                      <a:chOff x="1371600" y="3886200"/>
                      <a:chExt cx="4191000" cy="1981200"/>
                    </a:xfrm>
                  </a:grpSpPr>
                  <a:sp>
                    <a:nvSpPr>
                      <a:cNvPr id="3" name="Subtitle 2"/>
                      <a:cNvSpPr>
                        <a:spLocks noGrp="1"/>
                      </a:cNvSpPr>
                    </a:nvSpPr>
                    <a:spPr>
                      <a:xfrm>
                        <a:off x="1371600" y="3886200"/>
                        <a:ext cx="3886200" cy="1676400"/>
                      </a:xfrm>
                      <a:prstGeom prst="rect">
                        <a:avLst/>
                      </a:prstGeom>
                    </a:spPr>
                    <a:txSp>
                      <a:txBody>
                        <a:bodyPr vert="horz" lIns="91440" tIns="45720" rIns="91440" bIns="45720" rtlCol="0">
                          <a:normAutofit/>
                        </a:bodyPr>
                        <a:lstStyle>
                          <a:lvl1pPr marL="0" indent="0" algn="ctr" defTabSz="914400" rtl="0" eaLnBrk="1" latinLnBrk="0" hangingPunct="1">
                            <a:spcBef>
                              <a:spcPct val="20000"/>
                            </a:spcBef>
                            <a:buFont typeface="Arial" pitchFamily="34" charset="0"/>
                            <a:buNone/>
                            <a:defRPr sz="3200" kern="1200">
                              <a:solidFill>
                                <a:schemeClr val="tx1">
                                  <a:tint val="75000"/>
                                </a:schemeClr>
                              </a:solidFill>
                              <a:latin typeface="+mn-lt"/>
                              <a:ea typeface="+mn-ea"/>
                              <a:cs typeface="+mn-cs"/>
                            </a:defRPr>
                          </a:lvl1pPr>
                          <a:lvl2pPr marL="457200" indent="0" algn="ctr" defTabSz="914400" rtl="0" eaLnBrk="1" latinLnBrk="0" hangingPunct="1">
                            <a:spcBef>
                              <a:spcPct val="20000"/>
                            </a:spcBef>
                            <a:buFont typeface="Arial" pitchFamily="34" charset="0"/>
                            <a:buNone/>
                            <a:defRPr sz="2800" kern="1200">
                              <a:solidFill>
                                <a:schemeClr val="tx1">
                                  <a:tint val="75000"/>
                                </a:schemeClr>
                              </a:solidFill>
                              <a:latin typeface="+mn-lt"/>
                              <a:ea typeface="+mn-ea"/>
                              <a:cs typeface="+mn-cs"/>
                            </a:defRPr>
                          </a:lvl2pPr>
                          <a:lvl3pPr marL="914400" indent="0" algn="ctr" defTabSz="914400" rtl="0" eaLnBrk="1" latinLnBrk="0" hangingPunct="1">
                            <a:spcBef>
                              <a:spcPct val="20000"/>
                            </a:spcBef>
                            <a:buFont typeface="Arial" pitchFamily="34" charset="0"/>
                            <a:buNone/>
                            <a:defRPr sz="2400" kern="1200">
                              <a:solidFill>
                                <a:schemeClr val="tx1">
                                  <a:tint val="75000"/>
                                </a:schemeClr>
                              </a:solidFill>
                              <a:latin typeface="+mn-lt"/>
                              <a:ea typeface="+mn-ea"/>
                              <a:cs typeface="+mn-cs"/>
                            </a:defRPr>
                          </a:lvl3pPr>
                          <a:lvl4pPr marL="13716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4pPr>
                          <a:lvl5pPr marL="18288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5pPr>
                          <a:lvl6pPr marL="22860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6pPr>
                          <a:lvl7pPr marL="27432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7pPr>
                          <a:lvl8pPr marL="32004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8pPr>
                          <a:lvl9pPr marL="36576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9pPr>
                        </a:lstStyle>
                        <a:p>
                          <a:r>
                            <a:rPr lang="en-US" dirty="0" smtClean="0"/>
                            <a:t>                                                                                   </a:t>
                          </a:r>
                          <a:endParaRPr lang="en-US" dirty="0"/>
                        </a:p>
                      </a:txBody>
                      <a:useSpRect/>
                    </a:txSp>
                  </a:sp>
                  <a:sp>
                    <a:nvSpPr>
                      <a:cNvPr id="4" name="Rectangle 3"/>
                      <a:cNvSpPr/>
                    </a:nvSpPr>
                    <a:spPr>
                      <a:xfrm>
                        <a:off x="1600200" y="4114800"/>
                        <a:ext cx="3962400" cy="1752600"/>
                      </a:xfrm>
                      <a:prstGeom prst="rect">
                        <a:avLst/>
                      </a:prstGeom>
                      <a:solidFill>
                        <a:schemeClr val="accent2">
                          <a:lumMod val="50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2000" dirty="0" smtClean="0">
                              <a:solidFill>
                                <a:srgbClr val="FF0000"/>
                              </a:solidFill>
                            </a:rPr>
                            <a:t>P </a:t>
                          </a:r>
                          <a:r>
                            <a:rPr lang="en-US" sz="2000" dirty="0" err="1" smtClean="0">
                              <a:solidFill>
                                <a:srgbClr val="FF0000"/>
                              </a:solidFill>
                            </a:rPr>
                            <a:t>mos</a:t>
                          </a:r>
                          <a:endParaRPr lang="en-US" sz="2000" dirty="0">
                            <a:solidFill>
                              <a:srgbClr val="FF00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Rectangle 4"/>
                      <a:cNvSpPr/>
                    </a:nvSpPr>
                    <a:spPr>
                      <a:xfrm>
                        <a:off x="2209800" y="4114800"/>
                        <a:ext cx="838200" cy="533400"/>
                      </a:xfrm>
                      <a:prstGeom prst="rect">
                        <a:avLst/>
                      </a:prstGeom>
                      <a:solidFill>
                        <a:srgbClr val="00B05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solidFill>
                                <a:srgbClr val="FF0000"/>
                              </a:solidFill>
                            </a:rPr>
                            <a:t>  n+</a:t>
                          </a:r>
                          <a:endParaRPr lang="en-US" dirty="0">
                            <a:solidFill>
                              <a:srgbClr val="FF00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Rectangle 6"/>
                      <a:cNvSpPr/>
                    </a:nvSpPr>
                    <a:spPr>
                      <a:xfrm>
                        <a:off x="4114800" y="4114800"/>
                        <a:ext cx="914400" cy="533400"/>
                      </a:xfrm>
                      <a:prstGeom prst="rect">
                        <a:avLst/>
                      </a:prstGeom>
                      <a:solidFill>
                        <a:srgbClr val="00B05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solidFill>
                                <a:srgbClr val="FF0000"/>
                              </a:solidFill>
                            </a:rPr>
                            <a:t>n+</a:t>
                          </a:r>
                          <a:endParaRPr lang="en-US" dirty="0">
                            <a:solidFill>
                              <a:srgbClr val="FF00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Rectangle 16"/>
                      <a:cNvSpPr/>
                    </a:nvSpPr>
                    <a:spPr>
                      <a:xfrm>
                        <a:off x="3048000" y="3886200"/>
                        <a:ext cx="1066800" cy="228600"/>
                      </a:xfrm>
                      <a:prstGeom prst="rect">
                        <a:avLst/>
                      </a:prstGeom>
                      <a:solidFill>
                        <a:srgbClr val="FFFF0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solidFill>
                                <a:srgbClr val="0070C0"/>
                              </a:solidFill>
                            </a:rPr>
                            <a:t>SiO2</a:t>
                          </a:r>
                          <a:endParaRPr lang="en-US" dirty="0">
                            <a:solidFill>
                              <a:srgbClr val="0070C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8" name="Freeform 37"/>
                      <a:cNvSpPr/>
                    </a:nvSpPr>
                    <a:spPr>
                      <a:xfrm>
                        <a:off x="3048000" y="4114800"/>
                        <a:ext cx="1112520" cy="502920"/>
                      </a:xfrm>
                      <a:custGeom>
                        <a:avLst/>
                        <a:gdLst>
                          <a:gd name="connsiteX0" fmla="*/ 15240 w 1112520"/>
                          <a:gd name="connsiteY0" fmla="*/ 502920 h 502920"/>
                          <a:gd name="connsiteX1" fmla="*/ 1112520 w 1112520"/>
                          <a:gd name="connsiteY1" fmla="*/ 15240 h 502920"/>
                          <a:gd name="connsiteX2" fmla="*/ 0 w 1112520"/>
                          <a:gd name="connsiteY2" fmla="*/ 0 h 502920"/>
                          <a:gd name="connsiteX3" fmla="*/ 15240 w 1112520"/>
                          <a:gd name="connsiteY3" fmla="*/ 502920 h 502920"/>
                        </a:gdLst>
                        <a:ahLst/>
                        <a:cxnLst>
                          <a:cxn ang="0">
                            <a:pos x="connsiteX0" y="connsiteY0"/>
                          </a:cxn>
                          <a:cxn ang="0">
                            <a:pos x="connsiteX1" y="connsiteY1"/>
                          </a:cxn>
                          <a:cxn ang="0">
                            <a:pos x="connsiteX2" y="connsiteY2"/>
                          </a:cxn>
                          <a:cxn ang="0">
                            <a:pos x="connsiteX3" y="connsiteY3"/>
                          </a:cxn>
                        </a:cxnLst>
                        <a:rect l="l" t="t" r="r" b="b"/>
                        <a:pathLst>
                          <a:path w="1112520" h="502920">
                            <a:moveTo>
                              <a:pt x="15240" y="502920"/>
                            </a:moveTo>
                            <a:lnTo>
                              <a:pt x="1112520" y="15240"/>
                            </a:lnTo>
                            <a:lnTo>
                              <a:pt x="0" y="0"/>
                            </a:lnTo>
                            <a:lnTo>
                              <a:pt x="15240" y="502920"/>
                            </a:lnTo>
                            <a:close/>
                          </a:path>
                        </a:pathLst>
                      </a:cu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Oval 44"/>
                      <a:cNvSpPr/>
                    </a:nvSpPr>
                    <a:spPr>
                      <a:xfrm>
                        <a:off x="3124200" y="4343400"/>
                        <a:ext cx="76200" cy="152400"/>
                      </a:xfrm>
                      <a:prstGeom prst="ellipse">
                        <a:avLst/>
                      </a:prstGeom>
                      <a:solidFill>
                        <a:schemeClr val="accent6">
                          <a:lumMod val="75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Oval 45"/>
                      <a:cNvSpPr/>
                    </a:nvSpPr>
                    <a:spPr>
                      <a:xfrm>
                        <a:off x="3657600" y="4191000"/>
                        <a:ext cx="76200" cy="152400"/>
                      </a:xfrm>
                      <a:prstGeom prst="ellipse">
                        <a:avLst/>
                      </a:prstGeom>
                      <a:solidFill>
                        <a:schemeClr val="accent6">
                          <a:lumMod val="75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7" name="Oval 46"/>
                      <a:cNvSpPr/>
                    </a:nvSpPr>
                    <a:spPr>
                      <a:xfrm>
                        <a:off x="3124200" y="4114800"/>
                        <a:ext cx="76200" cy="152400"/>
                      </a:xfrm>
                      <a:prstGeom prst="ellipse">
                        <a:avLst/>
                      </a:prstGeom>
                      <a:solidFill>
                        <a:schemeClr val="accent6">
                          <a:lumMod val="75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6" name="Right Arrow 55"/>
                      <a:cNvSpPr/>
                    </a:nvSpPr>
                    <a:spPr>
                      <a:xfrm rot="20092624">
                        <a:off x="3182649" y="4285328"/>
                        <a:ext cx="471442" cy="121574"/>
                      </a:xfrm>
                      <a:prstGeom prst="rightArrow">
                        <a:avLst/>
                      </a:prstGeom>
                      <a:solidFill>
                        <a:schemeClr val="accent6">
                          <a:lumMod val="75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7" name="Right Arrow 56"/>
                      <a:cNvSpPr/>
                    </a:nvSpPr>
                    <a:spPr>
                      <a:xfrm rot="20092624">
                        <a:off x="3716049" y="4056728"/>
                        <a:ext cx="471442" cy="121574"/>
                      </a:xfrm>
                      <a:prstGeom prst="rightArrow">
                        <a:avLst/>
                      </a:prstGeom>
                      <a:solidFill>
                        <a:schemeClr val="accent6">
                          <a:lumMod val="75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8" name="Right Arrow 57"/>
                      <a:cNvSpPr/>
                    </a:nvSpPr>
                    <a:spPr>
                      <a:xfrm rot="283269">
                        <a:off x="3280804" y="4126430"/>
                        <a:ext cx="471442" cy="121574"/>
                      </a:xfrm>
                      <a:prstGeom prst="rightArrow">
                        <a:avLst/>
                      </a:prstGeom>
                      <a:solidFill>
                        <a:schemeClr val="accent6">
                          <a:lumMod val="75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14:paraId="3E47BAAE" w14:textId="77777777" w:rsidR="00EC48A6" w:rsidRPr="00B73A29" w:rsidRDefault="00EC48A6" w:rsidP="0044023E">
      <w:pPr>
        <w:pStyle w:val="Default"/>
        <w:spacing w:line="276" w:lineRule="auto"/>
        <w:jc w:val="both"/>
      </w:pPr>
    </w:p>
    <w:p w14:paraId="60D17515" w14:textId="77777777" w:rsidR="00F21BF5" w:rsidRPr="00B73A29" w:rsidRDefault="00F21BF5" w:rsidP="0044023E">
      <w:pPr>
        <w:pStyle w:val="Default"/>
        <w:spacing w:line="276" w:lineRule="auto"/>
        <w:jc w:val="both"/>
        <w:rPr>
          <w:bCs/>
        </w:rPr>
      </w:pPr>
      <w:r w:rsidRPr="00B73A29">
        <w:rPr>
          <w:bCs/>
        </w:rPr>
        <w:t>Figure</w:t>
      </w:r>
      <w:r w:rsidR="00EC48A6" w:rsidRPr="00B73A29">
        <w:rPr>
          <w:bCs/>
        </w:rPr>
        <w:t xml:space="preserve"> </w:t>
      </w:r>
      <w:r w:rsidRPr="00B73A29">
        <w:rPr>
          <w:bCs/>
        </w:rPr>
        <w:t>2</w:t>
      </w:r>
      <w:r w:rsidR="00EC48A6" w:rsidRPr="00B73A29">
        <w:rPr>
          <w:bCs/>
        </w:rPr>
        <w:t>. M</w:t>
      </w:r>
      <w:r w:rsidRPr="00B73A29">
        <w:rPr>
          <w:bCs/>
        </w:rPr>
        <w:t>ovement of electron in threshold region</w:t>
      </w:r>
    </w:p>
    <w:p w14:paraId="5E859898" w14:textId="77777777" w:rsidR="00EC48A6" w:rsidRPr="00B73A29" w:rsidRDefault="00EC48A6" w:rsidP="0044023E">
      <w:pPr>
        <w:pStyle w:val="Default"/>
        <w:spacing w:line="276" w:lineRule="auto"/>
        <w:jc w:val="both"/>
        <w:rPr>
          <w:b/>
        </w:rPr>
      </w:pPr>
    </w:p>
    <w:p w14:paraId="463BE39F" w14:textId="77777777" w:rsidR="00F21BF5" w:rsidRPr="00B73A29" w:rsidRDefault="00F21BF5" w:rsidP="0044023E">
      <w:pPr>
        <w:pStyle w:val="Default"/>
        <w:spacing w:line="276" w:lineRule="auto"/>
        <w:jc w:val="both"/>
      </w:pPr>
      <w:r w:rsidRPr="00B73A29">
        <w:t>When a MOSFET operates in the subthreshold region, the channel becomes uniform and the electric field remains parallel to the oxide layer. This reduces the likelihood of electron penetration into the oxide layer, as shown in Figure 3.</w:t>
      </w:r>
    </w:p>
    <w:p w14:paraId="029833E4" w14:textId="77777777" w:rsidR="00F21BF5" w:rsidRPr="00B73A29" w:rsidRDefault="00F21BF5" w:rsidP="0044023E">
      <w:pPr>
        <w:pStyle w:val="Default"/>
        <w:spacing w:line="276" w:lineRule="auto"/>
        <w:jc w:val="both"/>
      </w:pPr>
      <w:r w:rsidRPr="00B73A29">
        <w:rPr>
          <w:noProof/>
        </w:rPr>
        <w:drawing>
          <wp:inline distT="0" distB="0" distL="0" distR="0" wp14:anchorId="20B70993" wp14:editId="28F70486">
            <wp:extent cx="2743200" cy="1296785"/>
            <wp:effectExtent l="0" t="0" r="0" b="0"/>
            <wp:docPr id="26" name="Object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191000" cy="1981200"/>
                      <a:chOff x="1752600" y="3886200"/>
                      <a:chExt cx="4191000" cy="1981200"/>
                    </a:xfrm>
                  </a:grpSpPr>
                  <a:sp>
                    <a:nvSpPr>
                      <a:cNvPr id="4" name="Subtitle 2"/>
                      <a:cNvSpPr txBox="1">
                        <a:spLocks/>
                      </a:cNvSpPr>
                    </a:nvSpPr>
                    <a:spPr>
                      <a:xfrm>
                        <a:off x="1752600" y="3886200"/>
                        <a:ext cx="3886200" cy="1676400"/>
                      </a:xfrm>
                      <a:prstGeom prst="rect">
                        <a:avLst/>
                      </a:prstGeom>
                    </a:spPr>
                    <a:txSp>
                      <a:txBody>
                        <a:bodyPr vert="horz" lIns="91440" tIns="45720" rIns="91440" bIns="45720" rtlCol="0">
                          <a:norm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buFont typeface="Arial" pitchFamily="34" charset="0"/>
                            <a:buChar char="•"/>
                            <a:tabLst/>
                            <a:defRPr/>
                          </a:pPr>
                          <a:r>
                            <a:rPr kumimoji="0" lang="en-US" sz="3200" b="0" i="0" u="none" strike="noStrike" kern="1200" cap="none" spc="0" normalizeH="0" baseline="0" noProof="0" dirty="0" smtClean="0">
                              <a:ln>
                                <a:noFill/>
                              </a:ln>
                              <a:solidFill>
                                <a:schemeClr val="tx1"/>
                              </a:solidFill>
                              <a:effectLst/>
                              <a:uLnTx/>
                              <a:uFillTx/>
                              <a:latin typeface="+mn-lt"/>
                              <a:ea typeface="+mn-ea"/>
                              <a:cs typeface="+mn-cs"/>
                            </a:rPr>
                            <a:t>                                                                                   </a:t>
                          </a:r>
                        </a:p>
                      </a:txBody>
                      <a:useSpRect/>
                    </a:txSp>
                  </a:sp>
                  <a:sp>
                    <a:nvSpPr>
                      <a:cNvPr id="5" name="Rectangle 4"/>
                      <a:cNvSpPr/>
                    </a:nvSpPr>
                    <a:spPr>
                      <a:xfrm>
                        <a:off x="1981200" y="4114800"/>
                        <a:ext cx="3962400" cy="1752600"/>
                      </a:xfrm>
                      <a:prstGeom prst="rect">
                        <a:avLst/>
                      </a:prstGeom>
                      <a:solidFill>
                        <a:schemeClr val="accent2">
                          <a:lumMod val="50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2000" dirty="0" smtClean="0">
                              <a:solidFill>
                                <a:srgbClr val="FF0000"/>
                              </a:solidFill>
                            </a:rPr>
                            <a:t>P </a:t>
                          </a:r>
                          <a:r>
                            <a:rPr lang="en-US" sz="2000" dirty="0" err="1" smtClean="0">
                              <a:solidFill>
                                <a:srgbClr val="FF0000"/>
                              </a:solidFill>
                            </a:rPr>
                            <a:t>mos</a:t>
                          </a:r>
                          <a:endParaRPr lang="en-US" sz="2000" dirty="0">
                            <a:solidFill>
                              <a:srgbClr val="FF00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Rectangle 5"/>
                      <a:cNvSpPr/>
                    </a:nvSpPr>
                    <a:spPr>
                      <a:xfrm>
                        <a:off x="2590800" y="4114800"/>
                        <a:ext cx="838200" cy="533400"/>
                      </a:xfrm>
                      <a:prstGeom prst="rect">
                        <a:avLst/>
                      </a:prstGeom>
                      <a:solidFill>
                        <a:srgbClr val="00B05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solidFill>
                                <a:srgbClr val="FF0000"/>
                              </a:solidFill>
                            </a:rPr>
                            <a:t>  n+</a:t>
                          </a:r>
                          <a:endParaRPr lang="en-US" dirty="0">
                            <a:solidFill>
                              <a:srgbClr val="FF00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Rectangle 6"/>
                      <a:cNvSpPr/>
                    </a:nvSpPr>
                    <a:spPr>
                      <a:xfrm>
                        <a:off x="4495800" y="4114800"/>
                        <a:ext cx="914400" cy="533400"/>
                      </a:xfrm>
                      <a:prstGeom prst="rect">
                        <a:avLst/>
                      </a:prstGeom>
                      <a:solidFill>
                        <a:srgbClr val="00B05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solidFill>
                                <a:srgbClr val="FF0000"/>
                              </a:solidFill>
                            </a:rPr>
                            <a:t>n+</a:t>
                          </a:r>
                          <a:endParaRPr lang="en-US" dirty="0">
                            <a:solidFill>
                              <a:srgbClr val="FF00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Rectangle 7"/>
                      <a:cNvSpPr/>
                    </a:nvSpPr>
                    <a:spPr>
                      <a:xfrm>
                        <a:off x="3429000" y="3886200"/>
                        <a:ext cx="1066800" cy="228600"/>
                      </a:xfrm>
                      <a:prstGeom prst="rect">
                        <a:avLst/>
                      </a:prstGeom>
                      <a:solidFill>
                        <a:srgbClr val="FFFF0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solidFill>
                                <a:srgbClr val="0070C0"/>
                              </a:solidFill>
                            </a:rPr>
                            <a:t>SiO2</a:t>
                          </a:r>
                          <a:endParaRPr lang="en-US" dirty="0">
                            <a:solidFill>
                              <a:srgbClr val="0070C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Freeform 11"/>
                      <a:cNvSpPr/>
                    </a:nvSpPr>
                    <a:spPr>
                      <a:xfrm>
                        <a:off x="3413760" y="4130040"/>
                        <a:ext cx="1082040" cy="381000"/>
                      </a:xfrm>
                      <a:custGeom>
                        <a:avLst/>
                        <a:gdLst>
                          <a:gd name="connsiteX0" fmla="*/ 0 w 1082040"/>
                          <a:gd name="connsiteY0" fmla="*/ 350520 h 381000"/>
                          <a:gd name="connsiteX1" fmla="*/ 1082040 w 1082040"/>
                          <a:gd name="connsiteY1" fmla="*/ 381000 h 381000"/>
                          <a:gd name="connsiteX2" fmla="*/ 1082040 w 1082040"/>
                          <a:gd name="connsiteY2" fmla="*/ 0 h 381000"/>
                          <a:gd name="connsiteX3" fmla="*/ 15240 w 1082040"/>
                          <a:gd name="connsiteY3" fmla="*/ 0 h 381000"/>
                          <a:gd name="connsiteX4" fmla="*/ 0 w 1082040"/>
                          <a:gd name="connsiteY4" fmla="*/ 350520 h 381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82040" h="381000">
                            <a:moveTo>
                              <a:pt x="0" y="350520"/>
                            </a:moveTo>
                            <a:lnTo>
                              <a:pt x="1082040" y="381000"/>
                            </a:lnTo>
                            <a:lnTo>
                              <a:pt x="1082040" y="0"/>
                            </a:lnTo>
                            <a:lnTo>
                              <a:pt x="15240" y="0"/>
                            </a:lnTo>
                            <a:lnTo>
                              <a:pt x="0" y="350520"/>
                            </a:lnTo>
                            <a:close/>
                          </a:path>
                        </a:pathLst>
                      </a:cu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Oval 12"/>
                      <a:cNvSpPr/>
                    </a:nvSpPr>
                    <a:spPr>
                      <a:xfrm>
                        <a:off x="3505200" y="4343400"/>
                        <a:ext cx="152400" cy="152400"/>
                      </a:xfrm>
                      <a:prstGeom prst="ellipse">
                        <a:avLst/>
                      </a:prstGeom>
                      <a:solidFill>
                        <a:schemeClr val="accent6">
                          <a:lumMod val="50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Oval 13"/>
                      <a:cNvSpPr/>
                    </a:nvSpPr>
                    <a:spPr>
                      <a:xfrm>
                        <a:off x="3505200" y="4191000"/>
                        <a:ext cx="152400" cy="152400"/>
                      </a:xfrm>
                      <a:prstGeom prst="ellipse">
                        <a:avLst/>
                      </a:prstGeom>
                      <a:solidFill>
                        <a:schemeClr val="accent6">
                          <a:lumMod val="50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Oval 14"/>
                      <a:cNvSpPr/>
                    </a:nvSpPr>
                    <a:spPr>
                      <a:xfrm>
                        <a:off x="4038600" y="4267200"/>
                        <a:ext cx="152400" cy="152400"/>
                      </a:xfrm>
                      <a:prstGeom prst="ellipse">
                        <a:avLst/>
                      </a:prstGeom>
                      <a:solidFill>
                        <a:schemeClr val="accent6">
                          <a:lumMod val="50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Right Arrow 15"/>
                      <a:cNvSpPr/>
                    </a:nvSpPr>
                    <a:spPr>
                      <a:xfrm>
                        <a:off x="3716049" y="4145626"/>
                        <a:ext cx="471442" cy="121574"/>
                      </a:xfrm>
                      <a:prstGeom prst="rightArrow">
                        <a:avLst/>
                      </a:prstGeom>
                      <a:solidFill>
                        <a:schemeClr val="accent6">
                          <a:lumMod val="75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Right Arrow 16"/>
                      <a:cNvSpPr/>
                    </a:nvSpPr>
                    <a:spPr>
                      <a:xfrm>
                        <a:off x="3733800" y="4374226"/>
                        <a:ext cx="471442" cy="121574"/>
                      </a:xfrm>
                      <a:prstGeom prst="rightArrow">
                        <a:avLst/>
                      </a:prstGeom>
                      <a:solidFill>
                        <a:schemeClr val="accent6">
                          <a:lumMod val="75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Right Arrow 17"/>
                      <a:cNvSpPr/>
                    </a:nvSpPr>
                    <a:spPr>
                      <a:xfrm>
                        <a:off x="4252958" y="4298026"/>
                        <a:ext cx="471442" cy="121574"/>
                      </a:xfrm>
                      <a:prstGeom prst="rightArrow">
                        <a:avLst/>
                      </a:prstGeom>
                      <a:solidFill>
                        <a:schemeClr val="accent6">
                          <a:lumMod val="75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14:paraId="240B5F3D" w14:textId="77777777" w:rsidR="00EC48A6" w:rsidRPr="00B73A29" w:rsidRDefault="00EC48A6" w:rsidP="0044023E">
      <w:pPr>
        <w:pStyle w:val="Default"/>
        <w:spacing w:line="276" w:lineRule="auto"/>
        <w:jc w:val="both"/>
      </w:pPr>
    </w:p>
    <w:p w14:paraId="63515D7C" w14:textId="77777777" w:rsidR="00F21BF5" w:rsidRPr="00B73A29" w:rsidRDefault="00F21BF5" w:rsidP="0044023E">
      <w:pPr>
        <w:pStyle w:val="Default"/>
        <w:spacing w:line="276" w:lineRule="auto"/>
        <w:jc w:val="both"/>
        <w:rPr>
          <w:bCs/>
        </w:rPr>
      </w:pPr>
      <w:r w:rsidRPr="00B73A29">
        <w:rPr>
          <w:bCs/>
        </w:rPr>
        <w:t>Figure</w:t>
      </w:r>
      <w:r w:rsidR="00EC48A6" w:rsidRPr="00B73A29">
        <w:rPr>
          <w:bCs/>
        </w:rPr>
        <w:t xml:space="preserve"> </w:t>
      </w:r>
      <w:r w:rsidRPr="00B73A29">
        <w:rPr>
          <w:bCs/>
        </w:rPr>
        <w:t>3.</w:t>
      </w:r>
      <w:r w:rsidR="00EC48A6" w:rsidRPr="00B73A29">
        <w:rPr>
          <w:bCs/>
        </w:rPr>
        <w:t xml:space="preserve"> M</w:t>
      </w:r>
      <w:r w:rsidRPr="00B73A29">
        <w:rPr>
          <w:bCs/>
        </w:rPr>
        <w:t>ovement of electron in sub-threshold region</w:t>
      </w:r>
    </w:p>
    <w:p w14:paraId="437C42FA" w14:textId="77777777" w:rsidR="00F21BF5" w:rsidRPr="00B73A29" w:rsidRDefault="00F21BF5" w:rsidP="0044023E">
      <w:pPr>
        <w:pStyle w:val="Default"/>
        <w:spacing w:line="276" w:lineRule="auto"/>
        <w:jc w:val="both"/>
      </w:pPr>
    </w:p>
    <w:p w14:paraId="11223E00" w14:textId="77777777" w:rsidR="00F21BF5" w:rsidRPr="00B73A29" w:rsidRDefault="00F21BF5" w:rsidP="0044023E">
      <w:pPr>
        <w:pStyle w:val="Default"/>
        <w:spacing w:line="276" w:lineRule="auto"/>
        <w:jc w:val="both"/>
      </w:pPr>
    </w:p>
    <w:p w14:paraId="69B13CEC" w14:textId="77777777" w:rsidR="00EC48A6" w:rsidRPr="00B73A29" w:rsidRDefault="004A792D" w:rsidP="0044023E">
      <w:pPr>
        <w:pStyle w:val="Default"/>
        <w:spacing w:line="276" w:lineRule="auto"/>
        <w:jc w:val="both"/>
        <w:rPr>
          <w:b/>
          <w:bCs/>
        </w:rPr>
      </w:pPr>
      <w:r w:rsidRPr="00B73A29">
        <w:rPr>
          <w:b/>
          <w:bCs/>
        </w:rPr>
        <w:lastRenderedPageBreak/>
        <w:t>Super threshold</w:t>
      </w:r>
      <w:r w:rsidR="00EC48A6" w:rsidRPr="00B73A29">
        <w:rPr>
          <w:b/>
          <w:bCs/>
        </w:rPr>
        <w:t xml:space="preserve"> Region</w:t>
      </w:r>
    </w:p>
    <w:p w14:paraId="4F7B090B" w14:textId="77777777" w:rsidR="00EC48A6" w:rsidRPr="00B73A29" w:rsidRDefault="00000000" w:rsidP="0044023E">
      <w:pPr>
        <w:pStyle w:val="Default"/>
        <w:spacing w:line="276" w:lineRule="auto"/>
        <w:jc w:val="both"/>
      </w:pPr>
      <m:oMathPara>
        <m:oMath>
          <m:m>
            <m:mPr>
              <m:plcHide m:val="1"/>
              <m:mcs>
                <m:mc>
                  <m:mcPr>
                    <m:count m:val="4"/>
                    <m:mcJc m:val="center"/>
                  </m:mcPr>
                </m:mc>
              </m:mcs>
              <m:ctrlPr>
                <w:rPr>
                  <w:rFonts w:ascii="Cambria Math" w:hAnsi="Cambria Math"/>
                </w:rPr>
              </m:ctrlPr>
            </m:mPr>
            <m:mr>
              <m:e/>
              <m:e>
                <m:f>
                  <m:fPr>
                    <m:ctrlPr>
                      <w:rPr>
                        <w:rFonts w:ascii="Cambria Math" w:hAnsi="Cambria Math"/>
                      </w:rPr>
                    </m:ctrlPr>
                  </m:fPr>
                  <m:num>
                    <m:acc>
                      <m:accPr>
                        <m:chr m:val="‾"/>
                        <m:ctrlPr>
                          <w:rPr>
                            <w:rFonts w:ascii="Cambria Math" w:hAnsi="Cambria Math"/>
                          </w:rPr>
                        </m:ctrlPr>
                      </m:accPr>
                      <m:e>
                        <m:sSubSup>
                          <m:sSubSupPr>
                            <m:ctrlPr>
                              <w:rPr>
                                <w:rFonts w:ascii="Cambria Math" w:hAnsi="Cambria Math"/>
                              </w:rPr>
                            </m:ctrlPr>
                          </m:sSubSupPr>
                          <m:e>
                            <m:r>
                              <w:rPr>
                                <w:rFonts w:ascii="Cambria Math" w:hAnsi="Cambria Math"/>
                              </w:rPr>
                              <m:t>i</m:t>
                            </m:r>
                          </m:e>
                          <m:sub>
                            <m:r>
                              <w:rPr>
                                <w:rFonts w:ascii="Cambria Math" w:hAnsi="Cambria Math"/>
                              </w:rPr>
                              <m:t>n</m:t>
                            </m:r>
                          </m:sub>
                          <m:sup>
                            <m:r>
                              <w:rPr>
                                <w:rFonts w:ascii="Cambria Math" w:hAnsi="Cambria Math"/>
                              </w:rPr>
                              <m:t>2</m:t>
                            </m:r>
                          </m:sup>
                        </m:sSubSup>
                      </m:e>
                    </m:acc>
                  </m:num>
                  <m:den>
                    <m:r>
                      <m:rPr>
                        <m:sty m:val="p"/>
                      </m:rPr>
                      <w:rPr>
                        <w:rFonts w:ascii="Cambria Math" w:hAnsi="Cambria Math"/>
                      </w:rPr>
                      <m:t>Δ</m:t>
                    </m:r>
                    <m:r>
                      <w:rPr>
                        <w:rFonts w:ascii="Cambria Math" w:hAnsi="Cambria Math"/>
                      </w:rPr>
                      <m:t>f</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K</m:t>
                        </m:r>
                      </m:e>
                      <m:sub>
                        <m:r>
                          <w:rPr>
                            <w:rFonts w:ascii="Cambria Math" w:hAnsi="Cambria Math"/>
                          </w:rPr>
                          <m:t>f</m:t>
                        </m:r>
                      </m:sub>
                    </m:sSub>
                  </m:num>
                  <m:den>
                    <m:r>
                      <w:rPr>
                        <w:rFonts w:ascii="Cambria Math" w:hAnsi="Cambria Math"/>
                      </w:rPr>
                      <m:t>f</m:t>
                    </m:r>
                  </m:den>
                </m:f>
                <m:r>
                  <w:rPr>
                    <w:rFonts w:ascii="Cambria Math" w:hAnsi="Cambria Math"/>
                  </w:rPr>
                  <m:t>+4kTγ</m:t>
                </m:r>
                <m:sSub>
                  <m:sSubPr>
                    <m:ctrlPr>
                      <w:rPr>
                        <w:rFonts w:ascii="Cambria Math" w:hAnsi="Cambria Math"/>
                      </w:rPr>
                    </m:ctrlPr>
                  </m:sSubPr>
                  <m:e>
                    <m:r>
                      <w:rPr>
                        <w:rFonts w:ascii="Cambria Math" w:hAnsi="Cambria Math"/>
                      </w:rPr>
                      <m:t>g</m:t>
                    </m:r>
                  </m:e>
                  <m:sub>
                    <m:r>
                      <w:rPr>
                        <w:rFonts w:ascii="Cambria Math" w:hAnsi="Cambria Math"/>
                      </w:rPr>
                      <m:t>m</m:t>
                    </m:r>
                  </m:sub>
                </m:sSub>
              </m:e>
              <m:e/>
              <m:e>
                <m:r>
                  <m:rPr>
                    <m:nor/>
                  </m:rPr>
                  <m:t>(1)</m:t>
                </m:r>
              </m:e>
            </m:mr>
          </m:m>
          <m:r>
            <m:rPr>
              <m:sty m:val="p"/>
            </m:rPr>
            <w:br/>
          </m:r>
        </m:oMath>
      </m:oMathPara>
    </w:p>
    <w:p w14:paraId="3E16C6A2" w14:textId="77777777" w:rsidR="00EC48A6" w:rsidRPr="00B73A29" w:rsidRDefault="00EC48A6" w:rsidP="0044023E">
      <w:pPr>
        <w:pStyle w:val="Default"/>
        <w:spacing w:line="276" w:lineRule="auto"/>
        <w:jc w:val="both"/>
        <w:rPr>
          <w:b/>
          <w:bCs/>
        </w:rPr>
      </w:pPr>
      <w:r w:rsidRPr="00B73A29">
        <w:rPr>
          <w:b/>
          <w:bCs/>
        </w:rPr>
        <w:t>Subthreshold Region</w:t>
      </w:r>
    </w:p>
    <w:p w14:paraId="0ACF1450" w14:textId="77777777" w:rsidR="00F21BF5" w:rsidRPr="00B73A29" w:rsidRDefault="00000000" w:rsidP="0044023E">
      <w:pPr>
        <w:pStyle w:val="Default"/>
        <w:spacing w:line="276" w:lineRule="auto"/>
        <w:jc w:val="both"/>
      </w:pPr>
      <m:oMathPara>
        <m:oMath>
          <m:m>
            <m:mPr>
              <m:plcHide m:val="1"/>
              <m:mcs>
                <m:mc>
                  <m:mcPr>
                    <m:count m:val="4"/>
                    <m:mcJc m:val="center"/>
                  </m:mcPr>
                </m:mc>
              </m:mcs>
              <m:ctrlPr>
                <w:rPr>
                  <w:rFonts w:ascii="Cambria Math" w:hAnsi="Cambria Math"/>
                </w:rPr>
              </m:ctrlPr>
            </m:mPr>
            <m:mr>
              <m:e/>
              <m:e>
                <m:f>
                  <m:fPr>
                    <m:ctrlPr>
                      <w:rPr>
                        <w:rFonts w:ascii="Cambria Math" w:hAnsi="Cambria Math"/>
                      </w:rPr>
                    </m:ctrlPr>
                  </m:fPr>
                  <m:num>
                    <m:acc>
                      <m:accPr>
                        <m:chr m:val="‾"/>
                        <m:ctrlPr>
                          <w:rPr>
                            <w:rFonts w:ascii="Cambria Math" w:hAnsi="Cambria Math"/>
                          </w:rPr>
                        </m:ctrlPr>
                      </m:accPr>
                      <m:e>
                        <m:sSubSup>
                          <m:sSubSupPr>
                            <m:ctrlPr>
                              <w:rPr>
                                <w:rFonts w:ascii="Cambria Math" w:hAnsi="Cambria Math"/>
                              </w:rPr>
                            </m:ctrlPr>
                          </m:sSubSupPr>
                          <m:e>
                            <m:r>
                              <w:rPr>
                                <w:rFonts w:ascii="Cambria Math" w:hAnsi="Cambria Math"/>
                              </w:rPr>
                              <m:t>i</m:t>
                            </m:r>
                          </m:e>
                          <m:sub>
                            <m:r>
                              <w:rPr>
                                <w:rFonts w:ascii="Cambria Math" w:hAnsi="Cambria Math"/>
                              </w:rPr>
                              <m:t>n</m:t>
                            </m:r>
                          </m:sub>
                          <m:sup>
                            <m:r>
                              <w:rPr>
                                <w:rFonts w:ascii="Cambria Math" w:hAnsi="Cambria Math"/>
                              </w:rPr>
                              <m:t>2</m:t>
                            </m:r>
                          </m:sup>
                        </m:sSubSup>
                      </m:e>
                    </m:acc>
                  </m:num>
                  <m:den>
                    <m:r>
                      <m:rPr>
                        <m:sty m:val="p"/>
                      </m:rPr>
                      <w:rPr>
                        <w:rFonts w:ascii="Cambria Math" w:hAnsi="Cambria Math"/>
                      </w:rPr>
                      <m:t>Δ</m:t>
                    </m:r>
                    <m:r>
                      <w:rPr>
                        <w:rFonts w:ascii="Cambria Math" w:hAnsi="Cambria Math"/>
                      </w:rPr>
                      <m:t>f</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K</m:t>
                        </m:r>
                      </m:e>
                      <m:sub>
                        <m:r>
                          <w:rPr>
                            <w:rFonts w:ascii="Cambria Math" w:hAnsi="Cambria Math"/>
                          </w:rPr>
                          <m:t>f</m:t>
                        </m:r>
                      </m:sub>
                    </m:sSub>
                  </m:num>
                  <m:den>
                    <m:r>
                      <w:rPr>
                        <w:rFonts w:ascii="Cambria Math" w:hAnsi="Cambria Math"/>
                      </w:rPr>
                      <m:t>f</m:t>
                    </m:r>
                  </m:den>
                </m:f>
                <m:r>
                  <w:rPr>
                    <w:rFonts w:ascii="Cambria Math" w:hAnsi="Cambria Math"/>
                  </w:rPr>
                  <m:t>+2q</m:t>
                </m:r>
                <m:sSub>
                  <m:sSubPr>
                    <m:ctrlPr>
                      <w:rPr>
                        <w:rFonts w:ascii="Cambria Math" w:hAnsi="Cambria Math"/>
                      </w:rPr>
                    </m:ctrlPr>
                  </m:sSubPr>
                  <m:e>
                    <m:r>
                      <w:rPr>
                        <w:rFonts w:ascii="Cambria Math" w:hAnsi="Cambria Math"/>
                      </w:rPr>
                      <m:t>I</m:t>
                    </m:r>
                  </m:e>
                  <m:sub>
                    <m:r>
                      <w:rPr>
                        <w:rFonts w:ascii="Cambria Math" w:hAnsi="Cambria Math"/>
                      </w:rPr>
                      <m:t>DS</m:t>
                    </m:r>
                  </m:sub>
                </m:sSub>
              </m:e>
              <m:e/>
              <m:e>
                <m:r>
                  <m:rPr>
                    <m:nor/>
                  </m:rPr>
                  <m:t>(2)</m:t>
                </m:r>
              </m:e>
            </m:mr>
          </m:m>
          <m:r>
            <m:rPr>
              <m:sty m:val="p"/>
            </m:rPr>
            <w:br/>
          </m:r>
        </m:oMath>
      </m:oMathPara>
    </w:p>
    <w:p w14:paraId="454B0446" w14:textId="77777777" w:rsidR="00F21BF5" w:rsidRPr="00B73A29" w:rsidRDefault="00F21BF5" w:rsidP="0044023E">
      <w:pPr>
        <w:pStyle w:val="Default"/>
        <w:spacing w:line="276" w:lineRule="auto"/>
        <w:jc w:val="both"/>
      </w:pPr>
      <w:r w:rsidRPr="00B73A29">
        <w:t>where Kf is the technology-, device-, and bias-dependent parameter, K is the Boltzmann constant, T is the absolute temperature, q is the electron charge, and IDS is the net drain current. As seen from equations (1) and (2), the white noise of MOS transistors is dominated by thermal noise in the superthreshold region and by shot noise in the subthreshold region. If both transistors have the same transconductance values, the shot noise in the subthreshold MOS transistor will be comparable to the thermal noise in the superthreshold transistor; therefore, the phase noise can be reduced in the 1/f² region. The flicker noise in both the subthreshold- and superthreshold-biased MOS transistors has no significant dependence on the gate voltage and is nearly equal in both regions. Thus, biasing the transistor in the subthreshold regime does not improve the oscillator phase noise in the 1/f³ region. However, using large-size MOS transistors leads to lower Kf factor values; therefore, the phase noise in the 1/f³ region can be decreased. In the next section, the design procedure for the new structure operating in the subthreshold region is described, with the aim of reducing the overall phase noise of the oscillator.</w:t>
      </w:r>
    </w:p>
    <w:p w14:paraId="69EFC8A5" w14:textId="77777777" w:rsidR="00F21BF5" w:rsidRPr="00B73A29" w:rsidRDefault="00F21BF5" w:rsidP="0044023E">
      <w:pPr>
        <w:pStyle w:val="a"/>
        <w:spacing w:before="240" w:after="120" w:line="276" w:lineRule="auto"/>
        <w:jc w:val="both"/>
        <w:rPr>
          <w:color w:val="000000"/>
        </w:rPr>
      </w:pPr>
      <w:r w:rsidRPr="00B73A29">
        <w:rPr>
          <w:b/>
          <w:bCs/>
          <w:color w:val="000000"/>
        </w:rPr>
        <w:t xml:space="preserve">3. </w:t>
      </w:r>
      <w:r w:rsidR="006D2E79" w:rsidRPr="00B73A29">
        <w:rPr>
          <w:b/>
          <w:bCs/>
          <w:color w:val="000000"/>
        </w:rPr>
        <w:t xml:space="preserve">Results and Discussion </w:t>
      </w:r>
      <w:r w:rsidRPr="00B73A29">
        <w:rPr>
          <w:b/>
          <w:bCs/>
          <w:color w:val="000000"/>
        </w:rPr>
        <w:t xml:space="preserve"> </w:t>
      </w:r>
    </w:p>
    <w:p w14:paraId="23D5077B" w14:textId="77777777" w:rsidR="00B73A29" w:rsidRPr="00B73A29" w:rsidRDefault="00B73A29" w:rsidP="00B73A29">
      <w:pPr>
        <w:spacing w:before="100" w:beforeAutospacing="1" w:after="100" w:afterAutospacing="1" w:line="240" w:lineRule="auto"/>
        <w:jc w:val="both"/>
        <w:rPr>
          <w:rFonts w:ascii="Times New Roman" w:eastAsia="Times New Roman" w:hAnsi="Times New Roman" w:cs="Times New Roman"/>
          <w:sz w:val="24"/>
          <w:szCs w:val="24"/>
        </w:rPr>
      </w:pPr>
      <w:r w:rsidRPr="00B73A29">
        <w:rPr>
          <w:rFonts w:ascii="Times New Roman" w:eastAsia="Times New Roman" w:hAnsi="Times New Roman" w:cs="Times New Roman"/>
          <w:sz w:val="24"/>
          <w:szCs w:val="24"/>
        </w:rPr>
        <w:t>Figure 4 illustrates the design of the proposed VCO circuit. The cross-coupled NMOSFET pair (M2 and M3) is employed to provide the negative differential resistance required to compensate for the losses in the LC tank. Although a complementary topology comprising both NMOS and PMOS cross-coupled pairs may also be adopted, an NMOS-only cross-coupled configuration is preferred in this work, as it enables operation at a supply voltage below the threshold voltage while also reducing dc power dissipation. The oscillation frequency of the VCO is primarily determined by the LC tank, which consists of the inductor (L) and the effective circuit capacitance. This effective capacitance includes the varactor capacitances (Cvar), together with all parasitic capacitances present in the circuit, which are mainly governed by the dimensions of the cross-coupled transistor pair. Therefore, careful sizing of the active devices is essential to achieve the desired tuning range and oscillation performance.</w:t>
      </w:r>
    </w:p>
    <w:p w14:paraId="3E8CB7CD" w14:textId="77777777" w:rsidR="00B73A29" w:rsidRPr="00B73A29" w:rsidRDefault="00B73A29" w:rsidP="00B73A29">
      <w:pPr>
        <w:spacing w:before="100" w:beforeAutospacing="1" w:after="100" w:afterAutospacing="1" w:line="240" w:lineRule="auto"/>
        <w:jc w:val="both"/>
        <w:rPr>
          <w:rFonts w:ascii="Times New Roman" w:eastAsia="Times New Roman" w:hAnsi="Times New Roman" w:cs="Times New Roman"/>
          <w:sz w:val="24"/>
          <w:szCs w:val="24"/>
        </w:rPr>
      </w:pPr>
      <w:r w:rsidRPr="00B73A29">
        <w:rPr>
          <w:rFonts w:ascii="Times New Roman" w:eastAsia="Times New Roman" w:hAnsi="Times New Roman" w:cs="Times New Roman"/>
          <w:sz w:val="24"/>
          <w:szCs w:val="24"/>
        </w:rPr>
        <w:t xml:space="preserve">An additional PMOS transistor is incorporated at the drain terminal of the oscillator circuit. It is well established that the current flowing through a MOSFET depends on its W/L ratio, and this characteristic is </w:t>
      </w:r>
      <w:proofErr w:type="spellStart"/>
      <w:r w:rsidRPr="00B73A29">
        <w:rPr>
          <w:rFonts w:ascii="Times New Roman" w:eastAsia="Times New Roman" w:hAnsi="Times New Roman" w:cs="Times New Roman"/>
          <w:sz w:val="24"/>
          <w:szCs w:val="24"/>
        </w:rPr>
        <w:t>utilised</w:t>
      </w:r>
      <w:proofErr w:type="spellEnd"/>
      <w:r w:rsidRPr="00B73A29">
        <w:rPr>
          <w:rFonts w:ascii="Times New Roman" w:eastAsia="Times New Roman" w:hAnsi="Times New Roman" w:cs="Times New Roman"/>
          <w:sz w:val="24"/>
          <w:szCs w:val="24"/>
        </w:rPr>
        <w:t xml:space="preserve"> in the present design. The additional PMOS transistor helps to maintain the current required to sustain oscillation while simultaneously contributing to reduced power dissipation. In designing the oscillator structure, standard components available in the 0.18 </w:t>
      </w:r>
      <w:proofErr w:type="spellStart"/>
      <w:r w:rsidRPr="00B73A29">
        <w:rPr>
          <w:rFonts w:ascii="Times New Roman" w:eastAsia="Times New Roman" w:hAnsi="Times New Roman" w:cs="Times New Roman"/>
          <w:sz w:val="24"/>
          <w:szCs w:val="24"/>
        </w:rPr>
        <w:t>μm</w:t>
      </w:r>
      <w:proofErr w:type="spellEnd"/>
      <w:r w:rsidRPr="00B73A29">
        <w:rPr>
          <w:rFonts w:ascii="Times New Roman" w:eastAsia="Times New Roman" w:hAnsi="Times New Roman" w:cs="Times New Roman"/>
          <w:sz w:val="24"/>
          <w:szCs w:val="24"/>
        </w:rPr>
        <w:t xml:space="preserve"> CMOS process were used, and the circuit simulations were carried out using the Advanced Design System (ADS) simulator. The corresponding simulation results are presented in the </w:t>
      </w:r>
      <w:r w:rsidRPr="00B73A29">
        <w:rPr>
          <w:rFonts w:ascii="Times New Roman" w:eastAsia="Times New Roman" w:hAnsi="Times New Roman" w:cs="Times New Roman"/>
          <w:sz w:val="24"/>
          <w:szCs w:val="24"/>
        </w:rPr>
        <w:lastRenderedPageBreak/>
        <w:t>following section. To theoretically demonstrate the effectiveness of the proposed technique, the circuit may be considered as a current-biased oscillator, with the distinction that the described inductor arrangement is used in place of an active current source. Accordingly, the analytical phase-noise expression for the current-biased structure can be represented by equation (3).</w:t>
      </w:r>
    </w:p>
    <w:p w14:paraId="7A079CE0" w14:textId="77777777" w:rsidR="006D2E79" w:rsidRPr="00B73A29" w:rsidRDefault="000B4334" w:rsidP="0044023E">
      <w:pPr>
        <w:pStyle w:val="Default"/>
        <w:spacing w:line="276" w:lineRule="auto"/>
        <w:jc w:val="both"/>
      </w:pPr>
      <w:r w:rsidRPr="00B73A29">
        <w:t xml:space="preserve">                 </w:t>
      </w:r>
      <w:r w:rsidR="006D2E79" w:rsidRPr="00B73A29">
        <w:rPr>
          <w:noProof/>
        </w:rPr>
        <w:drawing>
          <wp:inline distT="0" distB="0" distL="0" distR="0" wp14:anchorId="182360E4" wp14:editId="27E73EE4">
            <wp:extent cx="3309582" cy="548061"/>
            <wp:effectExtent l="0" t="0" r="0" b="0"/>
            <wp:docPr id="1787211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11767" name=""/>
                    <pic:cNvPicPr/>
                  </pic:nvPicPr>
                  <pic:blipFill>
                    <a:blip r:embed="rId12"/>
                    <a:stretch>
                      <a:fillRect/>
                    </a:stretch>
                  </pic:blipFill>
                  <pic:spPr>
                    <a:xfrm>
                      <a:off x="0" y="0"/>
                      <a:ext cx="3376869" cy="559204"/>
                    </a:xfrm>
                    <a:prstGeom prst="rect">
                      <a:avLst/>
                    </a:prstGeom>
                  </pic:spPr>
                </pic:pic>
              </a:graphicData>
            </a:graphic>
          </wp:inline>
        </w:drawing>
      </w:r>
      <w:r w:rsidRPr="00B73A29">
        <w:t xml:space="preserve">                          </w:t>
      </w:r>
      <w:r w:rsidR="006D2E79" w:rsidRPr="00B73A29">
        <w:t>(3)</w:t>
      </w:r>
    </w:p>
    <w:p w14:paraId="111A24DB" w14:textId="77777777" w:rsidR="00F21BF5" w:rsidRPr="00B73A29" w:rsidRDefault="00F21BF5" w:rsidP="0044023E">
      <w:pPr>
        <w:pStyle w:val="Default"/>
        <w:spacing w:line="276" w:lineRule="auto"/>
        <w:jc w:val="both"/>
      </w:pPr>
    </w:p>
    <w:p w14:paraId="33049331" w14:textId="77777777" w:rsidR="00F21BF5" w:rsidRPr="00B73A29" w:rsidRDefault="00F21BF5" w:rsidP="0044023E">
      <w:pPr>
        <w:pStyle w:val="Default"/>
        <w:spacing w:line="276" w:lineRule="auto"/>
        <w:ind w:firstLine="200"/>
        <w:jc w:val="both"/>
      </w:pPr>
    </w:p>
    <w:p w14:paraId="518F8A07" w14:textId="77777777" w:rsidR="00F21BF5" w:rsidRPr="00B73A29" w:rsidRDefault="00F21BF5" w:rsidP="0044023E">
      <w:pPr>
        <w:pStyle w:val="Default"/>
        <w:spacing w:line="276" w:lineRule="auto"/>
        <w:jc w:val="both"/>
      </w:pPr>
    </w:p>
    <w:p w14:paraId="0AAF1679" w14:textId="77777777" w:rsidR="003E5D4B" w:rsidRPr="00B73A29" w:rsidRDefault="00F21BF5" w:rsidP="0044023E">
      <w:pPr>
        <w:pStyle w:val="Default"/>
        <w:spacing w:line="276" w:lineRule="auto"/>
        <w:jc w:val="both"/>
        <w:rPr>
          <w:b/>
          <w:bCs/>
        </w:rPr>
      </w:pPr>
      <w:r w:rsidRPr="00B73A29">
        <w:rPr>
          <w:noProof/>
        </w:rPr>
        <w:drawing>
          <wp:inline distT="0" distB="0" distL="0" distR="0" wp14:anchorId="42A24881" wp14:editId="66C45ECB">
            <wp:extent cx="2743200" cy="3238500"/>
            <wp:effectExtent l="0" t="0" r="0" b="0"/>
            <wp:docPr id="38" name="Object 2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248400" cy="6019800"/>
                      <a:chOff x="1981200" y="1143000"/>
                      <a:chExt cx="6248400" cy="6019800"/>
                    </a:xfrm>
                  </a:grpSpPr>
                  <a:sp>
                    <a:nvSpPr>
                      <a:cNvPr id="3" name="Content Placeholder 2"/>
                      <a:cNvSpPr>
                        <a:spLocks noGrp="1"/>
                      </a:cNvSpPr>
                    </a:nvSpPr>
                    <a:spPr>
                      <a:xfrm flipH="1">
                        <a:off x="1981200" y="1447800"/>
                        <a:ext cx="4495800" cy="5029200"/>
                      </a:xfrm>
                      <a:prstGeom prst="rect">
                        <a:avLst/>
                      </a:prstGeom>
                    </a:spPr>
                    <a:txSp>
                      <a:txBody>
                        <a:bodyPr vert="horz" lIns="91440" tIns="45720" rIns="91440" bIns="45720" rtlCol="0">
                          <a:normAutofit fontScale="47500" lnSpcReduction="20000"/>
                        </a:bodyPr>
                        <a:lstStyle>
                          <a:lvl1pPr marL="342900" indent="-342900" algn="l" defTabSz="914400" rtl="0" eaLnBrk="1" latinLnBrk="0" hangingPunct="1">
                            <a:spcBef>
                              <a:spcPct val="20000"/>
                            </a:spcBef>
                            <a:buFont typeface="Arial" pitchFamily="34" charset="0"/>
                            <a:buChar char="•"/>
                            <a:defRPr sz="3200" kern="1200">
                              <a:solidFill>
                                <a:schemeClr val="tx1"/>
                              </a:solidFill>
                              <a:latin typeface="+mn-lt"/>
                              <a:ea typeface="+mn-ea"/>
                              <a:cs typeface="+mn-cs"/>
                            </a:defRPr>
                          </a:lvl1pPr>
                          <a:lvl2pPr marL="742950" indent="-285750" algn="l" defTabSz="914400" rtl="0" eaLnBrk="1" latinLnBrk="0" hangingPunct="1">
                            <a:spcBef>
                              <a:spcPct val="20000"/>
                            </a:spcBef>
                            <a:buFont typeface="Arial" pitchFamily="34" charset="0"/>
                            <a:buChar char="–"/>
                            <a:defRPr sz="2800" kern="1200">
                              <a:solidFill>
                                <a:schemeClr val="tx1"/>
                              </a:solidFill>
                              <a:latin typeface="+mn-lt"/>
                              <a:ea typeface="+mn-ea"/>
                              <a:cs typeface="+mn-cs"/>
                            </a:defRPr>
                          </a:lvl2pPr>
                          <a:lvl3pPr marL="1143000" indent="-228600" algn="l" defTabSz="914400" rtl="0" eaLnBrk="1" latinLnBrk="0" hangingPunct="1">
                            <a:spcBef>
                              <a:spcPct val="20000"/>
                            </a:spcBef>
                            <a:buFont typeface="Arial" pitchFamily="34" charset="0"/>
                            <a:buChar char="•"/>
                            <a:defRPr sz="2400" kern="1200">
                              <a:solidFill>
                                <a:schemeClr val="tx1"/>
                              </a:solidFill>
                              <a:latin typeface="+mn-lt"/>
                              <a:ea typeface="+mn-ea"/>
                              <a:cs typeface="+mn-cs"/>
                            </a:defRPr>
                          </a:lvl3pPr>
                          <a:lvl4pPr marL="16002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4pPr>
                          <a:lvl5pPr marL="20574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5pPr>
                          <a:lvl6pPr marL="25146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6pPr>
                          <a:lvl7pPr marL="29718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7pPr>
                          <a:lvl8pPr marL="34290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8pPr>
                          <a:lvl9pPr marL="38862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9pPr>
                        </a:lstStyle>
                        <a:p>
                          <a:pPr>
                            <a:buNone/>
                          </a:pPr>
                          <a:r>
                            <a:rPr lang="en-US" dirty="0" smtClean="0"/>
                            <a:t>                                                                                                                           </a:t>
                          </a:r>
                        </a:p>
                        <a:p>
                          <a:pPr>
                            <a:buNone/>
                          </a:pPr>
                          <a:endParaRPr lang="en-US" sz="9600" dirty="0" smtClean="0"/>
                        </a:p>
                        <a:p>
                          <a:pPr>
                            <a:buNone/>
                          </a:pPr>
                          <a:endParaRPr lang="en-US" sz="9600" dirty="0" smtClean="0"/>
                        </a:p>
                        <a:p>
                          <a:pPr>
                            <a:buNone/>
                          </a:pPr>
                          <a:endParaRPr lang="en-US" sz="9600" dirty="0" smtClean="0"/>
                        </a:p>
                        <a:p>
                          <a:pPr>
                            <a:buNone/>
                          </a:pPr>
                          <a:endParaRPr lang="en-US" sz="9600" dirty="0" smtClean="0"/>
                        </a:p>
                        <a:p>
                          <a:pPr>
                            <a:buNone/>
                          </a:pPr>
                          <a:endParaRPr lang="en-US" sz="9600" dirty="0" smtClean="0"/>
                        </a:p>
                        <a:p>
                          <a:pPr>
                            <a:buNone/>
                          </a:pPr>
                          <a:r>
                            <a:rPr lang="en-US" sz="9600" dirty="0" smtClean="0"/>
                            <a:t>                   </a:t>
                          </a:r>
                          <a:r>
                            <a:rPr lang="en-US" sz="6700" dirty="0" smtClean="0"/>
                            <a:t>M3</a:t>
                          </a:r>
                          <a:endParaRPr lang="en-US" sz="9600"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dirty="0" smtClean="0"/>
                        </a:p>
                        <a:p>
                          <a:pPr>
                            <a:buNone/>
                          </a:pPr>
                          <a:endParaRPr lang="en-US" sz="11200" dirty="0" smtClean="0"/>
                        </a:p>
                        <a:p>
                          <a:pPr>
                            <a:buNone/>
                          </a:pPr>
                          <a:endParaRPr lang="en-US" sz="11200" dirty="0" smtClean="0"/>
                        </a:p>
                      </a:txBody>
                      <a:useSpRect/>
                    </a:txSp>
                  </a:sp>
                  <a:pic>
                    <a:nvPicPr>
                      <a:cNvPr id="1032" name="Picture 8" descr="http://mcuplace.com/mcu/media/blogs/cay/nmos.jpg"/>
                      <a:cNvPicPr>
                        <a:picLocks noChangeAspect="1" noChangeArrowheads="1"/>
                      </a:cNvPicPr>
                    </a:nvPicPr>
                    <a:blipFill>
                      <a:blip r:embed="rId7"/>
                      <a:srcRect/>
                      <a:stretch>
                        <a:fillRect/>
                      </a:stretch>
                    </a:blipFill>
                    <a:spPr bwMode="auto">
                      <a:xfrm>
                        <a:off x="5181600" y="4648200"/>
                        <a:ext cx="1628775" cy="1914526"/>
                      </a:xfrm>
                      <a:prstGeom prst="rect">
                        <a:avLst/>
                      </a:prstGeom>
                      <a:noFill/>
                    </a:spPr>
                  </a:pic>
                  <a:pic>
                    <a:nvPicPr>
                      <a:cNvPr id="32" name="Picture 8" descr="http://mcuplace.com/mcu/media/blogs/cay/nmos.jpg"/>
                      <a:cNvPicPr>
                        <a:picLocks noChangeAspect="1" noChangeArrowheads="1"/>
                      </a:cNvPicPr>
                    </a:nvPicPr>
                    <a:blipFill>
                      <a:blip r:embed="rId7"/>
                      <a:srcRect/>
                      <a:stretch>
                        <a:fillRect/>
                      </a:stretch>
                    </a:blipFill>
                    <a:spPr bwMode="auto">
                      <a:xfrm rot="10800000">
                        <a:off x="2362200" y="4867274"/>
                        <a:ext cx="1676400" cy="1990726"/>
                      </a:xfrm>
                      <a:prstGeom prst="rect">
                        <a:avLst/>
                      </a:prstGeom>
                      <a:noFill/>
                    </a:spPr>
                  </a:pic>
                  <a:sp>
                    <a:nvSpPr>
                      <a:cNvPr id="33" name="Chevron 32"/>
                      <a:cNvSpPr/>
                    </a:nvSpPr>
                    <a:spPr>
                      <a:xfrm>
                        <a:off x="6080760" y="5867400"/>
                        <a:ext cx="91440" cy="182880"/>
                      </a:xfrm>
                      <a:prstGeom prst="chevron">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Chevron 33"/>
                      <a:cNvSpPr/>
                    </a:nvSpPr>
                    <a:spPr>
                      <a:xfrm rot="10607766">
                        <a:off x="2976840" y="6098413"/>
                        <a:ext cx="91440" cy="182880"/>
                      </a:xfrm>
                      <a:prstGeom prst="chevron">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pic>
                    <a:nvPicPr>
                      <a:cNvPr id="35" name="Picture 8" descr="http://mcuplace.com/mcu/media/blogs/cay/nmos.jpg"/>
                      <a:cNvPicPr>
                        <a:picLocks noChangeAspect="1" noChangeArrowheads="1"/>
                      </a:cNvPicPr>
                    </a:nvPicPr>
                    <a:blipFill>
                      <a:blip r:embed="rId7"/>
                      <a:srcRect/>
                      <a:stretch>
                        <a:fillRect/>
                      </a:stretch>
                    </a:blipFill>
                    <a:spPr bwMode="auto">
                      <a:xfrm>
                        <a:off x="3733800" y="1524000"/>
                        <a:ext cx="1628775" cy="1914526"/>
                      </a:xfrm>
                      <a:prstGeom prst="rect">
                        <a:avLst/>
                      </a:prstGeom>
                      <a:noFill/>
                    </a:spPr>
                  </a:pic>
                  <a:sp>
                    <a:nvSpPr>
                      <a:cNvPr id="41" name="Minus 40"/>
                      <a:cNvSpPr/>
                    </a:nvSpPr>
                    <a:spPr>
                      <a:xfrm rot="5400000">
                        <a:off x="5044440" y="4419600"/>
                        <a:ext cx="219456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Minus 42"/>
                      <a:cNvSpPr/>
                    </a:nvSpPr>
                    <a:spPr>
                      <a:xfrm rot="5400000">
                        <a:off x="1737360" y="4511040"/>
                        <a:ext cx="256032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Minus 43"/>
                      <a:cNvSpPr/>
                    </a:nvSpPr>
                    <a:spPr>
                      <a:xfrm rot="5400000">
                        <a:off x="4419600" y="2971800"/>
                        <a:ext cx="54864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Chevron 44"/>
                      <a:cNvSpPr/>
                    </a:nvSpPr>
                    <a:spPr>
                      <a:xfrm rot="10607766">
                        <a:off x="4272240" y="2786507"/>
                        <a:ext cx="91440" cy="182880"/>
                      </a:xfrm>
                      <a:prstGeom prst="chevron">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Minus 45"/>
                      <a:cNvSpPr/>
                    </a:nvSpPr>
                    <a:spPr>
                      <a:xfrm rot="5400000">
                        <a:off x="2834640" y="6309360"/>
                        <a:ext cx="36576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7" name="Minus 46"/>
                      <a:cNvSpPr/>
                    </a:nvSpPr>
                    <a:spPr>
                      <a:xfrm rot="5400000">
                        <a:off x="5821680" y="6217920"/>
                        <a:ext cx="64008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8" name="Minus 47"/>
                      <a:cNvSpPr/>
                    </a:nvSpPr>
                    <a:spPr>
                      <a:xfrm>
                        <a:off x="2499360" y="6461760"/>
                        <a:ext cx="420624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9" name="Minus 48"/>
                      <a:cNvSpPr/>
                    </a:nvSpPr>
                    <a:spPr>
                      <a:xfrm rot="5400000">
                        <a:off x="4373880" y="1798320"/>
                        <a:ext cx="64008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0" name="Minus 49"/>
                      <a:cNvSpPr/>
                    </a:nvSpPr>
                    <a:spPr>
                      <a:xfrm>
                        <a:off x="4114800" y="1584960"/>
                        <a:ext cx="411480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1034" name="Picture 10" descr="http://cliparts101.com/files/845/42CE82DB11FCEEFF8F9E8F36611B4732/RSA_IEC_Ground_Symbol.png"/>
                      <a:cNvPicPr>
                        <a:picLocks noChangeAspect="1" noChangeArrowheads="1"/>
                      </a:cNvPicPr>
                    </a:nvPicPr>
                    <a:blipFill>
                      <a:blip r:embed="rId8" cstate="print"/>
                      <a:srcRect/>
                      <a:stretch>
                        <a:fillRect/>
                      </a:stretch>
                    </a:blipFill>
                    <a:spPr bwMode="auto">
                      <a:xfrm>
                        <a:off x="7315200" y="3429000"/>
                        <a:ext cx="685801" cy="609600"/>
                      </a:xfrm>
                      <a:prstGeom prst="rect">
                        <a:avLst/>
                      </a:prstGeom>
                      <a:noFill/>
                    </a:spPr>
                  </a:pic>
                  <a:pic>
                    <a:nvPicPr>
                      <a:cNvPr id="1036" name="Picture 12" descr="http://people.sinclair.edu/nickreeder/eet114/PageArt/batteryPolarity.gif"/>
                      <a:cNvPicPr>
                        <a:picLocks noChangeAspect="1" noChangeArrowheads="1"/>
                      </a:cNvPicPr>
                    </a:nvPicPr>
                    <a:blipFill>
                      <a:blip r:embed="rId9"/>
                      <a:srcRect/>
                      <a:stretch>
                        <a:fillRect/>
                      </a:stretch>
                    </a:blipFill>
                    <a:spPr bwMode="auto">
                      <a:xfrm>
                        <a:off x="7010400" y="2057400"/>
                        <a:ext cx="1066800" cy="1362075"/>
                      </a:xfrm>
                      <a:prstGeom prst="rect">
                        <a:avLst/>
                      </a:prstGeom>
                      <a:noFill/>
                    </a:spPr>
                  </a:pic>
                  <a:sp>
                    <a:nvSpPr>
                      <a:cNvPr id="53" name="Title 52"/>
                      <a:cNvSpPr>
                        <a:spLocks noGrp="1"/>
                      </a:cNvSpPr>
                    </a:nvSpPr>
                    <a:spPr>
                      <a:xfrm>
                        <a:off x="4648200" y="1143000"/>
                        <a:ext cx="1752600" cy="1752600"/>
                      </a:xfrm>
                      <a:prstGeom prst="mathMinus">
                        <a:avLst/>
                      </a:prstGeom>
                    </a:spPr>
                    <a:txSp>
                      <a:txBody>
                        <a:bodyPr vert="horz" lIns="91440" tIns="45720" rIns="91440" bIns="45720" rtlCol="0" anchor="ctr">
                          <a:normAutofit fontScale="90000"/>
                        </a:bodyPr>
                        <a:lstStyle>
                          <a:lvl1pPr algn="ctr" defTabSz="914400" rtl="0" eaLnBrk="1" latinLnBrk="0" hangingPunct="1">
                            <a:spcBef>
                              <a:spcPct val="0"/>
                            </a:spcBef>
                            <a:buNone/>
                            <a:defRPr sz="4400" kern="1200">
                              <a:solidFill>
                                <a:schemeClr val="lt1"/>
                              </a:solidFill>
                              <a:latin typeface="+mn-lt"/>
                              <a:ea typeface="+mn-ea"/>
                              <a:cs typeface="+mn-cs"/>
                            </a:defRPr>
                          </a:lvl1pPr>
                          <a:lvl2pPr>
                            <a:defRPr>
                              <a:solidFill>
                                <a:schemeClr val="lt1"/>
                              </a:solidFill>
                              <a:latin typeface="+mn-lt"/>
                              <a:ea typeface="+mn-ea"/>
                              <a:cs typeface="+mn-cs"/>
                            </a:defRPr>
                          </a:lvl2pPr>
                          <a:lvl3pPr>
                            <a:defRPr>
                              <a:solidFill>
                                <a:schemeClr val="lt1"/>
                              </a:solidFill>
                              <a:latin typeface="+mn-lt"/>
                              <a:ea typeface="+mn-ea"/>
                              <a:cs typeface="+mn-cs"/>
                            </a:defRPr>
                          </a:lvl3pPr>
                          <a:lvl4pPr>
                            <a:defRPr>
                              <a:solidFill>
                                <a:schemeClr val="lt1"/>
                              </a:solidFill>
                              <a:latin typeface="+mn-lt"/>
                              <a:ea typeface="+mn-ea"/>
                              <a:cs typeface="+mn-cs"/>
                            </a:defRPr>
                          </a:lvl4pPr>
                          <a:lvl5pPr>
                            <a:defRPr>
                              <a:solidFill>
                                <a:schemeClr val="lt1"/>
                              </a:solidFill>
                              <a:latin typeface="+mn-lt"/>
                              <a:ea typeface="+mn-ea"/>
                              <a:cs typeface="+mn-cs"/>
                            </a:defRPr>
                          </a:lvl5pPr>
                          <a:lvl6pPr>
                            <a:defRPr>
                              <a:solidFill>
                                <a:schemeClr val="lt1"/>
                              </a:solidFill>
                              <a:latin typeface="+mn-lt"/>
                              <a:ea typeface="+mn-ea"/>
                              <a:cs typeface="+mn-cs"/>
                            </a:defRPr>
                          </a:lvl6pPr>
                          <a:lvl7pPr>
                            <a:defRPr>
                              <a:solidFill>
                                <a:schemeClr val="lt1"/>
                              </a:solidFill>
                              <a:latin typeface="+mn-lt"/>
                              <a:ea typeface="+mn-ea"/>
                              <a:cs typeface="+mn-cs"/>
                            </a:defRPr>
                          </a:lvl7pPr>
                          <a:lvl8pPr>
                            <a:defRPr>
                              <a:solidFill>
                                <a:schemeClr val="lt1"/>
                              </a:solidFill>
                              <a:latin typeface="+mn-lt"/>
                              <a:ea typeface="+mn-ea"/>
                              <a:cs typeface="+mn-cs"/>
                            </a:defRPr>
                          </a:lvl8pPr>
                          <a:lvl9pPr>
                            <a:defRPr>
                              <a:solidFill>
                                <a:schemeClr val="lt1"/>
                              </a:solidFill>
                              <a:latin typeface="+mn-lt"/>
                              <a:ea typeface="+mn-ea"/>
                              <a:cs typeface="+mn-cs"/>
                            </a:defRPr>
                          </a:lvl9pPr>
                        </a:lstStyle>
                        <a:p>
                          <a:r>
                            <a:rPr lang="en-US" dirty="0" smtClean="0"/>
                            <a:t>M1</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54" name="Minus 53"/>
                      <a:cNvSpPr/>
                    </a:nvSpPr>
                    <a:spPr>
                      <a:xfrm rot="5400000">
                        <a:off x="7071360" y="2042160"/>
                        <a:ext cx="118872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5" name="Minus 54"/>
                      <a:cNvSpPr/>
                    </a:nvSpPr>
                    <a:spPr>
                      <a:xfrm rot="5400000">
                        <a:off x="7162800" y="3352800"/>
                        <a:ext cx="100584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56" name="Picture 10" descr="http://cliparts101.com/files/845/42CE82DB11FCEEFF8F9E8F36611B4732/RSA_IEC_Ground_Symbol.png"/>
                      <a:cNvPicPr>
                        <a:picLocks noChangeAspect="1" noChangeArrowheads="1"/>
                      </a:cNvPicPr>
                    </a:nvPicPr>
                    <a:blipFill>
                      <a:blip r:embed="rId8" cstate="print"/>
                      <a:srcRect/>
                      <a:stretch>
                        <a:fillRect/>
                      </a:stretch>
                    </a:blipFill>
                    <a:spPr bwMode="auto">
                      <a:xfrm>
                        <a:off x="4572000" y="6553200"/>
                        <a:ext cx="685801" cy="609600"/>
                      </a:xfrm>
                      <a:prstGeom prst="rect">
                        <a:avLst/>
                      </a:prstGeom>
                      <a:noFill/>
                    </a:spPr>
                  </a:pic>
                  <a:pic>
                    <a:nvPicPr>
                      <a:cNvPr id="57" name="Picture 10" descr="http://cliparts101.com/files/845/42CE82DB11FCEEFF8F9E8F36611B4732/RSA_IEC_Ground_Symbol.png"/>
                      <a:cNvPicPr>
                        <a:picLocks noChangeAspect="1" noChangeArrowheads="1"/>
                      </a:cNvPicPr>
                    </a:nvPicPr>
                    <a:blipFill>
                      <a:blip r:embed="rId8" cstate="print"/>
                      <a:srcRect/>
                      <a:stretch>
                        <a:fillRect/>
                      </a:stretch>
                    </a:blipFill>
                    <a:spPr bwMode="auto">
                      <a:xfrm>
                        <a:off x="3429000" y="2514600"/>
                        <a:ext cx="685801" cy="609600"/>
                      </a:xfrm>
                      <a:prstGeom prst="rect">
                        <a:avLst/>
                      </a:prstGeom>
                      <a:noFill/>
                    </a:spPr>
                  </a:pic>
                  <a:pic>
                    <a:nvPicPr>
                      <a:cNvPr id="1044" name="Picture 20" descr="http://upload.wikimedia.org/wikipedia/commons/thumb/1/1b/Variable_capacitor_symbol.svg/150px-Variable_capacitor_symbol.svg.png"/>
                      <a:cNvPicPr>
                        <a:picLocks noChangeAspect="1" noChangeArrowheads="1"/>
                      </a:cNvPicPr>
                    </a:nvPicPr>
                    <a:blipFill>
                      <a:blip r:embed="rId10"/>
                      <a:srcRect/>
                      <a:stretch>
                        <a:fillRect/>
                      </a:stretch>
                    </a:blipFill>
                    <a:spPr bwMode="auto">
                      <a:xfrm>
                        <a:off x="3962400" y="4181474"/>
                        <a:ext cx="1143000" cy="619126"/>
                      </a:xfrm>
                      <a:prstGeom prst="rect">
                        <a:avLst/>
                      </a:prstGeom>
                      <a:noFill/>
                    </a:spPr>
                  </a:pic>
                  <a:pic>
                    <a:nvPicPr>
                      <a:cNvPr id="68" name="Picture 4" descr="http://www.clker.com/cliparts/6/9/a/8/1223615567190235753rsamurti_RSA_IEC_Inductor_Symbol-1.svg.hi.png"/>
                      <a:cNvPicPr>
                        <a:picLocks noChangeAspect="1" noChangeArrowheads="1"/>
                      </a:cNvPicPr>
                    </a:nvPicPr>
                    <a:blipFill>
                      <a:blip r:embed="rId11" cstate="print"/>
                      <a:srcRect/>
                      <a:stretch>
                        <a:fillRect/>
                      </a:stretch>
                    </a:blipFill>
                    <a:spPr bwMode="auto">
                      <a:xfrm>
                        <a:off x="4038600" y="3352801"/>
                        <a:ext cx="1295400" cy="457199"/>
                      </a:xfrm>
                      <a:prstGeom prst="rect">
                        <a:avLst/>
                      </a:prstGeom>
                      <a:noFill/>
                    </a:spPr>
                  </a:pic>
                  <a:sp>
                    <a:nvSpPr>
                      <a:cNvPr id="69" name="Minus 68"/>
                      <a:cNvSpPr/>
                    </a:nvSpPr>
                    <a:spPr>
                      <a:xfrm>
                        <a:off x="2743200" y="4419600"/>
                        <a:ext cx="192024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0" name="Minus 69"/>
                      <a:cNvSpPr/>
                    </a:nvSpPr>
                    <a:spPr>
                      <a:xfrm>
                        <a:off x="4343400" y="4419600"/>
                        <a:ext cx="210312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1" name="Minus 70"/>
                      <a:cNvSpPr/>
                    </a:nvSpPr>
                    <a:spPr>
                      <a:xfrm>
                        <a:off x="5044440" y="3581400"/>
                        <a:ext cx="128016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2" name="Minus 71"/>
                      <a:cNvSpPr/>
                    </a:nvSpPr>
                    <a:spPr>
                      <a:xfrm>
                        <a:off x="2773680" y="3581400"/>
                        <a:ext cx="164592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3" name="Minus 72"/>
                      <a:cNvSpPr/>
                    </a:nvSpPr>
                    <a:spPr>
                      <a:xfrm>
                        <a:off x="2621280" y="4800600"/>
                        <a:ext cx="301752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4" name="Minus 73"/>
                      <a:cNvSpPr/>
                    </a:nvSpPr>
                    <a:spPr>
                      <a:xfrm>
                        <a:off x="3581400" y="4953000"/>
                        <a:ext cx="292608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5" name="Minus 74"/>
                      <a:cNvSpPr/>
                    </a:nvSpPr>
                    <a:spPr>
                      <a:xfrm rot="5400000">
                        <a:off x="3398520" y="5379720"/>
                        <a:ext cx="118872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6" name="Minus 75"/>
                      <a:cNvSpPr/>
                    </a:nvSpPr>
                    <a:spPr>
                      <a:xfrm rot="5400000">
                        <a:off x="4724400" y="5181600"/>
                        <a:ext cx="1005840" cy="91440"/>
                      </a:xfrm>
                      <a:prstGeom prst="mathMinus">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7" name="Oval 76"/>
                      <a:cNvSpPr/>
                    </a:nvSpPr>
                    <a:spPr>
                      <a:xfrm>
                        <a:off x="4572000" y="3200400"/>
                        <a:ext cx="228600" cy="1524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0" name="Rectangle 59"/>
                      <a:cNvSpPr/>
                    </a:nvSpPr>
                    <a:spPr>
                      <a:xfrm>
                        <a:off x="3641296" y="2644170"/>
                        <a:ext cx="1023037" cy="3539430"/>
                      </a:xfrm>
                      <a:prstGeom prst="rect">
                        <a:avLst/>
                      </a:prstGeom>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None/>
                          </a:pPr>
                          <a:endParaRPr lang="en-US" sz="9600" dirty="0" smtClean="0"/>
                        </a:p>
                        <a:p>
                          <a:pPr>
                            <a:buNone/>
                          </a:pPr>
                          <a:endParaRPr lang="en-US" sz="9600" dirty="0" smtClean="0"/>
                        </a:p>
                        <a:p>
                          <a:pPr>
                            <a:buNone/>
                          </a:pPr>
                          <a:r>
                            <a:rPr lang="en-US" sz="3200" dirty="0" smtClean="0"/>
                            <a:t>   M2</a:t>
                          </a:r>
                          <a:endParaRPr lang="en-US" sz="3200" dirty="0"/>
                        </a:p>
                      </a:txBody>
                      <a:useSpRect/>
                    </a:txSp>
                  </a:sp>
                </lc:lockedCanvas>
              </a:graphicData>
            </a:graphic>
          </wp:inline>
        </w:drawing>
      </w:r>
    </w:p>
    <w:p w14:paraId="79FDD0F5" w14:textId="77777777" w:rsidR="00F21BF5" w:rsidRPr="00B73A29" w:rsidRDefault="00F21BF5" w:rsidP="0044023E">
      <w:pPr>
        <w:pStyle w:val="Default"/>
        <w:spacing w:line="276" w:lineRule="auto"/>
        <w:jc w:val="both"/>
      </w:pPr>
      <w:r w:rsidRPr="00B73A29">
        <w:t>Figure 4. The proposed VCO with a PMOS to control the current in inductor</w:t>
      </w:r>
    </w:p>
    <w:p w14:paraId="19463F44" w14:textId="77777777" w:rsidR="00F21BF5" w:rsidRPr="00B73A29" w:rsidRDefault="00F21BF5" w:rsidP="0044023E">
      <w:pPr>
        <w:pStyle w:val="Default"/>
        <w:spacing w:line="276" w:lineRule="auto"/>
        <w:ind w:firstLine="200"/>
        <w:jc w:val="both"/>
      </w:pPr>
    </w:p>
    <w:p w14:paraId="36F5DBB6" w14:textId="77777777" w:rsidR="00F21BF5" w:rsidRPr="00B73A29" w:rsidRDefault="00F21BF5" w:rsidP="0044023E">
      <w:pPr>
        <w:pStyle w:val="Default"/>
        <w:spacing w:line="276" w:lineRule="auto"/>
        <w:jc w:val="both"/>
      </w:pPr>
      <w:r w:rsidRPr="00B73A29">
        <w:t>where k is the Boltzmann constant, T is the absolute temperature, I0 is the current that passes through the current source, and V1 and R are the peak voltage across the resonator and the loss of the LC resonator, respectively. The quality factor and resonance frequency of the resonator are denoted by Q and ω0, respectively, and ωm denotes the offset frequency from the resonance frequency. The three terms in the right braces express the effects of resonator noise, differential-pair noise, and tail-current noise on the total phase noise, respectively. Because the tail current source in this circuit is not a MOS transistor, the third right-most term in the braces vanishes. Consequently, the total expression for the phase noise of the proposed circuit can be approximately expressed as equation (4).</w:t>
      </w:r>
    </w:p>
    <w:p w14:paraId="10FA9DF3" w14:textId="77777777" w:rsidR="006D2E79" w:rsidRPr="00B73A29" w:rsidRDefault="006D2E79" w:rsidP="0044023E">
      <w:pPr>
        <w:pStyle w:val="Default"/>
        <w:spacing w:line="276" w:lineRule="auto"/>
        <w:jc w:val="both"/>
      </w:pPr>
    </w:p>
    <w:p w14:paraId="798A3C08" w14:textId="77777777" w:rsidR="006D2E79" w:rsidRPr="00B73A29" w:rsidRDefault="000B4334" w:rsidP="0044023E">
      <w:pPr>
        <w:pStyle w:val="Default"/>
        <w:spacing w:line="276" w:lineRule="auto"/>
        <w:jc w:val="both"/>
      </w:pPr>
      <w:r w:rsidRPr="00B73A29">
        <w:lastRenderedPageBreak/>
        <w:t xml:space="preserve">                          </w:t>
      </w:r>
      <w:r w:rsidR="006D2E79" w:rsidRPr="00B73A29">
        <w:rPr>
          <w:noProof/>
        </w:rPr>
        <w:drawing>
          <wp:inline distT="0" distB="0" distL="0" distR="0" wp14:anchorId="0764DCDE" wp14:editId="4597E21F">
            <wp:extent cx="3201964" cy="669893"/>
            <wp:effectExtent l="0" t="0" r="0" b="0"/>
            <wp:docPr id="2062354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354545" name=""/>
                    <pic:cNvPicPr/>
                  </pic:nvPicPr>
                  <pic:blipFill>
                    <a:blip r:embed="rId13"/>
                    <a:stretch>
                      <a:fillRect/>
                    </a:stretch>
                  </pic:blipFill>
                  <pic:spPr>
                    <a:xfrm>
                      <a:off x="0" y="0"/>
                      <a:ext cx="3221435" cy="673967"/>
                    </a:xfrm>
                    <a:prstGeom prst="rect">
                      <a:avLst/>
                    </a:prstGeom>
                  </pic:spPr>
                </pic:pic>
              </a:graphicData>
            </a:graphic>
          </wp:inline>
        </w:drawing>
      </w:r>
      <w:r w:rsidRPr="00B73A29">
        <w:t xml:space="preserve">                        </w:t>
      </w:r>
      <w:r w:rsidR="006D2E79" w:rsidRPr="00B73A29">
        <w:t>(4)</w:t>
      </w:r>
    </w:p>
    <w:p w14:paraId="472DE70E" w14:textId="77777777" w:rsidR="003E5D4B" w:rsidRPr="00B73A29" w:rsidRDefault="003E5D4B" w:rsidP="0044023E">
      <w:pPr>
        <w:pStyle w:val="Default"/>
        <w:spacing w:line="276" w:lineRule="auto"/>
        <w:jc w:val="both"/>
      </w:pPr>
    </w:p>
    <w:p w14:paraId="4705F082" w14:textId="77777777" w:rsidR="006D2E79" w:rsidRPr="00B73A29" w:rsidRDefault="00F21BF5" w:rsidP="0044023E">
      <w:pPr>
        <w:pStyle w:val="Default"/>
        <w:spacing w:line="276" w:lineRule="auto"/>
        <w:jc w:val="both"/>
        <w:rPr>
          <w:rFonts w:cs="Calibri"/>
        </w:rPr>
      </w:pPr>
      <w:r w:rsidRPr="00B73A29">
        <w:t>This expression is apparently smaller than that for a tail-biased oscillator. Figure 5 demonstrates the simulated phase noise for the proposed VCO structure.</w:t>
      </w:r>
    </w:p>
    <w:p w14:paraId="49E87EB2" w14:textId="77777777" w:rsidR="007144E0" w:rsidRPr="00B73A29" w:rsidRDefault="007144E0" w:rsidP="0044023E">
      <w:pPr>
        <w:pStyle w:val="Default"/>
        <w:spacing w:line="276" w:lineRule="auto"/>
        <w:jc w:val="both"/>
        <w:rPr>
          <w:rFonts w:cs="Calibri"/>
        </w:rPr>
        <w:sectPr w:rsidR="007144E0" w:rsidRPr="00B73A29" w:rsidSect="00043E1C">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cols w:space="720"/>
          <w:docGrid w:linePitch="360"/>
        </w:sectPr>
      </w:pPr>
    </w:p>
    <w:p w14:paraId="775159D6" w14:textId="77777777" w:rsidR="00F21BF5" w:rsidRPr="00B73A29" w:rsidRDefault="00F21BF5" w:rsidP="0044023E">
      <w:pPr>
        <w:pStyle w:val="Default"/>
        <w:spacing w:line="276" w:lineRule="auto"/>
        <w:jc w:val="both"/>
        <w:sectPr w:rsidR="00F21BF5" w:rsidRPr="00B73A29" w:rsidSect="00043E1C">
          <w:type w:val="continuous"/>
          <w:pgSz w:w="12240" w:h="15840"/>
          <w:pgMar w:top="1440" w:right="1440" w:bottom="1440" w:left="1440" w:header="720" w:footer="720" w:gutter="0"/>
          <w:cols w:space="720"/>
          <w:docGrid w:linePitch="360"/>
        </w:sectPr>
      </w:pPr>
      <w:r w:rsidRPr="00B73A29">
        <w:rPr>
          <w:rFonts w:cs="Calibri"/>
          <w:noProof/>
        </w:rPr>
        <w:drawing>
          <wp:inline distT="0" distB="0" distL="0" distR="0" wp14:anchorId="064D6305" wp14:editId="61DC5F80">
            <wp:extent cx="5191125" cy="37052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srcRect/>
                    <a:stretch>
                      <a:fillRect/>
                    </a:stretch>
                  </pic:blipFill>
                  <pic:spPr bwMode="auto">
                    <a:xfrm>
                      <a:off x="0" y="0"/>
                      <a:ext cx="5193072" cy="3706615"/>
                    </a:xfrm>
                    <a:prstGeom prst="rect">
                      <a:avLst/>
                    </a:prstGeom>
                    <a:noFill/>
                    <a:ln w="9525">
                      <a:noFill/>
                      <a:miter lim="800000"/>
                      <a:headEnd/>
                      <a:tailEnd/>
                    </a:ln>
                  </pic:spPr>
                </pic:pic>
              </a:graphicData>
            </a:graphic>
          </wp:inline>
        </w:drawing>
      </w:r>
    </w:p>
    <w:p w14:paraId="06F06B85" w14:textId="77777777" w:rsidR="006D2E79" w:rsidRPr="00B73A29" w:rsidRDefault="00F21BF5" w:rsidP="0044023E">
      <w:pPr>
        <w:pStyle w:val="Default"/>
        <w:spacing w:line="276" w:lineRule="auto"/>
        <w:jc w:val="both"/>
      </w:pPr>
      <w:r w:rsidRPr="00B73A29">
        <w:t xml:space="preserve">Figure </w:t>
      </w:r>
      <w:r w:rsidR="00227959" w:rsidRPr="00B73A29">
        <w:t>5</w:t>
      </w:r>
      <w:r w:rsidRPr="00B73A29">
        <w:t>. The simulated phase noise for the proposed VCO structure</w:t>
      </w:r>
    </w:p>
    <w:p w14:paraId="50597BB2" w14:textId="77777777" w:rsidR="006D2E79" w:rsidRPr="00B73A29" w:rsidRDefault="006D2E79" w:rsidP="0044023E">
      <w:pPr>
        <w:pStyle w:val="Default"/>
        <w:spacing w:line="276" w:lineRule="auto"/>
        <w:jc w:val="both"/>
      </w:pPr>
      <w:r w:rsidRPr="00B73A29">
        <w:rPr>
          <w:noProof/>
        </w:rPr>
        <w:drawing>
          <wp:inline distT="0" distB="0" distL="0" distR="0" wp14:anchorId="18B8D8AF" wp14:editId="494BEEFC">
            <wp:extent cx="3394465" cy="486485"/>
            <wp:effectExtent l="0" t="0" r="0" b="0"/>
            <wp:docPr id="1078140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140752" name=""/>
                    <pic:cNvPicPr/>
                  </pic:nvPicPr>
                  <pic:blipFill>
                    <a:blip r:embed="rId21"/>
                    <a:stretch>
                      <a:fillRect/>
                    </a:stretch>
                  </pic:blipFill>
                  <pic:spPr>
                    <a:xfrm>
                      <a:off x="0" y="0"/>
                      <a:ext cx="3448200" cy="494186"/>
                    </a:xfrm>
                    <a:prstGeom prst="rect">
                      <a:avLst/>
                    </a:prstGeom>
                  </pic:spPr>
                </pic:pic>
              </a:graphicData>
            </a:graphic>
          </wp:inline>
        </w:drawing>
      </w:r>
      <w:r w:rsidR="000B4334" w:rsidRPr="00B73A29">
        <w:t xml:space="preserve">                  </w:t>
      </w:r>
      <w:r w:rsidRPr="00B73A29">
        <w:t>(5)</w:t>
      </w:r>
    </w:p>
    <w:p w14:paraId="13EB4637" w14:textId="77777777" w:rsidR="00F21BF5" w:rsidRPr="00B73A29" w:rsidRDefault="00F21BF5" w:rsidP="0044023E">
      <w:pPr>
        <w:pStyle w:val="Default"/>
        <w:spacing w:line="276" w:lineRule="auto"/>
        <w:jc w:val="both"/>
      </w:pPr>
    </w:p>
    <w:p w14:paraId="43F16AB2" w14:textId="77777777" w:rsidR="00F21BF5" w:rsidRPr="00B73A29" w:rsidRDefault="00F21BF5" w:rsidP="0044023E">
      <w:pPr>
        <w:pStyle w:val="Default"/>
        <w:spacing w:line="276" w:lineRule="auto"/>
        <w:jc w:val="both"/>
        <w:sectPr w:rsidR="00F21BF5" w:rsidRPr="00B73A29" w:rsidSect="00043E1C">
          <w:type w:val="continuous"/>
          <w:pgSz w:w="12240" w:h="15840"/>
          <w:pgMar w:top="1440" w:right="1440" w:bottom="1440" w:left="1440" w:header="720" w:footer="720" w:gutter="0"/>
          <w:cols w:space="720"/>
          <w:docGrid w:linePitch="360"/>
        </w:sectPr>
      </w:pPr>
    </w:p>
    <w:p w14:paraId="1F9709C7" w14:textId="77777777" w:rsidR="007144E0" w:rsidRPr="00B73A29" w:rsidRDefault="00F21BF5" w:rsidP="0044023E">
      <w:pPr>
        <w:pStyle w:val="Default"/>
        <w:spacing w:line="276" w:lineRule="auto"/>
        <w:jc w:val="both"/>
      </w:pPr>
      <w:r w:rsidRPr="00B73A29">
        <w:t>where L(∆ɷ) is the phase noise at the offset frequency ∆ɷ, ɷ0 is the oscillation frequency, and DC is the dc power consumption of the oscillator. The calculated FOM for the proposed VCO using equation (5) is -192.01 dBc/Hz. Table 1 summarises the state of the art and compares the performance parameters of ultra-low-power and low-phase-noise VCO designs with the proposed structure and selected previous references.</w:t>
      </w:r>
    </w:p>
    <w:p w14:paraId="005EEC57" w14:textId="77777777" w:rsidR="006D2E79" w:rsidRPr="00B73A29" w:rsidRDefault="006D2E79" w:rsidP="0044023E">
      <w:pPr>
        <w:pStyle w:val="Default"/>
        <w:spacing w:line="276" w:lineRule="auto"/>
        <w:jc w:val="both"/>
      </w:pPr>
    </w:p>
    <w:p w14:paraId="549D7F4D" w14:textId="77777777" w:rsidR="006D2E79" w:rsidRPr="00B73A29" w:rsidRDefault="006D2E79" w:rsidP="0044023E">
      <w:pPr>
        <w:pStyle w:val="Default"/>
        <w:spacing w:line="276" w:lineRule="auto"/>
        <w:jc w:val="both"/>
      </w:pPr>
      <w:r w:rsidRPr="00B73A29">
        <w:rPr>
          <w:b/>
          <w:bCs/>
        </w:rPr>
        <w:t xml:space="preserve">Table </w:t>
      </w:r>
      <w:r w:rsidR="001E24E6" w:rsidRPr="00B73A29">
        <w:rPr>
          <w:b/>
          <w:bCs/>
        </w:rPr>
        <w:t>1</w:t>
      </w:r>
      <w:r w:rsidRPr="00B73A29">
        <w:rPr>
          <w:b/>
          <w:bCs/>
        </w:rPr>
        <w:t>. Performance comparison of different works</w:t>
      </w:r>
    </w:p>
    <w:p w14:paraId="39298192" w14:textId="77777777" w:rsidR="006D2E79" w:rsidRPr="00B73A29" w:rsidRDefault="006D2E79" w:rsidP="0044023E">
      <w:pPr>
        <w:pStyle w:val="Default"/>
        <w:spacing w:line="276" w:lineRule="auto"/>
        <w:jc w:val="both"/>
      </w:pPr>
    </w:p>
    <w:p w14:paraId="085C82AD" w14:textId="77777777" w:rsidR="006D2E79" w:rsidRPr="00B73A29" w:rsidRDefault="006D2E79" w:rsidP="0044023E">
      <w:pPr>
        <w:pStyle w:val="Default"/>
        <w:spacing w:line="276" w:lineRule="auto"/>
        <w:jc w:val="both"/>
        <w:sectPr w:rsidR="006D2E79" w:rsidRPr="00B73A29" w:rsidSect="00043E1C">
          <w:type w:val="continuous"/>
          <w:pgSz w:w="12240" w:h="15840"/>
          <w:pgMar w:top="1440" w:right="1440" w:bottom="1440" w:left="1440" w:header="720" w:footer="720" w:gutter="0"/>
          <w:cols w:space="720"/>
          <w:docGrid w:linePitch="360"/>
        </w:sectPr>
      </w:pPr>
    </w:p>
    <w:tbl>
      <w:tblPr>
        <w:tblW w:w="11070" w:type="dxa"/>
        <w:tblInd w:w="-702" w:type="dxa"/>
        <w:tblBorders>
          <w:top w:val="single" w:sz="8" w:space="0" w:color="000000"/>
          <w:left w:val="single" w:sz="6" w:space="0" w:color="000000"/>
          <w:bottom w:val="single" w:sz="8" w:space="0" w:color="000000"/>
          <w:right w:val="single" w:sz="6" w:space="0" w:color="000000"/>
        </w:tblBorders>
        <w:tblLayout w:type="fixed"/>
        <w:tblLook w:val="0000" w:firstRow="0" w:lastRow="0" w:firstColumn="0" w:lastColumn="0" w:noHBand="0" w:noVBand="0"/>
      </w:tblPr>
      <w:tblGrid>
        <w:gridCol w:w="2160"/>
        <w:gridCol w:w="1260"/>
        <w:gridCol w:w="1080"/>
        <w:gridCol w:w="990"/>
        <w:gridCol w:w="1080"/>
        <w:gridCol w:w="990"/>
        <w:gridCol w:w="1170"/>
        <w:gridCol w:w="1170"/>
        <w:gridCol w:w="1170"/>
      </w:tblGrid>
      <w:tr w:rsidR="008E4ED0" w:rsidRPr="00B73A29" w14:paraId="1A5D5A97" w14:textId="77777777" w:rsidTr="009921E1">
        <w:trPr>
          <w:trHeight w:val="196"/>
        </w:trPr>
        <w:tc>
          <w:tcPr>
            <w:tcW w:w="2160" w:type="dxa"/>
            <w:tcBorders>
              <w:top w:val="single" w:sz="8" w:space="0" w:color="000000"/>
              <w:bottom w:val="single" w:sz="8" w:space="0" w:color="000000"/>
              <w:right w:val="single" w:sz="6" w:space="0" w:color="000000"/>
            </w:tcBorders>
          </w:tcPr>
          <w:p w14:paraId="600DE902" w14:textId="77777777" w:rsidR="008E4ED0" w:rsidRPr="00B73A29" w:rsidRDefault="006D2E79" w:rsidP="0044023E">
            <w:pPr>
              <w:pStyle w:val="Default"/>
              <w:spacing w:line="276" w:lineRule="auto"/>
              <w:jc w:val="both"/>
            </w:pPr>
            <w:r w:rsidRPr="00B73A29">
              <w:rPr>
                <w:b/>
                <w:bCs/>
              </w:rPr>
              <w:lastRenderedPageBreak/>
              <w:t xml:space="preserve">Terms </w:t>
            </w:r>
            <w:r w:rsidR="008E4ED0" w:rsidRPr="00B73A29">
              <w:t xml:space="preserve"> </w:t>
            </w:r>
          </w:p>
        </w:tc>
        <w:tc>
          <w:tcPr>
            <w:tcW w:w="1260" w:type="dxa"/>
            <w:tcBorders>
              <w:top w:val="single" w:sz="8" w:space="0" w:color="000000"/>
              <w:bottom w:val="single" w:sz="8" w:space="0" w:color="000000"/>
              <w:right w:val="single" w:sz="6" w:space="0" w:color="000000"/>
            </w:tcBorders>
          </w:tcPr>
          <w:p w14:paraId="10B0DA7B" w14:textId="77777777" w:rsidR="008E4ED0" w:rsidRPr="00B73A29" w:rsidRDefault="006D2E79" w:rsidP="0044023E">
            <w:pPr>
              <w:pStyle w:val="Default"/>
              <w:spacing w:line="276" w:lineRule="auto"/>
              <w:jc w:val="both"/>
            </w:pPr>
            <w:r w:rsidRPr="00B73A29">
              <w:rPr>
                <w:b/>
                <w:bCs/>
              </w:rPr>
              <w:t xml:space="preserve">      </w:t>
            </w:r>
            <w:r w:rsidR="008E4ED0" w:rsidRPr="00B73A29">
              <w:t xml:space="preserve">[1] </w:t>
            </w:r>
          </w:p>
          <w:p w14:paraId="6BBA519C" w14:textId="77777777" w:rsidR="008E4ED0" w:rsidRPr="00B73A29" w:rsidRDefault="008E4ED0" w:rsidP="0044023E">
            <w:pPr>
              <w:pStyle w:val="Default"/>
              <w:spacing w:line="276" w:lineRule="auto"/>
              <w:jc w:val="both"/>
            </w:pPr>
            <w:r w:rsidRPr="00B73A29">
              <w:t>JSSC</w:t>
            </w:r>
          </w:p>
          <w:p w14:paraId="65D9BEF6" w14:textId="77777777" w:rsidR="008E4ED0" w:rsidRPr="00B73A29" w:rsidRDefault="008E4ED0" w:rsidP="0044023E">
            <w:pPr>
              <w:pStyle w:val="Default"/>
              <w:spacing w:line="276" w:lineRule="auto"/>
              <w:jc w:val="both"/>
            </w:pPr>
            <w:r w:rsidRPr="00B73A29">
              <w:t xml:space="preserve">  2005</w:t>
            </w:r>
          </w:p>
        </w:tc>
        <w:tc>
          <w:tcPr>
            <w:tcW w:w="1080" w:type="dxa"/>
            <w:tcBorders>
              <w:top w:val="single" w:sz="8" w:space="0" w:color="000000"/>
              <w:left w:val="single" w:sz="6" w:space="0" w:color="000000"/>
              <w:bottom w:val="single" w:sz="8" w:space="0" w:color="000000"/>
              <w:right w:val="single" w:sz="6" w:space="0" w:color="000000"/>
            </w:tcBorders>
          </w:tcPr>
          <w:p w14:paraId="6D7FD5C8" w14:textId="77777777" w:rsidR="008E4ED0" w:rsidRPr="00B73A29" w:rsidRDefault="008E4ED0" w:rsidP="0044023E">
            <w:pPr>
              <w:pStyle w:val="Default"/>
              <w:spacing w:line="276" w:lineRule="auto"/>
              <w:jc w:val="both"/>
            </w:pPr>
            <w:r w:rsidRPr="00B73A29">
              <w:t xml:space="preserve">[4] </w:t>
            </w:r>
          </w:p>
          <w:p w14:paraId="5C394181" w14:textId="77777777" w:rsidR="008E4ED0" w:rsidRPr="00B73A29" w:rsidRDefault="008E4ED0" w:rsidP="0044023E">
            <w:pPr>
              <w:pStyle w:val="Default"/>
              <w:spacing w:line="276" w:lineRule="auto"/>
              <w:jc w:val="both"/>
            </w:pPr>
            <w:r w:rsidRPr="00B73A29">
              <w:t>MWCL</w:t>
            </w:r>
          </w:p>
          <w:p w14:paraId="1B92E8C7" w14:textId="77777777" w:rsidR="008E4ED0" w:rsidRPr="00B73A29" w:rsidRDefault="008E4ED0" w:rsidP="0044023E">
            <w:pPr>
              <w:pStyle w:val="Default"/>
              <w:spacing w:line="276" w:lineRule="auto"/>
              <w:jc w:val="both"/>
            </w:pPr>
            <w:r w:rsidRPr="00B73A29">
              <w:t xml:space="preserve">      2007</w:t>
            </w:r>
          </w:p>
        </w:tc>
        <w:tc>
          <w:tcPr>
            <w:tcW w:w="990" w:type="dxa"/>
            <w:tcBorders>
              <w:top w:val="single" w:sz="8" w:space="0" w:color="000000"/>
              <w:left w:val="single" w:sz="6" w:space="0" w:color="000000"/>
              <w:bottom w:val="single" w:sz="8" w:space="0" w:color="000000"/>
              <w:right w:val="single" w:sz="6" w:space="0" w:color="000000"/>
            </w:tcBorders>
          </w:tcPr>
          <w:p w14:paraId="6DF8D7E2" w14:textId="77777777" w:rsidR="008E4ED0" w:rsidRPr="00B73A29" w:rsidRDefault="008E4ED0" w:rsidP="0044023E">
            <w:pPr>
              <w:pStyle w:val="Default"/>
              <w:spacing w:line="276" w:lineRule="auto"/>
              <w:jc w:val="both"/>
            </w:pPr>
            <w:r w:rsidRPr="00B73A29">
              <w:t xml:space="preserve">[5] </w:t>
            </w:r>
          </w:p>
          <w:p w14:paraId="7E7EDEC7" w14:textId="77777777" w:rsidR="008E4ED0" w:rsidRPr="00B73A29" w:rsidRDefault="008E4ED0" w:rsidP="0044023E">
            <w:pPr>
              <w:pStyle w:val="Default"/>
              <w:spacing w:line="276" w:lineRule="auto"/>
              <w:jc w:val="both"/>
            </w:pPr>
            <w:r w:rsidRPr="00B73A29">
              <w:t>MWCL 2010</w:t>
            </w:r>
          </w:p>
        </w:tc>
        <w:tc>
          <w:tcPr>
            <w:tcW w:w="1080" w:type="dxa"/>
            <w:tcBorders>
              <w:top w:val="single" w:sz="8" w:space="0" w:color="000000"/>
              <w:left w:val="single" w:sz="6" w:space="0" w:color="000000"/>
              <w:bottom w:val="single" w:sz="8" w:space="0" w:color="000000"/>
              <w:right w:val="single" w:sz="6" w:space="0" w:color="000000"/>
            </w:tcBorders>
          </w:tcPr>
          <w:p w14:paraId="643564DD" w14:textId="77777777" w:rsidR="008E4ED0" w:rsidRPr="00B73A29" w:rsidRDefault="008E4ED0" w:rsidP="0044023E">
            <w:pPr>
              <w:pStyle w:val="Default"/>
              <w:spacing w:line="276" w:lineRule="auto"/>
              <w:jc w:val="both"/>
            </w:pPr>
            <w:r w:rsidRPr="00B73A29">
              <w:t xml:space="preserve">[7] </w:t>
            </w:r>
          </w:p>
          <w:p w14:paraId="6F6B53C4" w14:textId="77777777" w:rsidR="008E4ED0" w:rsidRPr="00B73A29" w:rsidRDefault="008E4ED0" w:rsidP="0044023E">
            <w:pPr>
              <w:pStyle w:val="Default"/>
              <w:spacing w:line="276" w:lineRule="auto"/>
              <w:jc w:val="both"/>
            </w:pPr>
            <w:r w:rsidRPr="00B73A29">
              <w:t>MWCL 2007</w:t>
            </w:r>
          </w:p>
        </w:tc>
        <w:tc>
          <w:tcPr>
            <w:tcW w:w="990" w:type="dxa"/>
            <w:tcBorders>
              <w:top w:val="single" w:sz="8" w:space="0" w:color="000000"/>
              <w:left w:val="single" w:sz="6" w:space="0" w:color="000000"/>
              <w:bottom w:val="single" w:sz="8" w:space="0" w:color="000000"/>
              <w:right w:val="single" w:sz="6" w:space="0" w:color="000000"/>
            </w:tcBorders>
          </w:tcPr>
          <w:p w14:paraId="03796C1C" w14:textId="77777777" w:rsidR="008E4ED0" w:rsidRPr="00B73A29" w:rsidRDefault="008E4ED0" w:rsidP="0044023E">
            <w:pPr>
              <w:pStyle w:val="Default"/>
              <w:spacing w:line="276" w:lineRule="auto"/>
              <w:jc w:val="both"/>
            </w:pPr>
            <w:r w:rsidRPr="00B73A29">
              <w:t xml:space="preserve">[12] </w:t>
            </w:r>
          </w:p>
          <w:p w14:paraId="643522D8" w14:textId="77777777" w:rsidR="008E4ED0" w:rsidRPr="00B73A29" w:rsidRDefault="008E4ED0" w:rsidP="0044023E">
            <w:pPr>
              <w:pStyle w:val="Default"/>
              <w:spacing w:line="276" w:lineRule="auto"/>
              <w:jc w:val="both"/>
            </w:pPr>
            <w:r w:rsidRPr="00B73A29">
              <w:t xml:space="preserve">TMTT 2010 </w:t>
            </w:r>
          </w:p>
        </w:tc>
        <w:tc>
          <w:tcPr>
            <w:tcW w:w="1170" w:type="dxa"/>
            <w:tcBorders>
              <w:top w:val="single" w:sz="8" w:space="0" w:color="000000"/>
              <w:left w:val="single" w:sz="6" w:space="0" w:color="000000"/>
              <w:bottom w:val="single" w:sz="8" w:space="0" w:color="000000"/>
              <w:right w:val="single" w:sz="6" w:space="0" w:color="000000"/>
            </w:tcBorders>
          </w:tcPr>
          <w:p w14:paraId="6586ACE8" w14:textId="77777777" w:rsidR="008E4ED0" w:rsidRPr="00B73A29" w:rsidRDefault="008E4ED0" w:rsidP="0044023E">
            <w:pPr>
              <w:pStyle w:val="Default"/>
              <w:spacing w:line="276" w:lineRule="auto"/>
              <w:jc w:val="both"/>
            </w:pPr>
            <w:r w:rsidRPr="00B73A29">
              <w:t>[13]</w:t>
            </w:r>
          </w:p>
          <w:p w14:paraId="7AA42475" w14:textId="77777777" w:rsidR="008E4ED0" w:rsidRPr="00B73A29" w:rsidRDefault="008E4ED0" w:rsidP="0044023E">
            <w:pPr>
              <w:pStyle w:val="Default"/>
              <w:spacing w:line="276" w:lineRule="auto"/>
              <w:jc w:val="both"/>
            </w:pPr>
            <w:r w:rsidRPr="00B73A29">
              <w:t>MTT-S</w:t>
            </w:r>
          </w:p>
          <w:p w14:paraId="06179717" w14:textId="77777777" w:rsidR="008E4ED0" w:rsidRPr="00B73A29" w:rsidRDefault="008E4ED0" w:rsidP="0044023E">
            <w:pPr>
              <w:pStyle w:val="Default"/>
              <w:spacing w:line="276" w:lineRule="auto"/>
              <w:jc w:val="both"/>
            </w:pPr>
            <w:r w:rsidRPr="00B73A29">
              <w:t>2011</w:t>
            </w:r>
          </w:p>
        </w:tc>
        <w:tc>
          <w:tcPr>
            <w:tcW w:w="1170" w:type="dxa"/>
            <w:tcBorders>
              <w:top w:val="single" w:sz="8" w:space="0" w:color="000000"/>
              <w:left w:val="single" w:sz="6" w:space="0" w:color="000000"/>
              <w:bottom w:val="single" w:sz="8" w:space="0" w:color="000000"/>
            </w:tcBorders>
          </w:tcPr>
          <w:p w14:paraId="520C0720" w14:textId="77777777" w:rsidR="008E4ED0" w:rsidRPr="00B73A29" w:rsidRDefault="008E4ED0" w:rsidP="0044023E">
            <w:pPr>
              <w:pStyle w:val="Default"/>
              <w:spacing w:line="276" w:lineRule="auto"/>
              <w:jc w:val="both"/>
            </w:pPr>
            <w:r w:rsidRPr="00B73A29">
              <w:t>[14]</w:t>
            </w:r>
          </w:p>
          <w:p w14:paraId="327A3230" w14:textId="77777777" w:rsidR="008E4ED0" w:rsidRPr="00B73A29" w:rsidRDefault="008E4ED0" w:rsidP="0044023E">
            <w:pPr>
              <w:pStyle w:val="Default"/>
              <w:spacing w:line="276" w:lineRule="auto"/>
              <w:jc w:val="both"/>
            </w:pPr>
            <w:r w:rsidRPr="00B73A29">
              <w:t>C&amp;S</w:t>
            </w:r>
          </w:p>
          <w:p w14:paraId="14E433EE" w14:textId="77777777" w:rsidR="008E4ED0" w:rsidRPr="00B73A29" w:rsidRDefault="008E4ED0" w:rsidP="0044023E">
            <w:pPr>
              <w:pStyle w:val="Default"/>
              <w:spacing w:line="276" w:lineRule="auto"/>
              <w:jc w:val="both"/>
            </w:pPr>
            <w:r w:rsidRPr="00B73A29">
              <w:t>2013</w:t>
            </w:r>
          </w:p>
        </w:tc>
        <w:tc>
          <w:tcPr>
            <w:tcW w:w="1170" w:type="dxa"/>
            <w:tcBorders>
              <w:top w:val="single" w:sz="8" w:space="0" w:color="000000"/>
              <w:left w:val="single" w:sz="6" w:space="0" w:color="000000"/>
              <w:bottom w:val="single" w:sz="8" w:space="0" w:color="000000"/>
              <w:right w:val="single" w:sz="6" w:space="0" w:color="000000"/>
            </w:tcBorders>
          </w:tcPr>
          <w:p w14:paraId="11A8F8CC" w14:textId="77777777" w:rsidR="008E4ED0" w:rsidRPr="00B73A29" w:rsidRDefault="008E4ED0" w:rsidP="0044023E">
            <w:pPr>
              <w:pStyle w:val="Default"/>
              <w:spacing w:line="276" w:lineRule="auto"/>
              <w:jc w:val="both"/>
            </w:pPr>
            <w:r w:rsidRPr="00B73A29">
              <w:rPr>
                <w:b/>
                <w:bCs/>
              </w:rPr>
              <w:t>This work</w:t>
            </w:r>
          </w:p>
        </w:tc>
      </w:tr>
      <w:tr w:rsidR="008E4ED0" w:rsidRPr="00B73A29" w14:paraId="40346A05" w14:textId="77777777" w:rsidTr="009921E1">
        <w:trPr>
          <w:trHeight w:val="106"/>
        </w:trPr>
        <w:tc>
          <w:tcPr>
            <w:tcW w:w="2160" w:type="dxa"/>
            <w:tcBorders>
              <w:top w:val="single" w:sz="8" w:space="0" w:color="000000"/>
              <w:bottom w:val="single" w:sz="8" w:space="0" w:color="000000"/>
              <w:right w:val="single" w:sz="6" w:space="0" w:color="000000"/>
            </w:tcBorders>
          </w:tcPr>
          <w:p w14:paraId="0A691A57" w14:textId="77777777" w:rsidR="008E4ED0" w:rsidRPr="00B73A29" w:rsidRDefault="008E4ED0" w:rsidP="0044023E">
            <w:pPr>
              <w:pStyle w:val="Default"/>
              <w:spacing w:line="276" w:lineRule="auto"/>
              <w:jc w:val="both"/>
            </w:pPr>
            <w:r w:rsidRPr="00B73A29">
              <w:t>Technology (</w:t>
            </w:r>
            <w:proofErr w:type="spellStart"/>
            <w:r w:rsidRPr="00B73A29">
              <w:t>μm</w:t>
            </w:r>
            <w:proofErr w:type="spellEnd"/>
            <w:r w:rsidRPr="00B73A29">
              <w:t xml:space="preserve">) </w:t>
            </w:r>
          </w:p>
        </w:tc>
        <w:tc>
          <w:tcPr>
            <w:tcW w:w="1260" w:type="dxa"/>
            <w:tcBorders>
              <w:top w:val="single" w:sz="8" w:space="0" w:color="000000"/>
              <w:left w:val="single" w:sz="6" w:space="0" w:color="000000"/>
              <w:bottom w:val="single" w:sz="8" w:space="0" w:color="000000"/>
              <w:right w:val="single" w:sz="6" w:space="0" w:color="000000"/>
            </w:tcBorders>
          </w:tcPr>
          <w:p w14:paraId="7D243A04" w14:textId="77777777" w:rsidR="008E4ED0" w:rsidRPr="00B73A29" w:rsidRDefault="008E4ED0" w:rsidP="0044023E">
            <w:pPr>
              <w:pStyle w:val="Default"/>
              <w:spacing w:line="276" w:lineRule="auto"/>
              <w:jc w:val="both"/>
            </w:pPr>
            <w:r w:rsidRPr="00B73A29">
              <w:t xml:space="preserve">0.18 </w:t>
            </w:r>
          </w:p>
        </w:tc>
        <w:tc>
          <w:tcPr>
            <w:tcW w:w="1080" w:type="dxa"/>
            <w:tcBorders>
              <w:top w:val="single" w:sz="8" w:space="0" w:color="000000"/>
              <w:left w:val="single" w:sz="6" w:space="0" w:color="000000"/>
              <w:bottom w:val="single" w:sz="8" w:space="0" w:color="000000"/>
              <w:right w:val="single" w:sz="6" w:space="0" w:color="000000"/>
            </w:tcBorders>
          </w:tcPr>
          <w:p w14:paraId="71D2B76B" w14:textId="77777777" w:rsidR="008E4ED0" w:rsidRPr="00B73A29" w:rsidRDefault="008E4ED0" w:rsidP="0044023E">
            <w:pPr>
              <w:pStyle w:val="Default"/>
              <w:spacing w:line="276" w:lineRule="auto"/>
              <w:jc w:val="both"/>
            </w:pPr>
            <w:r w:rsidRPr="00B73A29">
              <w:t xml:space="preserve">0.18 </w:t>
            </w:r>
          </w:p>
        </w:tc>
        <w:tc>
          <w:tcPr>
            <w:tcW w:w="990" w:type="dxa"/>
            <w:tcBorders>
              <w:top w:val="single" w:sz="8" w:space="0" w:color="000000"/>
              <w:left w:val="single" w:sz="6" w:space="0" w:color="000000"/>
              <w:bottom w:val="single" w:sz="8" w:space="0" w:color="000000"/>
              <w:right w:val="single" w:sz="6" w:space="0" w:color="000000"/>
            </w:tcBorders>
          </w:tcPr>
          <w:p w14:paraId="3BD36966" w14:textId="77777777" w:rsidR="008E4ED0" w:rsidRPr="00B73A29" w:rsidRDefault="008E4ED0" w:rsidP="0044023E">
            <w:pPr>
              <w:pStyle w:val="Default"/>
              <w:spacing w:line="276" w:lineRule="auto"/>
              <w:jc w:val="both"/>
            </w:pPr>
            <w:r w:rsidRPr="00B73A29">
              <w:t xml:space="preserve">0.13 </w:t>
            </w:r>
          </w:p>
        </w:tc>
        <w:tc>
          <w:tcPr>
            <w:tcW w:w="1080" w:type="dxa"/>
            <w:tcBorders>
              <w:top w:val="single" w:sz="8" w:space="0" w:color="000000"/>
              <w:left w:val="single" w:sz="6" w:space="0" w:color="000000"/>
              <w:bottom w:val="single" w:sz="8" w:space="0" w:color="000000"/>
              <w:right w:val="single" w:sz="6" w:space="0" w:color="000000"/>
            </w:tcBorders>
          </w:tcPr>
          <w:p w14:paraId="387F4CB1" w14:textId="77777777" w:rsidR="008E4ED0" w:rsidRPr="00B73A29" w:rsidRDefault="008E4ED0" w:rsidP="0044023E">
            <w:pPr>
              <w:pStyle w:val="Default"/>
              <w:spacing w:line="276" w:lineRule="auto"/>
              <w:jc w:val="both"/>
            </w:pPr>
            <w:r w:rsidRPr="00B73A29">
              <w:t xml:space="preserve">0.18 </w:t>
            </w:r>
          </w:p>
        </w:tc>
        <w:tc>
          <w:tcPr>
            <w:tcW w:w="990" w:type="dxa"/>
            <w:tcBorders>
              <w:top w:val="single" w:sz="8" w:space="0" w:color="000000"/>
              <w:left w:val="single" w:sz="6" w:space="0" w:color="000000"/>
              <w:bottom w:val="single" w:sz="8" w:space="0" w:color="000000"/>
              <w:right w:val="single" w:sz="6" w:space="0" w:color="000000"/>
            </w:tcBorders>
          </w:tcPr>
          <w:p w14:paraId="06ADE597" w14:textId="77777777" w:rsidR="008E4ED0" w:rsidRPr="00B73A29" w:rsidRDefault="008E4ED0" w:rsidP="0044023E">
            <w:pPr>
              <w:pStyle w:val="Default"/>
              <w:spacing w:line="276" w:lineRule="auto"/>
              <w:jc w:val="both"/>
            </w:pPr>
            <w:r w:rsidRPr="00B73A29">
              <w:t xml:space="preserve">0.18 </w:t>
            </w:r>
          </w:p>
        </w:tc>
        <w:tc>
          <w:tcPr>
            <w:tcW w:w="1170" w:type="dxa"/>
            <w:tcBorders>
              <w:top w:val="single" w:sz="8" w:space="0" w:color="000000"/>
              <w:left w:val="single" w:sz="6" w:space="0" w:color="000000"/>
              <w:bottom w:val="single" w:sz="8" w:space="0" w:color="000000"/>
              <w:right w:val="single" w:sz="6" w:space="0" w:color="000000"/>
            </w:tcBorders>
          </w:tcPr>
          <w:p w14:paraId="584D89AD" w14:textId="77777777" w:rsidR="008E4ED0" w:rsidRPr="00B73A29" w:rsidRDefault="008E4ED0" w:rsidP="0044023E">
            <w:pPr>
              <w:pStyle w:val="Default"/>
              <w:spacing w:line="276" w:lineRule="auto"/>
              <w:jc w:val="both"/>
            </w:pPr>
            <w:r w:rsidRPr="00B73A29">
              <w:t xml:space="preserve">0.18 </w:t>
            </w:r>
          </w:p>
        </w:tc>
        <w:tc>
          <w:tcPr>
            <w:tcW w:w="1170" w:type="dxa"/>
            <w:tcBorders>
              <w:top w:val="single" w:sz="8" w:space="0" w:color="000000"/>
              <w:left w:val="single" w:sz="6" w:space="0" w:color="000000"/>
              <w:bottom w:val="single" w:sz="8" w:space="0" w:color="000000"/>
            </w:tcBorders>
          </w:tcPr>
          <w:p w14:paraId="31A7980D" w14:textId="77777777" w:rsidR="008E4ED0" w:rsidRPr="00B73A29" w:rsidRDefault="008E4ED0" w:rsidP="0044023E">
            <w:pPr>
              <w:pStyle w:val="Default"/>
              <w:spacing w:line="276" w:lineRule="auto"/>
              <w:jc w:val="both"/>
            </w:pPr>
            <w:r w:rsidRPr="00B73A29">
              <w:rPr>
                <w:b/>
                <w:bCs/>
              </w:rPr>
              <w:t xml:space="preserve">0.18 </w:t>
            </w:r>
          </w:p>
        </w:tc>
        <w:tc>
          <w:tcPr>
            <w:tcW w:w="1170" w:type="dxa"/>
            <w:tcBorders>
              <w:top w:val="single" w:sz="8" w:space="0" w:color="000000"/>
              <w:left w:val="single" w:sz="6" w:space="0" w:color="000000"/>
              <w:bottom w:val="single" w:sz="8" w:space="0" w:color="000000"/>
              <w:right w:val="single" w:sz="6" w:space="0" w:color="000000"/>
            </w:tcBorders>
          </w:tcPr>
          <w:p w14:paraId="0580FB46" w14:textId="77777777" w:rsidR="008E4ED0" w:rsidRPr="00B73A29" w:rsidRDefault="008E4ED0" w:rsidP="0044023E">
            <w:pPr>
              <w:pStyle w:val="Default"/>
              <w:spacing w:line="276" w:lineRule="auto"/>
              <w:jc w:val="both"/>
            </w:pPr>
            <w:r w:rsidRPr="00B73A29">
              <w:rPr>
                <w:b/>
                <w:bCs/>
              </w:rPr>
              <w:t xml:space="preserve">0.18 </w:t>
            </w:r>
          </w:p>
        </w:tc>
      </w:tr>
      <w:tr w:rsidR="008E4ED0" w:rsidRPr="00B73A29" w14:paraId="5F018890" w14:textId="77777777" w:rsidTr="009921E1">
        <w:trPr>
          <w:trHeight w:val="106"/>
        </w:trPr>
        <w:tc>
          <w:tcPr>
            <w:tcW w:w="2160" w:type="dxa"/>
            <w:tcBorders>
              <w:top w:val="single" w:sz="8" w:space="0" w:color="000000"/>
              <w:bottom w:val="single" w:sz="8" w:space="0" w:color="000000"/>
              <w:right w:val="single" w:sz="6" w:space="0" w:color="000000"/>
            </w:tcBorders>
          </w:tcPr>
          <w:p w14:paraId="35D4277F" w14:textId="77777777" w:rsidR="008E4ED0" w:rsidRPr="00B73A29" w:rsidRDefault="008E4ED0" w:rsidP="0044023E">
            <w:pPr>
              <w:pStyle w:val="Default"/>
              <w:spacing w:line="276" w:lineRule="auto"/>
              <w:jc w:val="both"/>
            </w:pPr>
            <w:r w:rsidRPr="00B73A29">
              <w:t xml:space="preserve">Supply Voltage (V) </w:t>
            </w:r>
          </w:p>
        </w:tc>
        <w:tc>
          <w:tcPr>
            <w:tcW w:w="1260" w:type="dxa"/>
            <w:tcBorders>
              <w:top w:val="single" w:sz="8" w:space="0" w:color="000000"/>
              <w:left w:val="single" w:sz="6" w:space="0" w:color="000000"/>
              <w:bottom w:val="single" w:sz="8" w:space="0" w:color="000000"/>
              <w:right w:val="single" w:sz="6" w:space="0" w:color="000000"/>
            </w:tcBorders>
          </w:tcPr>
          <w:p w14:paraId="26FBF945" w14:textId="77777777" w:rsidR="008E4ED0" w:rsidRPr="00B73A29" w:rsidRDefault="008E4ED0" w:rsidP="0044023E">
            <w:pPr>
              <w:pStyle w:val="Default"/>
              <w:spacing w:line="276" w:lineRule="auto"/>
              <w:jc w:val="both"/>
            </w:pPr>
            <w:r w:rsidRPr="00B73A29">
              <w:t xml:space="preserve">0.5 </w:t>
            </w:r>
          </w:p>
        </w:tc>
        <w:tc>
          <w:tcPr>
            <w:tcW w:w="1080" w:type="dxa"/>
            <w:tcBorders>
              <w:top w:val="single" w:sz="8" w:space="0" w:color="000000"/>
              <w:left w:val="single" w:sz="6" w:space="0" w:color="000000"/>
              <w:bottom w:val="single" w:sz="8" w:space="0" w:color="000000"/>
              <w:right w:val="single" w:sz="6" w:space="0" w:color="000000"/>
            </w:tcBorders>
          </w:tcPr>
          <w:p w14:paraId="2B96A682" w14:textId="77777777" w:rsidR="008E4ED0" w:rsidRPr="00B73A29" w:rsidRDefault="008E4ED0" w:rsidP="0044023E">
            <w:pPr>
              <w:pStyle w:val="Default"/>
              <w:spacing w:line="276" w:lineRule="auto"/>
              <w:jc w:val="both"/>
            </w:pPr>
            <w:r w:rsidRPr="00B73A29">
              <w:t xml:space="preserve">0.34 </w:t>
            </w:r>
          </w:p>
        </w:tc>
        <w:tc>
          <w:tcPr>
            <w:tcW w:w="990" w:type="dxa"/>
            <w:tcBorders>
              <w:top w:val="single" w:sz="8" w:space="0" w:color="000000"/>
              <w:left w:val="single" w:sz="6" w:space="0" w:color="000000"/>
              <w:bottom w:val="single" w:sz="8" w:space="0" w:color="000000"/>
              <w:right w:val="single" w:sz="6" w:space="0" w:color="000000"/>
            </w:tcBorders>
          </w:tcPr>
          <w:p w14:paraId="4D7E85EB" w14:textId="77777777" w:rsidR="008E4ED0" w:rsidRPr="00B73A29" w:rsidRDefault="008E4ED0" w:rsidP="0044023E">
            <w:pPr>
              <w:pStyle w:val="Default"/>
              <w:spacing w:line="276" w:lineRule="auto"/>
              <w:jc w:val="both"/>
            </w:pPr>
            <w:r w:rsidRPr="00B73A29">
              <w:t xml:space="preserve">0.3 </w:t>
            </w:r>
          </w:p>
        </w:tc>
        <w:tc>
          <w:tcPr>
            <w:tcW w:w="1080" w:type="dxa"/>
            <w:tcBorders>
              <w:top w:val="single" w:sz="8" w:space="0" w:color="000000"/>
              <w:left w:val="single" w:sz="6" w:space="0" w:color="000000"/>
              <w:bottom w:val="single" w:sz="8" w:space="0" w:color="000000"/>
              <w:right w:val="single" w:sz="6" w:space="0" w:color="000000"/>
            </w:tcBorders>
          </w:tcPr>
          <w:p w14:paraId="09E46729" w14:textId="77777777" w:rsidR="008E4ED0" w:rsidRPr="00B73A29" w:rsidRDefault="008E4ED0" w:rsidP="0044023E">
            <w:pPr>
              <w:pStyle w:val="Default"/>
              <w:spacing w:line="276" w:lineRule="auto"/>
              <w:jc w:val="both"/>
            </w:pPr>
            <w:r w:rsidRPr="00B73A29">
              <w:t xml:space="preserve">0.45 </w:t>
            </w:r>
          </w:p>
        </w:tc>
        <w:tc>
          <w:tcPr>
            <w:tcW w:w="990" w:type="dxa"/>
            <w:tcBorders>
              <w:top w:val="single" w:sz="8" w:space="0" w:color="000000"/>
              <w:left w:val="single" w:sz="6" w:space="0" w:color="000000"/>
              <w:bottom w:val="single" w:sz="8" w:space="0" w:color="000000"/>
              <w:right w:val="single" w:sz="6" w:space="0" w:color="000000"/>
            </w:tcBorders>
          </w:tcPr>
          <w:p w14:paraId="1A563AC2" w14:textId="77777777" w:rsidR="008E4ED0" w:rsidRPr="00B73A29" w:rsidRDefault="008E4ED0" w:rsidP="0044023E">
            <w:pPr>
              <w:pStyle w:val="Default"/>
              <w:spacing w:line="276" w:lineRule="auto"/>
              <w:jc w:val="both"/>
            </w:pPr>
            <w:r w:rsidRPr="00B73A29">
              <w:t xml:space="preserve">0.43 </w:t>
            </w:r>
          </w:p>
        </w:tc>
        <w:tc>
          <w:tcPr>
            <w:tcW w:w="1170" w:type="dxa"/>
            <w:tcBorders>
              <w:top w:val="single" w:sz="8" w:space="0" w:color="000000"/>
              <w:left w:val="single" w:sz="6" w:space="0" w:color="000000"/>
              <w:bottom w:val="single" w:sz="8" w:space="0" w:color="000000"/>
              <w:right w:val="single" w:sz="6" w:space="0" w:color="000000"/>
            </w:tcBorders>
          </w:tcPr>
          <w:p w14:paraId="7918D40E" w14:textId="77777777" w:rsidR="008E4ED0" w:rsidRPr="00B73A29" w:rsidRDefault="008E4ED0" w:rsidP="0044023E">
            <w:pPr>
              <w:pStyle w:val="Default"/>
              <w:spacing w:line="276" w:lineRule="auto"/>
              <w:jc w:val="both"/>
            </w:pPr>
            <w:r w:rsidRPr="00B73A29">
              <w:t xml:space="preserve">1.2 </w:t>
            </w:r>
          </w:p>
        </w:tc>
        <w:tc>
          <w:tcPr>
            <w:tcW w:w="1170" w:type="dxa"/>
            <w:tcBorders>
              <w:top w:val="single" w:sz="8" w:space="0" w:color="000000"/>
              <w:left w:val="single" w:sz="6" w:space="0" w:color="000000"/>
              <w:bottom w:val="single" w:sz="8" w:space="0" w:color="000000"/>
            </w:tcBorders>
          </w:tcPr>
          <w:p w14:paraId="488C040A" w14:textId="77777777" w:rsidR="008E4ED0" w:rsidRPr="00B73A29" w:rsidRDefault="008E4ED0" w:rsidP="0044023E">
            <w:pPr>
              <w:pStyle w:val="Default"/>
              <w:spacing w:line="276" w:lineRule="auto"/>
              <w:jc w:val="both"/>
            </w:pPr>
            <w:r w:rsidRPr="00B73A29">
              <w:rPr>
                <w:b/>
                <w:bCs/>
              </w:rPr>
              <w:t xml:space="preserve">0.46 </w:t>
            </w:r>
          </w:p>
        </w:tc>
        <w:tc>
          <w:tcPr>
            <w:tcW w:w="1170" w:type="dxa"/>
            <w:tcBorders>
              <w:top w:val="single" w:sz="8" w:space="0" w:color="000000"/>
              <w:left w:val="single" w:sz="6" w:space="0" w:color="000000"/>
              <w:bottom w:val="single" w:sz="8" w:space="0" w:color="000000"/>
              <w:right w:val="single" w:sz="6" w:space="0" w:color="000000"/>
            </w:tcBorders>
          </w:tcPr>
          <w:p w14:paraId="3E83BD4A" w14:textId="77777777" w:rsidR="008E4ED0" w:rsidRPr="00B73A29" w:rsidRDefault="008E4ED0" w:rsidP="0044023E">
            <w:pPr>
              <w:pStyle w:val="Default"/>
              <w:spacing w:line="276" w:lineRule="auto"/>
              <w:jc w:val="both"/>
            </w:pPr>
            <w:r w:rsidRPr="00B73A29">
              <w:rPr>
                <w:b/>
                <w:bCs/>
              </w:rPr>
              <w:t>0.7</w:t>
            </w:r>
          </w:p>
        </w:tc>
      </w:tr>
      <w:tr w:rsidR="008E4ED0" w:rsidRPr="00B73A29" w14:paraId="3B689E12" w14:textId="77777777" w:rsidTr="009921E1">
        <w:trPr>
          <w:trHeight w:val="106"/>
        </w:trPr>
        <w:tc>
          <w:tcPr>
            <w:tcW w:w="2160" w:type="dxa"/>
            <w:tcBorders>
              <w:top w:val="single" w:sz="8" w:space="0" w:color="000000"/>
              <w:bottom w:val="single" w:sz="8" w:space="0" w:color="000000"/>
              <w:right w:val="single" w:sz="6" w:space="0" w:color="000000"/>
            </w:tcBorders>
          </w:tcPr>
          <w:p w14:paraId="58E0DD7E" w14:textId="77777777" w:rsidR="008E4ED0" w:rsidRPr="00B73A29" w:rsidRDefault="008E4ED0" w:rsidP="0044023E">
            <w:pPr>
              <w:pStyle w:val="Default"/>
              <w:spacing w:line="276" w:lineRule="auto"/>
              <w:jc w:val="both"/>
            </w:pPr>
            <w:r w:rsidRPr="00B73A29">
              <w:t>Power Dissipation (</w:t>
            </w:r>
            <w:proofErr w:type="spellStart"/>
            <w:r w:rsidRPr="00B73A29">
              <w:t>μW</w:t>
            </w:r>
            <w:proofErr w:type="spellEnd"/>
            <w:r w:rsidRPr="00B73A29">
              <w:t xml:space="preserve">) </w:t>
            </w:r>
          </w:p>
        </w:tc>
        <w:tc>
          <w:tcPr>
            <w:tcW w:w="1260" w:type="dxa"/>
            <w:tcBorders>
              <w:top w:val="single" w:sz="8" w:space="0" w:color="000000"/>
              <w:left w:val="single" w:sz="6" w:space="0" w:color="000000"/>
              <w:bottom w:val="single" w:sz="8" w:space="0" w:color="000000"/>
              <w:right w:val="single" w:sz="6" w:space="0" w:color="000000"/>
            </w:tcBorders>
          </w:tcPr>
          <w:p w14:paraId="459E1B2A" w14:textId="77777777" w:rsidR="008E4ED0" w:rsidRPr="00B73A29" w:rsidRDefault="008E4ED0" w:rsidP="0044023E">
            <w:pPr>
              <w:pStyle w:val="Default"/>
              <w:spacing w:line="276" w:lineRule="auto"/>
              <w:jc w:val="both"/>
            </w:pPr>
            <w:r w:rsidRPr="00B73A29">
              <w:t xml:space="preserve">570 </w:t>
            </w:r>
          </w:p>
        </w:tc>
        <w:tc>
          <w:tcPr>
            <w:tcW w:w="1080" w:type="dxa"/>
            <w:tcBorders>
              <w:top w:val="single" w:sz="8" w:space="0" w:color="000000"/>
              <w:left w:val="single" w:sz="6" w:space="0" w:color="000000"/>
              <w:bottom w:val="single" w:sz="8" w:space="0" w:color="000000"/>
              <w:right w:val="single" w:sz="6" w:space="0" w:color="000000"/>
            </w:tcBorders>
          </w:tcPr>
          <w:p w14:paraId="5D8505C7" w14:textId="77777777" w:rsidR="008E4ED0" w:rsidRPr="00B73A29" w:rsidRDefault="008E4ED0" w:rsidP="0044023E">
            <w:pPr>
              <w:pStyle w:val="Default"/>
              <w:spacing w:line="276" w:lineRule="auto"/>
              <w:jc w:val="both"/>
            </w:pPr>
            <w:r w:rsidRPr="00B73A29">
              <w:t xml:space="preserve">103.7 </w:t>
            </w:r>
          </w:p>
        </w:tc>
        <w:tc>
          <w:tcPr>
            <w:tcW w:w="990" w:type="dxa"/>
            <w:tcBorders>
              <w:top w:val="single" w:sz="8" w:space="0" w:color="000000"/>
              <w:left w:val="single" w:sz="6" w:space="0" w:color="000000"/>
              <w:bottom w:val="single" w:sz="8" w:space="0" w:color="000000"/>
              <w:right w:val="single" w:sz="6" w:space="0" w:color="000000"/>
            </w:tcBorders>
          </w:tcPr>
          <w:p w14:paraId="533B963B" w14:textId="77777777" w:rsidR="008E4ED0" w:rsidRPr="00B73A29" w:rsidRDefault="008E4ED0" w:rsidP="0044023E">
            <w:pPr>
              <w:pStyle w:val="Default"/>
              <w:spacing w:line="276" w:lineRule="auto"/>
              <w:jc w:val="both"/>
            </w:pPr>
            <w:r w:rsidRPr="00B73A29">
              <w:t xml:space="preserve">225 </w:t>
            </w:r>
          </w:p>
        </w:tc>
        <w:tc>
          <w:tcPr>
            <w:tcW w:w="1080" w:type="dxa"/>
            <w:tcBorders>
              <w:top w:val="single" w:sz="8" w:space="0" w:color="000000"/>
              <w:left w:val="single" w:sz="6" w:space="0" w:color="000000"/>
              <w:bottom w:val="single" w:sz="8" w:space="0" w:color="000000"/>
              <w:right w:val="single" w:sz="6" w:space="0" w:color="000000"/>
            </w:tcBorders>
          </w:tcPr>
          <w:p w14:paraId="2FFF47B3" w14:textId="77777777" w:rsidR="008E4ED0" w:rsidRPr="00B73A29" w:rsidRDefault="008E4ED0" w:rsidP="0044023E">
            <w:pPr>
              <w:pStyle w:val="Default"/>
              <w:spacing w:line="276" w:lineRule="auto"/>
              <w:jc w:val="both"/>
            </w:pPr>
            <w:r w:rsidRPr="00B73A29">
              <w:t xml:space="preserve">430 </w:t>
            </w:r>
          </w:p>
        </w:tc>
        <w:tc>
          <w:tcPr>
            <w:tcW w:w="990" w:type="dxa"/>
            <w:tcBorders>
              <w:top w:val="single" w:sz="8" w:space="0" w:color="000000"/>
              <w:left w:val="single" w:sz="6" w:space="0" w:color="000000"/>
              <w:bottom w:val="single" w:sz="8" w:space="0" w:color="000000"/>
              <w:right w:val="single" w:sz="6" w:space="0" w:color="000000"/>
            </w:tcBorders>
          </w:tcPr>
          <w:p w14:paraId="6F6E77F0" w14:textId="77777777" w:rsidR="008E4ED0" w:rsidRPr="00B73A29" w:rsidRDefault="008E4ED0" w:rsidP="0044023E">
            <w:pPr>
              <w:pStyle w:val="Default"/>
              <w:spacing w:line="276" w:lineRule="auto"/>
              <w:jc w:val="both"/>
            </w:pPr>
            <w:r w:rsidRPr="00B73A29">
              <w:t xml:space="preserve">200 </w:t>
            </w:r>
          </w:p>
        </w:tc>
        <w:tc>
          <w:tcPr>
            <w:tcW w:w="1170" w:type="dxa"/>
            <w:tcBorders>
              <w:top w:val="single" w:sz="8" w:space="0" w:color="000000"/>
              <w:left w:val="single" w:sz="6" w:space="0" w:color="000000"/>
              <w:bottom w:val="single" w:sz="8" w:space="0" w:color="000000"/>
              <w:right w:val="single" w:sz="6" w:space="0" w:color="000000"/>
            </w:tcBorders>
          </w:tcPr>
          <w:p w14:paraId="7BFC3130" w14:textId="77777777" w:rsidR="008E4ED0" w:rsidRPr="00B73A29" w:rsidRDefault="008E4ED0" w:rsidP="0044023E">
            <w:pPr>
              <w:pStyle w:val="Default"/>
              <w:spacing w:line="276" w:lineRule="auto"/>
              <w:jc w:val="both"/>
            </w:pPr>
            <w:r w:rsidRPr="00B73A29">
              <w:t xml:space="preserve">816 </w:t>
            </w:r>
          </w:p>
        </w:tc>
        <w:tc>
          <w:tcPr>
            <w:tcW w:w="1170" w:type="dxa"/>
            <w:tcBorders>
              <w:top w:val="single" w:sz="8" w:space="0" w:color="000000"/>
              <w:left w:val="single" w:sz="6" w:space="0" w:color="000000"/>
              <w:bottom w:val="single" w:sz="8" w:space="0" w:color="000000"/>
            </w:tcBorders>
          </w:tcPr>
          <w:p w14:paraId="14F7FA26" w14:textId="77777777" w:rsidR="008E4ED0" w:rsidRPr="00B73A29" w:rsidRDefault="008E4ED0" w:rsidP="0044023E">
            <w:pPr>
              <w:pStyle w:val="Default"/>
              <w:spacing w:line="276" w:lineRule="auto"/>
              <w:jc w:val="both"/>
            </w:pPr>
            <w:r w:rsidRPr="00B73A29">
              <w:rPr>
                <w:b/>
                <w:bCs/>
              </w:rPr>
              <w:t xml:space="preserve">346 </w:t>
            </w:r>
          </w:p>
        </w:tc>
        <w:tc>
          <w:tcPr>
            <w:tcW w:w="1170" w:type="dxa"/>
            <w:tcBorders>
              <w:top w:val="single" w:sz="8" w:space="0" w:color="000000"/>
              <w:left w:val="single" w:sz="6" w:space="0" w:color="000000"/>
              <w:bottom w:val="single" w:sz="8" w:space="0" w:color="000000"/>
              <w:right w:val="single" w:sz="6" w:space="0" w:color="000000"/>
            </w:tcBorders>
          </w:tcPr>
          <w:p w14:paraId="08443317" w14:textId="77777777" w:rsidR="008E4ED0" w:rsidRPr="00B73A29" w:rsidRDefault="008E4ED0" w:rsidP="0044023E">
            <w:pPr>
              <w:pStyle w:val="Default"/>
              <w:spacing w:line="276" w:lineRule="auto"/>
              <w:jc w:val="both"/>
            </w:pPr>
            <w:r w:rsidRPr="00B73A29">
              <w:rPr>
                <w:b/>
                <w:bCs/>
              </w:rPr>
              <w:t>174</w:t>
            </w:r>
          </w:p>
        </w:tc>
      </w:tr>
      <w:tr w:rsidR="008E4ED0" w:rsidRPr="00B73A29" w14:paraId="20371B45" w14:textId="77777777" w:rsidTr="009921E1">
        <w:trPr>
          <w:trHeight w:val="196"/>
        </w:trPr>
        <w:tc>
          <w:tcPr>
            <w:tcW w:w="2160" w:type="dxa"/>
            <w:tcBorders>
              <w:top w:val="single" w:sz="8" w:space="0" w:color="000000"/>
              <w:bottom w:val="single" w:sz="8" w:space="0" w:color="000000"/>
              <w:right w:val="single" w:sz="6" w:space="0" w:color="000000"/>
            </w:tcBorders>
          </w:tcPr>
          <w:p w14:paraId="3784F287" w14:textId="77777777" w:rsidR="008E4ED0" w:rsidRPr="00B73A29" w:rsidRDefault="008E4ED0" w:rsidP="0044023E">
            <w:pPr>
              <w:pStyle w:val="Default"/>
              <w:spacing w:line="276" w:lineRule="auto"/>
              <w:jc w:val="both"/>
            </w:pPr>
            <w:r w:rsidRPr="00B73A29">
              <w:t xml:space="preserve">Oscillation Central Frequency (GHz) </w:t>
            </w:r>
          </w:p>
        </w:tc>
        <w:tc>
          <w:tcPr>
            <w:tcW w:w="1260" w:type="dxa"/>
            <w:tcBorders>
              <w:top w:val="single" w:sz="8" w:space="0" w:color="000000"/>
              <w:left w:val="single" w:sz="6" w:space="0" w:color="000000"/>
              <w:bottom w:val="single" w:sz="8" w:space="0" w:color="000000"/>
              <w:right w:val="single" w:sz="6" w:space="0" w:color="000000"/>
            </w:tcBorders>
          </w:tcPr>
          <w:p w14:paraId="025904A8" w14:textId="77777777" w:rsidR="008E4ED0" w:rsidRPr="00B73A29" w:rsidRDefault="008E4ED0" w:rsidP="0044023E">
            <w:pPr>
              <w:pStyle w:val="Default"/>
              <w:spacing w:line="276" w:lineRule="auto"/>
              <w:jc w:val="both"/>
            </w:pPr>
            <w:r w:rsidRPr="00B73A29">
              <w:t xml:space="preserve">3.8 </w:t>
            </w:r>
          </w:p>
        </w:tc>
        <w:tc>
          <w:tcPr>
            <w:tcW w:w="1080" w:type="dxa"/>
            <w:tcBorders>
              <w:top w:val="single" w:sz="8" w:space="0" w:color="000000"/>
              <w:left w:val="single" w:sz="6" w:space="0" w:color="000000"/>
              <w:bottom w:val="single" w:sz="8" w:space="0" w:color="000000"/>
              <w:right w:val="single" w:sz="6" w:space="0" w:color="000000"/>
            </w:tcBorders>
          </w:tcPr>
          <w:p w14:paraId="2C144BD1" w14:textId="77777777" w:rsidR="008E4ED0" w:rsidRPr="00B73A29" w:rsidRDefault="008E4ED0" w:rsidP="0044023E">
            <w:pPr>
              <w:pStyle w:val="Default"/>
              <w:spacing w:line="276" w:lineRule="auto"/>
              <w:jc w:val="both"/>
            </w:pPr>
            <w:r w:rsidRPr="00B73A29">
              <w:t xml:space="preserve">1.1 </w:t>
            </w:r>
          </w:p>
        </w:tc>
        <w:tc>
          <w:tcPr>
            <w:tcW w:w="990" w:type="dxa"/>
            <w:tcBorders>
              <w:top w:val="single" w:sz="8" w:space="0" w:color="000000"/>
              <w:left w:val="single" w:sz="6" w:space="0" w:color="000000"/>
              <w:bottom w:val="single" w:sz="8" w:space="0" w:color="000000"/>
              <w:right w:val="single" w:sz="6" w:space="0" w:color="000000"/>
            </w:tcBorders>
          </w:tcPr>
          <w:p w14:paraId="21AD5FE8" w14:textId="77777777" w:rsidR="008E4ED0" w:rsidRPr="00B73A29" w:rsidRDefault="008E4ED0" w:rsidP="0044023E">
            <w:pPr>
              <w:pStyle w:val="Default"/>
              <w:spacing w:line="276" w:lineRule="auto"/>
              <w:jc w:val="both"/>
            </w:pPr>
            <w:r w:rsidRPr="00B73A29">
              <w:t xml:space="preserve">3.759 </w:t>
            </w:r>
          </w:p>
        </w:tc>
        <w:tc>
          <w:tcPr>
            <w:tcW w:w="1080" w:type="dxa"/>
            <w:tcBorders>
              <w:top w:val="single" w:sz="8" w:space="0" w:color="000000"/>
              <w:left w:val="single" w:sz="6" w:space="0" w:color="000000"/>
              <w:bottom w:val="single" w:sz="8" w:space="0" w:color="000000"/>
              <w:right w:val="single" w:sz="6" w:space="0" w:color="000000"/>
            </w:tcBorders>
          </w:tcPr>
          <w:p w14:paraId="1344FCA2" w14:textId="77777777" w:rsidR="008E4ED0" w:rsidRPr="00B73A29" w:rsidRDefault="008E4ED0" w:rsidP="0044023E">
            <w:pPr>
              <w:pStyle w:val="Default"/>
              <w:spacing w:line="276" w:lineRule="auto"/>
              <w:jc w:val="both"/>
            </w:pPr>
            <w:r w:rsidRPr="00B73A29">
              <w:t xml:space="preserve">2.63 </w:t>
            </w:r>
          </w:p>
        </w:tc>
        <w:tc>
          <w:tcPr>
            <w:tcW w:w="990" w:type="dxa"/>
            <w:tcBorders>
              <w:top w:val="single" w:sz="8" w:space="0" w:color="000000"/>
              <w:left w:val="single" w:sz="6" w:space="0" w:color="000000"/>
              <w:bottom w:val="single" w:sz="8" w:space="0" w:color="000000"/>
              <w:right w:val="single" w:sz="6" w:space="0" w:color="000000"/>
            </w:tcBorders>
          </w:tcPr>
          <w:p w14:paraId="589C92EA" w14:textId="77777777" w:rsidR="008E4ED0" w:rsidRPr="00B73A29" w:rsidRDefault="008E4ED0" w:rsidP="0044023E">
            <w:pPr>
              <w:pStyle w:val="Default"/>
              <w:spacing w:line="276" w:lineRule="auto"/>
              <w:jc w:val="both"/>
            </w:pPr>
            <w:r w:rsidRPr="00B73A29">
              <w:t xml:space="preserve">2.41 </w:t>
            </w:r>
          </w:p>
        </w:tc>
        <w:tc>
          <w:tcPr>
            <w:tcW w:w="1170" w:type="dxa"/>
            <w:tcBorders>
              <w:top w:val="single" w:sz="8" w:space="0" w:color="000000"/>
              <w:left w:val="single" w:sz="6" w:space="0" w:color="000000"/>
              <w:bottom w:val="single" w:sz="8" w:space="0" w:color="000000"/>
              <w:right w:val="single" w:sz="6" w:space="0" w:color="000000"/>
            </w:tcBorders>
          </w:tcPr>
          <w:p w14:paraId="09BD0077" w14:textId="77777777" w:rsidR="008E4ED0" w:rsidRPr="00B73A29" w:rsidRDefault="008E4ED0" w:rsidP="0044023E">
            <w:pPr>
              <w:pStyle w:val="Default"/>
              <w:spacing w:line="276" w:lineRule="auto"/>
              <w:jc w:val="both"/>
            </w:pPr>
            <w:r w:rsidRPr="00B73A29">
              <w:t xml:space="preserve">2.72 </w:t>
            </w:r>
          </w:p>
        </w:tc>
        <w:tc>
          <w:tcPr>
            <w:tcW w:w="1170" w:type="dxa"/>
            <w:tcBorders>
              <w:top w:val="single" w:sz="8" w:space="0" w:color="000000"/>
              <w:left w:val="single" w:sz="6" w:space="0" w:color="000000"/>
              <w:bottom w:val="single" w:sz="8" w:space="0" w:color="000000"/>
            </w:tcBorders>
          </w:tcPr>
          <w:p w14:paraId="32C78676" w14:textId="77777777" w:rsidR="008E4ED0" w:rsidRPr="00B73A29" w:rsidRDefault="008E4ED0" w:rsidP="0044023E">
            <w:pPr>
              <w:pStyle w:val="Default"/>
              <w:spacing w:line="276" w:lineRule="auto"/>
              <w:jc w:val="both"/>
            </w:pPr>
            <w:r w:rsidRPr="00B73A29">
              <w:rPr>
                <w:b/>
                <w:bCs/>
              </w:rPr>
              <w:t xml:space="preserve">10.94 </w:t>
            </w:r>
          </w:p>
        </w:tc>
        <w:tc>
          <w:tcPr>
            <w:tcW w:w="1170" w:type="dxa"/>
            <w:tcBorders>
              <w:top w:val="single" w:sz="8" w:space="0" w:color="000000"/>
              <w:left w:val="single" w:sz="6" w:space="0" w:color="000000"/>
              <w:bottom w:val="single" w:sz="8" w:space="0" w:color="000000"/>
              <w:right w:val="single" w:sz="6" w:space="0" w:color="000000"/>
            </w:tcBorders>
          </w:tcPr>
          <w:p w14:paraId="2B7E1D4F" w14:textId="77777777" w:rsidR="008E4ED0" w:rsidRPr="00B73A29" w:rsidRDefault="008E4ED0" w:rsidP="0044023E">
            <w:pPr>
              <w:pStyle w:val="Default"/>
              <w:spacing w:line="276" w:lineRule="auto"/>
              <w:jc w:val="both"/>
            </w:pPr>
            <w:r w:rsidRPr="00B73A29">
              <w:rPr>
                <w:b/>
                <w:bCs/>
              </w:rPr>
              <w:t>6.19</w:t>
            </w:r>
          </w:p>
        </w:tc>
      </w:tr>
      <w:tr w:rsidR="008E4ED0" w:rsidRPr="00B73A29" w14:paraId="37F6B8E8" w14:textId="77777777" w:rsidTr="009921E1">
        <w:trPr>
          <w:trHeight w:val="196"/>
        </w:trPr>
        <w:tc>
          <w:tcPr>
            <w:tcW w:w="2160" w:type="dxa"/>
            <w:tcBorders>
              <w:top w:val="single" w:sz="8" w:space="0" w:color="000000"/>
              <w:bottom w:val="single" w:sz="8" w:space="0" w:color="000000"/>
              <w:right w:val="single" w:sz="6" w:space="0" w:color="000000"/>
            </w:tcBorders>
          </w:tcPr>
          <w:p w14:paraId="7D1DE90D" w14:textId="77777777" w:rsidR="008E4ED0" w:rsidRPr="00B73A29" w:rsidRDefault="008E4ED0" w:rsidP="0044023E">
            <w:pPr>
              <w:pStyle w:val="Default"/>
              <w:spacing w:line="276" w:lineRule="auto"/>
              <w:jc w:val="both"/>
            </w:pPr>
            <w:r w:rsidRPr="00B73A29">
              <w:t>Phase Noise @ 1 MHz offset (</w:t>
            </w:r>
            <w:proofErr w:type="spellStart"/>
            <w:r w:rsidRPr="00B73A29">
              <w:t>dBc</w:t>
            </w:r>
            <w:proofErr w:type="spellEnd"/>
            <w:r w:rsidRPr="00B73A29">
              <w:t xml:space="preserve">/Hz) </w:t>
            </w:r>
          </w:p>
        </w:tc>
        <w:tc>
          <w:tcPr>
            <w:tcW w:w="1260" w:type="dxa"/>
            <w:tcBorders>
              <w:top w:val="single" w:sz="8" w:space="0" w:color="000000"/>
              <w:left w:val="single" w:sz="6" w:space="0" w:color="000000"/>
              <w:bottom w:val="single" w:sz="8" w:space="0" w:color="000000"/>
              <w:right w:val="single" w:sz="6" w:space="0" w:color="000000"/>
            </w:tcBorders>
          </w:tcPr>
          <w:p w14:paraId="7F828065" w14:textId="77777777" w:rsidR="008E4ED0" w:rsidRPr="00B73A29" w:rsidRDefault="008E4ED0" w:rsidP="0044023E">
            <w:pPr>
              <w:pStyle w:val="Default"/>
              <w:spacing w:line="276" w:lineRule="auto"/>
              <w:jc w:val="both"/>
            </w:pPr>
            <w:r w:rsidRPr="00B73A29">
              <w:t xml:space="preserve">−119 </w:t>
            </w:r>
          </w:p>
        </w:tc>
        <w:tc>
          <w:tcPr>
            <w:tcW w:w="1080" w:type="dxa"/>
            <w:tcBorders>
              <w:top w:val="single" w:sz="8" w:space="0" w:color="000000"/>
              <w:left w:val="single" w:sz="6" w:space="0" w:color="000000"/>
              <w:bottom w:val="single" w:sz="8" w:space="0" w:color="000000"/>
              <w:right w:val="single" w:sz="6" w:space="0" w:color="000000"/>
            </w:tcBorders>
          </w:tcPr>
          <w:p w14:paraId="4C849974" w14:textId="77777777" w:rsidR="008E4ED0" w:rsidRPr="00B73A29" w:rsidRDefault="008E4ED0" w:rsidP="0044023E">
            <w:pPr>
              <w:pStyle w:val="Default"/>
              <w:spacing w:line="276" w:lineRule="auto"/>
              <w:jc w:val="both"/>
            </w:pPr>
            <w:r w:rsidRPr="00B73A29">
              <w:t xml:space="preserve">−121.2 </w:t>
            </w:r>
          </w:p>
        </w:tc>
        <w:tc>
          <w:tcPr>
            <w:tcW w:w="990" w:type="dxa"/>
            <w:tcBorders>
              <w:top w:val="single" w:sz="8" w:space="0" w:color="000000"/>
              <w:left w:val="single" w:sz="6" w:space="0" w:color="000000"/>
              <w:bottom w:val="single" w:sz="8" w:space="0" w:color="000000"/>
              <w:right w:val="single" w:sz="6" w:space="0" w:color="000000"/>
            </w:tcBorders>
          </w:tcPr>
          <w:p w14:paraId="15FFCD3C" w14:textId="77777777" w:rsidR="008E4ED0" w:rsidRPr="00B73A29" w:rsidRDefault="008E4ED0" w:rsidP="0044023E">
            <w:pPr>
              <w:pStyle w:val="Default"/>
              <w:spacing w:line="276" w:lineRule="auto"/>
              <w:jc w:val="both"/>
            </w:pPr>
            <w:r w:rsidRPr="00B73A29">
              <w:t xml:space="preserve">−116.9 </w:t>
            </w:r>
          </w:p>
        </w:tc>
        <w:tc>
          <w:tcPr>
            <w:tcW w:w="1080" w:type="dxa"/>
            <w:tcBorders>
              <w:top w:val="single" w:sz="8" w:space="0" w:color="000000"/>
              <w:left w:val="single" w:sz="6" w:space="0" w:color="000000"/>
              <w:bottom w:val="single" w:sz="8" w:space="0" w:color="000000"/>
              <w:right w:val="single" w:sz="6" w:space="0" w:color="000000"/>
            </w:tcBorders>
          </w:tcPr>
          <w:p w14:paraId="11714553" w14:textId="77777777" w:rsidR="008E4ED0" w:rsidRPr="00B73A29" w:rsidRDefault="008E4ED0" w:rsidP="0044023E">
            <w:pPr>
              <w:pStyle w:val="Default"/>
              <w:spacing w:line="276" w:lineRule="auto"/>
              <w:jc w:val="both"/>
            </w:pPr>
            <w:r w:rsidRPr="00B73A29">
              <w:t xml:space="preserve">−105.9 </w:t>
            </w:r>
          </w:p>
        </w:tc>
        <w:tc>
          <w:tcPr>
            <w:tcW w:w="990" w:type="dxa"/>
            <w:tcBorders>
              <w:top w:val="single" w:sz="8" w:space="0" w:color="000000"/>
              <w:left w:val="single" w:sz="6" w:space="0" w:color="000000"/>
              <w:bottom w:val="single" w:sz="8" w:space="0" w:color="000000"/>
              <w:right w:val="single" w:sz="6" w:space="0" w:color="000000"/>
            </w:tcBorders>
          </w:tcPr>
          <w:p w14:paraId="417D426A" w14:textId="77777777" w:rsidR="008E4ED0" w:rsidRPr="00B73A29" w:rsidRDefault="008E4ED0" w:rsidP="0044023E">
            <w:pPr>
              <w:pStyle w:val="Default"/>
              <w:spacing w:line="276" w:lineRule="auto"/>
              <w:jc w:val="both"/>
            </w:pPr>
            <w:r w:rsidRPr="00B73A29">
              <w:t xml:space="preserve">−115.6 </w:t>
            </w:r>
          </w:p>
        </w:tc>
        <w:tc>
          <w:tcPr>
            <w:tcW w:w="1170" w:type="dxa"/>
            <w:tcBorders>
              <w:top w:val="single" w:sz="8" w:space="0" w:color="000000"/>
              <w:left w:val="single" w:sz="6" w:space="0" w:color="000000"/>
              <w:bottom w:val="single" w:sz="8" w:space="0" w:color="000000"/>
              <w:right w:val="single" w:sz="6" w:space="0" w:color="000000"/>
            </w:tcBorders>
          </w:tcPr>
          <w:p w14:paraId="7D69BE5C" w14:textId="77777777" w:rsidR="008E4ED0" w:rsidRPr="00B73A29" w:rsidRDefault="008E4ED0" w:rsidP="0044023E">
            <w:pPr>
              <w:pStyle w:val="Default"/>
              <w:spacing w:line="276" w:lineRule="auto"/>
              <w:jc w:val="both"/>
            </w:pPr>
            <w:r w:rsidRPr="00B73A29">
              <w:t xml:space="preserve">−123.2 </w:t>
            </w:r>
          </w:p>
        </w:tc>
        <w:tc>
          <w:tcPr>
            <w:tcW w:w="1170" w:type="dxa"/>
            <w:tcBorders>
              <w:top w:val="single" w:sz="8" w:space="0" w:color="000000"/>
              <w:left w:val="single" w:sz="6" w:space="0" w:color="000000"/>
              <w:bottom w:val="single" w:sz="8" w:space="0" w:color="000000"/>
            </w:tcBorders>
          </w:tcPr>
          <w:p w14:paraId="5CB8D82A" w14:textId="77777777" w:rsidR="008E4ED0" w:rsidRPr="00B73A29" w:rsidRDefault="008E4ED0" w:rsidP="0044023E">
            <w:pPr>
              <w:pStyle w:val="Default"/>
              <w:spacing w:line="276" w:lineRule="auto"/>
              <w:jc w:val="both"/>
            </w:pPr>
            <w:r w:rsidRPr="00B73A29">
              <w:t>−</w:t>
            </w:r>
            <w:r w:rsidRPr="00B73A29">
              <w:rPr>
                <w:b/>
                <w:bCs/>
              </w:rPr>
              <w:t xml:space="preserve">107.8 </w:t>
            </w:r>
          </w:p>
        </w:tc>
        <w:tc>
          <w:tcPr>
            <w:tcW w:w="1170" w:type="dxa"/>
            <w:tcBorders>
              <w:top w:val="single" w:sz="8" w:space="0" w:color="000000"/>
              <w:left w:val="single" w:sz="6" w:space="0" w:color="000000"/>
              <w:bottom w:val="single" w:sz="8" w:space="0" w:color="000000"/>
              <w:right w:val="single" w:sz="6" w:space="0" w:color="000000"/>
            </w:tcBorders>
          </w:tcPr>
          <w:p w14:paraId="3A49B021" w14:textId="77777777" w:rsidR="008E4ED0" w:rsidRPr="00B73A29" w:rsidRDefault="008E4ED0" w:rsidP="0044023E">
            <w:pPr>
              <w:pStyle w:val="Default"/>
              <w:spacing w:line="276" w:lineRule="auto"/>
              <w:jc w:val="both"/>
            </w:pPr>
            <w:r w:rsidRPr="00B73A29">
              <w:t>−</w:t>
            </w:r>
            <w:r w:rsidRPr="00B73A29">
              <w:rPr>
                <w:b/>
                <w:bCs/>
              </w:rPr>
              <w:t xml:space="preserve">108.6 </w:t>
            </w:r>
          </w:p>
        </w:tc>
      </w:tr>
      <w:tr w:rsidR="008E4ED0" w:rsidRPr="00B73A29" w14:paraId="1E2E018D" w14:textId="77777777" w:rsidTr="009921E1">
        <w:trPr>
          <w:trHeight w:val="106"/>
        </w:trPr>
        <w:tc>
          <w:tcPr>
            <w:tcW w:w="2160" w:type="dxa"/>
            <w:tcBorders>
              <w:top w:val="single" w:sz="8" w:space="0" w:color="000000"/>
              <w:bottom w:val="single" w:sz="8" w:space="0" w:color="000000"/>
              <w:right w:val="single" w:sz="6" w:space="0" w:color="000000"/>
            </w:tcBorders>
          </w:tcPr>
          <w:p w14:paraId="0F206ABC" w14:textId="77777777" w:rsidR="008E4ED0" w:rsidRPr="00B73A29" w:rsidRDefault="008E4ED0" w:rsidP="0044023E">
            <w:pPr>
              <w:pStyle w:val="Default"/>
              <w:spacing w:line="276" w:lineRule="auto"/>
              <w:jc w:val="both"/>
            </w:pPr>
            <w:r w:rsidRPr="00B73A29">
              <w:t xml:space="preserve">Tuning Range (%) </w:t>
            </w:r>
          </w:p>
        </w:tc>
        <w:tc>
          <w:tcPr>
            <w:tcW w:w="1260" w:type="dxa"/>
            <w:tcBorders>
              <w:top w:val="single" w:sz="8" w:space="0" w:color="000000"/>
              <w:left w:val="single" w:sz="6" w:space="0" w:color="000000"/>
              <w:bottom w:val="single" w:sz="8" w:space="0" w:color="000000"/>
              <w:right w:val="single" w:sz="6" w:space="0" w:color="000000"/>
            </w:tcBorders>
          </w:tcPr>
          <w:p w14:paraId="69AB6897" w14:textId="77777777" w:rsidR="008E4ED0" w:rsidRPr="00B73A29" w:rsidRDefault="008E4ED0" w:rsidP="0044023E">
            <w:pPr>
              <w:pStyle w:val="Default"/>
              <w:spacing w:line="276" w:lineRule="auto"/>
              <w:jc w:val="both"/>
            </w:pPr>
            <w:r w:rsidRPr="00B73A29">
              <w:t xml:space="preserve">8.4 </w:t>
            </w:r>
          </w:p>
        </w:tc>
        <w:tc>
          <w:tcPr>
            <w:tcW w:w="1080" w:type="dxa"/>
            <w:tcBorders>
              <w:top w:val="single" w:sz="8" w:space="0" w:color="000000"/>
              <w:left w:val="single" w:sz="6" w:space="0" w:color="000000"/>
              <w:bottom w:val="single" w:sz="8" w:space="0" w:color="000000"/>
              <w:right w:val="single" w:sz="6" w:space="0" w:color="000000"/>
            </w:tcBorders>
          </w:tcPr>
          <w:p w14:paraId="6FD84ED5" w14:textId="77777777" w:rsidR="008E4ED0" w:rsidRPr="00B73A29" w:rsidRDefault="008E4ED0" w:rsidP="0044023E">
            <w:pPr>
              <w:pStyle w:val="Default"/>
              <w:spacing w:line="276" w:lineRule="auto"/>
              <w:jc w:val="both"/>
            </w:pPr>
            <w:r w:rsidRPr="00B73A29">
              <w:t xml:space="preserve">7 </w:t>
            </w:r>
          </w:p>
        </w:tc>
        <w:tc>
          <w:tcPr>
            <w:tcW w:w="990" w:type="dxa"/>
            <w:tcBorders>
              <w:top w:val="single" w:sz="8" w:space="0" w:color="000000"/>
              <w:left w:val="single" w:sz="6" w:space="0" w:color="000000"/>
              <w:bottom w:val="single" w:sz="8" w:space="0" w:color="000000"/>
              <w:right w:val="single" w:sz="6" w:space="0" w:color="000000"/>
            </w:tcBorders>
          </w:tcPr>
          <w:p w14:paraId="58552362" w14:textId="77777777" w:rsidR="008E4ED0" w:rsidRPr="00B73A29" w:rsidRDefault="008E4ED0" w:rsidP="0044023E">
            <w:pPr>
              <w:pStyle w:val="Default"/>
              <w:spacing w:line="276" w:lineRule="auto"/>
              <w:jc w:val="both"/>
            </w:pPr>
            <w:r w:rsidRPr="00B73A29">
              <w:t xml:space="preserve">20 </w:t>
            </w:r>
          </w:p>
        </w:tc>
        <w:tc>
          <w:tcPr>
            <w:tcW w:w="1080" w:type="dxa"/>
            <w:tcBorders>
              <w:top w:val="single" w:sz="8" w:space="0" w:color="000000"/>
              <w:left w:val="single" w:sz="6" w:space="0" w:color="000000"/>
              <w:bottom w:val="single" w:sz="8" w:space="0" w:color="000000"/>
              <w:right w:val="single" w:sz="6" w:space="0" w:color="000000"/>
            </w:tcBorders>
          </w:tcPr>
          <w:p w14:paraId="553B56EB" w14:textId="77777777" w:rsidR="008E4ED0" w:rsidRPr="00B73A29" w:rsidRDefault="008E4ED0" w:rsidP="0044023E">
            <w:pPr>
              <w:pStyle w:val="Default"/>
              <w:spacing w:line="276" w:lineRule="auto"/>
              <w:jc w:val="both"/>
            </w:pPr>
            <w:r w:rsidRPr="00B73A29">
              <w:t xml:space="preserve">8 </w:t>
            </w:r>
          </w:p>
        </w:tc>
        <w:tc>
          <w:tcPr>
            <w:tcW w:w="990" w:type="dxa"/>
            <w:tcBorders>
              <w:top w:val="single" w:sz="8" w:space="0" w:color="000000"/>
              <w:left w:val="single" w:sz="6" w:space="0" w:color="000000"/>
              <w:bottom w:val="single" w:sz="8" w:space="0" w:color="000000"/>
              <w:right w:val="single" w:sz="6" w:space="0" w:color="000000"/>
            </w:tcBorders>
          </w:tcPr>
          <w:p w14:paraId="608259EC" w14:textId="77777777" w:rsidR="008E4ED0" w:rsidRPr="00B73A29" w:rsidRDefault="008E4ED0" w:rsidP="0044023E">
            <w:pPr>
              <w:pStyle w:val="Default"/>
              <w:spacing w:line="276" w:lineRule="auto"/>
              <w:jc w:val="both"/>
            </w:pPr>
            <w:r w:rsidRPr="00B73A29">
              <w:t xml:space="preserve">20 </w:t>
            </w:r>
          </w:p>
        </w:tc>
        <w:tc>
          <w:tcPr>
            <w:tcW w:w="1170" w:type="dxa"/>
            <w:tcBorders>
              <w:top w:val="single" w:sz="8" w:space="0" w:color="000000"/>
              <w:left w:val="single" w:sz="6" w:space="0" w:color="000000"/>
              <w:bottom w:val="single" w:sz="8" w:space="0" w:color="000000"/>
              <w:right w:val="single" w:sz="6" w:space="0" w:color="000000"/>
            </w:tcBorders>
          </w:tcPr>
          <w:p w14:paraId="03C0A9CD" w14:textId="77777777" w:rsidR="008E4ED0" w:rsidRPr="00B73A29" w:rsidRDefault="008E4ED0" w:rsidP="0044023E">
            <w:pPr>
              <w:pStyle w:val="Default"/>
              <w:spacing w:line="276" w:lineRule="auto"/>
              <w:jc w:val="both"/>
            </w:pPr>
            <w:r w:rsidRPr="00B73A29">
              <w:t xml:space="preserve">8 </w:t>
            </w:r>
          </w:p>
        </w:tc>
        <w:tc>
          <w:tcPr>
            <w:tcW w:w="1170" w:type="dxa"/>
            <w:tcBorders>
              <w:top w:val="single" w:sz="8" w:space="0" w:color="000000"/>
              <w:left w:val="single" w:sz="6" w:space="0" w:color="000000"/>
              <w:bottom w:val="single" w:sz="8" w:space="0" w:color="000000"/>
            </w:tcBorders>
          </w:tcPr>
          <w:p w14:paraId="113EC2A4" w14:textId="77777777" w:rsidR="008E4ED0" w:rsidRPr="00B73A29" w:rsidRDefault="008E4ED0" w:rsidP="0044023E">
            <w:pPr>
              <w:pStyle w:val="Default"/>
              <w:spacing w:line="276" w:lineRule="auto"/>
              <w:jc w:val="both"/>
            </w:pPr>
            <w:r w:rsidRPr="00B73A29">
              <w:rPr>
                <w:b/>
                <w:bCs/>
              </w:rPr>
              <w:t xml:space="preserve">7.5 </w:t>
            </w:r>
          </w:p>
        </w:tc>
        <w:tc>
          <w:tcPr>
            <w:tcW w:w="1170" w:type="dxa"/>
            <w:tcBorders>
              <w:top w:val="single" w:sz="8" w:space="0" w:color="000000"/>
              <w:left w:val="single" w:sz="6" w:space="0" w:color="000000"/>
              <w:bottom w:val="single" w:sz="8" w:space="0" w:color="000000"/>
              <w:right w:val="single" w:sz="6" w:space="0" w:color="000000"/>
            </w:tcBorders>
          </w:tcPr>
          <w:p w14:paraId="2FBDC4A7" w14:textId="77777777" w:rsidR="008E4ED0" w:rsidRPr="00B73A29" w:rsidRDefault="008E4ED0" w:rsidP="0044023E">
            <w:pPr>
              <w:pStyle w:val="Default"/>
              <w:spacing w:line="276" w:lineRule="auto"/>
              <w:jc w:val="both"/>
            </w:pPr>
            <w:r w:rsidRPr="00B73A29">
              <w:rPr>
                <w:b/>
                <w:bCs/>
              </w:rPr>
              <w:t xml:space="preserve">17.5 </w:t>
            </w:r>
          </w:p>
        </w:tc>
      </w:tr>
      <w:tr w:rsidR="008E4ED0" w:rsidRPr="00B73A29" w14:paraId="5877E358" w14:textId="77777777" w:rsidTr="009921E1">
        <w:trPr>
          <w:trHeight w:val="106"/>
        </w:trPr>
        <w:tc>
          <w:tcPr>
            <w:tcW w:w="2160" w:type="dxa"/>
            <w:tcBorders>
              <w:top w:val="single" w:sz="8" w:space="0" w:color="000000"/>
              <w:bottom w:val="single" w:sz="8" w:space="0" w:color="000000"/>
              <w:right w:val="single" w:sz="6" w:space="0" w:color="000000"/>
            </w:tcBorders>
          </w:tcPr>
          <w:p w14:paraId="65FE519E" w14:textId="77777777" w:rsidR="008E4ED0" w:rsidRPr="00B73A29" w:rsidRDefault="008E4ED0" w:rsidP="0044023E">
            <w:pPr>
              <w:pStyle w:val="Default"/>
              <w:spacing w:line="276" w:lineRule="auto"/>
              <w:jc w:val="both"/>
            </w:pPr>
            <w:r w:rsidRPr="00B73A29">
              <w:t>FOM (</w:t>
            </w:r>
            <w:proofErr w:type="spellStart"/>
            <w:r w:rsidRPr="00B73A29">
              <w:t>dBc</w:t>
            </w:r>
            <w:proofErr w:type="spellEnd"/>
            <w:r w:rsidRPr="00B73A29">
              <w:t xml:space="preserve">/Hz) </w:t>
            </w:r>
          </w:p>
        </w:tc>
        <w:tc>
          <w:tcPr>
            <w:tcW w:w="1260" w:type="dxa"/>
            <w:tcBorders>
              <w:top w:val="single" w:sz="8" w:space="0" w:color="000000"/>
              <w:left w:val="single" w:sz="6" w:space="0" w:color="000000"/>
              <w:bottom w:val="single" w:sz="8" w:space="0" w:color="000000"/>
              <w:right w:val="single" w:sz="6" w:space="0" w:color="000000"/>
            </w:tcBorders>
          </w:tcPr>
          <w:p w14:paraId="688DFA9B" w14:textId="77777777" w:rsidR="008E4ED0" w:rsidRPr="00B73A29" w:rsidRDefault="008E4ED0" w:rsidP="0044023E">
            <w:pPr>
              <w:pStyle w:val="Default"/>
              <w:spacing w:line="276" w:lineRule="auto"/>
              <w:jc w:val="both"/>
            </w:pPr>
            <w:r w:rsidRPr="00B73A29">
              <w:t xml:space="preserve">−193 </w:t>
            </w:r>
          </w:p>
        </w:tc>
        <w:tc>
          <w:tcPr>
            <w:tcW w:w="1080" w:type="dxa"/>
            <w:tcBorders>
              <w:top w:val="single" w:sz="8" w:space="0" w:color="000000"/>
              <w:left w:val="single" w:sz="6" w:space="0" w:color="000000"/>
              <w:bottom w:val="single" w:sz="8" w:space="0" w:color="000000"/>
              <w:right w:val="single" w:sz="6" w:space="0" w:color="000000"/>
            </w:tcBorders>
          </w:tcPr>
          <w:p w14:paraId="29D3EED7" w14:textId="77777777" w:rsidR="008E4ED0" w:rsidRPr="00B73A29" w:rsidRDefault="008E4ED0" w:rsidP="0044023E">
            <w:pPr>
              <w:pStyle w:val="Default"/>
              <w:spacing w:line="276" w:lineRule="auto"/>
              <w:jc w:val="both"/>
            </w:pPr>
            <w:r w:rsidRPr="00B73A29">
              <w:t xml:space="preserve">−192 </w:t>
            </w:r>
          </w:p>
        </w:tc>
        <w:tc>
          <w:tcPr>
            <w:tcW w:w="990" w:type="dxa"/>
            <w:tcBorders>
              <w:top w:val="single" w:sz="8" w:space="0" w:color="000000"/>
              <w:left w:val="single" w:sz="6" w:space="0" w:color="000000"/>
              <w:bottom w:val="single" w:sz="8" w:space="0" w:color="000000"/>
              <w:right w:val="single" w:sz="6" w:space="0" w:color="000000"/>
            </w:tcBorders>
          </w:tcPr>
          <w:p w14:paraId="427E827A" w14:textId="77777777" w:rsidR="008E4ED0" w:rsidRPr="00B73A29" w:rsidRDefault="008E4ED0" w:rsidP="0044023E">
            <w:pPr>
              <w:pStyle w:val="Default"/>
              <w:spacing w:line="276" w:lineRule="auto"/>
              <w:jc w:val="both"/>
            </w:pPr>
            <w:r w:rsidRPr="00B73A29">
              <w:t xml:space="preserve">−194.4 </w:t>
            </w:r>
          </w:p>
        </w:tc>
        <w:tc>
          <w:tcPr>
            <w:tcW w:w="1080" w:type="dxa"/>
            <w:tcBorders>
              <w:top w:val="single" w:sz="8" w:space="0" w:color="000000"/>
              <w:left w:val="single" w:sz="6" w:space="0" w:color="000000"/>
              <w:bottom w:val="single" w:sz="8" w:space="0" w:color="000000"/>
              <w:right w:val="single" w:sz="6" w:space="0" w:color="000000"/>
            </w:tcBorders>
          </w:tcPr>
          <w:p w14:paraId="0A604A08" w14:textId="77777777" w:rsidR="008E4ED0" w:rsidRPr="00B73A29" w:rsidRDefault="008E4ED0" w:rsidP="0044023E">
            <w:pPr>
              <w:pStyle w:val="Default"/>
              <w:spacing w:line="276" w:lineRule="auto"/>
              <w:jc w:val="both"/>
            </w:pPr>
            <w:r w:rsidRPr="00B73A29">
              <w:t xml:space="preserve">−125.92 </w:t>
            </w:r>
          </w:p>
        </w:tc>
        <w:tc>
          <w:tcPr>
            <w:tcW w:w="990" w:type="dxa"/>
            <w:tcBorders>
              <w:top w:val="single" w:sz="8" w:space="0" w:color="000000"/>
              <w:left w:val="single" w:sz="6" w:space="0" w:color="000000"/>
              <w:bottom w:val="single" w:sz="8" w:space="0" w:color="000000"/>
              <w:right w:val="single" w:sz="6" w:space="0" w:color="000000"/>
            </w:tcBorders>
          </w:tcPr>
          <w:p w14:paraId="2B04C1DD" w14:textId="77777777" w:rsidR="008E4ED0" w:rsidRPr="00B73A29" w:rsidRDefault="008E4ED0" w:rsidP="0044023E">
            <w:pPr>
              <w:pStyle w:val="Default"/>
              <w:spacing w:line="276" w:lineRule="auto"/>
              <w:jc w:val="both"/>
            </w:pPr>
            <w:r w:rsidRPr="00B73A29">
              <w:t xml:space="preserve">−191 </w:t>
            </w:r>
          </w:p>
        </w:tc>
        <w:tc>
          <w:tcPr>
            <w:tcW w:w="1170" w:type="dxa"/>
            <w:tcBorders>
              <w:top w:val="single" w:sz="8" w:space="0" w:color="000000"/>
              <w:left w:val="single" w:sz="6" w:space="0" w:color="000000"/>
              <w:bottom w:val="single" w:sz="8" w:space="0" w:color="000000"/>
              <w:right w:val="single" w:sz="6" w:space="0" w:color="000000"/>
            </w:tcBorders>
          </w:tcPr>
          <w:p w14:paraId="708E1486" w14:textId="77777777" w:rsidR="008E4ED0" w:rsidRPr="00B73A29" w:rsidRDefault="008E4ED0" w:rsidP="0044023E">
            <w:pPr>
              <w:pStyle w:val="Default"/>
              <w:spacing w:line="276" w:lineRule="auto"/>
              <w:jc w:val="both"/>
            </w:pPr>
            <w:r w:rsidRPr="00B73A29">
              <w:t xml:space="preserve">−192.7 </w:t>
            </w:r>
          </w:p>
        </w:tc>
        <w:tc>
          <w:tcPr>
            <w:tcW w:w="1170" w:type="dxa"/>
            <w:tcBorders>
              <w:top w:val="single" w:sz="8" w:space="0" w:color="000000"/>
              <w:left w:val="single" w:sz="6" w:space="0" w:color="000000"/>
              <w:bottom w:val="single" w:sz="8" w:space="0" w:color="000000"/>
            </w:tcBorders>
          </w:tcPr>
          <w:p w14:paraId="15B63F56" w14:textId="77777777" w:rsidR="008E4ED0" w:rsidRPr="00B73A29" w:rsidRDefault="008E4ED0" w:rsidP="0044023E">
            <w:pPr>
              <w:pStyle w:val="Default"/>
              <w:spacing w:line="276" w:lineRule="auto"/>
              <w:jc w:val="both"/>
            </w:pPr>
            <w:r w:rsidRPr="00B73A29">
              <w:t>−</w:t>
            </w:r>
            <w:r w:rsidRPr="00B73A29">
              <w:rPr>
                <w:b/>
                <w:bCs/>
              </w:rPr>
              <w:t xml:space="preserve">193.8 </w:t>
            </w:r>
          </w:p>
        </w:tc>
        <w:tc>
          <w:tcPr>
            <w:tcW w:w="1170" w:type="dxa"/>
            <w:tcBorders>
              <w:top w:val="single" w:sz="8" w:space="0" w:color="000000"/>
              <w:left w:val="single" w:sz="6" w:space="0" w:color="000000"/>
              <w:bottom w:val="single" w:sz="8" w:space="0" w:color="000000"/>
              <w:right w:val="single" w:sz="6" w:space="0" w:color="000000"/>
            </w:tcBorders>
          </w:tcPr>
          <w:p w14:paraId="0BA87407" w14:textId="77777777" w:rsidR="008E4ED0" w:rsidRPr="00B73A29" w:rsidRDefault="008E4ED0" w:rsidP="0044023E">
            <w:pPr>
              <w:pStyle w:val="Default"/>
              <w:spacing w:line="276" w:lineRule="auto"/>
              <w:jc w:val="both"/>
            </w:pPr>
            <w:r w:rsidRPr="00B73A29">
              <w:t>−</w:t>
            </w:r>
            <w:r w:rsidRPr="00B73A29">
              <w:rPr>
                <w:b/>
                <w:bCs/>
              </w:rPr>
              <w:t>192.1</w:t>
            </w:r>
          </w:p>
        </w:tc>
      </w:tr>
    </w:tbl>
    <w:p w14:paraId="0A5986A8" w14:textId="77777777" w:rsidR="00F21BF5" w:rsidRPr="00B73A29" w:rsidRDefault="00F21BF5" w:rsidP="0044023E">
      <w:pPr>
        <w:pStyle w:val="Default"/>
        <w:spacing w:line="276" w:lineRule="auto"/>
        <w:jc w:val="both"/>
        <w:rPr>
          <w:b/>
          <w:bCs/>
        </w:rPr>
      </w:pPr>
    </w:p>
    <w:p w14:paraId="278F8CC9" w14:textId="77777777" w:rsidR="00BD7472" w:rsidRPr="00B73A29" w:rsidRDefault="00BD7472" w:rsidP="0044023E">
      <w:pPr>
        <w:pStyle w:val="Default"/>
        <w:spacing w:line="276" w:lineRule="auto"/>
        <w:jc w:val="both"/>
      </w:pPr>
    </w:p>
    <w:p w14:paraId="4918C5DF" w14:textId="77777777" w:rsidR="009E746A" w:rsidRPr="00B73A29" w:rsidRDefault="00074F82" w:rsidP="0044023E">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B73A29">
        <w:rPr>
          <w:rFonts w:ascii="Times New Roman" w:eastAsia="Times New Roman" w:hAnsi="Times New Roman" w:cs="Times New Roman"/>
          <w:b/>
          <w:bCs/>
          <w:sz w:val="27"/>
          <w:szCs w:val="27"/>
        </w:rPr>
        <w:t xml:space="preserve">4. </w:t>
      </w:r>
      <w:r w:rsidR="009E746A" w:rsidRPr="00B73A29">
        <w:rPr>
          <w:rFonts w:ascii="Times New Roman" w:eastAsia="Times New Roman" w:hAnsi="Times New Roman" w:cs="Times New Roman"/>
          <w:b/>
          <w:bCs/>
          <w:sz w:val="27"/>
          <w:szCs w:val="27"/>
        </w:rPr>
        <w:t>Conclusion</w:t>
      </w:r>
    </w:p>
    <w:p w14:paraId="199F2697" w14:textId="77777777" w:rsidR="00C750DB" w:rsidRPr="00B73A29" w:rsidRDefault="00C750DB" w:rsidP="00C750DB">
      <w:pPr>
        <w:pStyle w:val="pdq2pgselectionanchorcontainer"/>
        <w:jc w:val="both"/>
      </w:pPr>
      <w:r w:rsidRPr="00B73A29">
        <w:t xml:space="preserve">This study presented a simulated ultra-low-power LC voltage-controlled oscillator implemented in 0.18 </w:t>
      </w:r>
      <w:proofErr w:type="spellStart"/>
      <w:r w:rsidRPr="00B73A29">
        <w:t>μm</w:t>
      </w:r>
      <w:proofErr w:type="spellEnd"/>
      <w:r w:rsidRPr="00B73A29">
        <w:t xml:space="preserve"> CMOS technology. The proposed circuit adopts an NMOS-only cross-coupled LC-tank topology operating in the subthreshold region, with an additional PMOS device used for current control. This configuration was intended to reduce dc power consumption while providing the negative resistance required to compensate for resonator losses and maintain oscillation. The simulated VCO operated from a 0.7 V supply and consumed approximately 0.174-0.175 </w:t>
      </w:r>
      <w:proofErr w:type="spellStart"/>
      <w:r w:rsidRPr="00B73A29">
        <w:t>mW</w:t>
      </w:r>
      <w:proofErr w:type="spellEnd"/>
      <w:r w:rsidRPr="00B73A29">
        <w:t xml:space="preserve"> of dc power. It achieved a frequency tuning range of 5.09-6.19 GHz and a simulated phase noise of -108.6 </w:t>
      </w:r>
      <w:proofErr w:type="spellStart"/>
      <w:r w:rsidRPr="00B73A29">
        <w:t>dBc</w:t>
      </w:r>
      <w:proofErr w:type="spellEnd"/>
      <w:r w:rsidRPr="00B73A29">
        <w:t xml:space="preserve">/Hz at a 1 MHz offset from the 6.19 GHz carrier. The corresponding figure of merit was approximately -192.1 </w:t>
      </w:r>
      <w:proofErr w:type="spellStart"/>
      <w:r w:rsidRPr="00B73A29">
        <w:t>dB.</w:t>
      </w:r>
      <w:proofErr w:type="spellEnd"/>
      <w:r w:rsidRPr="00B73A29">
        <w:t xml:space="preserve"> These results suggest that subthreshold biasing may be useful for low-power RF oscillator design where reduced energy consumption is an important constraint. However, practical suitability should be confirmed through layout-level and measurement-based validation.</w:t>
      </w:r>
    </w:p>
    <w:p w14:paraId="049B5F7B" w14:textId="77777777" w:rsidR="009E746A" w:rsidRPr="00B73A29" w:rsidRDefault="009E746A" w:rsidP="0044023E">
      <w:pPr>
        <w:spacing w:before="100" w:beforeAutospacing="1" w:after="100" w:afterAutospacing="1"/>
        <w:jc w:val="both"/>
        <w:outlineLvl w:val="2"/>
        <w:rPr>
          <w:rFonts w:ascii="Times New Roman" w:eastAsia="Times New Roman" w:hAnsi="Times New Roman" w:cs="Times New Roman"/>
          <w:b/>
          <w:bCs/>
          <w:sz w:val="27"/>
          <w:szCs w:val="27"/>
        </w:rPr>
      </w:pPr>
      <w:r w:rsidRPr="00B73A29">
        <w:rPr>
          <w:rFonts w:ascii="Times New Roman" w:eastAsia="Times New Roman" w:hAnsi="Times New Roman" w:cs="Times New Roman"/>
          <w:b/>
          <w:bCs/>
          <w:sz w:val="27"/>
          <w:szCs w:val="27"/>
        </w:rPr>
        <w:t>Limitations</w:t>
      </w:r>
    </w:p>
    <w:p w14:paraId="47165882" w14:textId="6A18A4FD" w:rsidR="009921E1" w:rsidRPr="00B73A29" w:rsidRDefault="00C750DB" w:rsidP="0044023E">
      <w:pPr>
        <w:spacing w:after="160" w:line="259" w:lineRule="auto"/>
        <w:jc w:val="both"/>
        <w:rPr>
          <w:rFonts w:ascii="Times New Roman" w:eastAsia="Calibri" w:hAnsi="Times New Roman" w:cs="Times New Roman"/>
          <w:kern w:val="2"/>
          <w:sz w:val="28"/>
          <w:szCs w:val="28"/>
          <w:lang w:val="en-IN"/>
        </w:rPr>
      </w:pPr>
      <w:r w:rsidRPr="00B73A29">
        <w:rPr>
          <w:sz w:val="24"/>
          <w:szCs w:val="24"/>
        </w:rPr>
        <w:t>The work is limited to circuit-level simulation and does not include fabricated-silicon measurements. Device dimensions, LC-tank component values, varactor parameters, biasing details, layout information, post-layout parasitic extraction, process-voltage-temperature analysis, and Monte Carlo mismatch analysis are not fully reported. Therefore, the simulated performance should be interpreted cautiously until experimental validation is completed.</w:t>
      </w:r>
    </w:p>
    <w:p w14:paraId="3F4E4F64" w14:textId="77777777" w:rsidR="009921E1" w:rsidRPr="00B73A29" w:rsidRDefault="009921E1" w:rsidP="0044023E">
      <w:pPr>
        <w:spacing w:after="160" w:line="259" w:lineRule="auto"/>
        <w:jc w:val="both"/>
        <w:rPr>
          <w:rFonts w:ascii="Times New Roman" w:eastAsia="Calibri" w:hAnsi="Times New Roman" w:cs="Times New Roman"/>
          <w:kern w:val="2"/>
          <w:sz w:val="24"/>
          <w:szCs w:val="24"/>
          <w:lang w:val="en-IN"/>
        </w:rPr>
      </w:pPr>
    </w:p>
    <w:p w14:paraId="3A4872D7" w14:textId="77777777" w:rsidR="00DC21F3" w:rsidRPr="00B73A29" w:rsidRDefault="00DC21F3" w:rsidP="0044023E">
      <w:pPr>
        <w:spacing w:after="160" w:line="259" w:lineRule="auto"/>
        <w:jc w:val="both"/>
        <w:rPr>
          <w:rFonts w:ascii="Times New Roman" w:eastAsia="Calibri" w:hAnsi="Times New Roman" w:cs="Times New Roman"/>
          <w:b/>
          <w:bCs/>
          <w:kern w:val="2"/>
          <w:sz w:val="24"/>
          <w:szCs w:val="24"/>
          <w:lang w:val="en-IN"/>
        </w:rPr>
      </w:pPr>
      <w:r w:rsidRPr="00B73A29">
        <w:rPr>
          <w:rFonts w:ascii="Times New Roman" w:eastAsia="Calibri" w:hAnsi="Times New Roman" w:cs="Times New Roman"/>
          <w:b/>
          <w:bCs/>
          <w:kern w:val="2"/>
          <w:sz w:val="24"/>
          <w:szCs w:val="24"/>
          <w:lang w:val="en-IN"/>
        </w:rPr>
        <w:t>Declaration of AI Use</w:t>
      </w:r>
    </w:p>
    <w:p w14:paraId="086A6ED6" w14:textId="77777777" w:rsidR="00BD7472" w:rsidRPr="00B73A29" w:rsidRDefault="00DC21F3" w:rsidP="0044023E">
      <w:pPr>
        <w:spacing w:after="160"/>
        <w:jc w:val="both"/>
        <w:rPr>
          <w:rFonts w:ascii="Times New Roman" w:eastAsia="Calibri" w:hAnsi="Times New Roman" w:cs="Times New Roman"/>
          <w:kern w:val="2"/>
          <w:sz w:val="24"/>
          <w:szCs w:val="24"/>
          <w:lang w:val="en-IN"/>
        </w:rPr>
      </w:pPr>
      <w:r w:rsidRPr="00B73A29">
        <w:rPr>
          <w:rFonts w:ascii="Times New Roman" w:eastAsia="Calibri" w:hAnsi="Times New Roman" w:cs="Times New Roman"/>
          <w:kern w:val="2"/>
          <w:sz w:val="24"/>
          <w:szCs w:val="24"/>
          <w:lang w:val="en-IN"/>
        </w:rPr>
        <w:lastRenderedPageBreak/>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62ABB37" w14:textId="77777777" w:rsidR="00BD7472" w:rsidRPr="00B73A29" w:rsidRDefault="00BD7472" w:rsidP="0044023E">
      <w:pPr>
        <w:pStyle w:val="a"/>
        <w:spacing w:before="360" w:after="120"/>
        <w:jc w:val="both"/>
        <w:rPr>
          <w:color w:val="000000"/>
        </w:rPr>
      </w:pPr>
      <w:r w:rsidRPr="00B73A29">
        <w:rPr>
          <w:b/>
          <w:bCs/>
          <w:color w:val="000000"/>
        </w:rPr>
        <w:t xml:space="preserve">REFERENCES </w:t>
      </w:r>
    </w:p>
    <w:p w14:paraId="0B7D5DAC" w14:textId="77777777"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[1] Kwok, K., &amp; Luong, H. C. (2005). Ultra-low-voltage high-performance CMOS VCOs using transformer feedback. </w:t>
      </w:r>
      <w:r w:rsidRPr="00BF7594">
        <w:rPr>
          <w:rFonts w:ascii="Times New Roman" w:eastAsia="Times New Roman" w:hAnsi="Times New Roman" w:cs="Times New Roman"/>
          <w:i/>
          <w:iCs/>
          <w:sz w:val="24"/>
          <w:szCs w:val="24"/>
        </w:rPr>
        <w:t>IEEE Journal of Solid-State Circuits, 40</w:t>
      </w:r>
      <w:r w:rsidRPr="00BF7594">
        <w:rPr>
          <w:rFonts w:ascii="Times New Roman" w:eastAsia="Times New Roman" w:hAnsi="Times New Roman" w:cs="Times New Roman"/>
          <w:sz w:val="24"/>
          <w:szCs w:val="24"/>
        </w:rPr>
        <w:t>(3), 652–660. https://doi.org/10.1109/JSSC.2005.843614</w:t>
      </w:r>
    </w:p>
    <w:p w14:paraId="637F4043" w14:textId="534327BE"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[2] Jung, J., Zhu, S., Liu, P., Chen, Y. E., &amp; Heo, D. (2010). 22-pJ/bit energy-efficient 2.4-GHz implantable OOK transmitter for wireless biotelemetry systems: In vitro experiments using rat skin-mimic. </w:t>
      </w:r>
      <w:r w:rsidRPr="00BF7594">
        <w:rPr>
          <w:rFonts w:ascii="Times New Roman" w:eastAsia="Times New Roman" w:hAnsi="Times New Roman" w:cs="Times New Roman"/>
          <w:i/>
          <w:iCs/>
          <w:sz w:val="24"/>
          <w:szCs w:val="24"/>
        </w:rPr>
        <w:t>IEEE Transactions on Microwave Theory and Techniques, 58</w:t>
      </w:r>
      <w:r w:rsidRPr="00BF7594">
        <w:rPr>
          <w:rFonts w:ascii="Times New Roman" w:eastAsia="Times New Roman" w:hAnsi="Times New Roman" w:cs="Times New Roman"/>
          <w:sz w:val="24"/>
          <w:szCs w:val="24"/>
        </w:rPr>
        <w:t xml:space="preserve">(12), 4102–4111. </w:t>
      </w:r>
      <w:hyperlink r:id="rId22" w:tgtFrame="_new" w:history="1">
        <w:r w:rsidRPr="00BF7594">
          <w:rPr>
            <w:rFonts w:ascii="Times New Roman" w:eastAsia="Times New Roman" w:hAnsi="Times New Roman" w:cs="Times New Roman"/>
            <w:color w:val="0000FF"/>
            <w:sz w:val="24"/>
            <w:szCs w:val="24"/>
            <w:u w:val="single"/>
          </w:rPr>
          <w:t>https://ieeexplore.ieee.org/document/5625933</w:t>
        </w:r>
      </w:hyperlink>
      <w:r w:rsidRPr="00BF7594">
        <w:rPr>
          <w:rFonts w:ascii="Times New Roman" w:eastAsia="Times New Roman" w:hAnsi="Times New Roman" w:cs="Times New Roman"/>
          <w:sz w:val="24"/>
          <w:szCs w:val="24"/>
        </w:rPr>
        <w:t xml:space="preserve"> </w:t>
      </w:r>
    </w:p>
    <w:p w14:paraId="23D12DB2" w14:textId="77777777"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[3] Siddique, A., </w:t>
      </w:r>
      <w:proofErr w:type="spellStart"/>
      <w:r w:rsidRPr="00BF7594">
        <w:rPr>
          <w:rFonts w:ascii="Times New Roman" w:eastAsia="Times New Roman" w:hAnsi="Times New Roman" w:cs="Times New Roman"/>
          <w:sz w:val="24"/>
          <w:szCs w:val="24"/>
        </w:rPr>
        <w:t>Delwar</w:t>
      </w:r>
      <w:proofErr w:type="spellEnd"/>
      <w:r w:rsidRPr="00BF7594">
        <w:rPr>
          <w:rFonts w:ascii="Times New Roman" w:eastAsia="Times New Roman" w:hAnsi="Times New Roman" w:cs="Times New Roman"/>
          <w:sz w:val="24"/>
          <w:szCs w:val="24"/>
        </w:rPr>
        <w:t xml:space="preserve">, T. S., Kurbanov, M., &amp; Ryu, J. Y. (2020). Low-power low-phase noise VCO for 24 GHz applications. </w:t>
      </w:r>
      <w:r w:rsidRPr="00BF7594">
        <w:rPr>
          <w:rFonts w:ascii="Times New Roman" w:eastAsia="Times New Roman" w:hAnsi="Times New Roman" w:cs="Times New Roman"/>
          <w:i/>
          <w:iCs/>
          <w:sz w:val="24"/>
          <w:szCs w:val="24"/>
        </w:rPr>
        <w:t>Microelectronics Journal, 97</w:t>
      </w:r>
      <w:r w:rsidRPr="00BF7594">
        <w:rPr>
          <w:rFonts w:ascii="Times New Roman" w:eastAsia="Times New Roman" w:hAnsi="Times New Roman" w:cs="Times New Roman"/>
          <w:sz w:val="24"/>
          <w:szCs w:val="24"/>
        </w:rPr>
        <w:t>, 104720. https://doi.org/10.1016/j.mejo.2020.104720</w:t>
      </w:r>
    </w:p>
    <w:p w14:paraId="2AD2D9F6" w14:textId="77777777"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[4] Jang, S. L., &amp; Lee, C. F. (2007). A low voltage and power LC VCO implemented with dynamic threshold voltage MOSFETs. </w:t>
      </w:r>
      <w:r w:rsidRPr="00BF7594">
        <w:rPr>
          <w:rFonts w:ascii="Times New Roman" w:eastAsia="Times New Roman" w:hAnsi="Times New Roman" w:cs="Times New Roman"/>
          <w:i/>
          <w:iCs/>
          <w:sz w:val="24"/>
          <w:szCs w:val="24"/>
        </w:rPr>
        <w:t>IEEE Microwave and Wireless Components Letters, 17</w:t>
      </w:r>
      <w:r w:rsidRPr="00BF7594">
        <w:rPr>
          <w:rFonts w:ascii="Times New Roman" w:eastAsia="Times New Roman" w:hAnsi="Times New Roman" w:cs="Times New Roman"/>
          <w:sz w:val="24"/>
          <w:szCs w:val="24"/>
        </w:rPr>
        <w:t>(5), 376–378. https://doi.org/10.1109/LMWC.2007.895720</w:t>
      </w:r>
    </w:p>
    <w:p w14:paraId="7600731A" w14:textId="77777777"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[5] Jang, S. L., Huang, C. J., Hsue, C. W., &amp; Chang, C. W. (2010). A 0.3 V cross-coupled VCO using dynamic threshold MOSFET. </w:t>
      </w:r>
      <w:r w:rsidRPr="00BF7594">
        <w:rPr>
          <w:rFonts w:ascii="Times New Roman" w:eastAsia="Times New Roman" w:hAnsi="Times New Roman" w:cs="Times New Roman"/>
          <w:i/>
          <w:iCs/>
          <w:sz w:val="24"/>
          <w:szCs w:val="24"/>
        </w:rPr>
        <w:t>IEEE Microwave and Wireless Components Letters, 20</w:t>
      </w:r>
      <w:r w:rsidRPr="00BF7594">
        <w:rPr>
          <w:rFonts w:ascii="Times New Roman" w:eastAsia="Times New Roman" w:hAnsi="Times New Roman" w:cs="Times New Roman"/>
          <w:sz w:val="24"/>
          <w:szCs w:val="24"/>
        </w:rPr>
        <w:t>(3), 166–168. https://doi.org/10.1109/LMWC.2010.2040220</w:t>
      </w:r>
    </w:p>
    <w:p w14:paraId="0A4CAA41" w14:textId="77777777"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[6] Brandolini, M., Rossi, P., </w:t>
      </w:r>
      <w:proofErr w:type="spellStart"/>
      <w:r w:rsidRPr="00BF7594">
        <w:rPr>
          <w:rFonts w:ascii="Times New Roman" w:eastAsia="Times New Roman" w:hAnsi="Times New Roman" w:cs="Times New Roman"/>
          <w:sz w:val="24"/>
          <w:szCs w:val="24"/>
        </w:rPr>
        <w:t>Manstretta</w:t>
      </w:r>
      <w:proofErr w:type="spellEnd"/>
      <w:r w:rsidRPr="00BF7594">
        <w:rPr>
          <w:rFonts w:ascii="Times New Roman" w:eastAsia="Times New Roman" w:hAnsi="Times New Roman" w:cs="Times New Roman"/>
          <w:sz w:val="24"/>
          <w:szCs w:val="24"/>
        </w:rPr>
        <w:t xml:space="preserve">, D., &amp; </w:t>
      </w:r>
      <w:proofErr w:type="spellStart"/>
      <w:r w:rsidRPr="00BF7594">
        <w:rPr>
          <w:rFonts w:ascii="Times New Roman" w:eastAsia="Times New Roman" w:hAnsi="Times New Roman" w:cs="Times New Roman"/>
          <w:sz w:val="24"/>
          <w:szCs w:val="24"/>
        </w:rPr>
        <w:t>Svelto</w:t>
      </w:r>
      <w:proofErr w:type="spellEnd"/>
      <w:r w:rsidRPr="00BF7594">
        <w:rPr>
          <w:rFonts w:ascii="Times New Roman" w:eastAsia="Times New Roman" w:hAnsi="Times New Roman" w:cs="Times New Roman"/>
          <w:sz w:val="24"/>
          <w:szCs w:val="24"/>
        </w:rPr>
        <w:t xml:space="preserve">, F. (2005). Toward </w:t>
      </w:r>
      <w:proofErr w:type="spellStart"/>
      <w:r w:rsidRPr="00BF7594">
        <w:rPr>
          <w:rFonts w:ascii="Times New Roman" w:eastAsia="Times New Roman" w:hAnsi="Times New Roman" w:cs="Times New Roman"/>
          <w:sz w:val="24"/>
          <w:szCs w:val="24"/>
        </w:rPr>
        <w:t>multistandard</w:t>
      </w:r>
      <w:proofErr w:type="spellEnd"/>
      <w:r w:rsidRPr="00BF7594">
        <w:rPr>
          <w:rFonts w:ascii="Times New Roman" w:eastAsia="Times New Roman" w:hAnsi="Times New Roman" w:cs="Times New Roman"/>
          <w:sz w:val="24"/>
          <w:szCs w:val="24"/>
        </w:rPr>
        <w:t xml:space="preserve"> mobile terminals—Fully integrated receivers: Requirements and architectures. </w:t>
      </w:r>
      <w:r w:rsidRPr="00BF7594">
        <w:rPr>
          <w:rFonts w:ascii="Times New Roman" w:eastAsia="Times New Roman" w:hAnsi="Times New Roman" w:cs="Times New Roman"/>
          <w:i/>
          <w:iCs/>
          <w:sz w:val="24"/>
          <w:szCs w:val="24"/>
        </w:rPr>
        <w:t>IEEE Transactions on Microwave Theory and Techniques, 53</w:t>
      </w:r>
      <w:r w:rsidRPr="00BF7594">
        <w:rPr>
          <w:rFonts w:ascii="Times New Roman" w:eastAsia="Times New Roman" w:hAnsi="Times New Roman" w:cs="Times New Roman"/>
          <w:sz w:val="24"/>
          <w:szCs w:val="24"/>
        </w:rPr>
        <w:t>(3), 1026–1038. https://doi.org/10.1109/TMTT.2005.843505</w:t>
      </w:r>
    </w:p>
    <w:p w14:paraId="3A2C3231" w14:textId="7AF3FCA3"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[7] Lee, H., &amp; Mohammadi, S. (2007). A subthreshold low phase noise CMOS LC VCO for ultra-low-power applications. </w:t>
      </w:r>
      <w:r w:rsidRPr="00BF7594">
        <w:rPr>
          <w:rFonts w:ascii="Times New Roman" w:eastAsia="Times New Roman" w:hAnsi="Times New Roman" w:cs="Times New Roman"/>
          <w:i/>
          <w:iCs/>
          <w:sz w:val="24"/>
          <w:szCs w:val="24"/>
        </w:rPr>
        <w:t>IEEE Microwave and Wireless Components Letters, 17</w:t>
      </w:r>
      <w:r w:rsidRPr="00BF7594">
        <w:rPr>
          <w:rFonts w:ascii="Times New Roman" w:eastAsia="Times New Roman" w:hAnsi="Times New Roman" w:cs="Times New Roman"/>
          <w:sz w:val="24"/>
          <w:szCs w:val="24"/>
        </w:rPr>
        <w:t xml:space="preserve">(11), 796–798. https://doi.org/10.1109/LMWC.2007.908057 </w:t>
      </w:r>
    </w:p>
    <w:p w14:paraId="4C8E4C94" w14:textId="77777777"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[8] Zou, W., Li, P., Yao, J., Liu, H., Cheng, Z., Wang, M., Zhang, L., Pan, M., &amp; Zou, X. (2026). A wideband low-phase-noise VCO with low-coupled 8-shaped inductor. </w:t>
      </w:r>
      <w:r w:rsidRPr="00BF7594">
        <w:rPr>
          <w:rFonts w:ascii="Times New Roman" w:eastAsia="Times New Roman" w:hAnsi="Times New Roman" w:cs="Times New Roman"/>
          <w:i/>
          <w:iCs/>
          <w:sz w:val="24"/>
          <w:szCs w:val="24"/>
        </w:rPr>
        <w:t>Microelectronics Journal, 174</w:t>
      </w:r>
      <w:r w:rsidRPr="00BF7594">
        <w:rPr>
          <w:rFonts w:ascii="Times New Roman" w:eastAsia="Times New Roman" w:hAnsi="Times New Roman" w:cs="Times New Roman"/>
          <w:sz w:val="24"/>
          <w:szCs w:val="24"/>
        </w:rPr>
        <w:t xml:space="preserve">, 107221. </w:t>
      </w:r>
      <w:hyperlink r:id="rId23" w:tgtFrame="_new" w:history="1">
        <w:r w:rsidRPr="00BF7594">
          <w:rPr>
            <w:rFonts w:ascii="Times New Roman" w:eastAsia="Times New Roman" w:hAnsi="Times New Roman" w:cs="Times New Roman"/>
            <w:color w:val="0000FF"/>
            <w:sz w:val="24"/>
            <w:szCs w:val="24"/>
            <w:u w:val="single"/>
          </w:rPr>
          <w:t>https://www.sciencedirect.com/journal/microelectronics-journal/vol/174/suppl/C</w:t>
        </w:r>
      </w:hyperlink>
    </w:p>
    <w:p w14:paraId="0A1CAE40" w14:textId="77777777"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lastRenderedPageBreak/>
        <w:t xml:space="preserve">[9] </w:t>
      </w:r>
      <w:proofErr w:type="spellStart"/>
      <w:r w:rsidRPr="00BF7594">
        <w:rPr>
          <w:rFonts w:ascii="Times New Roman" w:eastAsia="Times New Roman" w:hAnsi="Times New Roman" w:cs="Times New Roman"/>
          <w:sz w:val="24"/>
          <w:szCs w:val="24"/>
        </w:rPr>
        <w:t>Psycharis</w:t>
      </w:r>
      <w:proofErr w:type="spellEnd"/>
      <w:r w:rsidRPr="00BF7594">
        <w:rPr>
          <w:rFonts w:ascii="Times New Roman" w:eastAsia="Times New Roman" w:hAnsi="Times New Roman" w:cs="Times New Roman"/>
          <w:sz w:val="24"/>
          <w:szCs w:val="24"/>
        </w:rPr>
        <w:t xml:space="preserve">, I. D., </w:t>
      </w:r>
      <w:proofErr w:type="spellStart"/>
      <w:r w:rsidRPr="00BF7594">
        <w:rPr>
          <w:rFonts w:ascii="Times New Roman" w:eastAsia="Times New Roman" w:hAnsi="Times New Roman" w:cs="Times New Roman"/>
          <w:sz w:val="24"/>
          <w:szCs w:val="24"/>
        </w:rPr>
        <w:t>Tsourtis</w:t>
      </w:r>
      <w:proofErr w:type="spellEnd"/>
      <w:r w:rsidRPr="00BF7594">
        <w:rPr>
          <w:rFonts w:ascii="Times New Roman" w:eastAsia="Times New Roman" w:hAnsi="Times New Roman" w:cs="Times New Roman"/>
          <w:sz w:val="24"/>
          <w:szCs w:val="24"/>
        </w:rPr>
        <w:t xml:space="preserve">, V., &amp; Kalivas, G. (2024). A 60 GHz low phase noise VCO with second harmonic tail extraction in 40-nm CMOS. </w:t>
      </w:r>
      <w:r w:rsidRPr="00BF7594">
        <w:rPr>
          <w:rFonts w:ascii="Times New Roman" w:eastAsia="Times New Roman" w:hAnsi="Times New Roman" w:cs="Times New Roman"/>
          <w:i/>
          <w:iCs/>
          <w:sz w:val="24"/>
          <w:szCs w:val="24"/>
        </w:rPr>
        <w:t>AEU–International Journal of Electronics and Communications, 186</w:t>
      </w:r>
      <w:r w:rsidRPr="00BF7594">
        <w:rPr>
          <w:rFonts w:ascii="Times New Roman" w:eastAsia="Times New Roman" w:hAnsi="Times New Roman" w:cs="Times New Roman"/>
          <w:sz w:val="24"/>
          <w:szCs w:val="24"/>
        </w:rPr>
        <w:t>, 155488. https://doi.org/10.1016/j.aeue.2024.155488</w:t>
      </w:r>
    </w:p>
    <w:p w14:paraId="0955709F" w14:textId="77777777"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[10] </w:t>
      </w:r>
      <w:proofErr w:type="spellStart"/>
      <w:r w:rsidRPr="00BF7594">
        <w:rPr>
          <w:rFonts w:ascii="Times New Roman" w:eastAsia="Times New Roman" w:hAnsi="Times New Roman" w:cs="Times New Roman"/>
          <w:sz w:val="24"/>
          <w:szCs w:val="24"/>
        </w:rPr>
        <w:t>Sivaraaj</w:t>
      </w:r>
      <w:proofErr w:type="spellEnd"/>
      <w:r w:rsidRPr="00BF7594">
        <w:rPr>
          <w:rFonts w:ascii="Times New Roman" w:eastAsia="Times New Roman" w:hAnsi="Times New Roman" w:cs="Times New Roman"/>
          <w:sz w:val="24"/>
          <w:szCs w:val="24"/>
        </w:rPr>
        <w:t xml:space="preserve">, N. R., &amp; Abdul Majeed, K. K. (2025). Ultra-low-power Ka-band phase noise </w:t>
      </w:r>
      <w:proofErr w:type="spellStart"/>
      <w:r w:rsidRPr="00BF7594">
        <w:rPr>
          <w:rFonts w:ascii="Times New Roman" w:eastAsia="Times New Roman" w:hAnsi="Times New Roman" w:cs="Times New Roman"/>
          <w:sz w:val="24"/>
          <w:szCs w:val="24"/>
        </w:rPr>
        <w:t>optimised</w:t>
      </w:r>
      <w:proofErr w:type="spellEnd"/>
      <w:r w:rsidRPr="00BF7594">
        <w:rPr>
          <w:rFonts w:ascii="Times New Roman" w:eastAsia="Times New Roman" w:hAnsi="Times New Roman" w:cs="Times New Roman"/>
          <w:sz w:val="24"/>
          <w:szCs w:val="24"/>
        </w:rPr>
        <w:t xml:space="preserve"> LCVCO with enhanced FOM of −197.300 </w:t>
      </w:r>
      <w:proofErr w:type="spellStart"/>
      <w:r w:rsidRPr="00BF7594">
        <w:rPr>
          <w:rFonts w:ascii="Times New Roman" w:eastAsia="Times New Roman" w:hAnsi="Times New Roman" w:cs="Times New Roman"/>
          <w:sz w:val="24"/>
          <w:szCs w:val="24"/>
        </w:rPr>
        <w:t>dBc</w:t>
      </w:r>
      <w:proofErr w:type="spellEnd"/>
      <w:r w:rsidRPr="00BF7594">
        <w:rPr>
          <w:rFonts w:ascii="Times New Roman" w:eastAsia="Times New Roman" w:hAnsi="Times New Roman" w:cs="Times New Roman"/>
          <w:sz w:val="24"/>
          <w:szCs w:val="24"/>
        </w:rPr>
        <w:t xml:space="preserve">/Hz. </w:t>
      </w:r>
      <w:r w:rsidRPr="00BF7594">
        <w:rPr>
          <w:rFonts w:ascii="Times New Roman" w:eastAsia="Times New Roman" w:hAnsi="Times New Roman" w:cs="Times New Roman"/>
          <w:i/>
          <w:iCs/>
          <w:sz w:val="24"/>
          <w:szCs w:val="24"/>
        </w:rPr>
        <w:t>Results in Engineering, 25</w:t>
      </w:r>
      <w:r w:rsidRPr="00BF7594">
        <w:rPr>
          <w:rFonts w:ascii="Times New Roman" w:eastAsia="Times New Roman" w:hAnsi="Times New Roman" w:cs="Times New Roman"/>
          <w:sz w:val="24"/>
          <w:szCs w:val="24"/>
        </w:rPr>
        <w:t>, 103718. https://doi.org/10.1016/j.rineng.2024.103718</w:t>
      </w:r>
    </w:p>
    <w:p w14:paraId="2DCE2D0C" w14:textId="77777777"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[11] Jeong, C. Y., &amp; Yoo, C. (2006). 5-GHz low-phase noise CMOS quadrature VCO. </w:t>
      </w:r>
      <w:r w:rsidRPr="00BF7594">
        <w:rPr>
          <w:rFonts w:ascii="Times New Roman" w:eastAsia="Times New Roman" w:hAnsi="Times New Roman" w:cs="Times New Roman"/>
          <w:i/>
          <w:iCs/>
          <w:sz w:val="24"/>
          <w:szCs w:val="24"/>
        </w:rPr>
        <w:t>IEEE Microwave and Wireless Components Letters, 16</w:t>
      </w:r>
      <w:r w:rsidRPr="00BF7594">
        <w:rPr>
          <w:rFonts w:ascii="Times New Roman" w:eastAsia="Times New Roman" w:hAnsi="Times New Roman" w:cs="Times New Roman"/>
          <w:sz w:val="24"/>
          <w:szCs w:val="24"/>
        </w:rPr>
        <w:t>(11), 609–611. https://doi.org/10.1109/LMWC.2006.884908</w:t>
      </w:r>
    </w:p>
    <w:p w14:paraId="59A3026B" w14:textId="2EC19DB8"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[12] Park, D., &amp; Cho, S. (2009). Design techniques for a low-voltage VCO with wide tuning range and low sensitivity to environmental variations. </w:t>
      </w:r>
      <w:r w:rsidRPr="00BF7594">
        <w:rPr>
          <w:rFonts w:ascii="Times New Roman" w:eastAsia="Times New Roman" w:hAnsi="Times New Roman" w:cs="Times New Roman"/>
          <w:i/>
          <w:iCs/>
          <w:sz w:val="24"/>
          <w:szCs w:val="24"/>
        </w:rPr>
        <w:t>IEEE Transactions on Microwave Theory and Techniques, 57</w:t>
      </w:r>
      <w:r w:rsidRPr="00BF7594">
        <w:rPr>
          <w:rFonts w:ascii="Times New Roman" w:eastAsia="Times New Roman" w:hAnsi="Times New Roman" w:cs="Times New Roman"/>
          <w:sz w:val="24"/>
          <w:szCs w:val="24"/>
        </w:rPr>
        <w:t xml:space="preserve">(4), 767–774. https://doi.org/10.1109/TMTT.2009.2015112 </w:t>
      </w:r>
    </w:p>
    <w:p w14:paraId="5DA0B3A3" w14:textId="70A59038"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[13] Jung, J. P., Upadhyaya, P., Liu, P., &amp; Heo, D. (2011). Compact sub-1mW low phase noise CMOS LC-VCO based on power reduction technique. In </w:t>
      </w:r>
      <w:r w:rsidRPr="00BF7594">
        <w:rPr>
          <w:rFonts w:ascii="Times New Roman" w:eastAsia="Times New Roman" w:hAnsi="Times New Roman" w:cs="Times New Roman"/>
          <w:i/>
          <w:iCs/>
          <w:sz w:val="24"/>
          <w:szCs w:val="24"/>
        </w:rPr>
        <w:t>Proceedings of the 2011 IEEE MTT-S International Microwave Symposium</w:t>
      </w:r>
      <w:r w:rsidRPr="00BF7594">
        <w:rPr>
          <w:rFonts w:ascii="Times New Roman" w:eastAsia="Times New Roman" w:hAnsi="Times New Roman" w:cs="Times New Roman"/>
          <w:sz w:val="24"/>
          <w:szCs w:val="24"/>
        </w:rPr>
        <w:t xml:space="preserve"> (pp. 1–4). IEEE. https://ieeexplore.ieee.org/document/5972904 </w:t>
      </w:r>
    </w:p>
    <w:p w14:paraId="79185C36" w14:textId="77777777"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[14] Fathi, D., &amp; </w:t>
      </w:r>
      <w:proofErr w:type="spellStart"/>
      <w:r w:rsidRPr="00BF7594">
        <w:rPr>
          <w:rFonts w:ascii="Times New Roman" w:eastAsia="Times New Roman" w:hAnsi="Times New Roman" w:cs="Times New Roman"/>
          <w:sz w:val="24"/>
          <w:szCs w:val="24"/>
        </w:rPr>
        <w:t>Gorbani</w:t>
      </w:r>
      <w:proofErr w:type="spellEnd"/>
      <w:r w:rsidRPr="00BF7594">
        <w:rPr>
          <w:rFonts w:ascii="Times New Roman" w:eastAsia="Times New Roman" w:hAnsi="Times New Roman" w:cs="Times New Roman"/>
          <w:sz w:val="24"/>
          <w:szCs w:val="24"/>
        </w:rPr>
        <w:t xml:space="preserve"> Nejad, A. (2013). Ultra-low power, low phase noise 10 GHz LC VCO in the subthreshold regime. </w:t>
      </w:r>
      <w:r w:rsidRPr="00BF7594">
        <w:rPr>
          <w:rFonts w:ascii="Times New Roman" w:eastAsia="Times New Roman" w:hAnsi="Times New Roman" w:cs="Times New Roman"/>
          <w:i/>
          <w:iCs/>
          <w:sz w:val="24"/>
          <w:szCs w:val="24"/>
        </w:rPr>
        <w:t>Circuits and Systems, 4</w:t>
      </w:r>
      <w:r w:rsidRPr="00BF7594">
        <w:rPr>
          <w:rFonts w:ascii="Times New Roman" w:eastAsia="Times New Roman" w:hAnsi="Times New Roman" w:cs="Times New Roman"/>
          <w:sz w:val="24"/>
          <w:szCs w:val="24"/>
        </w:rPr>
        <w:t>(4), 350–355. https://doi.org/10.4236/cs.2013.44047</w:t>
      </w:r>
    </w:p>
    <w:p w14:paraId="36968851" w14:textId="77777777"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[15] </w:t>
      </w:r>
      <w:proofErr w:type="spellStart"/>
      <w:r w:rsidRPr="00BF7594">
        <w:rPr>
          <w:rFonts w:ascii="Times New Roman" w:eastAsia="Times New Roman" w:hAnsi="Times New Roman" w:cs="Times New Roman"/>
          <w:sz w:val="24"/>
          <w:szCs w:val="24"/>
        </w:rPr>
        <w:t>Neerugatti</w:t>
      </w:r>
      <w:proofErr w:type="spellEnd"/>
      <w:r w:rsidRPr="00BF7594">
        <w:rPr>
          <w:rFonts w:ascii="Times New Roman" w:eastAsia="Times New Roman" w:hAnsi="Times New Roman" w:cs="Times New Roman"/>
          <w:sz w:val="24"/>
          <w:szCs w:val="24"/>
        </w:rPr>
        <w:t xml:space="preserve">, K., &amp; Pakala, V. (2024). Design of low power and low phase noise LC-VCO for Bluetooth/WLAN applications. </w:t>
      </w:r>
      <w:r w:rsidRPr="00BF7594">
        <w:rPr>
          <w:rFonts w:ascii="Times New Roman" w:eastAsia="Times New Roman" w:hAnsi="Times New Roman" w:cs="Times New Roman"/>
          <w:i/>
          <w:iCs/>
          <w:sz w:val="24"/>
          <w:szCs w:val="24"/>
        </w:rPr>
        <w:t>AEU–International Journal of Electronics and Communications, 177</w:t>
      </w:r>
      <w:r w:rsidRPr="00BF7594">
        <w:rPr>
          <w:rFonts w:ascii="Times New Roman" w:eastAsia="Times New Roman" w:hAnsi="Times New Roman" w:cs="Times New Roman"/>
          <w:sz w:val="24"/>
          <w:szCs w:val="24"/>
        </w:rPr>
        <w:t>, 155227. https://doi.org/10.1016/j.aeue.2024.155227</w:t>
      </w:r>
    </w:p>
    <w:p w14:paraId="47F85947" w14:textId="77777777"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[16] Siddiqui, M. F., Maheshwari, M. K., Raza, M., &amp; Masud, A. R. (2023). Design and optimization of an ultra-low-power cross-coupled LC VCO with a DFF frequency divider for 2.4 GHz RF receivers using 65 nm CMOS technology. </w:t>
      </w:r>
      <w:r w:rsidRPr="00BF7594">
        <w:rPr>
          <w:rFonts w:ascii="Times New Roman" w:eastAsia="Times New Roman" w:hAnsi="Times New Roman" w:cs="Times New Roman"/>
          <w:i/>
          <w:iCs/>
          <w:sz w:val="24"/>
          <w:szCs w:val="24"/>
        </w:rPr>
        <w:t>Journal of Low Power Electronics and Applications, 13</w:t>
      </w:r>
      <w:r w:rsidRPr="00BF7594">
        <w:rPr>
          <w:rFonts w:ascii="Times New Roman" w:eastAsia="Times New Roman" w:hAnsi="Times New Roman" w:cs="Times New Roman"/>
          <w:sz w:val="24"/>
          <w:szCs w:val="24"/>
        </w:rPr>
        <w:t>(4), 54. https://doi.org/10.3390/jlpea13040054</w:t>
      </w:r>
    </w:p>
    <w:p w14:paraId="1D85C812" w14:textId="77777777"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[17] Wang, X. (2025). Research on low power analog integrated circuit design technology. In </w:t>
      </w:r>
      <w:r w:rsidRPr="00BF7594">
        <w:rPr>
          <w:rFonts w:ascii="Times New Roman" w:eastAsia="Times New Roman" w:hAnsi="Times New Roman" w:cs="Times New Roman"/>
          <w:i/>
          <w:iCs/>
          <w:sz w:val="24"/>
          <w:szCs w:val="24"/>
        </w:rPr>
        <w:t>Proceedings of the 2025 2nd International Conference on Electrical Engineering and Intelligent Control (EEIC 2025)</w:t>
      </w:r>
      <w:r w:rsidRPr="00BF7594">
        <w:rPr>
          <w:rFonts w:ascii="Times New Roman" w:eastAsia="Times New Roman" w:hAnsi="Times New Roman" w:cs="Times New Roman"/>
          <w:sz w:val="24"/>
          <w:szCs w:val="24"/>
        </w:rPr>
        <w:t>. Atlantis Press. https://doi.org/10.2991/978-94-6463-864-6_17</w:t>
      </w:r>
    </w:p>
    <w:p w14:paraId="305914C2" w14:textId="3969AEEC"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[18] </w:t>
      </w:r>
      <w:r w:rsidRPr="00C31BA4">
        <w:rPr>
          <w:rFonts w:ascii="Times New Roman" w:eastAsia="Times New Roman" w:hAnsi="Times New Roman" w:cs="Times New Roman"/>
          <w:sz w:val="24"/>
          <w:szCs w:val="24"/>
        </w:rPr>
        <w:t xml:space="preserve">Goel, E., &amp; Pandey, A. (Eds.). (2023). </w:t>
      </w:r>
      <w:r w:rsidRPr="00C31BA4">
        <w:rPr>
          <w:rFonts w:ascii="Times New Roman" w:eastAsia="Times New Roman" w:hAnsi="Times New Roman" w:cs="Times New Roman"/>
          <w:i/>
          <w:iCs/>
          <w:sz w:val="24"/>
          <w:szCs w:val="24"/>
        </w:rPr>
        <w:t>Nanoscale field effect transistors: Emerging applications</w:t>
      </w:r>
      <w:r w:rsidRPr="00C31BA4">
        <w:rPr>
          <w:rFonts w:ascii="Times New Roman" w:eastAsia="Times New Roman" w:hAnsi="Times New Roman" w:cs="Times New Roman"/>
          <w:sz w:val="24"/>
          <w:szCs w:val="24"/>
        </w:rPr>
        <w:t>. Bentham Books. https://doi.org/10.2174/97898151656471230101</w:t>
      </w:r>
    </w:p>
    <w:p w14:paraId="647E357C" w14:textId="77777777"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[19] Xu, L., Lindfors, S., Stadius, K., &amp; Ryynänen, J. (2009). A digitally controlled 2.4-GHz oscillator in 65-nm CMOS. </w:t>
      </w:r>
      <w:r w:rsidRPr="00BF7594">
        <w:rPr>
          <w:rFonts w:ascii="Times New Roman" w:eastAsia="Times New Roman" w:hAnsi="Times New Roman" w:cs="Times New Roman"/>
          <w:i/>
          <w:iCs/>
          <w:sz w:val="24"/>
          <w:szCs w:val="24"/>
        </w:rPr>
        <w:t>Analog Integrated Circuits and Signal Processing, 58</w:t>
      </w:r>
      <w:r w:rsidRPr="00BF7594">
        <w:rPr>
          <w:rFonts w:ascii="Times New Roman" w:eastAsia="Times New Roman" w:hAnsi="Times New Roman" w:cs="Times New Roman"/>
          <w:sz w:val="24"/>
          <w:szCs w:val="24"/>
        </w:rPr>
        <w:t>(1), 35–42. https://doi.org/10.1007/s10470-008-9178-5</w:t>
      </w:r>
    </w:p>
    <w:p w14:paraId="58D6BC2C" w14:textId="77777777"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lastRenderedPageBreak/>
        <w:t xml:space="preserve">[20] Agito, J. A. M., Zhu, X., Hora, J. A., &amp; Mohammad, H. (2025). Design of low-power digitally controlled oscillator for all-digital PLL receiver in zero-energy IoT devices. In </w:t>
      </w:r>
      <w:r w:rsidRPr="00BF7594">
        <w:rPr>
          <w:rFonts w:ascii="Times New Roman" w:eastAsia="Times New Roman" w:hAnsi="Times New Roman" w:cs="Times New Roman"/>
          <w:i/>
          <w:iCs/>
          <w:sz w:val="24"/>
          <w:szCs w:val="24"/>
        </w:rPr>
        <w:t>Proceedings of the 2025 IEEE Region 10 Conference (TENCON)</w:t>
      </w:r>
      <w:r w:rsidRPr="00BF7594">
        <w:rPr>
          <w:rFonts w:ascii="Times New Roman" w:eastAsia="Times New Roman" w:hAnsi="Times New Roman" w:cs="Times New Roman"/>
          <w:sz w:val="24"/>
          <w:szCs w:val="24"/>
        </w:rPr>
        <w:t xml:space="preserve"> (pp. 1–4). IEEE. https://doi.org/10.1109/TENCON66050.2025.11375116</w:t>
      </w:r>
    </w:p>
    <w:p w14:paraId="40FDD3ED" w14:textId="77777777"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[21] Gomez, F. R. I., De Leon, M. T. G., &amp; Hizon, J. R. E. (2019). Design of common-gate with common-source active balun for WiMAX receiver front-end. </w:t>
      </w:r>
      <w:r w:rsidRPr="00BF7594">
        <w:rPr>
          <w:rFonts w:ascii="Times New Roman" w:eastAsia="Times New Roman" w:hAnsi="Times New Roman" w:cs="Times New Roman"/>
          <w:i/>
          <w:iCs/>
          <w:sz w:val="24"/>
          <w:szCs w:val="24"/>
        </w:rPr>
        <w:t>Journal of Engineering Research and Reports, 6</w:t>
      </w:r>
      <w:r w:rsidRPr="00BF7594">
        <w:rPr>
          <w:rFonts w:ascii="Times New Roman" w:eastAsia="Times New Roman" w:hAnsi="Times New Roman" w:cs="Times New Roman"/>
          <w:sz w:val="24"/>
          <w:szCs w:val="24"/>
        </w:rPr>
        <w:t xml:space="preserve">(1), 1–9. </w:t>
      </w:r>
      <w:hyperlink r:id="rId24" w:tgtFrame="_new" w:history="1">
        <w:r w:rsidRPr="00BF7594">
          <w:rPr>
            <w:rFonts w:ascii="Times New Roman" w:eastAsia="Times New Roman" w:hAnsi="Times New Roman" w:cs="Times New Roman"/>
            <w:color w:val="0000FF"/>
            <w:sz w:val="24"/>
            <w:szCs w:val="24"/>
            <w:u w:val="single"/>
          </w:rPr>
          <w:t>https://doi.org/10.9734/jerr/2019/v6i116939</w:t>
        </w:r>
      </w:hyperlink>
    </w:p>
    <w:p w14:paraId="64B8132C" w14:textId="77777777"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[22] Bhandari, S., Tomar, A., &amp; Chauhan, P. (2026). An energy-efficient 14-T hybrid full adder with high-speed operation in a 45 nm CMOS process. </w:t>
      </w:r>
      <w:r w:rsidRPr="00BF7594">
        <w:rPr>
          <w:rFonts w:ascii="Times New Roman" w:eastAsia="Times New Roman" w:hAnsi="Times New Roman" w:cs="Times New Roman"/>
          <w:i/>
          <w:iCs/>
          <w:sz w:val="24"/>
          <w:szCs w:val="24"/>
        </w:rPr>
        <w:t>Asian Journal of Current Research, 11</w:t>
      </w:r>
      <w:r w:rsidRPr="00BF7594">
        <w:rPr>
          <w:rFonts w:ascii="Times New Roman" w:eastAsia="Times New Roman" w:hAnsi="Times New Roman" w:cs="Times New Roman"/>
          <w:sz w:val="24"/>
          <w:szCs w:val="24"/>
        </w:rPr>
        <w:t xml:space="preserve">(3), 45–55. </w:t>
      </w:r>
      <w:hyperlink r:id="rId25" w:tgtFrame="_new" w:history="1">
        <w:r w:rsidRPr="00BF7594">
          <w:rPr>
            <w:rFonts w:ascii="Times New Roman" w:eastAsia="Times New Roman" w:hAnsi="Times New Roman" w:cs="Times New Roman"/>
            <w:color w:val="0000FF"/>
            <w:sz w:val="24"/>
            <w:szCs w:val="24"/>
            <w:u w:val="single"/>
          </w:rPr>
          <w:t>https://doi.org/10.56557/ajocr/2026/v11i310742</w:t>
        </w:r>
      </w:hyperlink>
    </w:p>
    <w:p w14:paraId="04C4644B" w14:textId="77777777"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[23] Hsu, J.-J., Lin, Y.-C., &amp; Yang, S. J. H. (2025). A 0.8 V low-power wide-tuning-range CMOS VCO for 802.11ac and IoT C-band applications. </w:t>
      </w:r>
      <w:r w:rsidRPr="00BF7594">
        <w:rPr>
          <w:rFonts w:ascii="Times New Roman" w:eastAsia="Times New Roman" w:hAnsi="Times New Roman" w:cs="Times New Roman"/>
          <w:i/>
          <w:iCs/>
          <w:sz w:val="24"/>
          <w:szCs w:val="24"/>
        </w:rPr>
        <w:t>Journal of Low Power Electronics and Applications, 15</w:t>
      </w:r>
      <w:r w:rsidRPr="00BF7594">
        <w:rPr>
          <w:rFonts w:ascii="Times New Roman" w:eastAsia="Times New Roman" w:hAnsi="Times New Roman" w:cs="Times New Roman"/>
          <w:sz w:val="24"/>
          <w:szCs w:val="24"/>
        </w:rPr>
        <w:t xml:space="preserve">(2), 32. </w:t>
      </w:r>
      <w:hyperlink r:id="rId26" w:tgtFrame="_new" w:history="1">
        <w:r w:rsidRPr="00BF7594">
          <w:rPr>
            <w:rFonts w:ascii="Times New Roman" w:eastAsia="Times New Roman" w:hAnsi="Times New Roman" w:cs="Times New Roman"/>
            <w:color w:val="0000FF"/>
            <w:sz w:val="24"/>
            <w:szCs w:val="24"/>
            <w:u w:val="single"/>
          </w:rPr>
          <w:t>https://doi.org/10.3390/jlpea15020032</w:t>
        </w:r>
      </w:hyperlink>
    </w:p>
    <w:p w14:paraId="7D483489" w14:textId="77777777"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[24] </w:t>
      </w:r>
      <w:proofErr w:type="spellStart"/>
      <w:r w:rsidRPr="00BF7594">
        <w:rPr>
          <w:rFonts w:ascii="Times New Roman" w:eastAsia="Times New Roman" w:hAnsi="Times New Roman" w:cs="Times New Roman"/>
          <w:sz w:val="24"/>
          <w:szCs w:val="24"/>
        </w:rPr>
        <w:t>Kurtoglu</w:t>
      </w:r>
      <w:proofErr w:type="spellEnd"/>
      <w:r w:rsidRPr="00BF7594">
        <w:rPr>
          <w:rFonts w:ascii="Times New Roman" w:eastAsia="Times New Roman" w:hAnsi="Times New Roman" w:cs="Times New Roman"/>
          <w:sz w:val="24"/>
          <w:szCs w:val="24"/>
        </w:rPr>
        <w:t xml:space="preserve">, A., Shirazi, A. H. M., </w:t>
      </w:r>
      <w:proofErr w:type="spellStart"/>
      <w:r w:rsidRPr="00BF7594">
        <w:rPr>
          <w:rFonts w:ascii="Times New Roman" w:eastAsia="Times New Roman" w:hAnsi="Times New Roman" w:cs="Times New Roman"/>
          <w:sz w:val="24"/>
          <w:szCs w:val="24"/>
        </w:rPr>
        <w:t>Mirabbasi</w:t>
      </w:r>
      <w:proofErr w:type="spellEnd"/>
      <w:r w:rsidRPr="00BF7594">
        <w:rPr>
          <w:rFonts w:ascii="Times New Roman" w:eastAsia="Times New Roman" w:hAnsi="Times New Roman" w:cs="Times New Roman"/>
          <w:sz w:val="24"/>
          <w:szCs w:val="24"/>
        </w:rPr>
        <w:t xml:space="preserve">, S., &amp; Miri Lavasani, H. (2024). An ultra-low-power 65 nm single-tank 24.5-to-29.1 GHz Gm-enhanced CMOS LC VCO achieving 195.2 </w:t>
      </w:r>
      <w:proofErr w:type="spellStart"/>
      <w:r w:rsidRPr="00BF7594">
        <w:rPr>
          <w:rFonts w:ascii="Times New Roman" w:eastAsia="Times New Roman" w:hAnsi="Times New Roman" w:cs="Times New Roman"/>
          <w:sz w:val="24"/>
          <w:szCs w:val="24"/>
        </w:rPr>
        <w:t>dBc</w:t>
      </w:r>
      <w:proofErr w:type="spellEnd"/>
      <w:r w:rsidRPr="00BF7594">
        <w:rPr>
          <w:rFonts w:ascii="Times New Roman" w:eastAsia="Times New Roman" w:hAnsi="Times New Roman" w:cs="Times New Roman"/>
          <w:sz w:val="24"/>
          <w:szCs w:val="24"/>
        </w:rPr>
        <w:t xml:space="preserve">/Hz </w:t>
      </w:r>
      <w:proofErr w:type="spellStart"/>
      <w:r w:rsidRPr="00BF7594">
        <w:rPr>
          <w:rFonts w:ascii="Times New Roman" w:eastAsia="Times New Roman" w:hAnsi="Times New Roman" w:cs="Times New Roman"/>
          <w:sz w:val="24"/>
          <w:szCs w:val="24"/>
        </w:rPr>
        <w:t>FoM</w:t>
      </w:r>
      <w:proofErr w:type="spellEnd"/>
      <w:r w:rsidRPr="00BF7594">
        <w:rPr>
          <w:rFonts w:ascii="Times New Roman" w:eastAsia="Times New Roman" w:hAnsi="Times New Roman" w:cs="Times New Roman"/>
          <w:sz w:val="24"/>
          <w:szCs w:val="24"/>
        </w:rPr>
        <w:t xml:space="preserve"> at 1 </w:t>
      </w:r>
      <w:proofErr w:type="spellStart"/>
      <w:r w:rsidRPr="00BF7594">
        <w:rPr>
          <w:rFonts w:ascii="Times New Roman" w:eastAsia="Times New Roman" w:hAnsi="Times New Roman" w:cs="Times New Roman"/>
          <w:sz w:val="24"/>
          <w:szCs w:val="24"/>
        </w:rPr>
        <w:t>MHz.</w:t>
      </w:r>
      <w:proofErr w:type="spellEnd"/>
      <w:r w:rsidRPr="00BF7594">
        <w:rPr>
          <w:rFonts w:ascii="Times New Roman" w:eastAsia="Times New Roman" w:hAnsi="Times New Roman" w:cs="Times New Roman"/>
          <w:sz w:val="24"/>
          <w:szCs w:val="24"/>
        </w:rPr>
        <w:t xml:space="preserve"> </w:t>
      </w:r>
      <w:r w:rsidRPr="00BF7594">
        <w:rPr>
          <w:rFonts w:ascii="Times New Roman" w:eastAsia="Times New Roman" w:hAnsi="Times New Roman" w:cs="Times New Roman"/>
          <w:i/>
          <w:iCs/>
          <w:sz w:val="24"/>
          <w:szCs w:val="24"/>
        </w:rPr>
        <w:t>Electronics, 13</w:t>
      </w:r>
      <w:r w:rsidRPr="00BF7594">
        <w:rPr>
          <w:rFonts w:ascii="Times New Roman" w:eastAsia="Times New Roman" w:hAnsi="Times New Roman" w:cs="Times New Roman"/>
          <w:sz w:val="24"/>
          <w:szCs w:val="24"/>
        </w:rPr>
        <w:t xml:space="preserve">(6), 1162. </w:t>
      </w:r>
      <w:hyperlink r:id="rId27" w:tgtFrame="_new" w:history="1">
        <w:r w:rsidRPr="00BF7594">
          <w:rPr>
            <w:rFonts w:ascii="Times New Roman" w:eastAsia="Times New Roman" w:hAnsi="Times New Roman" w:cs="Times New Roman"/>
            <w:color w:val="0000FF"/>
            <w:sz w:val="24"/>
            <w:szCs w:val="24"/>
            <w:u w:val="single"/>
          </w:rPr>
          <w:t>https://doi.org/10.3390/electronics13061162</w:t>
        </w:r>
      </w:hyperlink>
    </w:p>
    <w:p w14:paraId="56145AD0" w14:textId="77777777"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[25] Suresh, N., Kumar, S. A., &amp; </w:t>
      </w:r>
      <w:proofErr w:type="spellStart"/>
      <w:r w:rsidRPr="00BF7594">
        <w:rPr>
          <w:rFonts w:ascii="Times New Roman" w:eastAsia="Times New Roman" w:hAnsi="Times New Roman" w:cs="Times New Roman"/>
          <w:sz w:val="24"/>
          <w:szCs w:val="24"/>
        </w:rPr>
        <w:t>Kamatham</w:t>
      </w:r>
      <w:proofErr w:type="spellEnd"/>
      <w:r w:rsidRPr="00BF7594">
        <w:rPr>
          <w:rFonts w:ascii="Times New Roman" w:eastAsia="Times New Roman" w:hAnsi="Times New Roman" w:cs="Times New Roman"/>
          <w:sz w:val="24"/>
          <w:szCs w:val="24"/>
        </w:rPr>
        <w:t xml:space="preserve">, H. (2024). Design of CMOS based LC-voltage control oscillator using substrate bias effect and current mirror technique. </w:t>
      </w:r>
      <w:r w:rsidRPr="00BF7594">
        <w:rPr>
          <w:rFonts w:ascii="Times New Roman" w:eastAsia="Times New Roman" w:hAnsi="Times New Roman" w:cs="Times New Roman"/>
          <w:i/>
          <w:iCs/>
          <w:sz w:val="24"/>
          <w:szCs w:val="24"/>
        </w:rPr>
        <w:t>Wireless Personal Communications, 138</w:t>
      </w:r>
      <w:r w:rsidRPr="00BF7594">
        <w:rPr>
          <w:rFonts w:ascii="Times New Roman" w:eastAsia="Times New Roman" w:hAnsi="Times New Roman" w:cs="Times New Roman"/>
          <w:sz w:val="24"/>
          <w:szCs w:val="24"/>
        </w:rPr>
        <w:t xml:space="preserve">, 1351–1362. </w:t>
      </w:r>
      <w:hyperlink r:id="rId28" w:tgtFrame="_new" w:history="1">
        <w:r w:rsidRPr="00BF7594">
          <w:rPr>
            <w:rFonts w:ascii="Times New Roman" w:eastAsia="Times New Roman" w:hAnsi="Times New Roman" w:cs="Times New Roman"/>
            <w:color w:val="0000FF"/>
            <w:sz w:val="24"/>
            <w:szCs w:val="24"/>
            <w:u w:val="single"/>
          </w:rPr>
          <w:t>https://doi.org/10.1007/s11277-024-11567-5</w:t>
        </w:r>
      </w:hyperlink>
    </w:p>
    <w:p w14:paraId="65ECBEE4" w14:textId="77777777"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[26] Jamali, S., &amp; </w:t>
      </w:r>
      <w:proofErr w:type="spellStart"/>
      <w:r w:rsidRPr="00BF7594">
        <w:rPr>
          <w:rFonts w:ascii="Times New Roman" w:eastAsia="Times New Roman" w:hAnsi="Times New Roman" w:cs="Times New Roman"/>
          <w:sz w:val="24"/>
          <w:szCs w:val="24"/>
        </w:rPr>
        <w:t>Ehsanian</w:t>
      </w:r>
      <w:proofErr w:type="spellEnd"/>
      <w:r w:rsidRPr="00BF7594">
        <w:rPr>
          <w:rFonts w:ascii="Times New Roman" w:eastAsia="Times New Roman" w:hAnsi="Times New Roman" w:cs="Times New Roman"/>
          <w:sz w:val="24"/>
          <w:szCs w:val="24"/>
        </w:rPr>
        <w:t xml:space="preserve">, M. (2025). A cross-coupled wideband low-phase-noise VCO in 130 nm CMOS using a linear I-MOS varactor. </w:t>
      </w:r>
      <w:r w:rsidRPr="00BF7594">
        <w:rPr>
          <w:rFonts w:ascii="Times New Roman" w:eastAsia="Times New Roman" w:hAnsi="Times New Roman" w:cs="Times New Roman"/>
          <w:i/>
          <w:iCs/>
          <w:sz w:val="24"/>
          <w:szCs w:val="24"/>
        </w:rPr>
        <w:t>Analog Integrated Circuits and Signal Processing, 124</w:t>
      </w:r>
      <w:r w:rsidRPr="00BF7594">
        <w:rPr>
          <w:rFonts w:ascii="Times New Roman" w:eastAsia="Times New Roman" w:hAnsi="Times New Roman" w:cs="Times New Roman"/>
          <w:sz w:val="24"/>
          <w:szCs w:val="24"/>
        </w:rPr>
        <w:t xml:space="preserve">, 69. </w:t>
      </w:r>
      <w:hyperlink r:id="rId29" w:tgtFrame="_new" w:history="1">
        <w:r w:rsidRPr="00BF7594">
          <w:rPr>
            <w:rFonts w:ascii="Times New Roman" w:eastAsia="Times New Roman" w:hAnsi="Times New Roman" w:cs="Times New Roman"/>
            <w:color w:val="0000FF"/>
            <w:sz w:val="24"/>
            <w:szCs w:val="24"/>
            <w:u w:val="single"/>
          </w:rPr>
          <w:t>https://doi.org/10.1007/s10470-025-02472-3</w:t>
        </w:r>
      </w:hyperlink>
    </w:p>
    <w:p w14:paraId="46642F28" w14:textId="77777777"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[27] Fu, H., Nie, L., Wang, Z., &amp; Ma, K. (2024). Low phase noise and wide tuning range VCO using switchable weakly coupled VCO-cores. </w:t>
      </w:r>
      <w:r w:rsidRPr="00BF7594">
        <w:rPr>
          <w:rFonts w:ascii="Times New Roman" w:eastAsia="Times New Roman" w:hAnsi="Times New Roman" w:cs="Times New Roman"/>
          <w:i/>
          <w:iCs/>
          <w:sz w:val="24"/>
          <w:szCs w:val="24"/>
        </w:rPr>
        <w:t>IEICE Electronics Express, 21</w:t>
      </w:r>
      <w:r w:rsidRPr="00BF7594">
        <w:rPr>
          <w:rFonts w:ascii="Times New Roman" w:eastAsia="Times New Roman" w:hAnsi="Times New Roman" w:cs="Times New Roman"/>
          <w:sz w:val="24"/>
          <w:szCs w:val="24"/>
        </w:rPr>
        <w:t xml:space="preserve">(5), 20230611. </w:t>
      </w:r>
      <w:hyperlink r:id="rId30" w:tgtFrame="_new" w:history="1">
        <w:r w:rsidRPr="00BF7594">
          <w:rPr>
            <w:rFonts w:ascii="Times New Roman" w:eastAsia="Times New Roman" w:hAnsi="Times New Roman" w:cs="Times New Roman"/>
            <w:color w:val="0000FF"/>
            <w:sz w:val="24"/>
            <w:szCs w:val="24"/>
            <w:u w:val="single"/>
          </w:rPr>
          <w:t>https://doi.org/10.1587/elex.21.20230611</w:t>
        </w:r>
      </w:hyperlink>
    </w:p>
    <w:p w14:paraId="0C71F4D1" w14:textId="77777777" w:rsidR="00BF7594" w:rsidRPr="00BF7594" w:rsidRDefault="00BF7594" w:rsidP="00BF7594">
      <w:pPr>
        <w:spacing w:before="100" w:beforeAutospacing="1" w:after="100" w:afterAutospacing="1" w:line="240" w:lineRule="auto"/>
        <w:rPr>
          <w:rFonts w:ascii="Times New Roman" w:eastAsia="Times New Roman" w:hAnsi="Times New Roman" w:cs="Times New Roman"/>
          <w:sz w:val="24"/>
          <w:szCs w:val="24"/>
        </w:rPr>
      </w:pPr>
      <w:r w:rsidRPr="00BF7594">
        <w:rPr>
          <w:rFonts w:ascii="Times New Roman" w:eastAsia="Times New Roman" w:hAnsi="Times New Roman" w:cs="Times New Roman"/>
          <w:sz w:val="24"/>
          <w:szCs w:val="24"/>
        </w:rPr>
        <w:t xml:space="preserve">[28] Li, Z., Yang, H., Sun, P., &amp; Li, M. (2025). A high area </w:t>
      </w:r>
      <w:proofErr w:type="spellStart"/>
      <w:r w:rsidRPr="00BF7594">
        <w:rPr>
          <w:rFonts w:ascii="Times New Roman" w:eastAsia="Times New Roman" w:hAnsi="Times New Roman" w:cs="Times New Roman"/>
          <w:sz w:val="24"/>
          <w:szCs w:val="24"/>
        </w:rPr>
        <w:t>utilisation</w:t>
      </w:r>
      <w:proofErr w:type="spellEnd"/>
      <w:r w:rsidRPr="00BF7594">
        <w:rPr>
          <w:rFonts w:ascii="Times New Roman" w:eastAsia="Times New Roman" w:hAnsi="Times New Roman" w:cs="Times New Roman"/>
          <w:sz w:val="24"/>
          <w:szCs w:val="24"/>
        </w:rPr>
        <w:t xml:space="preserve"> cross-symmetric main and tail inductor applicable to enhanced </w:t>
      </w:r>
      <w:proofErr w:type="spellStart"/>
      <w:r w:rsidRPr="00BF7594">
        <w:rPr>
          <w:rFonts w:ascii="Times New Roman" w:eastAsia="Times New Roman" w:hAnsi="Times New Roman" w:cs="Times New Roman"/>
          <w:sz w:val="24"/>
          <w:szCs w:val="24"/>
        </w:rPr>
        <w:t>FoM</w:t>
      </w:r>
      <w:proofErr w:type="spellEnd"/>
      <w:r w:rsidRPr="00BF7594">
        <w:rPr>
          <w:rFonts w:ascii="Times New Roman" w:eastAsia="Times New Roman" w:hAnsi="Times New Roman" w:cs="Times New Roman"/>
          <w:sz w:val="24"/>
          <w:szCs w:val="24"/>
        </w:rPr>
        <w:t xml:space="preserve"> LC-VCO. </w:t>
      </w:r>
      <w:r w:rsidRPr="00BF7594">
        <w:rPr>
          <w:rFonts w:ascii="Times New Roman" w:eastAsia="Times New Roman" w:hAnsi="Times New Roman" w:cs="Times New Roman"/>
          <w:i/>
          <w:iCs/>
          <w:sz w:val="24"/>
          <w:szCs w:val="24"/>
        </w:rPr>
        <w:t>IEICE Electronics Express, 22</w:t>
      </w:r>
      <w:r w:rsidRPr="00BF7594">
        <w:rPr>
          <w:rFonts w:ascii="Times New Roman" w:eastAsia="Times New Roman" w:hAnsi="Times New Roman" w:cs="Times New Roman"/>
          <w:sz w:val="24"/>
          <w:szCs w:val="24"/>
        </w:rPr>
        <w:t xml:space="preserve">(23), 20250432. </w:t>
      </w:r>
      <w:hyperlink r:id="rId31" w:tgtFrame="_new" w:history="1">
        <w:r w:rsidRPr="00BF7594">
          <w:rPr>
            <w:rFonts w:ascii="Times New Roman" w:eastAsia="Times New Roman" w:hAnsi="Times New Roman" w:cs="Times New Roman"/>
            <w:color w:val="0000FF"/>
            <w:sz w:val="24"/>
            <w:szCs w:val="24"/>
            <w:u w:val="single"/>
          </w:rPr>
          <w:t>https://doi.org/10.1587/elex.22.20250432</w:t>
        </w:r>
      </w:hyperlink>
    </w:p>
    <w:p w14:paraId="13AE6E0A" w14:textId="2F034AA2" w:rsidR="0058714A" w:rsidRPr="0044023E" w:rsidRDefault="0058714A" w:rsidP="0044023E">
      <w:pPr>
        <w:pStyle w:val="Default"/>
        <w:jc w:val="both"/>
        <w:rPr>
          <w:bCs/>
        </w:rPr>
      </w:pPr>
    </w:p>
    <w:sectPr w:rsidR="0058714A" w:rsidRPr="0044023E" w:rsidSect="00043E1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8EABF" w14:textId="77777777" w:rsidR="00224B2B" w:rsidRDefault="00224B2B" w:rsidP="004F5AFB">
      <w:pPr>
        <w:spacing w:after="0" w:line="240" w:lineRule="auto"/>
      </w:pPr>
      <w:r>
        <w:separator/>
      </w:r>
    </w:p>
  </w:endnote>
  <w:endnote w:type="continuationSeparator" w:id="0">
    <w:p w14:paraId="65D74354" w14:textId="77777777" w:rsidR="00224B2B" w:rsidRDefault="00224B2B" w:rsidP="004F5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C231F" w14:textId="77777777" w:rsidR="004F5AFB" w:rsidRDefault="004F5A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616E0" w14:textId="77777777" w:rsidR="004F5AFB" w:rsidRDefault="004F5A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EEC7F" w14:textId="77777777" w:rsidR="004F5AFB" w:rsidRDefault="004F5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E7B90" w14:textId="77777777" w:rsidR="00224B2B" w:rsidRDefault="00224B2B" w:rsidP="004F5AFB">
      <w:pPr>
        <w:spacing w:after="0" w:line="240" w:lineRule="auto"/>
      </w:pPr>
      <w:r>
        <w:separator/>
      </w:r>
    </w:p>
  </w:footnote>
  <w:footnote w:type="continuationSeparator" w:id="0">
    <w:p w14:paraId="56D3722D" w14:textId="77777777" w:rsidR="00224B2B" w:rsidRDefault="00224B2B" w:rsidP="004F5A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3569F" w14:textId="77777777" w:rsidR="004F5AFB" w:rsidRDefault="00000000">
    <w:pPr>
      <w:pStyle w:val="Header"/>
    </w:pPr>
    <w:r>
      <w:rPr>
        <w:noProof/>
      </w:rPr>
      <w:pict w14:anchorId="0CD33C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394063"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584D2" w14:textId="77777777" w:rsidR="004F5AFB" w:rsidRDefault="00000000">
    <w:pPr>
      <w:pStyle w:val="Header"/>
    </w:pPr>
    <w:r>
      <w:rPr>
        <w:noProof/>
      </w:rPr>
      <w:pict w14:anchorId="3ADFBC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394064"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D530" w14:textId="77777777" w:rsidR="004F5AFB" w:rsidRDefault="00000000">
    <w:pPr>
      <w:pStyle w:val="Header"/>
    </w:pPr>
    <w:r>
      <w:rPr>
        <w:noProof/>
      </w:rPr>
      <w:pict w14:anchorId="2A612A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394062"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98F130A"/>
    <w:multiLevelType w:val="hybridMultilevel"/>
    <w:tmpl w:val="CCDC513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C021315"/>
    <w:multiLevelType w:val="hybridMultilevel"/>
    <w:tmpl w:val="8FA05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3003872">
    <w:abstractNumId w:val="0"/>
  </w:num>
  <w:num w:numId="2" w16cid:durableId="1449467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c1NjA2MLQwMzAwsjBR0lEKTi0uzszPAykwrgUAwJa3PywAAAA="/>
  </w:docVars>
  <w:rsids>
    <w:rsidRoot w:val="00F21BF5"/>
    <w:rsid w:val="00007AED"/>
    <w:rsid w:val="00017836"/>
    <w:rsid w:val="00036271"/>
    <w:rsid w:val="00043E1C"/>
    <w:rsid w:val="00060F57"/>
    <w:rsid w:val="00074F82"/>
    <w:rsid w:val="000840B5"/>
    <w:rsid w:val="000B4334"/>
    <w:rsid w:val="000B6057"/>
    <w:rsid w:val="000F385A"/>
    <w:rsid w:val="00101932"/>
    <w:rsid w:val="001102F5"/>
    <w:rsid w:val="001525AA"/>
    <w:rsid w:val="00162850"/>
    <w:rsid w:val="001749D7"/>
    <w:rsid w:val="00184E60"/>
    <w:rsid w:val="001B79D1"/>
    <w:rsid w:val="001E24E6"/>
    <w:rsid w:val="0020594F"/>
    <w:rsid w:val="00224B2B"/>
    <w:rsid w:val="002251DA"/>
    <w:rsid w:val="00227959"/>
    <w:rsid w:val="002D5B65"/>
    <w:rsid w:val="003401B0"/>
    <w:rsid w:val="003803A0"/>
    <w:rsid w:val="0038387E"/>
    <w:rsid w:val="0038616C"/>
    <w:rsid w:val="003C780C"/>
    <w:rsid w:val="003E5D4B"/>
    <w:rsid w:val="003F6981"/>
    <w:rsid w:val="004144E4"/>
    <w:rsid w:val="0044023E"/>
    <w:rsid w:val="004551A5"/>
    <w:rsid w:val="0045733D"/>
    <w:rsid w:val="004A792D"/>
    <w:rsid w:val="004D39DD"/>
    <w:rsid w:val="004F5AFB"/>
    <w:rsid w:val="00531DC5"/>
    <w:rsid w:val="00544D96"/>
    <w:rsid w:val="00553DDF"/>
    <w:rsid w:val="0058714A"/>
    <w:rsid w:val="005B699C"/>
    <w:rsid w:val="0061662D"/>
    <w:rsid w:val="00620552"/>
    <w:rsid w:val="00675AA6"/>
    <w:rsid w:val="006D2E79"/>
    <w:rsid w:val="006F1582"/>
    <w:rsid w:val="007144E0"/>
    <w:rsid w:val="007834E1"/>
    <w:rsid w:val="007C1BEE"/>
    <w:rsid w:val="007E5481"/>
    <w:rsid w:val="00823091"/>
    <w:rsid w:val="008929A3"/>
    <w:rsid w:val="00896EE4"/>
    <w:rsid w:val="008A400C"/>
    <w:rsid w:val="008B03E1"/>
    <w:rsid w:val="008B5B99"/>
    <w:rsid w:val="008E4ED0"/>
    <w:rsid w:val="0090037C"/>
    <w:rsid w:val="00907B26"/>
    <w:rsid w:val="00921706"/>
    <w:rsid w:val="00922243"/>
    <w:rsid w:val="009921E1"/>
    <w:rsid w:val="009E1861"/>
    <w:rsid w:val="009E746A"/>
    <w:rsid w:val="00A060A2"/>
    <w:rsid w:val="00A1457E"/>
    <w:rsid w:val="00A613BF"/>
    <w:rsid w:val="00A97F53"/>
    <w:rsid w:val="00B2788C"/>
    <w:rsid w:val="00B31C3E"/>
    <w:rsid w:val="00B73A29"/>
    <w:rsid w:val="00BD7472"/>
    <w:rsid w:val="00BF7594"/>
    <w:rsid w:val="00C31BA4"/>
    <w:rsid w:val="00C750DB"/>
    <w:rsid w:val="00C9748B"/>
    <w:rsid w:val="00D20209"/>
    <w:rsid w:val="00D60B80"/>
    <w:rsid w:val="00DC21F3"/>
    <w:rsid w:val="00DD5CDB"/>
    <w:rsid w:val="00E4601A"/>
    <w:rsid w:val="00EC48A6"/>
    <w:rsid w:val="00F21BF5"/>
    <w:rsid w:val="00F2719D"/>
    <w:rsid w:val="00F31F3A"/>
    <w:rsid w:val="00F951F9"/>
    <w:rsid w:val="00FC03A7"/>
    <w:rsid w:val="00FC0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AB74B"/>
  <w15:docId w15:val="{E281FB81-39D9-4DF4-89C8-D187EC17E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B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1BF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
    <w:name w:val=".."/>
    <w:basedOn w:val="Default"/>
    <w:next w:val="Default"/>
    <w:uiPriority w:val="99"/>
    <w:rsid w:val="00F21BF5"/>
    <w:rPr>
      <w:color w:val="auto"/>
    </w:rPr>
  </w:style>
  <w:style w:type="paragraph" w:styleId="BalloonText">
    <w:name w:val="Balloon Text"/>
    <w:basedOn w:val="Normal"/>
    <w:link w:val="BalloonTextChar"/>
    <w:uiPriority w:val="99"/>
    <w:semiHidden/>
    <w:unhideWhenUsed/>
    <w:rsid w:val="00F21B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BF5"/>
    <w:rPr>
      <w:rFonts w:ascii="Tahoma" w:hAnsi="Tahoma" w:cs="Tahoma"/>
      <w:sz w:val="16"/>
      <w:szCs w:val="16"/>
    </w:rPr>
  </w:style>
  <w:style w:type="paragraph" w:styleId="Header">
    <w:name w:val="header"/>
    <w:basedOn w:val="Normal"/>
    <w:link w:val="HeaderChar"/>
    <w:uiPriority w:val="99"/>
    <w:unhideWhenUsed/>
    <w:rsid w:val="004F5A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5AFB"/>
  </w:style>
  <w:style w:type="paragraph" w:styleId="Footer">
    <w:name w:val="footer"/>
    <w:basedOn w:val="Normal"/>
    <w:link w:val="FooterChar"/>
    <w:uiPriority w:val="99"/>
    <w:unhideWhenUsed/>
    <w:rsid w:val="004F5A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5AFB"/>
  </w:style>
  <w:style w:type="paragraph" w:styleId="NormalWeb">
    <w:name w:val="Normal (Web)"/>
    <w:basedOn w:val="Normal"/>
    <w:uiPriority w:val="99"/>
    <w:semiHidden/>
    <w:unhideWhenUsed/>
    <w:rsid w:val="00A060A2"/>
    <w:rPr>
      <w:rFonts w:ascii="Times New Roman" w:hAnsi="Times New Roman" w:cs="Times New Roman"/>
      <w:sz w:val="24"/>
      <w:szCs w:val="24"/>
    </w:rPr>
  </w:style>
  <w:style w:type="paragraph" w:styleId="ListParagraph">
    <w:name w:val="List Paragraph"/>
    <w:basedOn w:val="Normal"/>
    <w:uiPriority w:val="34"/>
    <w:qFormat/>
    <w:rsid w:val="00A1457E"/>
    <w:pPr>
      <w:ind w:left="720"/>
      <w:contextualSpacing/>
    </w:pPr>
    <w:rPr>
      <w:rFonts w:eastAsiaTheme="minorEastAsia"/>
    </w:rPr>
  </w:style>
  <w:style w:type="paragraph" w:customStyle="1" w:styleId="pdq2pgselectionanchorcontainer">
    <w:name w:val="pdq2pg_selectionanchorcontainer"/>
    <w:basedOn w:val="Normal"/>
    <w:rsid w:val="00C750D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8714A"/>
    <w:rPr>
      <w:color w:val="0000FF" w:themeColor="hyperlink"/>
      <w:u w:val="single"/>
    </w:rPr>
  </w:style>
  <w:style w:type="character" w:styleId="UnresolvedMention">
    <w:name w:val="Unresolved Mention"/>
    <w:basedOn w:val="DefaultParagraphFont"/>
    <w:uiPriority w:val="99"/>
    <w:semiHidden/>
    <w:unhideWhenUsed/>
    <w:rsid w:val="005871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eader" Target="header3.xml"/><Relationship Id="rId26" Type="http://schemas.openxmlformats.org/officeDocument/2006/relationships/hyperlink" Target="https://doi.org/10.3390/jlpea15020032" TargetMode="Externa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2.xml"/><Relationship Id="rId25" Type="http://schemas.openxmlformats.org/officeDocument/2006/relationships/hyperlink" Target="https://doi.org/10.56557/ajocr/2026/v11i310742"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8.wmf"/><Relationship Id="rId29" Type="http://schemas.openxmlformats.org/officeDocument/2006/relationships/hyperlink" Target="https://doi.org/10.1007/s10470-025-0247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doi.org/10.9734/jerr/2019/v6i116939"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www.sciencedirect.com/journal/microelectronics-journal/vol/174/suppl/C?utm_source=chatgpt.com" TargetMode="External"/><Relationship Id="rId28" Type="http://schemas.openxmlformats.org/officeDocument/2006/relationships/hyperlink" Target="https://doi.org/10.1007/s11277-024-11567-5" TargetMode="External"/><Relationship Id="rId10" Type="http://schemas.openxmlformats.org/officeDocument/2006/relationships/image" Target="media/image4.png"/><Relationship Id="rId19" Type="http://schemas.openxmlformats.org/officeDocument/2006/relationships/footer" Target="footer3.xml"/><Relationship Id="rId31" Type="http://schemas.openxmlformats.org/officeDocument/2006/relationships/hyperlink" Target="https://doi.org/10.1587/elex.22.20250432" TargetMode="Externa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eader" Target="header1.xml"/><Relationship Id="rId22" Type="http://schemas.openxmlformats.org/officeDocument/2006/relationships/hyperlink" Target="https://ieeexplore.ieee.org/document/5625933?utm_source=chatgpt.com" TargetMode="External"/><Relationship Id="rId27" Type="http://schemas.openxmlformats.org/officeDocument/2006/relationships/hyperlink" Target="https://doi.org/10.3390/electronics13061162" TargetMode="External"/><Relationship Id="rId30" Type="http://schemas.openxmlformats.org/officeDocument/2006/relationships/hyperlink" Target="https://doi.org/10.1587/elex.21.20230611"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11</Pages>
  <Words>3781</Words>
  <Characters>21555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SDI CPU 1117</cp:lastModifiedBy>
  <cp:revision>52</cp:revision>
  <dcterms:created xsi:type="dcterms:W3CDTF">2014-04-10T05:18:00Z</dcterms:created>
  <dcterms:modified xsi:type="dcterms:W3CDTF">2026-07-04T08:09:00Z</dcterms:modified>
</cp:coreProperties>
</file>