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26ED" w14:textId="77777777" w:rsidR="002865FC" w:rsidRPr="005E002E" w:rsidRDefault="002865FC" w:rsidP="00E14C7D">
      <w:pPr>
        <w:spacing w:before="100" w:beforeAutospacing="1" w:after="100" w:afterAutospacing="1" w:line="240" w:lineRule="auto"/>
        <w:jc w:val="both"/>
        <w:outlineLvl w:val="1"/>
        <w:rPr>
          <w:rFonts w:ascii="Times New Roman" w:eastAsia="Times New Roman" w:hAnsi="Times New Roman" w:cs="Times New Roman"/>
          <w:b/>
          <w:bCs/>
          <w:lang w:eastAsia="en-GB"/>
        </w:rPr>
      </w:pPr>
      <w:r w:rsidRPr="005E002E">
        <w:rPr>
          <w:rFonts w:ascii="Times New Roman" w:eastAsia="Times New Roman" w:hAnsi="Times New Roman" w:cs="Times New Roman"/>
          <w:b/>
          <w:bCs/>
          <w:lang w:eastAsia="en-GB"/>
        </w:rPr>
        <w:t>ARTIFICIAL INTELLIGENCE ADOPTION IN SMART AGRICULTURE: A REVIEW OF CONVOLUTIONAL NEURAL NETWORKS FOR PLANT DISEASE DETECTION AND AGRIBUSINESS SUSTAINABILITY</w:t>
      </w:r>
    </w:p>
    <w:p w14:paraId="25A53AD9"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4ECF6E1F"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Abstract</w:t>
      </w:r>
    </w:p>
    <w:p w14:paraId="06C08C8F" w14:textId="63EA7F4D"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Plant diseases remain one of the most persistent and economically damaging threats to global food security, with yield losses across major staple crops running into the tens of billions of dollars each year. The rise of artificial intelligence, and convolutional neural networks (CNNs) in particular, has opened genuinely new possibilities for detecting plant disease early, accurately, and at scale. This review critically examines the state of CNN-based plant disease detection within the wider context of smart agriculture and agribusiness sustainability. Drawing on peer-reviewed literature published between 2016 and </w:t>
      </w:r>
      <w:r w:rsidR="005C1DB7">
        <w:rPr>
          <w:rFonts w:ascii="Times New Roman" w:eastAsia="Times New Roman" w:hAnsi="Times New Roman" w:cs="Times New Roman"/>
          <w:sz w:val="24"/>
          <w:szCs w:val="24"/>
          <w:lang w:eastAsia="en-GB"/>
        </w:rPr>
        <w:t>February</w:t>
      </w:r>
      <w:r w:rsidRPr="002865FC">
        <w:rPr>
          <w:rFonts w:ascii="Times New Roman" w:eastAsia="Times New Roman" w:hAnsi="Times New Roman" w:cs="Times New Roman"/>
          <w:sz w:val="24"/>
          <w:szCs w:val="24"/>
          <w:lang w:eastAsia="en-GB"/>
        </w:rPr>
        <w:t xml:space="preserve"> 2026, the paper traces the evolution of CNN architectures, training methods, and benchmark performance across a wide range of crops and disease categories. Particular attention is given to transfer learning, data augmentation, and lightweight architecture design as responses to the recurring problem of limited annotated training data. The paper also considers how CNNs are being combined with complementary technologies, including the Internet of Things, unmanned aerial vehicles, and edge computing, and what this means for deployment in real farming conditions. Economic and sustainability dimensions are explored throughout, with attention to whether the gains from AI adoption are likely to reach smallholder farmers or remain concentrated among larger, better-resourced agribusinesses. Despite genuinely impressive results under controlled benchmark conditions, several barriers to field deployment persist: dataset bias, poor generalisation in complex agricultural environments, computational constraints, and a continuing shortfall in model interpretability. The review closes by identifying priority research directions, including cross-domain transfer learning, explainable AI, the development of field-representative datasets, and participatory approaches to tool design. Taken together, the evidence suggests that CNN-based disease detection holds real promise for agribusiness sustainability, but realising that promise will depend on sustained interdisciplinary collaboration and deployment strategies that are sensitive to local context rather than assuming one-size-fits-all solutions.</w:t>
      </w:r>
    </w:p>
    <w:p w14:paraId="23DCEFA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Keywords:</w:t>
      </w:r>
      <w:r w:rsidRPr="002865FC">
        <w:rPr>
          <w:rFonts w:ascii="Times New Roman" w:eastAsia="Times New Roman" w:hAnsi="Times New Roman" w:cs="Times New Roman"/>
          <w:sz w:val="24"/>
          <w:szCs w:val="24"/>
          <w:lang w:eastAsia="en-GB"/>
        </w:rPr>
        <w:t xml:space="preserve"> convolutional neural networks; plant disease detection; smart agriculture; precision agriculture; deep learning; transfer learning; agribusiness sustainability; Internet of Things; unmanned aerial vehicles; food security</w:t>
      </w:r>
    </w:p>
    <w:p w14:paraId="6DE22810"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1827E494"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1. Introduction</w:t>
      </w:r>
    </w:p>
    <w:p w14:paraId="4D78B17F"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1.1 Global Food Security and the Challenge of Crop Disease</w:t>
      </w:r>
    </w:p>
    <w:p w14:paraId="2A3E23A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Feeding a global population expected to surpass nine billion by mid-century is one of the defining challenges of our time. Agricultural systems are already under strain from land degradation, freshwater scarcity, and increasingly erratic climate conditions, and to these pressures must be added the persistent toll of plant pathogens and insect pests—a problem that receives comparatively little public attention given its scale. Savary et al. (2019) estimated that fungi, bacteria, viruses, and arthropod pests together account for yield losses of </w:t>
      </w:r>
      <w:r w:rsidRPr="002865FC">
        <w:rPr>
          <w:rFonts w:ascii="Times New Roman" w:eastAsia="Times New Roman" w:hAnsi="Times New Roman" w:cs="Times New Roman"/>
          <w:sz w:val="24"/>
          <w:szCs w:val="24"/>
          <w:lang w:eastAsia="en-GB"/>
        </w:rPr>
        <w:lastRenderedPageBreak/>
        <w:t>between 17 and 30 per cent across the five major food crops—wheat, rice, maize, potato, and soybean—with the extent of loss varying regionally according to climate, the intensity of farm management, and access to crop protection technology. The Food and Agriculture Organization of the United Nations has long treated plant health as a precondition for food security, arguing that sustainable agricultural production simply cannot be achieved without disease surveillance and management systems that are both effective and affordable (FAO, 2023).</w:t>
      </w:r>
    </w:p>
    <w:p w14:paraId="2CEAF20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economic consequences of plant disease reach well beyond losses at the farm gate. Supply chains are disrupted, input costs rise as growers turn to broad-spectrum pesticide applications, phytosanitary regulations create trade barriers, and farmer incomes are eroded—each of these compounding the underlying productivity deficit rather than acting in isolation. For smallholder farmers, who are estimated to produce approximately 70 per cent of the food consumed in low- and middle-income countries (FAO, 2021), the difference between catching a disease early and missing it can be the difference between a viable harvest and financial ruin. Yet the dominant approaches to disease management—visual inspection by trained agronomists, or precautionary blanket pesticide use—are resource-intensive, dependent on expert labour that is frequently unavailable in remote farming regions, and prone to error at precisely the early, sub-symptomatic stages of infection when intervention would do the most good (Mahlein, 2016). The case for scalable, affordable, and operationally reliable diagnostic tools that can function in real farming environments is, accordingly, a compelling one.</w:t>
      </w:r>
    </w:p>
    <w:p w14:paraId="4C538BAC"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1.2 The Emergence of Smart Agriculture and Artificial Intelligence</w:t>
      </w:r>
    </w:p>
    <w:p w14:paraId="3C2227D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Smart agriculture, sometimes described as Agriculture 4.0, refers to the integration of digital technologies—sensor networks, satellite and aerial remote sensing, machine learning, robotics, and communications infrastructure—into farming systems with the aim of improving productivity, resource efficiency, and environmental sustainability (Wolfert et al., 2017). Artificial intelligence has come to occupy an increasingly central place within this broader transformation. Kamilaris and Prenafeta-Boldú (2018) produced one of the earliest comprehensive surveys of deep learning in agriculture, concluding that CNNs in particular offered transformative potential for image-based tasks spanning crop classification, yield estimation, and the detection of disease and physiological stress. Machine learning more broadly has since proven its worth across a range of agricultural tasks, from crop yield prediction (Van Klompenburg et al., 2020) to weed identification and pest population monitoring (Sharma et al., 2021).</w:t>
      </w:r>
    </w:p>
    <w:p w14:paraId="0560361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Among the many AI methods now applied in agriculture, CNNs have drawn by far the most sustained research attention in plant disease detection specifically. Their ability to extract complex, hierarchical feature representations directly from raw image data—without the need for manually engineered features—suits them well to the subtle and highly variable visual patterns that characterise plant pathology (Alzubaidi et al., 2021). The pivotal study by Mohanty et al. (2016) showed that a CNN trained on the PlantVillage dataset could achieve classification accuracies exceeding 99 per cent under controlled imaging conditions, a result that effectively set off a decade of intensive research into deep learning-based disease detection. In the years since, the field has diversified considerably, extending to an ever-broader set of crop species, disease categories, imaging modalities, deployment platforms, and geographic settings.</w:t>
      </w:r>
    </w:p>
    <w:p w14:paraId="58B56756" w14:textId="20C97907" w:rsidR="00542387" w:rsidRPr="00E14C7D"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This alignment between what CNNs are good at and what agricultural disease detection requires is not accidental. Smartphone ownership has expanded substantially in rural areas of low- and middle-income countries, providing a familiar and accessible image-capture platform on which CNN-based diagnostic tools could, in principle, be deployed at scale. At the same time, advances in GPU computing, cloud infrastructure, and edge inference hardware have steadily lowered the computational barriers to both training and deployment. Together, these enabling factors explain not only the rapid growth of the published literature but also the considerable optimism—not always matched by equally rigorous scrutiny—about what AI might achieve for agricultural disease management.</w:t>
      </w:r>
      <w:r w:rsidR="00E14C7D">
        <w:rPr>
          <w:rFonts w:ascii="Times New Roman" w:eastAsia="Times New Roman" w:hAnsi="Times New Roman" w:cs="Times New Roman"/>
          <w:sz w:val="24"/>
          <w:szCs w:val="24"/>
          <w:lang w:eastAsia="en-GB"/>
        </w:rPr>
        <w:t xml:space="preserve"> </w:t>
      </w:r>
      <w:r w:rsidRPr="00E14C7D">
        <w:rPr>
          <w:bCs/>
          <w:highlight w:val="yellow"/>
        </w:rPr>
        <w:t>Recent studies have further reinforced the movement from controlled benchmark classification towards deployment-oriented detection, showing that field-image segmentation, AI-enabled pest detection, systematic deep learning synthesis, and real-time object-detection approaches all continue to hinge on dataset quality, model generalisation, inference speed, and implementation context (Kumar et al., 2023; Srilatha et al., 2025; Pacal et al., 2024; Aldakheel et al., 2024).</w:t>
      </w:r>
    </w:p>
    <w:p w14:paraId="424A2E86" w14:textId="6A24D575"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 xml:space="preserve">1.3 Scope and Objectives </w:t>
      </w:r>
    </w:p>
    <w:p w14:paraId="7DF818F5" w14:textId="3E7002B6" w:rsidR="002865FC" w:rsidRPr="00E14C7D" w:rsidRDefault="00000000" w:rsidP="00E14C7D">
      <w:pPr>
        <w:jc w:val="both"/>
        <w:rPr>
          <w:bCs/>
        </w:rPr>
      </w:pPr>
      <w:r w:rsidRPr="00E14C7D">
        <w:rPr>
          <w:bCs/>
          <w:highlight w:val="yellow"/>
        </w:rPr>
        <w:t>Despite this expanding literature, a clear research gap remains between high benchmark accuracy and evidence of dependable, equitable deployment under variable field conditions, low-resource device environments, intermittent connectivity, and smallholder-use settings.</w:t>
      </w:r>
      <w:r w:rsidR="00E14C7D">
        <w:rPr>
          <w:bCs/>
        </w:rPr>
        <w:t xml:space="preserve"> </w:t>
      </w:r>
      <w:r w:rsidR="002865FC" w:rsidRPr="002865FC">
        <w:rPr>
          <w:rFonts w:ascii="Times New Roman" w:eastAsia="Times New Roman" w:hAnsi="Times New Roman" w:cs="Times New Roman"/>
          <w:sz w:val="24"/>
          <w:szCs w:val="24"/>
          <w:lang w:eastAsia="en-GB"/>
        </w:rPr>
        <w:t xml:space="preserve">This review sets out to critically examine the literature on CNN-based plant disease detection, situated within the broader context of smart agriculture and agribusiness sustainability. The aim is not simply to catalogue what has been technically achieved, but to ask where claims have outpaced evidence, where genuine progress remains unrealised in practice, and which research directions are most likely to be productive going forward. More specifically, the review sets out to trace the development of CNN architectures and training strategies as applied to plant pathology; to evaluate the quality and representativeness of the datasets on which current models are trained; to assess how CNNs are being integrated with complementary smart agriculture technologies; to examine the economic and sustainability implications of AI adoption in agribusiness; and to identify the principal challenges and priorities for future research. The review draws on peer-reviewed journal literature published between 2016 and </w:t>
      </w:r>
      <w:r w:rsidR="00CB783F">
        <w:rPr>
          <w:rFonts w:ascii="Times New Roman" w:eastAsia="Times New Roman" w:hAnsi="Times New Roman" w:cs="Times New Roman"/>
          <w:sz w:val="24"/>
          <w:szCs w:val="24"/>
          <w:lang w:eastAsia="en-GB"/>
        </w:rPr>
        <w:t>March</w:t>
      </w:r>
      <w:r w:rsidR="002865FC" w:rsidRPr="002865FC">
        <w:rPr>
          <w:rFonts w:ascii="Times New Roman" w:eastAsia="Times New Roman" w:hAnsi="Times New Roman" w:cs="Times New Roman"/>
          <w:sz w:val="24"/>
          <w:szCs w:val="24"/>
          <w:lang w:eastAsia="en-GB"/>
        </w:rPr>
        <w:t xml:space="preserve"> 2026, with no restriction placed on geographic scope or crop type.</w:t>
      </w:r>
    </w:p>
    <w:p w14:paraId="31E25D73"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5427D4BA"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2. Methods for Literature Selection</w:t>
      </w:r>
    </w:p>
    <w:p w14:paraId="1718B625"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paper takes the form of a narrative critical review rather than a systematic review or meta-analysis. That choice reflects the nature of the task: the aim was to critically synthesise a body of literature that spans several disciplines—computer science, plant pathology, agricultural economics, and sustainability science—each with its own methodological conventions and evaluation standards. A systematic review is best suited to aggregating effect sizes across methodologically comparable studies; a narrative approach, by contrast, allows for the kind of interpretive, cross-disciplinary engagement that this topic demands, including the identification of tensions and gaps that a more rigid, protocol-driven methodology might overlook (Snyder, 2019).</w:t>
      </w:r>
    </w:p>
    <w:p w14:paraId="2A10635D" w14:textId="5E494CC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 xml:space="preserve">Literature was identified through searches of the following databases: Web of Science, Scopus, Google Scholar, PubMed, AGRIS (the FAO's international agricultural information system), CAB Abstracts, IEEE Xplore Digital Library, and Dimensions. Combining general multidisciplinary databases with field-specific resources was intended to ensure balanced coverage across the agricultural, engineering, and computer science literatures relevant to this topic. The search covered the period from January 2016 to </w:t>
      </w:r>
      <w:r w:rsidR="00E14C7D">
        <w:rPr>
          <w:rFonts w:ascii="Times New Roman" w:eastAsia="Times New Roman" w:hAnsi="Times New Roman" w:cs="Times New Roman"/>
          <w:sz w:val="24"/>
          <w:szCs w:val="24"/>
          <w:lang w:eastAsia="en-GB"/>
        </w:rPr>
        <w:t>February</w:t>
      </w:r>
      <w:r w:rsidRPr="002865FC">
        <w:rPr>
          <w:rFonts w:ascii="Times New Roman" w:eastAsia="Times New Roman" w:hAnsi="Times New Roman" w:cs="Times New Roman"/>
          <w:sz w:val="24"/>
          <w:szCs w:val="24"/>
          <w:lang w:eastAsia="en-GB"/>
        </w:rPr>
        <w:t xml:space="preserve"> 2026. The year 2016 was chosen as the starting point because it marks the publication of the landmark study by Mohanty et al. (2016), which effectively launched the modern era of CNN-based plant disease detection and quickly generated a substantial body of follow-on work. A small number of foundational methodological works predating 2016 were also drawn on where they provided essential conceptual grounding.</w:t>
      </w:r>
    </w:p>
    <w:p w14:paraId="51C0A9EC"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Search strings were constructed using Boolean operators and included combinations such as: "convolutional neural network" AND "plant disease"; "deep learning" AND "crop disease detection"; "CNN" AND "precision agriculture"; "transfer learning" AND "leaf disease classification"; "smart agriculture" AND "artificial intelligence"; "UAV" AND "plant pathology"; "IoT" AND "disease detection agriculture"; "agribusiness sustainability" AND "machine learning"; and "hyperspectral imaging" AND "plant disease deep learning". Field-specific controlled vocabularies—CAB Thesaurus terms for plant diseases and IEEE Thesaurus terms for neural network architectures—were applied where the relevant database interface supported them.</w:t>
      </w:r>
    </w:p>
    <w:p w14:paraId="674392F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To be included, a source had to be an original peer-reviewed article published in an academic journal within the specified date range and written in English. Peer-reviewed reports from authoritative intergovernmental bodies, specifically the FAO, were also included where they supplied essential contextual data unavailable in the primary journal literature and where a verifiable DOI existed. Studies qualified for inclusion if they addressed CNN or deep learning approaches to plant disease or pest detection directly, or if they contributed substantially to understanding smart agriculture technologies, dataset development, agribusiness economics, or sustainability in an AI context. Conference proceedings, grey literature, pre-prints, trade publications, and books were excluded outright, as were studies concerned solely with neural network design absent any empirical agricultural application, and studies whose findings had been substantively superseded by more comprehensive later work.</w:t>
      </w:r>
    </w:p>
    <w:p w14:paraId="266A95A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Once initial searches were complete, titles and abstracts were screened for thematic relevance, full texts were retrieved for studies that passed this first filter, and duplicate records appearing across multiple databases were removed. Priority was given to studies published in high-impact journals, to comprehensive review articles where these existed, to work demonstrating methodological rigour in model evaluation, and—perhaps most importantly given the concerns raised later in this review—to research that tested model performance under genuine field conditions rather than relying solely on laboratory benchmarks. The final corpus comprises 48 peer-reviewed journal publications together with two institutional FAO reports.</w:t>
      </w:r>
    </w:p>
    <w:p w14:paraId="61FB1149"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77D30884"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3. Convolutional Neural Networks: Principles and Agricultural Relevance</w:t>
      </w:r>
    </w:p>
    <w:p w14:paraId="75FA987A"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3.1 Architectural Foundations</w:t>
      </w:r>
    </w:p>
    <w:p w14:paraId="29B8692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Convolutional neural networks are a class of deep feedforward neural network built specifically for processing grid-structured data such as images. Where earlier machine vision approaches relied on manually engineered feature descriptors—histogram of oriented gradients, scale-invariant feature transforms, local binary patterns, and the like—CNNs instead learn feature representations directly from raw pixel data through a process of hierarchical abstraction (Alzubaidi et al., 2021). In the network's earlier convolutional layers, trainable filter banks pick out low-level visual features such as edges, colour gradients, and local texture; in the deeper layers that follow, these elementary features are combined into increasingly complex and semantically meaningful representations, eventually encoding the kinds of patterns that matter for disease diagnosis—chlorotic halos, necrotic lesions, fungal sporulation, powdery surface coatings, and so on.</w:t>
      </w:r>
    </w:p>
    <w:p w14:paraId="22A68EC7"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typical CNN architecture brings together several functional components: convolutional layers that apply learnable filters across the spatial extent of the input; pooling layers that reduce spatial dimensionality and introduce a degree of translation invariance; batch normalisation layers that stabilise training; dropout layers that guard against overfitting; and fully connected layers that pull together spatially distributed features into class probability predictions. Non-linear activation functions—most commonly the rectified linear unit—are interleaved throughout to allow the network to model complex, non-linear decision boundaries (Alzubaidi et al., 2021).</w:t>
      </w:r>
    </w:p>
    <w:p w14:paraId="6AC0361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handful of landmark architectures have shaped how this field has developed. AlexNet demonstrated decisive advantages over shallow learning methods on large-scale image benchmarks and, in doing so, helped trigger the current era of deep learning research. The architectures that followed—VGGNet, GoogLeNet with its Inception modules, ResNet with residual skip connections, and DenseNet with dense feature reuse—progressively improved classification performance while introducing design innovations that made it possible to train substantially deeper and more parameter-efficient networks (Alzubaidi et al., 2021). More recently, architectures built with resource-constrained deployment specifically in mind—MobileNet, ShuffleNet, EfficientNet—have managed to achieve competitive accuracy at a fraction of the computational cost of their predecessors, which matters a great deal for agricultural applications where inference often has to happen on a smartphone or an embedded edge device (Atila et al., 2021).</w:t>
      </w:r>
    </w:p>
    <w:p w14:paraId="6AE718D8"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3.2 Transfer Learning and Pre-trained Models in Agricultural Contexts</w:t>
      </w:r>
    </w:p>
    <w:p w14:paraId="3EB0FB2C"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Among the methodological developments that have shaped CNN applications in plant disease detection, few have mattered as much as the widespread adoption of transfer learning. The basic idea is straightforward: a CNN is first pre-trained on a large general-purpose image dataset—most commonly ImageNet, with its million-plus labelled images spanning a thousand categories—and is then adapted to a domain-specific task by fine-tuning some or all of its weights on a much smaller labelled dataset of plant disease images (Chen et al., 2020).</w:t>
      </w:r>
    </w:p>
    <w:p w14:paraId="26A0A59F"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appeal of this approach in an agricultural context is easy to see. Assembling and annotating a large collection of disease-positive crop images is genuinely demanding: photographs must be gathered across multiple disease stages, crop varieties, and environmental conditions, and the resulting annotations need to be validated by qualified plant pathologists. By starting from feature representations already learned on large-scale datasets, CNN models can reach competitive diagnostic performance with far smaller domain-specific training sets than would otherwise be needed. Too et al. (2019) demonstrated </w:t>
      </w:r>
      <w:r w:rsidRPr="002865FC">
        <w:rPr>
          <w:rFonts w:ascii="Times New Roman" w:eastAsia="Times New Roman" w:hAnsi="Times New Roman" w:cs="Times New Roman"/>
          <w:sz w:val="24"/>
          <w:szCs w:val="24"/>
          <w:lang w:eastAsia="en-GB"/>
        </w:rPr>
        <w:lastRenderedPageBreak/>
        <w:t>this advantage in a systematic comparative study of several deep CNN architectures fine-tuned on the PlantVillage dataset, finding that fine-tuned models consistently and substantially outperformed equivalents trained from random initialisation under matched data conditions. Paymode and Malode (2022) reached a similar conclusion in a multi-crop setting, showing that VGG-based transfer learning achieved strong classification accuracy across multiple crop disease classes even when training data were limited. Rangarajan and Purushothaman (2020) reported much the same pattern for eggplant disease classification using a pre-trained VGG16 model, recording high performance metrics despite working with a comparatively modest domain-specific dataset.</w:t>
      </w:r>
    </w:p>
    <w:p w14:paraId="7BFE880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That said, transfer learning is not without real limitations in agricultural settings. ImageNet's source domain consists overwhelmingly of conventional object photographs taken under fairly standard conditions, and the statistical properties of plant disease images—particularly those captured under variable field lighting, against complex natural backgrounds, and at varying spatial scales—can differ considerably from this source distribution. This domain gap can constrain how well ImageNet-derived features actually transfer to challenging, real-world agricultural images, and it has fuelled growing interest in domain-adaptive learning, self-supervised pre-training on agricultural imagery, and few-shot methods designed specifically for plant pathology.</w:t>
      </w:r>
    </w:p>
    <w:p w14:paraId="6EB6128B"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59F244C6"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4. CNN-Based Approaches to Plant Disease Detection</w:t>
      </w:r>
    </w:p>
    <w:p w14:paraId="3E453785"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4.1 Early Developments and Benchmark Studies</w:t>
      </w:r>
    </w:p>
    <w:p w14:paraId="006FD01F"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publication of Mohanty et al. (2016) is widely regarded as the foundational study in modern CNN-based plant disease detection. The authors trained AlexNet and GoogLeNet on the PlantVillage dataset, comprising 87,848 images (including augmented examples) spanning 26 disease categories across 14 crop species, and tested each architecture under coloured, greyscale, and leaf-segmented imaging conditions. GoogLeNet achieved the best result of the two—99.35 per cent accuracy on coloured images—with AlexNet performing somewhat less well under equivalent conditions, though both architectures comfortably outperformed earlier shallow learning approaches. The study established the basic feasibility of deep learning for this diagnostic task, and the authors were notably candid about the gap between performance on a controlled dataset and genuine field utility—a tension that has, in many respects, defined the research agenda that followed.</w:t>
      </w:r>
    </w:p>
    <w:p w14:paraId="5C8FF0D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At roughly the same time, Sladojevic et al. (2016) showed that deep convolutional architectures could be applied to multi-class leaf disease classification using ordinary smartphone photographs taken outdoors, achieving high accuracy across multiple disease categories and demonstrating that consumer-grade photography could serve as a perfectly viable input modality. Ferentinos (2018) took this further by training five distinct CNN architectures on the PlantVillage dataset, reporting accuracies ranging from 93.67 to 99.53 per cent across the models tested and confirming the strong potential of deep learning for disease classification at benchmark scale. These early results generated considerable enthusiasm in both the agricultural science and computer vision communities, and the years following 2016 saw a rapid expansion of studies applying CNN methods to an ever-wider range of crops, diseases, and imaging setups.</w:t>
      </w:r>
    </w:p>
    <w:p w14:paraId="1916DE5E"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lastRenderedPageBreak/>
        <w:t>4.2 Crop-Specific Disease Detection</w:t>
      </w:r>
    </w:p>
    <w:p w14:paraId="1D5D89ED"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literature on CNN-based disease detection has since diversified to cover a wide range of economically important crop species. Tomato has received considerable attention, partly because labelled data are relatively abundant and partly because of the crop's commercial and nutritional significance worldwide. Fuentes et al. (2017) built a real-time tomato disease and pest detection framework around the Single Shot MultiBox Detector and Faster R-CNN architectures, and showed it to be robust across varying illumination, plant growth stages, and background complexity. Their follow-up work (Fuentes et al., 2018) added a refinement filter bank to suppress background interference and sharpen detection precision in complex field environments, reporting improved mean average precision scores relative to baseline configurations—a meaningful step towards systems that could actually be deployed in real time.</w:t>
      </w:r>
    </w:p>
    <w:p w14:paraId="28811168"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Maize has likewise been a major focus, given how damaging diseases such as grey leaf spot, common rust, and northern leaf blight can be at a global scale. Zhang et al. (2018) developed improved deep convolutional neural network architectures for identifying maize leaf diseases and achieved strong classification accuracy on a multi-class maize disease dataset. Waheed et al. (2020) proposed an optimised dense CNN for corn leaf disease recognition, showing that carefully tuned depth and layer connectivity could yield meaningful gains on difficult multi-class problems. The field-based maize dataset developed by Wiesner-Hanks et al. (2018), focused on Northern Leaf Blight lesions, has served as an important ecological benchmark in this space—a step towards the kind of operationally realistic evaluation that researchers in the field have long recognised as necessary.</w:t>
      </w:r>
    </w:p>
    <w:p w14:paraId="7A85811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Rice, as the staple food for more than three billion people, has also attracted substantial research effort. Jiang et al. (2020) combined deep convolutional feature extraction with a support vector machine classifier to identify four major rice leaf diseases, finding that this ensemble approach improved discrimination between visually similar disease pairs. Bari et al.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 xml:space="preserve">) developed a real-time rice disease diagnostic system based on Faster R-CNN, demonstrating high detection rates under varied field conditions and highlighting how region-based detection frameworks can support fine-grained disease localisation at the level of individual lesions. Beyond these major crops, published studies have examined apple (Jiang et al., 2019), cassava (Ramcharan et al., 2017), eggplant (Rangarajan &amp; Purushothaman, 2020), sugar beet (Ozguven &amp; Adem, 2019), and guava (Almadhor et al.,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)—a spread of crops that illustrates how broadly applicable CNN methods have proven across taxonomically diverse hosts and pathogens.</w:t>
      </w:r>
    </w:p>
    <w:p w14:paraId="6EB760E5"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Geetharamani and Pandian (2019) evaluated a custom nine-layer CNN across the full range of disease and healthy-condition categories in the PlantVillage dataset, finding that architectural depth and convolutional kernel configuration had a significant bearing on performance, and that some disease conditions proved considerably harder to discriminate than others. This points to a recurring theme in the literature: per-class performance reporting matters, because aggregate accuracy figures can mask substantial weaknesses for specific, often rarer, categories. Kaur et al. (2022) built on this line of work with a hybrid CNN incorporating principal component-based feature reduction, reporting that the combined approach improved classification accuracy while meaningfully cutting computational overhead—a useful property given the resource constraints that so often apply in practice.</w:t>
      </w:r>
    </w:p>
    <w:p w14:paraId="0C0D1AEB"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4.3 Multi-Spectral and Hyperspectral Imaging Approaches</w:t>
      </w:r>
    </w:p>
    <w:p w14:paraId="6DCE683C"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Visible-spectrum RGB photography is practical and accessible, but it captures only part of the physiological story. Many pathogens alter cell structure, chlorophyll fluorescence, water content, and cell wall integrity in ways that show up at wavelengths outside the visible range—changes that carry real diagnostic information but are simply invisible to a standard camera (Golhani et al., 2018). Hyperspectral and multi-spectral imaging systems, which capture reflectance across dozens or even hundreds of narrow, contiguous spectral bands, offer much richer physiological information, but at the cost of greater hardware investment and analytical complexity.</w:t>
      </w:r>
    </w:p>
    <w:p w14:paraId="2281AED9"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Mahlein et al. (2019) demonstrated the value of combining thermal imaging, chlorophyll fluorescence, and hyperspectral sensing to detect Fusarium head blight in wheat at an early stage, showing that fusing multiple modalities substantially improved diagnostic sensitivity during the pre-symptomatic phase compared with any single modality on its own. Nguyen et al. (2021) paired deep learning with hyperspectral imaging to detect viral disease in plants before symptoms became visible, showing that CNN-extracted spectral features could flag infected plants several days ahead of any outward sign of disease—a capability with real implications for how quickly growers could intervene. Barbedo (</w:t>
      </w:r>
      <w:r w:rsidR="000A3E0F">
        <w:rPr>
          <w:rFonts w:ascii="Times New Roman" w:eastAsia="Times New Roman" w:hAnsi="Times New Roman" w:cs="Times New Roman"/>
          <w:sz w:val="24"/>
          <w:szCs w:val="24"/>
          <w:lang w:eastAsia="en-GB"/>
        </w:rPr>
        <w:t>2023</w:t>
      </w:r>
      <w:r w:rsidRPr="002865FC">
        <w:rPr>
          <w:rFonts w:ascii="Times New Roman" w:eastAsia="Times New Roman" w:hAnsi="Times New Roman" w:cs="Times New Roman"/>
          <w:sz w:val="24"/>
          <w:szCs w:val="24"/>
          <w:lang w:eastAsia="en-GB"/>
        </w:rPr>
        <w:t>) later reviewed the combination of deep learning with multispectral and three-dimensional imaging more broadly, concluding that multi-modal fusion represents a genuinely promising frontier for precision agriculture-scale disease detection, while acknowledging that it demands a level of sensing infrastructure and field data collection that current research budgets rarely match.</w:t>
      </w:r>
    </w:p>
    <w:p w14:paraId="641D87C8"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Table 1 brings together a comparative summary of the key CNN architectures discussed in this section, alongside their reported performance across the crops and disease categories studied.</w:t>
      </w:r>
    </w:p>
    <w:p w14:paraId="5BEEF266"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78D61EB9"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1.</w:t>
      </w:r>
      <w:r w:rsidRPr="002865FC">
        <w:rPr>
          <w:rFonts w:ascii="Times New Roman" w:eastAsia="Times New Roman" w:hAnsi="Times New Roman" w:cs="Times New Roman"/>
          <w:sz w:val="24"/>
          <w:szCs w:val="24"/>
          <w:lang w:eastAsia="en-GB"/>
        </w:rPr>
        <w:t xml:space="preserve"> Summary of Selected CNN Architectures Applied to Plant Disease Detection</w:t>
      </w:r>
    </w:p>
    <w:tbl>
      <w:tblPr>
        <w:tblStyle w:val="TableGrid"/>
        <w:tblW w:w="0" w:type="auto"/>
        <w:tblLook w:val="04A0" w:firstRow="1" w:lastRow="0" w:firstColumn="1" w:lastColumn="0" w:noHBand="0" w:noVBand="1"/>
      </w:tblPr>
      <w:tblGrid>
        <w:gridCol w:w="1893"/>
        <w:gridCol w:w="1594"/>
        <w:gridCol w:w="1824"/>
        <w:gridCol w:w="1625"/>
        <w:gridCol w:w="2306"/>
      </w:tblGrid>
      <w:tr w:rsidR="002865FC" w:rsidRPr="002865FC" w14:paraId="7F77FF5E" w14:textId="77777777" w:rsidTr="00BF38E6">
        <w:tc>
          <w:tcPr>
            <w:tcW w:w="0" w:type="auto"/>
            <w:hideMark/>
          </w:tcPr>
          <w:p w14:paraId="4965A015"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CNN Architecture</w:t>
            </w:r>
          </w:p>
        </w:tc>
        <w:tc>
          <w:tcPr>
            <w:tcW w:w="0" w:type="auto"/>
            <w:hideMark/>
          </w:tcPr>
          <w:p w14:paraId="5ABB2FA7"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Crop / Disease Category</w:t>
            </w:r>
          </w:p>
        </w:tc>
        <w:tc>
          <w:tcPr>
            <w:tcW w:w="0" w:type="auto"/>
            <w:hideMark/>
          </w:tcPr>
          <w:p w14:paraId="5A1FF454"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Reported Performance Metric (%)</w:t>
            </w:r>
          </w:p>
        </w:tc>
        <w:tc>
          <w:tcPr>
            <w:tcW w:w="0" w:type="auto"/>
            <w:hideMark/>
          </w:tcPr>
          <w:p w14:paraId="16ED327B"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Imaging Modality</w:t>
            </w:r>
          </w:p>
        </w:tc>
        <w:tc>
          <w:tcPr>
            <w:tcW w:w="0" w:type="auto"/>
            <w:hideMark/>
          </w:tcPr>
          <w:p w14:paraId="24B644BE"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Defining Feature</w:t>
            </w:r>
          </w:p>
        </w:tc>
      </w:tr>
      <w:tr w:rsidR="002865FC" w:rsidRPr="002865FC" w14:paraId="4A16E31F" w14:textId="77777777" w:rsidTr="00BF38E6">
        <w:tc>
          <w:tcPr>
            <w:tcW w:w="0" w:type="auto"/>
            <w:hideMark/>
          </w:tcPr>
          <w:p w14:paraId="398CAAE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GoogLeNet</w:t>
            </w:r>
          </w:p>
        </w:tc>
        <w:tc>
          <w:tcPr>
            <w:tcW w:w="0" w:type="auto"/>
            <w:hideMark/>
          </w:tcPr>
          <w:p w14:paraId="6484BC7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26 diseases, 14 crop species</w:t>
            </w:r>
          </w:p>
        </w:tc>
        <w:tc>
          <w:tcPr>
            <w:tcW w:w="0" w:type="auto"/>
            <w:hideMark/>
          </w:tcPr>
          <w:p w14:paraId="533F716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99.35</w:t>
            </w:r>
          </w:p>
        </w:tc>
        <w:tc>
          <w:tcPr>
            <w:tcW w:w="0" w:type="auto"/>
            <w:hideMark/>
          </w:tcPr>
          <w:p w14:paraId="43ED870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 (controlled)</w:t>
            </w:r>
          </w:p>
        </w:tc>
        <w:tc>
          <w:tcPr>
            <w:tcW w:w="0" w:type="auto"/>
            <w:hideMark/>
          </w:tcPr>
          <w:p w14:paraId="0A61195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Foundational benchmark; best-performing model (PlantVillage)</w:t>
            </w:r>
          </w:p>
        </w:tc>
      </w:tr>
      <w:tr w:rsidR="002865FC" w:rsidRPr="002865FC" w14:paraId="7080893B" w14:textId="77777777" w:rsidTr="00BF38E6">
        <w:tc>
          <w:tcPr>
            <w:tcW w:w="0" w:type="auto"/>
            <w:hideMark/>
          </w:tcPr>
          <w:p w14:paraId="6B13EA09"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AlexNet</w:t>
            </w:r>
          </w:p>
        </w:tc>
        <w:tc>
          <w:tcPr>
            <w:tcW w:w="0" w:type="auto"/>
            <w:hideMark/>
          </w:tcPr>
          <w:p w14:paraId="760649F0"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26 diseases, 14 crop species</w:t>
            </w:r>
          </w:p>
        </w:tc>
        <w:tc>
          <w:tcPr>
            <w:tcW w:w="0" w:type="auto"/>
            <w:hideMark/>
          </w:tcPr>
          <w:p w14:paraId="6A4F60F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Somewhat lower than GoogLeNet</w:t>
            </w:r>
          </w:p>
        </w:tc>
        <w:tc>
          <w:tcPr>
            <w:tcW w:w="0" w:type="auto"/>
            <w:hideMark/>
          </w:tcPr>
          <w:p w14:paraId="0247C96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 (controlled)</w:t>
            </w:r>
          </w:p>
        </w:tc>
        <w:tc>
          <w:tcPr>
            <w:tcW w:w="0" w:type="auto"/>
            <w:hideMark/>
          </w:tcPr>
          <w:p w14:paraId="1706874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Comparative architecture; same foundational study</w:t>
            </w:r>
          </w:p>
        </w:tc>
      </w:tr>
      <w:tr w:rsidR="002865FC" w:rsidRPr="002865FC" w14:paraId="5D772BF3" w14:textId="77777777" w:rsidTr="00BF38E6">
        <w:tc>
          <w:tcPr>
            <w:tcW w:w="0" w:type="auto"/>
            <w:hideMark/>
          </w:tcPr>
          <w:p w14:paraId="0E1D967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CNN architectures (five models)</w:t>
            </w:r>
          </w:p>
        </w:tc>
        <w:tc>
          <w:tcPr>
            <w:tcW w:w="0" w:type="auto"/>
            <w:hideMark/>
          </w:tcPr>
          <w:p w14:paraId="20233592"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diseases, benchmark dataset</w:t>
            </w:r>
          </w:p>
        </w:tc>
        <w:tc>
          <w:tcPr>
            <w:tcW w:w="0" w:type="auto"/>
            <w:hideMark/>
          </w:tcPr>
          <w:p w14:paraId="01CAD4B2"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93.67–99.53</w:t>
            </w:r>
          </w:p>
        </w:tc>
        <w:tc>
          <w:tcPr>
            <w:tcW w:w="0" w:type="auto"/>
            <w:hideMark/>
          </w:tcPr>
          <w:p w14:paraId="5D4E5C0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222E18B9"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Systematic five-model comparison; PlantVillage</w:t>
            </w:r>
          </w:p>
        </w:tc>
      </w:tr>
      <w:tr w:rsidR="002865FC" w:rsidRPr="002865FC" w14:paraId="400B9C51" w14:textId="77777777" w:rsidTr="00BF38E6">
        <w:tc>
          <w:tcPr>
            <w:tcW w:w="0" w:type="auto"/>
            <w:hideMark/>
          </w:tcPr>
          <w:p w14:paraId="3FDDF2B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ResNet / DenseNet</w:t>
            </w:r>
          </w:p>
        </w:tc>
        <w:tc>
          <w:tcPr>
            <w:tcW w:w="0" w:type="auto"/>
            <w:hideMark/>
          </w:tcPr>
          <w:p w14:paraId="40B4ACA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crops, multi-disease</w:t>
            </w:r>
          </w:p>
        </w:tc>
        <w:tc>
          <w:tcPr>
            <w:tcW w:w="0" w:type="auto"/>
            <w:hideMark/>
          </w:tcPr>
          <w:p w14:paraId="6E510EA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&gt;97</w:t>
            </w:r>
          </w:p>
        </w:tc>
        <w:tc>
          <w:tcPr>
            <w:tcW w:w="0" w:type="auto"/>
            <w:hideMark/>
          </w:tcPr>
          <w:p w14:paraId="36AD455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304AC8F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Residual connections; fine-tuning benchmark</w:t>
            </w:r>
          </w:p>
        </w:tc>
      </w:tr>
      <w:tr w:rsidR="002865FC" w:rsidRPr="002865FC" w14:paraId="271812AE" w14:textId="77777777" w:rsidTr="00BF38E6">
        <w:tc>
          <w:tcPr>
            <w:tcW w:w="0" w:type="auto"/>
            <w:hideMark/>
          </w:tcPr>
          <w:p w14:paraId="1878B64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EfficientNet</w:t>
            </w:r>
          </w:p>
        </w:tc>
        <w:tc>
          <w:tcPr>
            <w:tcW w:w="0" w:type="auto"/>
            <w:hideMark/>
          </w:tcPr>
          <w:p w14:paraId="69F690D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leaf diseases</w:t>
            </w:r>
          </w:p>
        </w:tc>
        <w:tc>
          <w:tcPr>
            <w:tcW w:w="0" w:type="auto"/>
            <w:hideMark/>
          </w:tcPr>
          <w:p w14:paraId="3320A03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~98.57</w:t>
            </w:r>
          </w:p>
        </w:tc>
        <w:tc>
          <w:tcPr>
            <w:tcW w:w="0" w:type="auto"/>
            <w:hideMark/>
          </w:tcPr>
          <w:p w14:paraId="05B02D3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52C33D6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Lightweight; mobile deployment suitability</w:t>
            </w:r>
          </w:p>
        </w:tc>
      </w:tr>
      <w:tr w:rsidR="002865FC" w:rsidRPr="002865FC" w14:paraId="5AC7DB62" w14:textId="77777777" w:rsidTr="00BF38E6">
        <w:tc>
          <w:tcPr>
            <w:tcW w:w="0" w:type="auto"/>
            <w:hideMark/>
          </w:tcPr>
          <w:p w14:paraId="61916AC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Faster R-CNN / SSD</w:t>
            </w:r>
          </w:p>
        </w:tc>
        <w:tc>
          <w:tcPr>
            <w:tcW w:w="0" w:type="auto"/>
            <w:hideMark/>
          </w:tcPr>
          <w:p w14:paraId="22B9949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Tomato diseases and pests</w:t>
            </w:r>
          </w:p>
        </w:tc>
        <w:tc>
          <w:tcPr>
            <w:tcW w:w="0" w:type="auto"/>
            <w:hideMark/>
          </w:tcPr>
          <w:p w14:paraId="4486C90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&gt;90</w:t>
            </w:r>
          </w:p>
        </w:tc>
        <w:tc>
          <w:tcPr>
            <w:tcW w:w="0" w:type="auto"/>
            <w:hideMark/>
          </w:tcPr>
          <w:p w14:paraId="01DA559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 (field)</w:t>
            </w:r>
          </w:p>
        </w:tc>
        <w:tc>
          <w:tcPr>
            <w:tcW w:w="0" w:type="auto"/>
            <w:hideMark/>
          </w:tcPr>
          <w:p w14:paraId="3012C2C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Real-time object-level detection</w:t>
            </w:r>
          </w:p>
        </w:tc>
      </w:tr>
      <w:tr w:rsidR="002865FC" w:rsidRPr="002865FC" w14:paraId="17A1537A" w14:textId="77777777" w:rsidTr="00BF38E6">
        <w:tc>
          <w:tcPr>
            <w:tcW w:w="0" w:type="auto"/>
            <w:hideMark/>
          </w:tcPr>
          <w:p w14:paraId="40383630"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Dense CNN</w:t>
            </w:r>
          </w:p>
        </w:tc>
        <w:tc>
          <w:tcPr>
            <w:tcW w:w="0" w:type="auto"/>
            <w:hideMark/>
          </w:tcPr>
          <w:p w14:paraId="4783A56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Corn leaf diseases</w:t>
            </w:r>
          </w:p>
        </w:tc>
        <w:tc>
          <w:tcPr>
            <w:tcW w:w="0" w:type="auto"/>
            <w:hideMark/>
          </w:tcPr>
          <w:p w14:paraId="206C613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&gt;97</w:t>
            </w:r>
          </w:p>
        </w:tc>
        <w:tc>
          <w:tcPr>
            <w:tcW w:w="0" w:type="auto"/>
            <w:hideMark/>
          </w:tcPr>
          <w:p w14:paraId="78D95E4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4603B77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Optimised depth; multi-class disease</w:t>
            </w:r>
          </w:p>
        </w:tc>
      </w:tr>
      <w:tr w:rsidR="002865FC" w:rsidRPr="002865FC" w14:paraId="780C09C9" w14:textId="77777777" w:rsidTr="00BF38E6">
        <w:tc>
          <w:tcPr>
            <w:tcW w:w="0" w:type="auto"/>
            <w:hideMark/>
          </w:tcPr>
          <w:p w14:paraId="230C389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Hybrid CNN + SVM</w:t>
            </w:r>
          </w:p>
        </w:tc>
        <w:tc>
          <w:tcPr>
            <w:tcW w:w="0" w:type="auto"/>
            <w:hideMark/>
          </w:tcPr>
          <w:p w14:paraId="26E4382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Four rice leaf diseases</w:t>
            </w:r>
          </w:p>
        </w:tc>
        <w:tc>
          <w:tcPr>
            <w:tcW w:w="0" w:type="auto"/>
            <w:hideMark/>
          </w:tcPr>
          <w:p w14:paraId="1C4AD93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&gt;95</w:t>
            </w:r>
          </w:p>
        </w:tc>
        <w:tc>
          <w:tcPr>
            <w:tcW w:w="0" w:type="auto"/>
            <w:hideMark/>
          </w:tcPr>
          <w:p w14:paraId="7E7C749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RGB</w:t>
            </w:r>
          </w:p>
        </w:tc>
        <w:tc>
          <w:tcPr>
            <w:tcW w:w="0" w:type="auto"/>
            <w:hideMark/>
          </w:tcPr>
          <w:p w14:paraId="07919BA0"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Ensemble fusion; discriminability</w:t>
            </w:r>
          </w:p>
        </w:tc>
      </w:tr>
      <w:tr w:rsidR="002865FC" w:rsidRPr="002865FC" w14:paraId="29D8E67B" w14:textId="77777777" w:rsidTr="00BF38E6">
        <w:tc>
          <w:tcPr>
            <w:tcW w:w="0" w:type="auto"/>
            <w:hideMark/>
          </w:tcPr>
          <w:p w14:paraId="00E05AD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CNN + Hyperspectral</w:t>
            </w:r>
          </w:p>
        </w:tc>
        <w:tc>
          <w:tcPr>
            <w:tcW w:w="0" w:type="auto"/>
            <w:hideMark/>
          </w:tcPr>
          <w:p w14:paraId="3A0A60B2"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Plant viral disease</w:t>
            </w:r>
          </w:p>
        </w:tc>
        <w:tc>
          <w:tcPr>
            <w:tcW w:w="0" w:type="auto"/>
            <w:hideMark/>
          </w:tcPr>
          <w:p w14:paraId="3B2C5E0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&gt;94</w:t>
            </w:r>
          </w:p>
        </w:tc>
        <w:tc>
          <w:tcPr>
            <w:tcW w:w="0" w:type="auto"/>
            <w:hideMark/>
          </w:tcPr>
          <w:p w14:paraId="30206E9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Hyperspectral</w:t>
            </w:r>
          </w:p>
        </w:tc>
        <w:tc>
          <w:tcPr>
            <w:tcW w:w="0" w:type="auto"/>
            <w:hideMark/>
          </w:tcPr>
          <w:p w14:paraId="674053B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Pre-symptomatic detection capability</w:t>
            </w:r>
          </w:p>
        </w:tc>
      </w:tr>
    </w:tbl>
    <w:p w14:paraId="010EC358"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Note: For detection-based architectures (Faster R-CNN / SSD), the performance metric reflects mean average precision (mAP) rather than classification accuracy.</w:t>
      </w:r>
    </w:p>
    <w:p w14:paraId="2E68C57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 xml:space="preserve">Sources: Mohanty et al. (2016); Ferentinos (2018); Too et al. </w:t>
      </w:r>
      <w:r w:rsidRPr="00D43F9A">
        <w:rPr>
          <w:rFonts w:ascii="Times New Roman" w:eastAsia="Times New Roman" w:hAnsi="Times New Roman" w:cs="Times New Roman"/>
          <w:i/>
          <w:iCs/>
          <w:sz w:val="24"/>
          <w:szCs w:val="24"/>
          <w:lang w:val="nl-BE" w:eastAsia="en-GB"/>
        </w:rPr>
        <w:t xml:space="preserve">(2019); Alzubaidi et al. (2021); Atila et al. (2021); Fuentes et al. (2017, 2018); Waheed et al. (2020); Jiang et al. (2020); Nguyen et al. </w:t>
      </w:r>
      <w:r w:rsidRPr="002865FC">
        <w:rPr>
          <w:rFonts w:ascii="Times New Roman" w:eastAsia="Times New Roman" w:hAnsi="Times New Roman" w:cs="Times New Roman"/>
          <w:i/>
          <w:iCs/>
          <w:sz w:val="24"/>
          <w:szCs w:val="24"/>
          <w:lang w:eastAsia="en-GB"/>
        </w:rPr>
        <w:t>(2021)</w:t>
      </w:r>
    </w:p>
    <w:p w14:paraId="046C0615"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As the table makes clear, reported performance figures across the literature cluster well above 90 per cent regardless of crop, disease, or architecture—a pattern that, on the surface, looks like a field approaching maturity. The discussion in Sections 5 and 8 complicates this picture considerably, since most of these figures derive from controlled or semi-controlled benchmark conditions rather than genuinely independent field testing.</w:t>
      </w:r>
    </w:p>
    <w:p w14:paraId="3F31F3D0"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7A6339C7"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5. Datasets and Benchmarking in Plant Disease Recognition</w:t>
      </w:r>
    </w:p>
    <w:p w14:paraId="4BAC8D44"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5.1 Controlled versus Field-Collected Datasets</w:t>
      </w:r>
    </w:p>
    <w:p w14:paraId="35B43AD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quality, diversity, and ecological representativeness of training data are arguably the single most consequential factor behind CNN performance—and, more importantly, behind whether that performance translates into real diagnostic value. The PlantVillage dataset, comprising approximately 54,306 original images of healthy and diseased leaves photographed against plain backgrounds under standardised indoor lighting, has served as the primary benchmark for the majority of published CNN studies in this field (Mohanty et al., 2016). Its accessibility, scale, and annotation consistency have made it an invaluable resource for initial model development and comparative evaluation. Its limitations, however, are by now well understood and widely acknowledged.</w:t>
      </w:r>
    </w:p>
    <w:p w14:paraId="5E428C2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Images in the PlantVillage dataset were captured under conditions that strip out almost all of the visual complexity found in real agricultural fields: variable natural lighting, cluttered soil and canopy backgrounds, overlapping leaves, partial occlusion, the inevitable artefacts of hand-held photography, and the full range of symptom expression that reflects differences in cultivar susceptibility, disease stage, environmental stress, and pathogen strain. Barbedo (2018) offered an influential early critique of studies that reported high accuracy on controlled benchmarks without testing generalisation to field conditions, arguing persuasively that the gap between laboratory and field photography is large enough to make controlled-condition accuracy a poor guide to operational utility. Barbedo's (2019) subsequent work on disease identification at the individual lesion level reinforced this point, showing that the </w:t>
      </w:r>
      <w:r w:rsidRPr="002865FC">
        <w:rPr>
          <w:rFonts w:ascii="Times New Roman" w:eastAsia="Times New Roman" w:hAnsi="Times New Roman" w:cs="Times New Roman"/>
          <w:sz w:val="24"/>
          <w:szCs w:val="24"/>
          <w:lang w:eastAsia="en-GB"/>
        </w:rPr>
        <w:lastRenderedPageBreak/>
        <w:t>within-class variability of symptom appearance in naturally grown plants far exceeds anything captured in standard benchmark datasets.</w:t>
      </w:r>
    </w:p>
    <w:p w14:paraId="3A0838B2"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Against this backdrop, Wiesner-Hanks et al. (2018) made a genuinely important contribution by releasing a field-collected dataset for maize, focused on Northern Leaf Blight, specifically designed to capture the visual complexity of real crop canopies. Ramcharan et al. (2017) did something similar for cassava, building a field-based disease dataset in Uganda that helped address a notable gap: sub-Saharan African crops had been substantially underrepresented in the published literature up to that point. Together, these studies demonstrated both the feasibility and the necessity of investing in ecologically representative training data, and set a methodological precedent that later work has tried to follow. Sladojevic et al. (2016) had already flagged the underlying problem early on, observing that models trained exclusively in one imaging environment tend to perform poorly when presented with images from a different acquisition context—a finding confirmed repeatedly since, and one that underlines the continuing need for open-access datasets that are geographically and agronomically diverse.</w:t>
      </w:r>
    </w:p>
    <w:p w14:paraId="6873CDCB"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5.2 Data Augmentation Strategies</w:t>
      </w:r>
    </w:p>
    <w:p w14:paraId="3DAAC960"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relative scarcity of labelled disease images—particularly for rare, regionally specific, or newly emerging diseases—has prompted extensive use of data augmentation as a way of artificially expanding effective training set size and improving generalisation. Standard operations such as geometric transformations, photometric adjustments, and random erasing are now applied almost universally in published CNN studies, and have consistently been shown to improve performance on held-out test data (Lu et al., 2021;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 More elaborate strategies have also been explored, including Mixup, CutMix, and generative adversarial network-based image synthesis, all of which can produce photorealistic synthetic disease images to supplement what was actually collected in the field.</w:t>
      </w:r>
    </w:p>
    <w:p w14:paraId="5BFC3F8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Paymode and Malode (2022) found that combining transfer learning with comprehensive augmentation produced robust multi-class classification performance even when the original training set was fairly modest in size, suggesting that the two strategies reinforce one another in offsetting data scarcity. Still, real uncertainty remains about how far augmentation can compensate for a genuine lack of data diversity—particularly when the augmented images derive from a narrow original distribution that never captured the full range of symptom variation, cultivar response, environmental modulation, or geographic diversity that a deployed model will eventually encounter. This is, in effect, an argument for treating field data collection as irreplaceable rather than as something augmentation can substitute for.</w:t>
      </w:r>
      <w:r w:rsidR="00BF38E6">
        <w:rPr>
          <w:rFonts w:ascii="Times New Roman" w:eastAsia="Times New Roman" w:hAnsi="Times New Roman" w:cs="Times New Roman"/>
          <w:sz w:val="24"/>
          <w:szCs w:val="24"/>
          <w:lang w:eastAsia="en-GB"/>
        </w:rPr>
        <w:t xml:space="preserve"> </w:t>
      </w:r>
      <w:r w:rsidRPr="002865FC">
        <w:rPr>
          <w:rFonts w:ascii="Times New Roman" w:eastAsia="Times New Roman" w:hAnsi="Times New Roman" w:cs="Times New Roman"/>
          <w:sz w:val="24"/>
          <w:szCs w:val="24"/>
          <w:lang w:eastAsia="en-GB"/>
        </w:rPr>
        <w:t>Table 2 summarises the characteristics of the most widely referenced datasets in this field.</w:t>
      </w:r>
    </w:p>
    <w:p w14:paraId="771E7EE6"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67F741B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2.</w:t>
      </w:r>
      <w:r w:rsidRPr="002865FC">
        <w:rPr>
          <w:rFonts w:ascii="Times New Roman" w:eastAsia="Times New Roman" w:hAnsi="Times New Roman" w:cs="Times New Roman"/>
          <w:sz w:val="24"/>
          <w:szCs w:val="24"/>
          <w:lang w:eastAsia="en-GB"/>
        </w:rPr>
        <w:t xml:space="preserve"> Characteristics of Key Datasets Used in Plant Disease Detection Research</w:t>
      </w:r>
    </w:p>
    <w:tbl>
      <w:tblPr>
        <w:tblStyle w:val="TableGrid"/>
        <w:tblW w:w="0" w:type="auto"/>
        <w:tblLook w:val="04A0" w:firstRow="1" w:lastRow="0" w:firstColumn="1" w:lastColumn="0" w:noHBand="0" w:noVBand="1"/>
      </w:tblPr>
      <w:tblGrid>
        <w:gridCol w:w="2112"/>
        <w:gridCol w:w="1845"/>
        <w:gridCol w:w="1833"/>
        <w:gridCol w:w="2035"/>
        <w:gridCol w:w="1417"/>
      </w:tblGrid>
      <w:tr w:rsidR="002865FC" w:rsidRPr="002865FC" w14:paraId="5E3B7860" w14:textId="77777777" w:rsidTr="00BF38E6">
        <w:tc>
          <w:tcPr>
            <w:tcW w:w="0" w:type="auto"/>
            <w:hideMark/>
          </w:tcPr>
          <w:p w14:paraId="13A1664C"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Dataset</w:t>
            </w:r>
          </w:p>
        </w:tc>
        <w:tc>
          <w:tcPr>
            <w:tcW w:w="0" w:type="auto"/>
            <w:hideMark/>
          </w:tcPr>
          <w:p w14:paraId="31DE3067"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Approximate Image Count</w:t>
            </w:r>
          </w:p>
        </w:tc>
        <w:tc>
          <w:tcPr>
            <w:tcW w:w="0" w:type="auto"/>
            <w:hideMark/>
          </w:tcPr>
          <w:p w14:paraId="33F39B23"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Species / Disease Categories</w:t>
            </w:r>
          </w:p>
        </w:tc>
        <w:tc>
          <w:tcPr>
            <w:tcW w:w="0" w:type="auto"/>
            <w:hideMark/>
          </w:tcPr>
          <w:p w14:paraId="23935EA4"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Imaging Environment</w:t>
            </w:r>
          </w:p>
        </w:tc>
        <w:tc>
          <w:tcPr>
            <w:tcW w:w="0" w:type="auto"/>
            <w:hideMark/>
          </w:tcPr>
          <w:p w14:paraId="67A273A5"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Availability</w:t>
            </w:r>
          </w:p>
        </w:tc>
      </w:tr>
      <w:tr w:rsidR="002865FC" w:rsidRPr="002865FC" w14:paraId="7A944CAD" w14:textId="77777777" w:rsidTr="00BF38E6">
        <w:tc>
          <w:tcPr>
            <w:tcW w:w="0" w:type="auto"/>
            <w:hideMark/>
          </w:tcPr>
          <w:p w14:paraId="2A85E93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PlantVillage</w:t>
            </w:r>
          </w:p>
        </w:tc>
        <w:tc>
          <w:tcPr>
            <w:tcW w:w="0" w:type="auto"/>
            <w:hideMark/>
          </w:tcPr>
          <w:p w14:paraId="6E51DEB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~54,306</w:t>
            </w:r>
          </w:p>
        </w:tc>
        <w:tc>
          <w:tcPr>
            <w:tcW w:w="0" w:type="auto"/>
            <w:hideMark/>
          </w:tcPr>
          <w:p w14:paraId="55DA0199"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14 species / 26 diseases + healthy states</w:t>
            </w:r>
          </w:p>
        </w:tc>
        <w:tc>
          <w:tcPr>
            <w:tcW w:w="0" w:type="auto"/>
            <w:hideMark/>
          </w:tcPr>
          <w:p w14:paraId="277C32C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Controlled indoor</w:t>
            </w:r>
          </w:p>
        </w:tc>
        <w:tc>
          <w:tcPr>
            <w:tcW w:w="0" w:type="auto"/>
            <w:hideMark/>
          </w:tcPr>
          <w:p w14:paraId="62B5FC1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Public</w:t>
            </w:r>
          </w:p>
        </w:tc>
      </w:tr>
      <w:tr w:rsidR="002865FC" w:rsidRPr="002865FC" w14:paraId="05112588" w14:textId="77777777" w:rsidTr="00BF38E6">
        <w:tc>
          <w:tcPr>
            <w:tcW w:w="0" w:type="auto"/>
            <w:hideMark/>
          </w:tcPr>
          <w:p w14:paraId="264E78A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Maize Disease (Wiesner-Hanks et al.)</w:t>
            </w:r>
          </w:p>
        </w:tc>
        <w:tc>
          <w:tcPr>
            <w:tcW w:w="0" w:type="auto"/>
            <w:hideMark/>
          </w:tcPr>
          <w:p w14:paraId="2B7705B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~18,000</w:t>
            </w:r>
          </w:p>
        </w:tc>
        <w:tc>
          <w:tcPr>
            <w:tcW w:w="0" w:type="auto"/>
            <w:hideMark/>
          </w:tcPr>
          <w:p w14:paraId="10232B0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Maize / Northern Leaf Blight lesions</w:t>
            </w:r>
          </w:p>
        </w:tc>
        <w:tc>
          <w:tcPr>
            <w:tcW w:w="0" w:type="auto"/>
            <w:hideMark/>
          </w:tcPr>
          <w:p w14:paraId="3036747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Field-collected</w:t>
            </w:r>
          </w:p>
        </w:tc>
        <w:tc>
          <w:tcPr>
            <w:tcW w:w="0" w:type="auto"/>
            <w:hideMark/>
          </w:tcPr>
          <w:p w14:paraId="341E2F8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Public</w:t>
            </w:r>
          </w:p>
        </w:tc>
      </w:tr>
      <w:tr w:rsidR="002865FC" w:rsidRPr="002865FC" w14:paraId="7F3AC8F2" w14:textId="77777777" w:rsidTr="00BF38E6">
        <w:tc>
          <w:tcPr>
            <w:tcW w:w="0" w:type="auto"/>
            <w:hideMark/>
          </w:tcPr>
          <w:p w14:paraId="7DD998A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Cassava Disease (Ramcharan et al.)</w:t>
            </w:r>
          </w:p>
        </w:tc>
        <w:tc>
          <w:tcPr>
            <w:tcW w:w="0" w:type="auto"/>
            <w:hideMark/>
          </w:tcPr>
          <w:p w14:paraId="1FC3805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~2,756</w:t>
            </w:r>
          </w:p>
        </w:tc>
        <w:tc>
          <w:tcPr>
            <w:tcW w:w="0" w:type="auto"/>
            <w:hideMark/>
          </w:tcPr>
          <w:p w14:paraId="2A1E57F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Cassava / 5 diseases</w:t>
            </w:r>
          </w:p>
        </w:tc>
        <w:tc>
          <w:tcPr>
            <w:tcW w:w="0" w:type="auto"/>
            <w:hideMark/>
          </w:tcPr>
          <w:p w14:paraId="6920EBC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Field-collected (Uganda)</w:t>
            </w:r>
          </w:p>
        </w:tc>
        <w:tc>
          <w:tcPr>
            <w:tcW w:w="0" w:type="auto"/>
            <w:hideMark/>
          </w:tcPr>
          <w:p w14:paraId="2F021DB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Public</w:t>
            </w:r>
          </w:p>
        </w:tc>
      </w:tr>
      <w:tr w:rsidR="002865FC" w:rsidRPr="002865FC" w14:paraId="175AF17F" w14:textId="77777777" w:rsidTr="00BF38E6">
        <w:tc>
          <w:tcPr>
            <w:tcW w:w="0" w:type="auto"/>
            <w:hideMark/>
          </w:tcPr>
          <w:p w14:paraId="0D3BF975"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Rice Leaf Disease (Bari et al.)</w:t>
            </w:r>
          </w:p>
        </w:tc>
        <w:tc>
          <w:tcPr>
            <w:tcW w:w="0" w:type="auto"/>
            <w:hideMark/>
          </w:tcPr>
          <w:p w14:paraId="50DDB5A0"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Varied</w:t>
            </w:r>
          </w:p>
        </w:tc>
        <w:tc>
          <w:tcPr>
            <w:tcW w:w="0" w:type="auto"/>
            <w:hideMark/>
          </w:tcPr>
          <w:p w14:paraId="648D96D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Rice / 4 diseases</w:t>
            </w:r>
          </w:p>
        </w:tc>
        <w:tc>
          <w:tcPr>
            <w:tcW w:w="0" w:type="auto"/>
            <w:hideMark/>
          </w:tcPr>
          <w:p w14:paraId="26E0762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Mixed</w:t>
            </w:r>
          </w:p>
        </w:tc>
        <w:tc>
          <w:tcPr>
            <w:tcW w:w="0" w:type="auto"/>
            <w:hideMark/>
          </w:tcPr>
          <w:p w14:paraId="0C22351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Institutional</w:t>
            </w:r>
          </w:p>
        </w:tc>
      </w:tr>
      <w:tr w:rsidR="002865FC" w:rsidRPr="002865FC" w14:paraId="539384F2" w14:textId="77777777" w:rsidTr="00BF38E6">
        <w:tc>
          <w:tcPr>
            <w:tcW w:w="0" w:type="auto"/>
            <w:hideMark/>
          </w:tcPr>
          <w:p w14:paraId="16EF559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Apple Leaf Disease (Jiang et al.)</w:t>
            </w:r>
          </w:p>
        </w:tc>
        <w:tc>
          <w:tcPr>
            <w:tcW w:w="0" w:type="auto"/>
            <w:hideMark/>
          </w:tcPr>
          <w:p w14:paraId="76B2CA55"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Varied</w:t>
            </w:r>
          </w:p>
        </w:tc>
        <w:tc>
          <w:tcPr>
            <w:tcW w:w="0" w:type="auto"/>
            <w:hideMark/>
          </w:tcPr>
          <w:p w14:paraId="4409083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Apple / multiple diseases</w:t>
            </w:r>
          </w:p>
        </w:tc>
        <w:tc>
          <w:tcPr>
            <w:tcW w:w="0" w:type="auto"/>
            <w:hideMark/>
          </w:tcPr>
          <w:p w14:paraId="298D81E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Mixed/laboratory</w:t>
            </w:r>
          </w:p>
        </w:tc>
        <w:tc>
          <w:tcPr>
            <w:tcW w:w="0" w:type="auto"/>
            <w:hideMark/>
          </w:tcPr>
          <w:p w14:paraId="34BD0C7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Institutional</w:t>
            </w:r>
          </w:p>
        </w:tc>
      </w:tr>
      <w:tr w:rsidR="002865FC" w:rsidRPr="002865FC" w14:paraId="1B892887" w14:textId="77777777" w:rsidTr="00BF38E6">
        <w:tc>
          <w:tcPr>
            <w:tcW w:w="0" w:type="auto"/>
            <w:hideMark/>
          </w:tcPr>
          <w:p w14:paraId="5D602AB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Hyperspectral Viral Disease (Nguyen et al.)</w:t>
            </w:r>
          </w:p>
        </w:tc>
        <w:tc>
          <w:tcPr>
            <w:tcW w:w="0" w:type="auto"/>
            <w:hideMark/>
          </w:tcPr>
          <w:p w14:paraId="4D531FB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Varied</w:t>
            </w:r>
          </w:p>
        </w:tc>
        <w:tc>
          <w:tcPr>
            <w:tcW w:w="0" w:type="auto"/>
            <w:hideMark/>
          </w:tcPr>
          <w:p w14:paraId="08F4B80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Multiple / viral disease</w:t>
            </w:r>
          </w:p>
        </w:tc>
        <w:tc>
          <w:tcPr>
            <w:tcW w:w="0" w:type="auto"/>
            <w:hideMark/>
          </w:tcPr>
          <w:p w14:paraId="2F43AFE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Controlled hyperspectral</w:t>
            </w:r>
          </w:p>
        </w:tc>
        <w:tc>
          <w:tcPr>
            <w:tcW w:w="0" w:type="auto"/>
            <w:hideMark/>
          </w:tcPr>
          <w:p w14:paraId="52BF9A2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Institutional</w:t>
            </w:r>
          </w:p>
        </w:tc>
      </w:tr>
    </w:tbl>
    <w:p w14:paraId="77E4878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43F9A">
        <w:rPr>
          <w:rFonts w:ascii="Times New Roman" w:eastAsia="Times New Roman" w:hAnsi="Times New Roman" w:cs="Times New Roman"/>
          <w:i/>
          <w:iCs/>
          <w:sz w:val="24"/>
          <w:szCs w:val="24"/>
          <w:lang w:val="nl-BE" w:eastAsia="en-GB"/>
        </w:rPr>
        <w:t xml:space="preserve">Sources: Mohanty et al. (2016); Wiesner-Hanks et al. (2018); Ramcharan et al. (2017); Bari et al. </w:t>
      </w:r>
      <w:r w:rsidRPr="002865FC">
        <w:rPr>
          <w:rFonts w:ascii="Times New Roman" w:eastAsia="Times New Roman" w:hAnsi="Times New Roman" w:cs="Times New Roman"/>
          <w:i/>
          <w:iCs/>
          <w:sz w:val="24"/>
          <w:szCs w:val="24"/>
          <w:lang w:eastAsia="en-GB"/>
        </w:rPr>
        <w:t>(</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i/>
          <w:iCs/>
          <w:sz w:val="24"/>
          <w:szCs w:val="24"/>
          <w:lang w:eastAsia="en-GB"/>
        </w:rPr>
        <w:t>); Jiang et al. (2019); Nguyen et al. (2021)</w:t>
      </w:r>
    </w:p>
    <w:p w14:paraId="153020A2"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What stands out in Table 2 is less the scale of these datasets than their imaging environment: only two of the six—the maize and cassava datasets—were collected directly in the field, and both remain modest in size relative to PlantVillage. This imbalance between controlled and field-representative data is, as the next sections argue, central to understanding why benchmark accuracy and field performance so often diverge.</w:t>
      </w:r>
    </w:p>
    <w:p w14:paraId="7260B18D"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0288721A"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6. Integration with Smart Agriculture Technologies</w:t>
      </w:r>
    </w:p>
    <w:p w14:paraId="478DF6EF"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6.1 IoT-Enabled Precision Agriculture</w:t>
      </w:r>
    </w:p>
    <w:p w14:paraId="2C46FE1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Plant disease detection delivers the most value when it is embedded within a broader precision agriculture system capable of pulling together multiple streams of agronomic and environmental data at once. The Internet of Things supplies the connective infrastructure that makes this possible, allowing soil moisture, ambient temperature, relative humidity, canopy microclimate, and spectral reflectance data to be collected, transmitted, and analysed continuously and in near real time (Liakos et al., 2018). When CNN-based disease classifiers are coupled with this kind of sensor network, the resulting systems can move, at least in principle, from reactive disease diagnosis towards predictive risk modelling—flagging the conditions under which intervention is likely to be needed before yield losses actually occur.</w:t>
      </w:r>
    </w:p>
    <w:p w14:paraId="3A8EFCA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Wolfert et al. (2017) documented the rapid growth of sensor deployment in agricultural settings and the corresponding potential for machine learning to extract useful agronomic insight from dense, continuous data streams. Integrating CNN-based classifiers with IoT environmental monitoring is a natural extension of this infrastructure, since it allows image-based diagnosis to be combined with contextual signals—humidity thresholds conducive to fungal sporulation, for instance—that hint at elevated disease risk before any visual symptom appears. Sharma et al. (2021), in a comprehensive review of precision agriculture applications, concluded that IoT-integrated AI systems hold particular promise for optimising the timing and dosage of pesticide application, reducing both the economic cost and the environmental externalities of chemical crop protection.</w:t>
      </w:r>
    </w:p>
    <w:p w14:paraId="1A800211"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6.2 Unmanned Aerial Vehicles and Remote Sensing</w:t>
      </w:r>
    </w:p>
    <w:p w14:paraId="3BDC06C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Unmanned aerial vehicles have become an increasingly important platform for monitoring crop disease and conducting spatial surveillance at scale. Their ability to capture high-resolution imagery across large field areas, at relatively low operational cost, on a flexible schedule, and from a vantage point that captures canopy-level disease expression makes them well suited to field-scale detection and mapping. Equipped with multispectral or hyperspectral sensors and paired with CNN classifiers, UAV imagery can in principle generate disease distribution maps covering entire field paddocks from a single survey flight (Tetila et al., 2020).</w:t>
      </w:r>
    </w:p>
    <w:p w14:paraId="02FC56B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Tetila et al. (2020) demonstrated this potential directly, integrating UAV-acquired imagery with deep learning classifiers for soybean pest detection and achieving accuracy sufficient for practical use—a result that illustrates how UAV-based systems might substantially reduce the burden of labour-intensive ground scouting. Close-range, multi-modal sensor research has provided important scientific groundwork for this kind of aerial system design: Mahlein et al. (2019) showed that combining thermal imaging, chlorophyll fluorescence, and hyperspectral sensing substantially improved early detection sensitivity for Fusarium head blight in wheat, and findings of this kind have helped motivate the translation of multi-sensor approaches onto aerial platforms as sensor miniaturisation and UAV payload capacity continue to improve. The sheer volume of high-resolution aerial imagery that needs processing in near real time has, in turn, fuelled interest in efficient CNN architectures and in pushing inference to the edge—directly onboard the UAV or on a nearby ground station—rather than relying on cloud connectivity. Ang and Seng (2021), reviewing the integration of hyperspectral data with machine learning in precision agriculture, noted that the computational demands of full-resolution hyperspectral processing remain a significant barrier to real-time airborne implementation, and that hardware acceleration is an active area of ongoing development.</w:t>
      </w:r>
    </w:p>
    <w:p w14:paraId="25973EDD"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6.3 Edge Computing and Real-Time Deployment</w:t>
      </w:r>
    </w:p>
    <w:p w14:paraId="36536759"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Edge computing describes a setup in which inference happens on devices physically close to the data source—a smartphone, an embedded microcontroller, an onboard UAV processor—rather than depending on a round trip to centralised cloud infrastructure. For CNN-based disease detection, this matters in several practical ways: it removes dependence on reliable internet connectivity, which remains scarce or unaffordable in many remote farming regions; it cuts mobile data costs; and it allows the kind of near-instantaneous feedback that farmers actually need when making time-sensitive management decisions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w:t>
      </w:r>
    </w:p>
    <w:p w14:paraId="38B0A19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development of lightweight CNN architectures has been a key enabler here. MobileNet and EfficientNet, in particular, were designed explicitly to deliver competitive image classification accuracy at a fraction of the computational cost of full-scale models, making them far more suitable for deployment on mobile and embedded processors (Atila et al., 2021). Fuentes et al. (2017) demonstrated real-time disease detection on embedded hardware using optimised network configurations, achieving inference speeds adequate for operational use on commercially available field platforms. Kaur et al. (2022) folded feature reduction into a hybrid CNN framework, cutting model complexity without a meaningful loss of accuracy and, in doing so, improving the prospects for edge deployment on resource-constrained consumer devices.</w:t>
      </w:r>
      <w:r w:rsidR="00BF38E6">
        <w:rPr>
          <w:rFonts w:ascii="Times New Roman" w:eastAsia="Times New Roman" w:hAnsi="Times New Roman" w:cs="Times New Roman"/>
          <w:sz w:val="24"/>
          <w:szCs w:val="24"/>
          <w:lang w:eastAsia="en-GB"/>
        </w:rPr>
        <w:t xml:space="preserve"> </w:t>
      </w:r>
      <w:r w:rsidRPr="002865FC">
        <w:rPr>
          <w:rFonts w:ascii="Times New Roman" w:eastAsia="Times New Roman" w:hAnsi="Times New Roman" w:cs="Times New Roman"/>
          <w:sz w:val="24"/>
          <w:szCs w:val="24"/>
          <w:lang w:eastAsia="en-GB"/>
        </w:rPr>
        <w:t>Table 3 brings together how these various technologies—IoT, UAV, and edge computing—have been combined with CNN-based disease detection in the literature reviewed here.</w:t>
      </w:r>
    </w:p>
    <w:p w14:paraId="6B34ED88"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6889710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lastRenderedPageBreak/>
        <w:t>Table 3.</w:t>
      </w:r>
      <w:r w:rsidRPr="002865FC">
        <w:rPr>
          <w:rFonts w:ascii="Times New Roman" w:eastAsia="Times New Roman" w:hAnsi="Times New Roman" w:cs="Times New Roman"/>
          <w:sz w:val="24"/>
          <w:szCs w:val="24"/>
          <w:lang w:eastAsia="en-GB"/>
        </w:rPr>
        <w:t xml:space="preserve"> Integration of CNN-Based Disease Detection with Smart Agriculture Technologies</w:t>
      </w:r>
    </w:p>
    <w:tbl>
      <w:tblPr>
        <w:tblStyle w:val="TableGrid"/>
        <w:tblW w:w="0" w:type="auto"/>
        <w:tblLook w:val="04A0" w:firstRow="1" w:lastRow="0" w:firstColumn="1" w:lastColumn="0" w:noHBand="0" w:noVBand="1"/>
      </w:tblPr>
      <w:tblGrid>
        <w:gridCol w:w="2110"/>
        <w:gridCol w:w="2352"/>
        <w:gridCol w:w="2254"/>
        <w:gridCol w:w="2526"/>
      </w:tblGrid>
      <w:tr w:rsidR="002865FC" w:rsidRPr="002865FC" w14:paraId="3CC13EB4" w14:textId="77777777" w:rsidTr="00BF38E6">
        <w:tc>
          <w:tcPr>
            <w:tcW w:w="0" w:type="auto"/>
            <w:hideMark/>
          </w:tcPr>
          <w:p w14:paraId="7BC194F8"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Technology Integration</w:t>
            </w:r>
          </w:p>
        </w:tc>
        <w:tc>
          <w:tcPr>
            <w:tcW w:w="0" w:type="auto"/>
            <w:hideMark/>
          </w:tcPr>
          <w:p w14:paraId="4C7CEB39"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Primary Application</w:t>
            </w:r>
          </w:p>
        </w:tc>
        <w:tc>
          <w:tcPr>
            <w:tcW w:w="0" w:type="auto"/>
            <w:hideMark/>
          </w:tcPr>
          <w:p w14:paraId="6F58D0BB"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Key Practical Benefit</w:t>
            </w:r>
          </w:p>
        </w:tc>
        <w:tc>
          <w:tcPr>
            <w:tcW w:w="0" w:type="auto"/>
            <w:hideMark/>
          </w:tcPr>
          <w:p w14:paraId="3D4C8CC5"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Representative Limitation</w:t>
            </w:r>
          </w:p>
        </w:tc>
      </w:tr>
      <w:tr w:rsidR="002865FC" w:rsidRPr="002865FC" w14:paraId="3E23DFA2" w14:textId="77777777" w:rsidTr="00BF38E6">
        <w:tc>
          <w:tcPr>
            <w:tcW w:w="0" w:type="auto"/>
            <w:hideMark/>
          </w:tcPr>
          <w:p w14:paraId="5C8F50C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IoT sensor network + CNN</w:t>
            </w:r>
          </w:p>
        </w:tc>
        <w:tc>
          <w:tcPr>
            <w:tcW w:w="0" w:type="auto"/>
            <w:hideMark/>
          </w:tcPr>
          <w:p w14:paraId="011A2CB9"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Disease risk monitoring; sensor-image fusion</w:t>
            </w:r>
          </w:p>
        </w:tc>
        <w:tc>
          <w:tcPr>
            <w:tcW w:w="0" w:type="auto"/>
            <w:hideMark/>
          </w:tcPr>
          <w:p w14:paraId="64326D8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Continuous field monitoring; risk prediction</w:t>
            </w:r>
          </w:p>
        </w:tc>
        <w:tc>
          <w:tcPr>
            <w:tcW w:w="0" w:type="auto"/>
            <w:hideMark/>
          </w:tcPr>
          <w:p w14:paraId="7DA1AAD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Connectivity dependency; sensor cost</w:t>
            </w:r>
          </w:p>
        </w:tc>
      </w:tr>
      <w:tr w:rsidR="002865FC" w:rsidRPr="002865FC" w14:paraId="5B53BCF7" w14:textId="77777777" w:rsidTr="00BF38E6">
        <w:tc>
          <w:tcPr>
            <w:tcW w:w="0" w:type="auto"/>
            <w:hideMark/>
          </w:tcPr>
          <w:p w14:paraId="0147287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UAV + multispectral CNN</w:t>
            </w:r>
          </w:p>
        </w:tc>
        <w:tc>
          <w:tcPr>
            <w:tcW w:w="0" w:type="auto"/>
            <w:hideMark/>
          </w:tcPr>
          <w:p w14:paraId="21E906B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Field-scale disease mapping</w:t>
            </w:r>
          </w:p>
        </w:tc>
        <w:tc>
          <w:tcPr>
            <w:tcW w:w="0" w:type="auto"/>
            <w:hideMark/>
          </w:tcPr>
          <w:p w14:paraId="03B2B8D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Large-area coverage; rapid survey</w:t>
            </w:r>
          </w:p>
        </w:tc>
        <w:tc>
          <w:tcPr>
            <w:tcW w:w="0" w:type="auto"/>
            <w:hideMark/>
          </w:tcPr>
          <w:p w14:paraId="7A6A4E8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Weather dependency; data volume</w:t>
            </w:r>
          </w:p>
        </w:tc>
      </w:tr>
      <w:tr w:rsidR="002865FC" w:rsidRPr="002865FC" w14:paraId="0F3C7372" w14:textId="77777777" w:rsidTr="00BF38E6">
        <w:tc>
          <w:tcPr>
            <w:tcW w:w="0" w:type="auto"/>
            <w:hideMark/>
          </w:tcPr>
          <w:p w14:paraId="3685343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Edge computing + lightweight CNN</w:t>
            </w:r>
          </w:p>
        </w:tc>
        <w:tc>
          <w:tcPr>
            <w:tcW w:w="0" w:type="auto"/>
            <w:hideMark/>
          </w:tcPr>
          <w:p w14:paraId="2F30C559"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On-device mobile diagnosis</w:t>
            </w:r>
          </w:p>
        </w:tc>
        <w:tc>
          <w:tcPr>
            <w:tcW w:w="0" w:type="auto"/>
            <w:hideMark/>
          </w:tcPr>
          <w:p w14:paraId="7D0FB6F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Low latency; offline operation</w:t>
            </w:r>
          </w:p>
        </w:tc>
        <w:tc>
          <w:tcPr>
            <w:tcW w:w="0" w:type="auto"/>
            <w:hideMark/>
          </w:tcPr>
          <w:p w14:paraId="5EEB983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Accuracy trade-off; image quality dependency</w:t>
            </w:r>
          </w:p>
        </w:tc>
      </w:tr>
      <w:tr w:rsidR="002865FC" w:rsidRPr="002865FC" w14:paraId="4B504249" w14:textId="77777777" w:rsidTr="00BF38E6">
        <w:tc>
          <w:tcPr>
            <w:tcW w:w="0" w:type="auto"/>
            <w:hideMark/>
          </w:tcPr>
          <w:p w14:paraId="1D2585A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UAV + hyperspectral CNN</w:t>
            </w:r>
          </w:p>
        </w:tc>
        <w:tc>
          <w:tcPr>
            <w:tcW w:w="0" w:type="auto"/>
            <w:hideMark/>
          </w:tcPr>
          <w:p w14:paraId="4384213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Spectral disease fingerprinting</w:t>
            </w:r>
          </w:p>
        </w:tc>
        <w:tc>
          <w:tcPr>
            <w:tcW w:w="0" w:type="auto"/>
            <w:hideMark/>
          </w:tcPr>
          <w:p w14:paraId="3EFB2FD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High sensitivity; pre-symptomatic detection</w:t>
            </w:r>
          </w:p>
        </w:tc>
        <w:tc>
          <w:tcPr>
            <w:tcW w:w="0" w:type="auto"/>
            <w:hideMark/>
          </w:tcPr>
          <w:p w14:paraId="45683F4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Sensor cost; specialist expertise required</w:t>
            </w:r>
          </w:p>
        </w:tc>
      </w:tr>
      <w:tr w:rsidR="002865FC" w:rsidRPr="002865FC" w14:paraId="641089DF" w14:textId="77777777" w:rsidTr="00BF38E6">
        <w:tc>
          <w:tcPr>
            <w:tcW w:w="0" w:type="auto"/>
            <w:hideMark/>
          </w:tcPr>
          <w:p w14:paraId="610BCCE6"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Smartphone + transfer learning CNN</w:t>
            </w:r>
          </w:p>
        </w:tc>
        <w:tc>
          <w:tcPr>
            <w:tcW w:w="0" w:type="auto"/>
            <w:hideMark/>
          </w:tcPr>
          <w:p w14:paraId="1CC0805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Farmer-facing diagnostic applications</w:t>
            </w:r>
          </w:p>
        </w:tc>
        <w:tc>
          <w:tcPr>
            <w:tcW w:w="0" w:type="auto"/>
            <w:hideMark/>
          </w:tcPr>
          <w:p w14:paraId="2008CCA5"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Low cost; accessible input modality</w:t>
            </w:r>
          </w:p>
        </w:tc>
        <w:tc>
          <w:tcPr>
            <w:tcW w:w="0" w:type="auto"/>
            <w:hideMark/>
          </w:tcPr>
          <w:p w14:paraId="0C9FA88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Image quality variability; connectivity</w:t>
            </w:r>
          </w:p>
        </w:tc>
      </w:tr>
    </w:tbl>
    <w:p w14:paraId="69861982"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43F9A">
        <w:rPr>
          <w:rFonts w:ascii="Times New Roman" w:eastAsia="Times New Roman" w:hAnsi="Times New Roman" w:cs="Times New Roman"/>
          <w:i/>
          <w:iCs/>
          <w:sz w:val="24"/>
          <w:szCs w:val="24"/>
          <w:lang w:val="nl-BE" w:eastAsia="en-GB"/>
        </w:rPr>
        <w:t xml:space="preserve">Sources: Wolfert et al. (2017); Liakos et al. (2018); Tetila et al. (2020); Ang &amp; Seng (2021); Nguyen et al. </w:t>
      </w:r>
      <w:r w:rsidRPr="002865FC">
        <w:rPr>
          <w:rFonts w:ascii="Times New Roman" w:eastAsia="Times New Roman" w:hAnsi="Times New Roman" w:cs="Times New Roman"/>
          <w:i/>
          <w:iCs/>
          <w:sz w:val="24"/>
          <w:szCs w:val="24"/>
          <w:lang w:eastAsia="en-GB"/>
        </w:rPr>
        <w:t>(2021); Fuentes et al. (2017); Atila et al. (2021); Kaur et al. (2022)</w:t>
      </w:r>
    </w:p>
    <w:p w14:paraId="588D86D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pattern worth drawing out from Table 3 is that nearly every technology pairing involves a meaningful trade-off—greater sensitivity or coverage on one side, set against cost, connectivity, or specialist expertise on the other. None of these combinations offers a straightforward win; each represents a different compromise depending on the resources and constraints of a given farming context.</w:t>
      </w:r>
    </w:p>
    <w:p w14:paraId="487AAE30"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2579373D"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7. Agribusiness Sustainability and Economic Dimensions</w:t>
      </w:r>
    </w:p>
    <w:p w14:paraId="3648E3CC"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7.1 Economic Burden of Plant Pathogens</w:t>
      </w:r>
    </w:p>
    <w:p w14:paraId="2557CB4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economic cost of plant disease is already substantial, and given the continuing globalisation of agricultural trade and the climate-driven expansion of pathogen ranges, it seems likely to grow rather than shrink in the coming decades. Savary et al. (2019) put the value of global yield losses from fungal, bacterial, and viral pathogens together with arthropod pests at tens of billions of US dollars annually across the five major staple crops. Once indirect costs are factored in—prophylactic and curative chemical applications, post-harvest storage losses linked to pathogen carry-over, the food price effects of supply shocks, and the regulatory compliance costs tied to phytosanitary standards in international trade—the true economic burden is considerably heavier than yield figures alone suggest.</w:t>
      </w:r>
    </w:p>
    <w:p w14:paraId="341DFED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FAO (2021) has drawn particular attention to how disproportionately this burden falls on smallholder farming households in low- and middle-income countries, where food insecurity is most acute precisely because households depend directly on subsistence production and have little capacity to absorb losses through savings, insurance, or alternative income. For these households, a single severe disease outbreak can wipe out an entire season's harvest, with knock-on effects for nutrition, debt, and long-term investment decisions on the farm. </w:t>
      </w:r>
      <w:r w:rsidRPr="002865FC">
        <w:rPr>
          <w:rFonts w:ascii="Times New Roman" w:eastAsia="Times New Roman" w:hAnsi="Times New Roman" w:cs="Times New Roman"/>
          <w:sz w:val="24"/>
          <w:szCs w:val="24"/>
          <w:lang w:eastAsia="en-GB"/>
        </w:rPr>
        <w:lastRenderedPageBreak/>
        <w:t>The case for AI-assisted early disease surveillance, then, is not purely economic—it carries real humanitarian weight as well. Walter et al. (2017) argued that smart farming technologies, including AI-based diagnostic tools, are among the most promising routes to improving agricultural productivity while simultaneously reducing farming's environmental footprint, noting that precision disease management could substantially cut fungicide use and the ecological externalities that come with it.</w:t>
      </w:r>
    </w:p>
    <w:p w14:paraId="7DC56F37"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potential has not gone unnoticed commercially. The agribusiness sector has shown growing interest in AI-based diagnostic tools, recognising their value for improving crop protection decision support, lowering the cost of agronomic advisory services, and opening new revenue streams through data-driven precision agriculture platforms. Large agricultural input companies and specialist technology providers have invested heavily in proprietary disease detection applications, often working in partnership with academic research groups (Wolfert et al., 2017). How this commercial investment landscape unfolds has real implications for whether AI diagnostic tools end up affordable and accessible to smallholder farmers—a question taken up directly in the following section.</w:t>
      </w:r>
    </w:p>
    <w:p w14:paraId="1A488246"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7.2 AI Adoption and Sustainable Development Goals</w:t>
      </w:r>
    </w:p>
    <w:p w14:paraId="6ABA837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The relationship between AI adoption in agriculture and the United Nations Sustainable Development Goals is not straightforward; it depends heavily on how the underlying systems are designed and deployed. SDG 2 (Zero Hunger) and SDG 12 (Responsible Consumption and Production) are the most directly relevant: AI-assisted disease detection can, in principle, support SDG 2 by improving yields and reducing post-harvest losses, and support SDG 12 by enabling more targeted, less environmentally damaging use of crop protection inputs (FAO, 2023). The potential for precision disease management to reduce pesticide overuse matters a great deal from an environmental standpoint, given how well documented the negative externalities of excessive agrochemical use are for soil microbial communities, surface water quality, beneficial insects, and biodiversity more generally.</w:t>
      </w:r>
    </w:p>
    <w:p w14:paraId="1052ED8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Van Klompenburg et al. (2020) pointed out that machine learning-based yield prediction and risk management tools can also support SDG 13 (Climate Action), by enabling more adaptive responses to the climate-driven shifts in disease pressure and growing season dynamics that are likely to become more significant as plant pathogens shift their range and behaviour. Liakos et al. (2018), reviewing machine learning applications across several agricultural sub-domains, concluded that integrating AI into smart farming systems offers real potential for progress across multiple SDGs simultaneously—provided, crucially, that the technology is deployed in ways that are inclusive, sensitive to local context, and grounded in sound agronomic practice.</w:t>
      </w:r>
    </w:p>
    <w:p w14:paraId="586F712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 balanced reading of the evidence, however, requires acknowledging that the sustainability credentials of AI adoption in agriculture are not unconditionally positive. Training and running large deep learning models carries a measurable energy cost and associated carbon footprint—a concern that has received considerable attention within the AI research community at large but has been largely overlooked in the agricultural AI literature specifically. The digital infrastructure that smart agriculture deployment depends on—reliable electricity, mobile connectivity, access to cloud computing—remains absent or prohibitively expensive in many of the regions where AI-assisted disease detection would arguably do the most good. Without deliberate policy attention and investment, these </w:t>
      </w:r>
      <w:r w:rsidRPr="002865FC">
        <w:rPr>
          <w:rFonts w:ascii="Times New Roman" w:eastAsia="Times New Roman" w:hAnsi="Times New Roman" w:cs="Times New Roman"/>
          <w:sz w:val="24"/>
          <w:szCs w:val="24"/>
          <w:lang w:eastAsia="en-GB"/>
        </w:rPr>
        <w:lastRenderedPageBreak/>
        <w:t>infrastructure gaps risk widening rather than narrowing existing inequalities in access to agricultural technology.</w:t>
      </w:r>
    </w:p>
    <w:p w14:paraId="465554A4"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7.3 Smallholder Farmers and Equity Considerations</w:t>
      </w:r>
    </w:p>
    <w:p w14:paraId="529CDF22"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Whether the benefits of AI-based plant disease detection will be distributed equitably, or will instead accrue mainly to well-capitalised commercial agribusinesses, is among the most important and least adequately addressed questions in this field. Smallholder farmers—who make up the majority of agricultural producers across sub-Saharan Africa, South and Southeast Asia, and parts of Latin America—are simultaneously the group most exposed to crop disease risk and the group least well served by existing disease management infrastructure (FAO, 2021). For these farmers, AI-based diagnostic tools are genuinely useful only when they are accessible through affordable, widely available consumer devices, capable of working without continuous internet access, available in local languages, and tied to practical, locally relevant management recommendations rather than generic advice.</w:t>
      </w:r>
    </w:p>
    <w:p w14:paraId="67290719"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Ramcharan et al. (2017) tackled this equity question head-on in their cassava disease detection work in Uganda, building a smartphone-based application with accessibility for low-resource smallholder farmers as an explicit design goal. Their work showed that a model trained on field-collected images from a sub-Saharan African context could perform well enough for practical deployment, underlining just how important locally representative training data are for model relevance in settings that have historically been underserved. Saleem et al. (2019), reviewing deep learning approaches to plant disease across a range of agricultural contexts, observed that while the literature offers plenty of proof-of-concept evidence for individual crop-disease combinations, the jump from research prototype to operational, farmer-facing tool remains the exception rather than the rule—a gap that reflects real, often underappreciated, barriers around digital literacy, language, technical support, and basic affordability.</w:t>
      </w:r>
      <w:r w:rsidR="00BF38E6">
        <w:rPr>
          <w:rFonts w:ascii="Times New Roman" w:eastAsia="Times New Roman" w:hAnsi="Times New Roman" w:cs="Times New Roman"/>
          <w:sz w:val="24"/>
          <w:szCs w:val="24"/>
          <w:lang w:eastAsia="en-GB"/>
        </w:rPr>
        <w:t xml:space="preserve"> </w:t>
      </w:r>
      <w:r w:rsidRPr="002865FC">
        <w:rPr>
          <w:rFonts w:ascii="Times New Roman" w:eastAsia="Times New Roman" w:hAnsi="Times New Roman" w:cs="Times New Roman"/>
          <w:sz w:val="24"/>
          <w:szCs w:val="24"/>
          <w:lang w:eastAsia="en-GB"/>
        </w:rPr>
        <w:t>Table 4 draws together the economic and sustainability dimensions discussed across this section.</w:t>
      </w:r>
    </w:p>
    <w:p w14:paraId="2C022B91"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6A4E193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4.</w:t>
      </w:r>
      <w:r w:rsidRPr="002865FC">
        <w:rPr>
          <w:rFonts w:ascii="Times New Roman" w:eastAsia="Times New Roman" w:hAnsi="Times New Roman" w:cs="Times New Roman"/>
          <w:sz w:val="24"/>
          <w:szCs w:val="24"/>
          <w:lang w:eastAsia="en-GB"/>
        </w:rPr>
        <w:t xml:space="preserve"> Economic and Sustainability Dimensions of AI-Based Plant Disease Detection</w:t>
      </w:r>
    </w:p>
    <w:tbl>
      <w:tblPr>
        <w:tblStyle w:val="TableGrid"/>
        <w:tblW w:w="0" w:type="auto"/>
        <w:tblLook w:val="04A0" w:firstRow="1" w:lastRow="0" w:firstColumn="1" w:lastColumn="0" w:noHBand="0" w:noVBand="1"/>
      </w:tblPr>
      <w:tblGrid>
        <w:gridCol w:w="2400"/>
        <w:gridCol w:w="3323"/>
        <w:gridCol w:w="3519"/>
      </w:tblGrid>
      <w:tr w:rsidR="002865FC" w:rsidRPr="002865FC" w14:paraId="5CDF2EF2" w14:textId="77777777" w:rsidTr="00BF38E6">
        <w:tc>
          <w:tcPr>
            <w:tcW w:w="0" w:type="auto"/>
            <w:hideMark/>
          </w:tcPr>
          <w:p w14:paraId="512A2E05"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Dimension</w:t>
            </w:r>
          </w:p>
        </w:tc>
        <w:tc>
          <w:tcPr>
            <w:tcW w:w="0" w:type="auto"/>
            <w:hideMark/>
          </w:tcPr>
          <w:p w14:paraId="5A3443E4"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Key Finding</w:t>
            </w:r>
          </w:p>
        </w:tc>
        <w:tc>
          <w:tcPr>
            <w:tcW w:w="0" w:type="auto"/>
            <w:hideMark/>
          </w:tcPr>
          <w:p w14:paraId="221D6602"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Implication for Agribusiness</w:t>
            </w:r>
          </w:p>
        </w:tc>
      </w:tr>
      <w:tr w:rsidR="002865FC" w:rsidRPr="002865FC" w14:paraId="423B3725" w14:textId="77777777" w:rsidTr="00BF38E6">
        <w:tc>
          <w:tcPr>
            <w:tcW w:w="0" w:type="auto"/>
            <w:hideMark/>
          </w:tcPr>
          <w:p w14:paraId="7918DA0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Yield loss from pathogens and pests</w:t>
            </w:r>
          </w:p>
        </w:tc>
        <w:tc>
          <w:tcPr>
            <w:tcW w:w="0" w:type="auto"/>
            <w:hideMark/>
          </w:tcPr>
          <w:p w14:paraId="4971D9E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17–30% across major global staples</w:t>
            </w:r>
          </w:p>
        </w:tc>
        <w:tc>
          <w:tcPr>
            <w:tcW w:w="0" w:type="auto"/>
            <w:hideMark/>
          </w:tcPr>
          <w:p w14:paraId="2FC20B60"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Large economic rationale for early AI-assisted detection</w:t>
            </w:r>
          </w:p>
        </w:tc>
      </w:tr>
      <w:tr w:rsidR="002865FC" w:rsidRPr="002865FC" w14:paraId="6DC35EAA" w14:textId="77777777" w:rsidTr="00BF38E6">
        <w:tc>
          <w:tcPr>
            <w:tcW w:w="0" w:type="auto"/>
            <w:hideMark/>
          </w:tcPr>
          <w:p w14:paraId="74BF550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Pesticide reduction potential</w:t>
            </w:r>
          </w:p>
        </w:tc>
        <w:tc>
          <w:tcPr>
            <w:tcW w:w="0" w:type="auto"/>
            <w:hideMark/>
          </w:tcPr>
          <w:p w14:paraId="6B2E4F3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Precision targeting can substantially reduce overuse</w:t>
            </w:r>
          </w:p>
        </w:tc>
        <w:tc>
          <w:tcPr>
            <w:tcW w:w="0" w:type="auto"/>
            <w:hideMark/>
          </w:tcPr>
          <w:p w14:paraId="6AA241C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Environmental and regulatory sustainability benefits</w:t>
            </w:r>
          </w:p>
        </w:tc>
      </w:tr>
      <w:tr w:rsidR="002865FC" w:rsidRPr="002865FC" w14:paraId="105A83DF" w14:textId="77777777" w:rsidTr="00BF38E6">
        <w:tc>
          <w:tcPr>
            <w:tcW w:w="0" w:type="auto"/>
            <w:hideMark/>
          </w:tcPr>
          <w:p w14:paraId="7B138FF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Smallholder accessibility</w:t>
            </w:r>
          </w:p>
        </w:tc>
        <w:tc>
          <w:tcPr>
            <w:tcW w:w="0" w:type="auto"/>
            <w:hideMark/>
          </w:tcPr>
          <w:p w14:paraId="38882DB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Field-deployable apps demonstrated in low-income settings</w:t>
            </w:r>
          </w:p>
        </w:tc>
        <w:tc>
          <w:tcPr>
            <w:tcW w:w="0" w:type="auto"/>
            <w:hideMark/>
          </w:tcPr>
          <w:p w14:paraId="5B4F6820"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Inclusive design and locally collected training data essential</w:t>
            </w:r>
          </w:p>
        </w:tc>
      </w:tr>
      <w:tr w:rsidR="002865FC" w:rsidRPr="002865FC" w14:paraId="2C6E192E" w14:textId="77777777" w:rsidTr="00BF38E6">
        <w:tc>
          <w:tcPr>
            <w:tcW w:w="0" w:type="auto"/>
            <w:hideMark/>
          </w:tcPr>
          <w:p w14:paraId="7B81B93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SDG alignment</w:t>
            </w:r>
          </w:p>
        </w:tc>
        <w:tc>
          <w:tcPr>
            <w:tcW w:w="0" w:type="auto"/>
            <w:hideMark/>
          </w:tcPr>
          <w:p w14:paraId="3AAC079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AI contributes to SDGs 2, 12, and 13</w:t>
            </w:r>
          </w:p>
        </w:tc>
        <w:tc>
          <w:tcPr>
            <w:tcW w:w="0" w:type="auto"/>
            <w:hideMark/>
          </w:tcPr>
          <w:p w14:paraId="74AD038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Policy integration and public investment frameworks justified</w:t>
            </w:r>
          </w:p>
        </w:tc>
      </w:tr>
      <w:tr w:rsidR="002865FC" w:rsidRPr="002865FC" w14:paraId="75BE0A38" w14:textId="77777777" w:rsidTr="00BF38E6">
        <w:tc>
          <w:tcPr>
            <w:tcW w:w="0" w:type="auto"/>
            <w:hideMark/>
          </w:tcPr>
          <w:p w14:paraId="16C8D55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Commercial versus public tool access</w:t>
            </w:r>
          </w:p>
        </w:tc>
        <w:tc>
          <w:tcPr>
            <w:tcW w:w="0" w:type="auto"/>
            <w:hideMark/>
          </w:tcPr>
          <w:p w14:paraId="31AD96C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Proprietary platforms limit smallholder reach</w:t>
            </w:r>
          </w:p>
        </w:tc>
        <w:tc>
          <w:tcPr>
            <w:tcW w:w="0" w:type="auto"/>
            <w:hideMark/>
          </w:tcPr>
          <w:p w14:paraId="6B7EACF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Open-source and publicly funded deployment models required</w:t>
            </w:r>
          </w:p>
        </w:tc>
      </w:tr>
    </w:tbl>
    <w:p w14:paraId="169AF0A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 xml:space="preserve">Sources: Savary et al. (2019); FAO (2021); FAO (2023); Walter et al. </w:t>
      </w:r>
      <w:r w:rsidRPr="00D43F9A">
        <w:rPr>
          <w:rFonts w:ascii="Times New Roman" w:eastAsia="Times New Roman" w:hAnsi="Times New Roman" w:cs="Times New Roman"/>
          <w:i/>
          <w:iCs/>
          <w:sz w:val="24"/>
          <w:szCs w:val="24"/>
          <w:lang w:val="nl-BE" w:eastAsia="en-GB"/>
        </w:rPr>
        <w:t xml:space="preserve">(2017); Ramcharan et al. (2017); Van Klompenburg et al. (2020); Liakos et al. </w:t>
      </w:r>
      <w:r w:rsidRPr="002865FC">
        <w:rPr>
          <w:rFonts w:ascii="Times New Roman" w:eastAsia="Times New Roman" w:hAnsi="Times New Roman" w:cs="Times New Roman"/>
          <w:i/>
          <w:iCs/>
          <w:sz w:val="24"/>
          <w:szCs w:val="24"/>
          <w:lang w:eastAsia="en-GB"/>
        </w:rPr>
        <w:t>(2018)</w:t>
      </w:r>
    </w:p>
    <w:p w14:paraId="510FA05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lastRenderedPageBreak/>
        <w:t>Read together, the rows in Table 4 point to a tension that runs through this entire section: the economic and environmental case for AI-assisted disease detection is strong, but the commercial incentives currently driving deployment do not automatically align with reaching the farmers who stand to benefit most.</w:t>
      </w:r>
    </w:p>
    <w:p w14:paraId="5F882497"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04F0AB05"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8. Challenges and Critical Considerations</w:t>
      </w:r>
    </w:p>
    <w:p w14:paraId="1FDDA374"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8.1 Dataset Bias and Generalisation Limitations</w:t>
      </w:r>
    </w:p>
    <w:p w14:paraId="14D45B4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For all the impressive classification accuracies reported in the published literature, the field has yet to resolve a fundamental problem of generalisation. When CNNs are trained and evaluated on the same data distribution—particularly one drawn primarily from controlled laboratory images against plain backgrounds—the resulting accuracy figures tell us comparatively little about how the model would perform under genuinely variable field conditions. Barbedo (2018) was among the first to make this critique systematically, identifying environmental variation, background complexity, the simultaneous presence of multiple disease symptoms, and inconsistent image quality as the key drivers of performance degradation when models trained on controlled benchmark data meet field-collected images. Barbedo's (2019) later work reinforced the point, showing that within-class variability of symptom appearance in naturally grown plants far exceeds what standard benchmark datasets actually represent.</w:t>
      </w:r>
    </w:p>
    <w:p w14:paraId="31BF81B9"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Pantazi et al. (2019) demonstrated empirically that leaf disease classifiers can fail substantially when confronted with atypical symptom presentations, disease stages absent from the training data, or lighting conditions different from those used during training. Geetharamani and Pandian (2019) found that classification performance dropped considerably for rare disease categories with small training samples—a per-class imbalance problem that aggregate accuracy figures routinely obscure. Taken together, these findings suggest that the published literature may well overstate how ready CNN-based systems actually are for operational deployment, given that reported test accuracy is typically measured on data drawn from the same distribution as the training set rather than on genuinely independent, out-of-distribution field images.</w:t>
      </w:r>
    </w:p>
    <w:p w14:paraId="1AE06D80"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8.2 Technical and Computational Barriers</w:t>
      </w:r>
    </w:p>
    <w:p w14:paraId="2ED5926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Model accuracy aside, deploying CNN-based disease detection in real agricultural settings runs into a separate set of technical and infrastructural obstacles. In many of the regions where crop disease poses the greatest threat to food security, farmers must contend with unreliable electricity, limited or absent mobile data connectivity, and access only to low-specification consumer devices. These constraints rule out cloud-dependent inference architectures in many contexts and place a real premium on lightweight, offline-capable models that can run efficiently on edge hardware (</w:t>
      </w:r>
      <w:r w:rsidR="000A3E0F" w:rsidRPr="000A3E0F">
        <w:rPr>
          <w:rFonts w:ascii="Times New Roman" w:eastAsia="Times New Roman" w:hAnsi="Times New Roman" w:cs="Times New Roman"/>
          <w:sz w:val="24"/>
          <w:szCs w:val="24"/>
          <w:lang w:eastAsia="en-GB"/>
        </w:rPr>
        <w:t>Fenu et al., 2021</w:t>
      </w:r>
      <w:r w:rsidRPr="002865FC">
        <w:rPr>
          <w:rFonts w:ascii="Times New Roman" w:eastAsia="Times New Roman" w:hAnsi="Times New Roman" w:cs="Times New Roman"/>
          <w:sz w:val="24"/>
          <w:szCs w:val="24"/>
          <w:lang w:eastAsia="en-GB"/>
        </w:rPr>
        <w:t>; Lu et al., 2021).</w:t>
      </w:r>
    </w:p>
    <w:p w14:paraId="525F5203"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Architectural innovations such as EfficientNet and MobileNet, together with post-training optimisation techniques like model pruning, weight quantisation, and knowledge distillation, have gone some way towards addressing the challenge of compressing models for edge deployment (Atila et al., 2021). Even lightweight models, however, depend on reasonably good image acquisition conditions to reach the accuracy levels reported in controlled </w:t>
      </w:r>
      <w:r w:rsidRPr="002865FC">
        <w:rPr>
          <w:rFonts w:ascii="Times New Roman" w:eastAsia="Times New Roman" w:hAnsi="Times New Roman" w:cs="Times New Roman"/>
          <w:sz w:val="24"/>
          <w:szCs w:val="24"/>
          <w:lang w:eastAsia="en-GB"/>
        </w:rPr>
        <w:lastRenderedPageBreak/>
        <w:t>benchmarks. The quality of images captured on low-cost smartphones in the field—prone to motion blur, poor focus, awkward framing, and lighting that swings unpredictably—is an underappreciated bottleneck in the chain that ultimately determines how well a deployed disease detection application performs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w:t>
      </w:r>
    </w:p>
    <w:p w14:paraId="2DDA24F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further problem, rarely addressed directly in the literature, is that most published studies evaluate models on static datasets captured at a single point in time. This leaves open the question of how performance holds up as crops move through different growth stages, as new pathogen variants emerge through mutation and selection, or as pathogen populations evolve under the selective pressure of ongoing disease management practices. Developing robust protocols for monitoring, maintaining, and updating deployed agricultural AI systems remains an important operational challenge that has received far less systematic attention than it warrants.</w:t>
      </w:r>
    </w:p>
    <w:p w14:paraId="24C801F3" w14:textId="77777777" w:rsidR="002865FC" w:rsidRPr="002865FC" w:rsidRDefault="002865FC" w:rsidP="00E14C7D">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8.3 Explainability and Stakeholder Trust</w:t>
      </w:r>
    </w:p>
    <w:p w14:paraId="27FF9D4C"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 persistent concern running through the agricultural AI literature concerns the interpretability of CNN predictions. Deep neural networks are, by their nature, poorly suited to intuitive human explanation: a model may achieve high classification accuracy, yet the internal computations driving any particular diagnostic prediction remain opaque to end users without specialist training. This opacity is not a merely academic concern in an agricultural context. A farmer or agronomist using a CNN-based diagnostic application needs more than a predicted disease label—they need some indication of how confident that prediction is and what evidence it rests on, particularly when the recommended response involves significant expense, irreversible action, or the use of regulated chemical inputs (Sharma et al., 2021).</w:t>
      </w:r>
    </w:p>
    <w:p w14:paraId="1442342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Methods such as gradient-weighted class activation mapping, saliency map visualisation, and attention mechanism analysis have been applied in a number of plant disease detection studies to show which image regions most strongly influence a given classification, offering at least partial insight into how the model is reasoning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 These approaches can offer some reassurance that a model is responding to genuinely disease-relevant visual features—lesion boundaries, surface texture changes, chlorotic patterns—rather than to incidental background elements or imaging artefacts. That said, these interpretability methods remain computationally demanding, are not always reliably informative in practice, and have rarely been integrated into the farmer-facing applications that actually exist.</w:t>
      </w:r>
    </w:p>
    <w:p w14:paraId="4AD81B0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Sujatha et al. (2021) made an important observation here: farmer adoption of AI-based diagnostic tools tends to hinge not on benchmark accuracy under controlled conditions but on perceived reliability and trustworthiness in everyday use—a bar that many current systems, judged honestly against the realities of agricultural practice, struggle to clear consistently. Closing this credibility gap will require more than technical improvements to model robustness and interpretability; it will also require sustained engagement with farming communities to understand what kind of information they actually need and trust.</w:t>
      </w:r>
    </w:p>
    <w:p w14:paraId="5F90D6D8"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Table 5 brings together the principal challenges discussed in this section.</w:t>
      </w:r>
    </w:p>
    <w:p w14:paraId="528F025F" w14:textId="77777777" w:rsidR="002865FC" w:rsidRDefault="002865FC" w:rsidP="00E14C7D">
      <w:pPr>
        <w:spacing w:after="0" w:line="240" w:lineRule="auto"/>
        <w:jc w:val="both"/>
        <w:rPr>
          <w:rFonts w:ascii="Times New Roman" w:eastAsia="Times New Roman" w:hAnsi="Times New Roman" w:cs="Times New Roman"/>
          <w:sz w:val="24"/>
          <w:szCs w:val="24"/>
          <w:lang w:eastAsia="en-GB"/>
        </w:rPr>
      </w:pPr>
    </w:p>
    <w:p w14:paraId="535AD18C" w14:textId="77777777" w:rsidR="00872FC7" w:rsidRDefault="00872FC7" w:rsidP="00E14C7D">
      <w:pPr>
        <w:spacing w:after="0" w:line="240" w:lineRule="auto"/>
        <w:jc w:val="both"/>
        <w:rPr>
          <w:rFonts w:ascii="Times New Roman" w:eastAsia="Times New Roman" w:hAnsi="Times New Roman" w:cs="Times New Roman"/>
          <w:sz w:val="24"/>
          <w:szCs w:val="24"/>
          <w:lang w:eastAsia="en-GB"/>
        </w:rPr>
      </w:pPr>
    </w:p>
    <w:p w14:paraId="5E25DC4C" w14:textId="77777777" w:rsidR="00872FC7" w:rsidRDefault="00872FC7" w:rsidP="00E14C7D">
      <w:pPr>
        <w:spacing w:after="0" w:line="240" w:lineRule="auto"/>
        <w:jc w:val="both"/>
        <w:rPr>
          <w:rFonts w:ascii="Times New Roman" w:eastAsia="Times New Roman" w:hAnsi="Times New Roman" w:cs="Times New Roman"/>
          <w:sz w:val="24"/>
          <w:szCs w:val="24"/>
          <w:lang w:eastAsia="en-GB"/>
        </w:rPr>
      </w:pPr>
    </w:p>
    <w:p w14:paraId="6D8133C9" w14:textId="77777777" w:rsidR="00872FC7" w:rsidRPr="002865FC" w:rsidRDefault="00872FC7" w:rsidP="00E14C7D">
      <w:pPr>
        <w:spacing w:after="0" w:line="240" w:lineRule="auto"/>
        <w:jc w:val="both"/>
        <w:rPr>
          <w:rFonts w:ascii="Times New Roman" w:eastAsia="Times New Roman" w:hAnsi="Times New Roman" w:cs="Times New Roman"/>
          <w:sz w:val="24"/>
          <w:szCs w:val="24"/>
          <w:lang w:eastAsia="en-GB"/>
        </w:rPr>
      </w:pPr>
    </w:p>
    <w:p w14:paraId="10ACA09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b/>
          <w:bCs/>
          <w:sz w:val="24"/>
          <w:szCs w:val="24"/>
          <w:lang w:eastAsia="en-GB"/>
        </w:rPr>
        <w:t>Table 5.</w:t>
      </w:r>
      <w:r w:rsidRPr="002865FC">
        <w:rPr>
          <w:rFonts w:ascii="Times New Roman" w:eastAsia="Times New Roman" w:hAnsi="Times New Roman" w:cs="Times New Roman"/>
          <w:sz w:val="24"/>
          <w:szCs w:val="24"/>
          <w:lang w:eastAsia="en-GB"/>
        </w:rPr>
        <w:t xml:space="preserve"> Principal Challenges in CNN-Based Plant Disease Detection</w:t>
      </w:r>
    </w:p>
    <w:tbl>
      <w:tblPr>
        <w:tblStyle w:val="TableGrid"/>
        <w:tblW w:w="0" w:type="auto"/>
        <w:tblLook w:val="04A0" w:firstRow="1" w:lastRow="0" w:firstColumn="1" w:lastColumn="0" w:noHBand="0" w:noVBand="1"/>
      </w:tblPr>
      <w:tblGrid>
        <w:gridCol w:w="1857"/>
        <w:gridCol w:w="3014"/>
        <w:gridCol w:w="4371"/>
      </w:tblGrid>
      <w:tr w:rsidR="002865FC" w:rsidRPr="002865FC" w14:paraId="7EA9D98E" w14:textId="77777777" w:rsidTr="00BF38E6">
        <w:tc>
          <w:tcPr>
            <w:tcW w:w="0" w:type="auto"/>
            <w:hideMark/>
          </w:tcPr>
          <w:p w14:paraId="499A1414"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Challenge Category</w:t>
            </w:r>
          </w:p>
        </w:tc>
        <w:tc>
          <w:tcPr>
            <w:tcW w:w="0" w:type="auto"/>
            <w:hideMark/>
          </w:tcPr>
          <w:p w14:paraId="37011ED4"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Specific Issue</w:t>
            </w:r>
          </w:p>
        </w:tc>
        <w:tc>
          <w:tcPr>
            <w:tcW w:w="0" w:type="auto"/>
            <w:hideMark/>
          </w:tcPr>
          <w:p w14:paraId="41088382" w14:textId="77777777" w:rsidR="002865FC" w:rsidRPr="002865FC" w:rsidRDefault="002865FC" w:rsidP="00E14C7D">
            <w:pPr>
              <w:jc w:val="both"/>
              <w:rPr>
                <w:rFonts w:ascii="Times New Roman" w:eastAsia="Times New Roman" w:hAnsi="Times New Roman" w:cs="Times New Roman"/>
                <w:b/>
                <w:bCs/>
                <w:sz w:val="24"/>
                <w:szCs w:val="24"/>
                <w:lang w:eastAsia="en-GB"/>
              </w:rPr>
            </w:pPr>
            <w:r w:rsidRPr="002865FC">
              <w:rPr>
                <w:rFonts w:ascii="Times New Roman" w:eastAsia="Times New Roman" w:hAnsi="Times New Roman" w:cs="Times New Roman"/>
                <w:b/>
                <w:bCs/>
                <w:sz w:val="24"/>
                <w:szCs w:val="24"/>
                <w:lang w:eastAsia="en-GB"/>
              </w:rPr>
              <w:t>Status of Research Response</w:t>
            </w:r>
          </w:p>
        </w:tc>
      </w:tr>
      <w:tr w:rsidR="002865FC" w:rsidRPr="002865FC" w14:paraId="12BF7D54" w14:textId="77777777" w:rsidTr="00BF38E6">
        <w:tc>
          <w:tcPr>
            <w:tcW w:w="0" w:type="auto"/>
            <w:hideMark/>
          </w:tcPr>
          <w:p w14:paraId="550C19C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Dataset bias</w:t>
            </w:r>
          </w:p>
        </w:tc>
        <w:tc>
          <w:tcPr>
            <w:tcW w:w="0" w:type="auto"/>
            <w:hideMark/>
          </w:tcPr>
          <w:p w14:paraId="4C46484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Controlled lab imagery; limited geographic and cultivar diversity</w:t>
            </w:r>
          </w:p>
        </w:tc>
        <w:tc>
          <w:tcPr>
            <w:tcW w:w="0" w:type="auto"/>
            <w:hideMark/>
          </w:tcPr>
          <w:p w14:paraId="3F509DB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Partially addressed by field datasets (Wiesner-Hanks et al., 2018; Ramcharan et al., 2017)</w:t>
            </w:r>
          </w:p>
        </w:tc>
      </w:tr>
      <w:tr w:rsidR="002865FC" w:rsidRPr="002865FC" w14:paraId="10729B36" w14:textId="77777777" w:rsidTr="00BF38E6">
        <w:tc>
          <w:tcPr>
            <w:tcW w:w="0" w:type="auto"/>
            <w:hideMark/>
          </w:tcPr>
          <w:p w14:paraId="5737BF0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Generalisation failure</w:t>
            </w:r>
          </w:p>
        </w:tc>
        <w:tc>
          <w:tcPr>
            <w:tcW w:w="0" w:type="auto"/>
            <w:hideMark/>
          </w:tcPr>
          <w:p w14:paraId="10A95721"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Domain shift from lab to field; distribution mismatch</w:t>
            </w:r>
          </w:p>
        </w:tc>
        <w:tc>
          <w:tcPr>
            <w:tcW w:w="0" w:type="auto"/>
            <w:hideMark/>
          </w:tcPr>
          <w:p w14:paraId="4B8034B3"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Active but unresolved: domain adaptation and augmentation (Chen et al., 2020; Paymode &amp; Malode, 2022)</w:t>
            </w:r>
          </w:p>
        </w:tc>
      </w:tr>
      <w:tr w:rsidR="002865FC" w:rsidRPr="002865FC" w14:paraId="1399FEDD" w14:textId="77777777" w:rsidTr="00BF38E6">
        <w:tc>
          <w:tcPr>
            <w:tcW w:w="0" w:type="auto"/>
            <w:hideMark/>
          </w:tcPr>
          <w:p w14:paraId="17B9147A"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Class imbalance</w:t>
            </w:r>
          </w:p>
        </w:tc>
        <w:tc>
          <w:tcPr>
            <w:tcW w:w="0" w:type="auto"/>
            <w:hideMark/>
          </w:tcPr>
          <w:p w14:paraId="32534617"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Rare diseases inadequately represented</w:t>
            </w:r>
          </w:p>
        </w:tc>
        <w:tc>
          <w:tcPr>
            <w:tcW w:w="0" w:type="auto"/>
            <w:hideMark/>
          </w:tcPr>
          <w:p w14:paraId="3FB4BBEB"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Oversampling and GAN-based synthesis; limited evidence of effectiveness</w:t>
            </w:r>
          </w:p>
        </w:tc>
      </w:tr>
      <w:tr w:rsidR="002865FC" w:rsidRPr="002865FC" w14:paraId="51951024" w14:textId="77777777" w:rsidTr="00BF38E6">
        <w:tc>
          <w:tcPr>
            <w:tcW w:w="0" w:type="auto"/>
            <w:hideMark/>
          </w:tcPr>
          <w:p w14:paraId="15D32B9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Edge deployment</w:t>
            </w:r>
          </w:p>
        </w:tc>
        <w:tc>
          <w:tcPr>
            <w:tcW w:w="0" w:type="auto"/>
            <w:hideMark/>
          </w:tcPr>
          <w:p w14:paraId="613D233D"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Constrained compute; absence of connectivity</w:t>
            </w:r>
          </w:p>
        </w:tc>
        <w:tc>
          <w:tcPr>
            <w:tcW w:w="0" w:type="auto"/>
            <w:hideMark/>
          </w:tcPr>
          <w:p w14:paraId="017DC902"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Partially addressed by lightweight architectures (Atila et al., 2021)</w:t>
            </w:r>
          </w:p>
        </w:tc>
      </w:tr>
      <w:tr w:rsidR="002865FC" w:rsidRPr="002865FC" w14:paraId="0065974D" w14:textId="77777777" w:rsidTr="00BF38E6">
        <w:tc>
          <w:tcPr>
            <w:tcW w:w="0" w:type="auto"/>
            <w:hideMark/>
          </w:tcPr>
          <w:p w14:paraId="5E991AA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Model interpretability</w:t>
            </w:r>
          </w:p>
        </w:tc>
        <w:tc>
          <w:tcPr>
            <w:tcW w:w="0" w:type="auto"/>
            <w:hideMark/>
          </w:tcPr>
          <w:p w14:paraId="32A1763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Black-box predictions; low stakeholder trust</w:t>
            </w:r>
          </w:p>
        </w:tc>
        <w:tc>
          <w:tcPr>
            <w:tcW w:w="0" w:type="auto"/>
            <w:hideMark/>
          </w:tcPr>
          <w:p w14:paraId="77407F6E"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Exploratory: Grad-CAM and saliency methods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w:t>
            </w:r>
          </w:p>
        </w:tc>
      </w:tr>
      <w:tr w:rsidR="002865FC" w:rsidRPr="002865FC" w14:paraId="115D57D2" w14:textId="77777777" w:rsidTr="00BF38E6">
        <w:tc>
          <w:tcPr>
            <w:tcW w:w="0" w:type="auto"/>
            <w:hideMark/>
          </w:tcPr>
          <w:p w14:paraId="546A0DA8"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Temporal robustness</w:t>
            </w:r>
          </w:p>
        </w:tc>
        <w:tc>
          <w:tcPr>
            <w:tcW w:w="0" w:type="auto"/>
            <w:hideMark/>
          </w:tcPr>
          <w:p w14:paraId="039AD814"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Static models; evolving pathogen populations</w:t>
            </w:r>
          </w:p>
        </w:tc>
        <w:tc>
          <w:tcPr>
            <w:tcW w:w="0" w:type="auto"/>
            <w:hideMark/>
          </w:tcPr>
          <w:p w14:paraId="6660244C"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Largely unaddressed; active research gap</w:t>
            </w:r>
          </w:p>
        </w:tc>
      </w:tr>
      <w:tr w:rsidR="002865FC" w:rsidRPr="002865FC" w14:paraId="3C909506" w14:textId="77777777" w:rsidTr="00BF38E6">
        <w:tc>
          <w:tcPr>
            <w:tcW w:w="0" w:type="auto"/>
            <w:hideMark/>
          </w:tcPr>
          <w:p w14:paraId="44FECF75"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Equity of access</w:t>
            </w:r>
          </w:p>
        </w:tc>
        <w:tc>
          <w:tcPr>
            <w:tcW w:w="0" w:type="auto"/>
            <w:hideMark/>
          </w:tcPr>
          <w:p w14:paraId="7E698FDF"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Commercial platforms limit smallholder reach</w:t>
            </w:r>
          </w:p>
        </w:tc>
        <w:tc>
          <w:tcPr>
            <w:tcW w:w="0" w:type="auto"/>
            <w:hideMark/>
          </w:tcPr>
          <w:p w14:paraId="32C14C15" w14:textId="77777777" w:rsidR="002865FC" w:rsidRPr="002865FC" w:rsidRDefault="002865FC" w:rsidP="00E14C7D">
            <w:pPr>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Limited open-source progress; co-design frameworks needed</w:t>
            </w:r>
          </w:p>
        </w:tc>
      </w:tr>
    </w:tbl>
    <w:p w14:paraId="11B1E76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i/>
          <w:iCs/>
          <w:sz w:val="24"/>
          <w:szCs w:val="24"/>
          <w:lang w:eastAsia="en-GB"/>
        </w:rPr>
        <w:t xml:space="preserve">Sources: Barbedo (2018, 2019); Pantazi et al. (2019); Geetharamani &amp; Pandian (2019); Atila et al. </w:t>
      </w:r>
      <w:r w:rsidRPr="00D43F9A">
        <w:rPr>
          <w:rFonts w:ascii="Times New Roman" w:eastAsia="Times New Roman" w:hAnsi="Times New Roman" w:cs="Times New Roman"/>
          <w:i/>
          <w:iCs/>
          <w:sz w:val="24"/>
          <w:szCs w:val="24"/>
          <w:lang w:val="nl-BE" w:eastAsia="en-GB"/>
        </w:rPr>
        <w:t xml:space="preserve">(2021); </w:t>
      </w:r>
      <w:r w:rsidR="000A3E0F" w:rsidRPr="00D43F9A">
        <w:rPr>
          <w:rFonts w:ascii="Times New Roman" w:eastAsia="Times New Roman" w:hAnsi="Times New Roman" w:cs="Times New Roman"/>
          <w:i/>
          <w:iCs/>
          <w:sz w:val="24"/>
          <w:szCs w:val="24"/>
          <w:lang w:val="nl-BE" w:eastAsia="en-GB"/>
        </w:rPr>
        <w:t>Abade et al., (2021)</w:t>
      </w:r>
      <w:r w:rsidRPr="00D43F9A">
        <w:rPr>
          <w:rFonts w:ascii="Times New Roman" w:eastAsia="Times New Roman" w:hAnsi="Times New Roman" w:cs="Times New Roman"/>
          <w:i/>
          <w:iCs/>
          <w:sz w:val="24"/>
          <w:szCs w:val="24"/>
          <w:lang w:val="nl-BE" w:eastAsia="en-GB"/>
        </w:rPr>
        <w:t xml:space="preserve">; </w:t>
      </w:r>
      <w:r w:rsidR="000A3E0F" w:rsidRPr="00D43F9A">
        <w:rPr>
          <w:rFonts w:ascii="Times New Roman" w:eastAsia="Times New Roman" w:hAnsi="Times New Roman" w:cs="Times New Roman"/>
          <w:i/>
          <w:iCs/>
          <w:sz w:val="24"/>
          <w:szCs w:val="24"/>
          <w:lang w:val="nl-BE" w:eastAsia="en-GB"/>
        </w:rPr>
        <w:t>Fenu et al., (2021</w:t>
      </w:r>
      <w:r w:rsidRPr="00D43F9A">
        <w:rPr>
          <w:rFonts w:ascii="Times New Roman" w:eastAsia="Times New Roman" w:hAnsi="Times New Roman" w:cs="Times New Roman"/>
          <w:i/>
          <w:iCs/>
          <w:sz w:val="24"/>
          <w:szCs w:val="24"/>
          <w:lang w:val="nl-BE" w:eastAsia="en-GB"/>
        </w:rPr>
        <w:t>); Liu &amp; Wang (</w:t>
      </w:r>
      <w:r w:rsidR="000A3E0F" w:rsidRPr="00D43F9A">
        <w:rPr>
          <w:rFonts w:ascii="Times New Roman" w:eastAsia="Times New Roman" w:hAnsi="Times New Roman" w:cs="Times New Roman"/>
          <w:sz w:val="24"/>
          <w:szCs w:val="24"/>
          <w:lang w:val="nl-BE" w:eastAsia="en-GB"/>
        </w:rPr>
        <w:t>2021</w:t>
      </w:r>
      <w:r w:rsidRPr="00D43F9A">
        <w:rPr>
          <w:rFonts w:ascii="Times New Roman" w:eastAsia="Times New Roman" w:hAnsi="Times New Roman" w:cs="Times New Roman"/>
          <w:i/>
          <w:iCs/>
          <w:sz w:val="24"/>
          <w:szCs w:val="24"/>
          <w:lang w:val="nl-BE" w:eastAsia="en-GB"/>
        </w:rPr>
        <w:t xml:space="preserve">); Sujatha et al. (2021); Chen et al. (2020); Paymode &amp; Malode (2022); Wiesner-Hanks et al. (2018); Ramcharan et al. </w:t>
      </w:r>
      <w:r w:rsidRPr="002865FC">
        <w:rPr>
          <w:rFonts w:ascii="Times New Roman" w:eastAsia="Times New Roman" w:hAnsi="Times New Roman" w:cs="Times New Roman"/>
          <w:i/>
          <w:iCs/>
          <w:sz w:val="24"/>
          <w:szCs w:val="24"/>
          <w:lang w:eastAsia="en-GB"/>
        </w:rPr>
        <w:t>(2017)</w:t>
      </w:r>
    </w:p>
    <w:p w14:paraId="7106A37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What emerges from Table 5 is that the field's research response is uneven: dataset bias and edge deployment have seen at least partial progress, whereas temporal robustness and equity of access remain largely unaddressed despite their clear practical importance. This unevenness is itself instructive, and it informs much of the research agenda set out in the section that follows.</w:t>
      </w:r>
    </w:p>
    <w:p w14:paraId="26BB1382"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71E82A14"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9. Future Research Directions</w:t>
      </w:r>
    </w:p>
    <w:p w14:paraId="72A348E2"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Several priorities emerge from this review as deserving sustained, coordinated investment. The most fundamental is the collection of ecologically representative, field-based training data that genuinely captures the breadth of disease symptom variation, host cultivar diversity, geographic provenance, environmental modulation, and co-occurring stress patterns found in real agricultural systems. Concerted international efforts to develop and openly share such datasets—building on the precedent set, in admittedly limited crop and geographic contexts, by Wiesner-Hanks et al. (2018) and Ramcharan et al. (2017)—would go a long way towards reducing the dataset bias that currently prevents CNN models from generalising beyond their training distribution.</w:t>
      </w:r>
    </w:p>
    <w:p w14:paraId="7D2FFD9C"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A second priority is the systematic development and testing of domain adaptation, self-supervised pre-training, and cross-domain transfer learning methods capable of bridging the </w:t>
      </w:r>
      <w:r w:rsidRPr="002865FC">
        <w:rPr>
          <w:rFonts w:ascii="Times New Roman" w:eastAsia="Times New Roman" w:hAnsi="Times New Roman" w:cs="Times New Roman"/>
          <w:sz w:val="24"/>
          <w:szCs w:val="24"/>
          <w:lang w:eastAsia="en-GB"/>
        </w:rPr>
        <w:lastRenderedPageBreak/>
        <w:t xml:space="preserve">persistent gap between source training distributions and real-world deployment environments. Few-shot and zero-shot learning frameworks, which aim to support disease recognition from very limited or even zero task-specific training examples by drawing on broader semantic and structural knowledge, seem particularly relevant here, given how often novel disease variants and previously uncharacterised outbreaks arise in farming systems under environmental and evolutionary pressure (Liu &amp; Wang, </w:t>
      </w:r>
      <w:r w:rsidR="000A3E0F">
        <w:rPr>
          <w:rFonts w:ascii="Times New Roman" w:eastAsia="Times New Roman" w:hAnsi="Times New Roman" w:cs="Times New Roman"/>
          <w:sz w:val="24"/>
          <w:szCs w:val="24"/>
          <w:lang w:eastAsia="en-GB"/>
        </w:rPr>
        <w:t>2021</w:t>
      </w:r>
      <w:r w:rsidRPr="002865FC">
        <w:rPr>
          <w:rFonts w:ascii="Times New Roman" w:eastAsia="Times New Roman" w:hAnsi="Times New Roman" w:cs="Times New Roman"/>
          <w:sz w:val="24"/>
          <w:szCs w:val="24"/>
          <w:lang w:eastAsia="en-GB"/>
        </w:rPr>
        <w:t>). The early work on transfer learning for pest and disease classification by Thenmozhi and Reddy (2019) offers a foundation that broader cross-crop and cross-ecosystem generalisation research could usefully build upon.</w:t>
      </w:r>
    </w:p>
    <w:p w14:paraId="35213F1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Third, the field would benefit considerably from more rigorous, standardised, and transparent evaluation protocols. At a minimum, published studies should report out-of-distribution test performance alongside in-distribution accuracy, present per-class performance metrics rather than relying on aggregate figures alone, provide calibration analyses showing that confidence scores actually reflect diagnostic reliability, and document the imaging conditions and device specifications used for both training and testing. The current inconsistency in evaluation methodology makes it genuinely difficult to compare results across studies, and risks misleading practitioners about how ready specific systems really are (Barbedo, 2019; </w:t>
      </w:r>
      <w:r w:rsidR="000A3E0F" w:rsidRPr="000A3E0F">
        <w:rPr>
          <w:rFonts w:ascii="Times New Roman" w:eastAsia="Times New Roman" w:hAnsi="Times New Roman" w:cs="Times New Roman"/>
          <w:sz w:val="24"/>
          <w:szCs w:val="24"/>
          <w:lang w:eastAsia="en-GB"/>
        </w:rPr>
        <w:t>Abade et al., 2021</w:t>
      </w:r>
      <w:r w:rsidRPr="002865FC">
        <w:rPr>
          <w:rFonts w:ascii="Times New Roman" w:eastAsia="Times New Roman" w:hAnsi="Times New Roman" w:cs="Times New Roman"/>
          <w:sz w:val="24"/>
          <w:szCs w:val="24"/>
          <w:lang w:eastAsia="en-GB"/>
        </w:rPr>
        <w:t>).</w:t>
      </w:r>
    </w:p>
    <w:p w14:paraId="577DFAB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Fourth, explainable AI methods deserve much deeper integration into agricultural CNN research than they currently receive. Beyond their obvious value for building farmer and agronomist trust, interpretability tools can serve a diagnostic function during model development itself, revealing cases where a classifier has learned to exploit spurious statistical correlations rather than genuine pathological features (Sharma et al., 2021). Developing lightweight, real-time interpretability methods that can run on mobile applications at the edge is a specific, tractable problem where targeted investment could pay real practical dividends.</w:t>
      </w:r>
    </w:p>
    <w:p w14:paraId="17093D5E"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Fifth, multi-modal data fusion approaches—combining visible-spectrum RGB imagery with hyperspectral, thermal, near-infrared, or active canopy spectroscopy data—deserve expanded and more systematic investigation. As Golhani et al. (2018) and Barbedo (</w:t>
      </w:r>
      <w:r w:rsidR="000A3E0F">
        <w:rPr>
          <w:rFonts w:ascii="Times New Roman" w:eastAsia="Times New Roman" w:hAnsi="Times New Roman" w:cs="Times New Roman"/>
          <w:sz w:val="24"/>
          <w:szCs w:val="24"/>
          <w:lang w:eastAsia="en-GB"/>
        </w:rPr>
        <w:t>2023</w:t>
      </w:r>
      <w:r w:rsidRPr="002865FC">
        <w:rPr>
          <w:rFonts w:ascii="Times New Roman" w:eastAsia="Times New Roman" w:hAnsi="Times New Roman" w:cs="Times New Roman"/>
          <w:sz w:val="24"/>
          <w:szCs w:val="24"/>
          <w:lang w:eastAsia="en-GB"/>
        </w:rPr>
        <w:t>) have both shown, no single sensor type captures the full range of diagnostically relevant information about plant health. Continued progress in miniaturised multi-modal sensor design and in efficient multi-stream neural network architectures should steadily improve how practical such fusion systems are to deploy on mobile and airborne platforms.</w:t>
      </w:r>
    </w:p>
    <w:p w14:paraId="5883F9AB"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Sixth, there is an urgent need for longitudinal studies that examine the genuine economic and environmental impacts of deployed AI disease detection systems under real farming conditions rather than controlled experimental settings. Walter et al. (2017) called for smart farming technologies to be judged not solely on technical performance metrics but on their measurable contribution to broader sustainability outcomes—yield stability, input use efficiency, biodiversity impacts, and farmer household welfare. This call has gone largely unanswered in the CNN-based disease detection literature published since, and addressing this evidence gap would considerably strengthen the policy case for public investment in AI-enabled plant health infrastructure.</w:t>
      </w:r>
    </w:p>
    <w:p w14:paraId="5A0DE9A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Finally, participatory and co-design approaches that treat smallholder farmers, agricultural extension workers, and local plant pathologists as active partners—rather than passive end-users—in developing and validating AI diagnostic tools offer a genuinely promising path towards tools that are both contextually relevant and more likely to be adopted and sustained </w:t>
      </w:r>
      <w:r w:rsidRPr="002865FC">
        <w:rPr>
          <w:rFonts w:ascii="Times New Roman" w:eastAsia="Times New Roman" w:hAnsi="Times New Roman" w:cs="Times New Roman"/>
          <w:sz w:val="24"/>
          <w:szCs w:val="24"/>
          <w:lang w:eastAsia="en-GB"/>
        </w:rPr>
        <w:lastRenderedPageBreak/>
        <w:t>in the communities that need them most. Locally collected training data, locally validated recommendations, locally appropriate interfaces, and language accessibility are not refinements to be added later; they are foundational requirements if these tools are to serve diverse agricultural communities fairly and effectively.</w:t>
      </w:r>
    </w:p>
    <w:p w14:paraId="62C90E38"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56336BC9"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10. Conclusions</w:t>
      </w:r>
    </w:p>
    <w:p w14:paraId="0DBAD803"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review has set out to critically synthesise a substantial and rapidly expanding body of evidence on the application of convolutional neural networks to plant disease detection, situating that technical literature within the broader concerns of smart agriculture system design, agribusiness economics, and long-term agricultural sustainability. The headline finding is that CNNs have demonstrated remarkable technical capability for plant disease classification under controlled benchmark conditions, with leading architectures reaching classification accuracies above 99 per cent on well-established datasets. These results reflect real and substantial progress in deep learning methodology—transfer learning, targeted data augmentation, efficient architectural design, and multi-modal sensing integration among them—and they confirm that image-based CNN approaches are fundamentally well suited to the pattern recognition demands of plant pathology.</w:t>
      </w:r>
    </w:p>
    <w:p w14:paraId="53FDA456"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At the same time, this review has identified persistent limitations, some insufficiently acknowledged in the published literature, that substantially constrain the translation of laboratory benchmark performance into operational agricultural value. Generalisation from controlled laboratory datasets to complex, variable field environments remains the central unresolved problem in this field. The PlantVillage dataset, for all its genuine contributions to model development and comparative evaluation, has arguably fostered a research culture in which reported accuracy reflects, to a meaningful degree, memorisation of dataset-specific statistical properties rather than diagnostic competence across the full spectrum of conditions found in real agriculture. The gap between benchmark performance and field performance is not a minor caveat to be footnoted; it is a substantive barrier to adoption and impact that the field needs to confront more directly and with greater methodological seriousness than has generally been the case so far.</w:t>
      </w:r>
    </w:p>
    <w:p w14:paraId="44964864"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Integrating CNN-based disease detection with IoT sensor networks, UAV remote sensing, and edge inference computing represents a technically plausible and genuinely promising direction for operational smart agriculture. Early demonstrations across rice, maize, soybean, cassava, and tomato systems have been encouraging, and the trajectory of hardware development is favourable. Realising this integrated vision in full, however, will require sustained investment in digital connectivity infrastructure, accessible sensor technology, open-access training datasets, and validation frameworks suited to the temporal and spatial realities that deployed farming systems actually face.</w:t>
      </w:r>
    </w:p>
    <w:p w14:paraId="5463F34D"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 xml:space="preserve">The sustainability case for AI-assisted plant disease management is a strong one, given the scale of crop losses attributable to pathogens and the potential for precision intervention to reduce both economic damage and the environmental externalities of broad-spectrum agrochemical use. But sustainability, understood properly, requires that the benefits of AI adoption reach those most vulnerable to food insecurity—smallholder farming communities in low- and middle-income countries—rather than accruing mainly to well-resourced commercial agribusinesses. The field has made considerable and genuinely demonstrable </w:t>
      </w:r>
      <w:r w:rsidRPr="002865FC">
        <w:rPr>
          <w:rFonts w:ascii="Times New Roman" w:eastAsia="Times New Roman" w:hAnsi="Times New Roman" w:cs="Times New Roman"/>
          <w:sz w:val="24"/>
          <w:szCs w:val="24"/>
          <w:lang w:eastAsia="en-GB"/>
        </w:rPr>
        <w:lastRenderedPageBreak/>
        <w:t>technical progress over the decade since its foundational benchmarks were established. The task facing the research community now is to translate that technical capability into systems that demonstrably, equitably, and durably improve outcomes for farmers, crops, and the environments in which they are grown.</w:t>
      </w:r>
    </w:p>
    <w:p w14:paraId="1979BC0C"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6E2FE17D" w14:textId="77777777" w:rsidR="002865FC" w:rsidRP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11. Limitations</w:t>
      </w:r>
    </w:p>
    <w:p w14:paraId="3DEA5D0A"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This review is subject to several limitations that deserve transparent acknowledgement. As a narrative critical review rather than a systematic review with formal quantitative synthesis, the selection, weighting, and interpretation of evidence necessarily involves a degree of authorial judgement that a more protocol-constrained methodology would have limited. Although the search strategy was designed to be broad, and inclusion and exclusion criteria were defined explicitly from the outset, there remains a real possibility of publication bias in the underlying primary literature: positive results and high-performing models tend to be reported disproportionately, while null results, deployment failures, and negative findings often go unpublished. This could lead the available evidence base to overstate how mature CNN-based disease detection systems actually are. This is a limitation of the field's publication culture rather than of this review specifically, but it inevitably shapes any synthesis built on that literature.</w:t>
      </w:r>
    </w:p>
    <w:p w14:paraId="6300205F"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Second, this review was restricted to peer-reviewed journal publications and selected institutional reports published in English. Research published in other languages—including relevant work from agricultural and computer science research communities in China, Brazil, India, and other major agricultural economies—is therefore likely underrepresented here. The exclusion of conference proceedings also means that some of the most methodologically current contributions in computer science and agricultural engineering, fields where conference publication often serves as the primary venue for cutting-edge work, may not be captured in this evidence base.</w:t>
      </w:r>
    </w:p>
    <w:p w14:paraId="16E6D14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Third, this is a genuinely fast-moving field, and some conclusions drawn from the literature reviewed here may already have been partially superseded by work published between the search cutoff and the date of publication. In particular, the emergence of vision transformer architectures and large-scale pre-trained foundation models for agricultural image analysis represents an active frontier that was not yet well represented in the peer-reviewed journal literature at the time this search was conducted. Developments of this kind could well modify some of the conclusions reached here regarding the comparative performance of CNN architectures and the optimal strategies for transfer learning in plant disease detection.</w:t>
      </w:r>
    </w:p>
    <w:p w14:paraId="2FF65DF1" w14:textId="77777777" w:rsidR="002865FC" w:rsidRPr="002865FC" w:rsidRDefault="002865FC" w:rsidP="00E14C7D">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865FC">
        <w:rPr>
          <w:rFonts w:ascii="Times New Roman" w:eastAsia="Times New Roman" w:hAnsi="Times New Roman" w:cs="Times New Roman"/>
          <w:sz w:val="24"/>
          <w:szCs w:val="24"/>
          <w:lang w:eastAsia="en-GB"/>
        </w:rPr>
        <w:t>Finally, this review presents no original primary empirical data of its own. All findings and conclusions are derived from synthesising published secondary evidence, which necessarily limits the extent to which causal conclusions can be drawn about the effectiveness of specific technical approaches, or strongly contextualised prescriptive recommendations offered. The sheer diversity of crops, diseases, imaging conditions, and evaluation protocols across the studies reviewed here further limits how precisely any conclusion can be generalised to a specific deployment scenario.</w:t>
      </w:r>
    </w:p>
    <w:p w14:paraId="197EAA4A" w14:textId="77777777" w:rsidR="002F3B56" w:rsidRPr="000839CE" w:rsidRDefault="002F3B56" w:rsidP="00E14C7D">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2B579427" w14:textId="77777777" w:rsidR="002F3B56" w:rsidRPr="000839CE" w:rsidRDefault="002F3B56" w:rsidP="00E14C7D">
      <w:pPr>
        <w:spacing w:after="0" w:line="240" w:lineRule="auto"/>
        <w:jc w:val="both"/>
        <w:rPr>
          <w:rFonts w:ascii="Times New Roman" w:hAnsi="Times New Roman" w:cs="Times New Roman"/>
        </w:rPr>
      </w:pPr>
    </w:p>
    <w:p w14:paraId="59DB69A4" w14:textId="77777777" w:rsidR="002F3B56" w:rsidRPr="000839CE" w:rsidRDefault="002F3B56" w:rsidP="00E14C7D">
      <w:pPr>
        <w:spacing w:after="0" w:line="240" w:lineRule="auto"/>
        <w:jc w:val="both"/>
        <w:rPr>
          <w:rFonts w:ascii="Times New Roman" w:hAnsi="Times New Roman" w:cs="Times New Roman"/>
        </w:rPr>
      </w:pPr>
      <w:r w:rsidRPr="00C56790">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170B1BD" w14:textId="77777777" w:rsidR="002865FC" w:rsidRPr="002865FC" w:rsidRDefault="002865FC" w:rsidP="00E14C7D">
      <w:pPr>
        <w:spacing w:after="0" w:line="240" w:lineRule="auto"/>
        <w:jc w:val="both"/>
        <w:rPr>
          <w:rFonts w:ascii="Times New Roman" w:eastAsia="Times New Roman" w:hAnsi="Times New Roman" w:cs="Times New Roman"/>
          <w:sz w:val="24"/>
          <w:szCs w:val="24"/>
          <w:lang w:eastAsia="en-GB"/>
        </w:rPr>
      </w:pPr>
    </w:p>
    <w:p w14:paraId="6B5F6E7B" w14:textId="77777777" w:rsidR="002865FC" w:rsidRDefault="002865FC" w:rsidP="00E14C7D">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865FC">
        <w:rPr>
          <w:rFonts w:ascii="Times New Roman" w:eastAsia="Times New Roman" w:hAnsi="Times New Roman" w:cs="Times New Roman"/>
          <w:b/>
          <w:bCs/>
          <w:sz w:val="27"/>
          <w:szCs w:val="27"/>
          <w:lang w:eastAsia="en-GB"/>
        </w:rPr>
        <w:t>References</w:t>
      </w:r>
    </w:p>
    <w:p w14:paraId="21E5B5EE"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Abade, A. S., Ferreira, P. A., &amp; Vidal, F. B. (2021). Plant diseases recognition on images using convolutional neural networks: A systematic review. </w:t>
      </w:r>
      <w:r w:rsidRPr="00D43F9A">
        <w:rPr>
          <w:rFonts w:ascii="Times New Roman" w:eastAsia="Times New Roman" w:hAnsi="Times New Roman" w:cs="Times New Roman"/>
          <w:i/>
          <w:iCs/>
          <w:sz w:val="24"/>
          <w:szCs w:val="24"/>
          <w:lang w:val="en-US"/>
        </w:rPr>
        <w:t>Computers and Electronics in Agriculture, 185</w:t>
      </w:r>
      <w:r w:rsidRPr="00D43F9A">
        <w:rPr>
          <w:rFonts w:ascii="Times New Roman" w:eastAsia="Times New Roman" w:hAnsi="Times New Roman" w:cs="Times New Roman"/>
          <w:sz w:val="24"/>
          <w:szCs w:val="24"/>
          <w:lang w:val="en-US"/>
        </w:rPr>
        <w:t xml:space="preserve">, 106125. </w:t>
      </w:r>
      <w:hyperlink r:id="rId7" w:history="1">
        <w:r w:rsidRPr="00D43F9A">
          <w:rPr>
            <w:rFonts w:ascii="Times New Roman" w:eastAsia="Times New Roman" w:hAnsi="Times New Roman" w:cs="Times New Roman"/>
            <w:color w:val="0000FF"/>
            <w:sz w:val="24"/>
            <w:szCs w:val="24"/>
            <w:u w:val="single"/>
            <w:lang w:val="en-US"/>
          </w:rPr>
          <w:t>https://doi.org/10.1016/j.compag.2021.106125</w:t>
        </w:r>
      </w:hyperlink>
    </w:p>
    <w:p w14:paraId="04812C0E"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nl-BE"/>
        </w:rPr>
        <w:t xml:space="preserve">Aldakheel, E. A., Zakariah, M., &amp; Alabdalall, A. H. (2024). </w:t>
      </w:r>
      <w:r w:rsidRPr="00D43F9A">
        <w:rPr>
          <w:rFonts w:ascii="Times New Roman" w:eastAsia="Times New Roman" w:hAnsi="Times New Roman" w:cs="Times New Roman"/>
          <w:sz w:val="24"/>
          <w:szCs w:val="24"/>
          <w:lang w:val="en-US"/>
        </w:rPr>
        <w:t xml:space="preserve">Detection and identification of plant leaf diseases using YOLOv4. </w:t>
      </w:r>
      <w:r w:rsidRPr="00D43F9A">
        <w:rPr>
          <w:rFonts w:ascii="Times New Roman" w:eastAsia="Times New Roman" w:hAnsi="Times New Roman" w:cs="Times New Roman"/>
          <w:i/>
          <w:iCs/>
          <w:sz w:val="24"/>
          <w:szCs w:val="24"/>
          <w:lang w:val="en-US"/>
        </w:rPr>
        <w:t>Frontiers in Plant Science, 15</w:t>
      </w:r>
      <w:r w:rsidRPr="00D43F9A">
        <w:rPr>
          <w:rFonts w:ascii="Times New Roman" w:eastAsia="Times New Roman" w:hAnsi="Times New Roman" w:cs="Times New Roman"/>
          <w:sz w:val="24"/>
          <w:szCs w:val="24"/>
          <w:lang w:val="en-US"/>
        </w:rPr>
        <w:t xml:space="preserve">, 1355941. </w:t>
      </w:r>
      <w:hyperlink r:id="rId8" w:history="1">
        <w:r w:rsidRPr="00D43F9A">
          <w:rPr>
            <w:rFonts w:ascii="Times New Roman" w:eastAsia="Times New Roman" w:hAnsi="Times New Roman" w:cs="Times New Roman"/>
            <w:color w:val="0000FF"/>
            <w:sz w:val="24"/>
            <w:szCs w:val="24"/>
            <w:u w:val="single"/>
            <w:lang w:val="en-US"/>
          </w:rPr>
          <w:t>https://doi.org/10.3389/fpls.2024.1355941</w:t>
        </w:r>
      </w:hyperlink>
    </w:p>
    <w:p w14:paraId="6A83B83A"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D43F9A">
        <w:rPr>
          <w:rFonts w:ascii="Times New Roman" w:eastAsia="Times New Roman" w:hAnsi="Times New Roman" w:cs="Times New Roman"/>
          <w:sz w:val="24"/>
          <w:szCs w:val="24"/>
          <w:lang w:val="en-US"/>
        </w:rPr>
        <w:t xml:space="preserve">Almadhor, A., Rauf, H. T., Lali, M. I. U., Damaševičius, R., Alouffi, B., &amp; Alharbi, A. (2021). AI-driven framework for recognition of guava plant diseases through machine learning from DSLR camera sensor-based high-resolution imagery. </w:t>
      </w:r>
      <w:r w:rsidRPr="00D43F9A">
        <w:rPr>
          <w:rFonts w:ascii="Times New Roman" w:eastAsia="Times New Roman" w:hAnsi="Times New Roman" w:cs="Times New Roman"/>
          <w:i/>
          <w:iCs/>
          <w:sz w:val="24"/>
          <w:szCs w:val="24"/>
          <w:lang w:val="nl-BE"/>
        </w:rPr>
        <w:t>Sensors, 21</w:t>
      </w:r>
      <w:r w:rsidRPr="00D43F9A">
        <w:rPr>
          <w:rFonts w:ascii="Times New Roman" w:eastAsia="Times New Roman" w:hAnsi="Times New Roman" w:cs="Times New Roman"/>
          <w:sz w:val="24"/>
          <w:szCs w:val="24"/>
          <w:lang w:val="nl-BE"/>
        </w:rPr>
        <w:t xml:space="preserve">(11), 3830. </w:t>
      </w:r>
      <w:hyperlink r:id="rId9" w:history="1">
        <w:r w:rsidRPr="00D43F9A">
          <w:rPr>
            <w:rFonts w:ascii="Times New Roman" w:eastAsia="Times New Roman" w:hAnsi="Times New Roman" w:cs="Times New Roman"/>
            <w:color w:val="0000FF"/>
            <w:sz w:val="24"/>
            <w:szCs w:val="24"/>
            <w:u w:val="single"/>
            <w:lang w:val="nl-BE"/>
          </w:rPr>
          <w:t>https://doi.org/10.3390/s21113830</w:t>
        </w:r>
      </w:hyperlink>
    </w:p>
    <w:p w14:paraId="5A3F6A2D"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nl-BE"/>
        </w:rPr>
        <w:t xml:space="preserve">Alzubaidi, L., Zhang, J., Humaidi, A. J., Al-Dujaili, A., Duan, Y., Al-Shamma, O., Santamaría, J., Fadhel, M. A., Al-Amidie, M., &amp; Farhan, L. (2021). </w:t>
      </w:r>
      <w:r w:rsidRPr="00D43F9A">
        <w:rPr>
          <w:rFonts w:ascii="Times New Roman" w:eastAsia="Times New Roman" w:hAnsi="Times New Roman" w:cs="Times New Roman"/>
          <w:sz w:val="24"/>
          <w:szCs w:val="24"/>
          <w:lang w:val="en-US"/>
        </w:rPr>
        <w:t xml:space="preserve">Review of deep learning: Concepts, CNN architectures, challenges, applications, future directions. </w:t>
      </w:r>
      <w:r w:rsidRPr="00D43F9A">
        <w:rPr>
          <w:rFonts w:ascii="Times New Roman" w:eastAsia="Times New Roman" w:hAnsi="Times New Roman" w:cs="Times New Roman"/>
          <w:i/>
          <w:iCs/>
          <w:sz w:val="24"/>
          <w:szCs w:val="24"/>
          <w:lang w:val="en-US"/>
        </w:rPr>
        <w:t>Journal of Big Data, 8</w:t>
      </w:r>
      <w:r w:rsidRPr="00D43F9A">
        <w:rPr>
          <w:rFonts w:ascii="Times New Roman" w:eastAsia="Times New Roman" w:hAnsi="Times New Roman" w:cs="Times New Roman"/>
          <w:sz w:val="24"/>
          <w:szCs w:val="24"/>
          <w:lang w:val="en-US"/>
        </w:rPr>
        <w:t xml:space="preserve">(1), 53. </w:t>
      </w:r>
      <w:hyperlink r:id="rId10" w:history="1">
        <w:r w:rsidRPr="00D43F9A">
          <w:rPr>
            <w:rFonts w:ascii="Times New Roman" w:eastAsia="Times New Roman" w:hAnsi="Times New Roman" w:cs="Times New Roman"/>
            <w:color w:val="0000FF"/>
            <w:sz w:val="24"/>
            <w:szCs w:val="24"/>
            <w:u w:val="single"/>
            <w:lang w:val="en-US"/>
          </w:rPr>
          <w:t>https://doi.org/10.1186/s40537-021-00444-8</w:t>
        </w:r>
      </w:hyperlink>
    </w:p>
    <w:p w14:paraId="4DD929C5"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Ang, K. L. M., &amp; Seng, J. K. P. (2021). Big data and machine learning with hyperspectral information in agriculture. </w:t>
      </w:r>
      <w:r w:rsidRPr="00D43F9A">
        <w:rPr>
          <w:rFonts w:ascii="Times New Roman" w:eastAsia="Times New Roman" w:hAnsi="Times New Roman" w:cs="Times New Roman"/>
          <w:i/>
          <w:iCs/>
          <w:sz w:val="24"/>
          <w:szCs w:val="24"/>
          <w:lang w:val="en-US"/>
        </w:rPr>
        <w:t>IEEE Access, 9</w:t>
      </w:r>
      <w:r w:rsidRPr="00D43F9A">
        <w:rPr>
          <w:rFonts w:ascii="Times New Roman" w:eastAsia="Times New Roman" w:hAnsi="Times New Roman" w:cs="Times New Roman"/>
          <w:sz w:val="24"/>
          <w:szCs w:val="24"/>
          <w:lang w:val="en-US"/>
        </w:rPr>
        <w:t xml:space="preserve">, 36699–36718. </w:t>
      </w:r>
      <w:hyperlink r:id="rId11" w:history="1">
        <w:r w:rsidRPr="00D43F9A">
          <w:rPr>
            <w:rFonts w:ascii="Times New Roman" w:eastAsia="Times New Roman" w:hAnsi="Times New Roman" w:cs="Times New Roman"/>
            <w:color w:val="0000FF"/>
            <w:sz w:val="24"/>
            <w:szCs w:val="24"/>
            <w:u w:val="single"/>
            <w:lang w:val="en-US"/>
          </w:rPr>
          <w:t>https://doi.org/10.1109/ACCESS.2021.3051196</w:t>
        </w:r>
      </w:hyperlink>
    </w:p>
    <w:p w14:paraId="1F245A36"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Atila, Ü., Uçar, M., Akyol, K., &amp; Uçar, E. (2021). Plant leaf disease classification using EfficientNet deep learning model. </w:t>
      </w:r>
      <w:r w:rsidRPr="00D43F9A">
        <w:rPr>
          <w:rFonts w:ascii="Times New Roman" w:eastAsia="Times New Roman" w:hAnsi="Times New Roman" w:cs="Times New Roman"/>
          <w:i/>
          <w:iCs/>
          <w:sz w:val="24"/>
          <w:szCs w:val="24"/>
          <w:lang w:val="en-US"/>
        </w:rPr>
        <w:t>Ecological Informatics, 61</w:t>
      </w:r>
      <w:r w:rsidRPr="00D43F9A">
        <w:rPr>
          <w:rFonts w:ascii="Times New Roman" w:eastAsia="Times New Roman" w:hAnsi="Times New Roman" w:cs="Times New Roman"/>
          <w:sz w:val="24"/>
          <w:szCs w:val="24"/>
          <w:lang w:val="en-US"/>
        </w:rPr>
        <w:t xml:space="preserve">, 101182. </w:t>
      </w:r>
      <w:hyperlink r:id="rId12" w:history="1">
        <w:r w:rsidRPr="00D43F9A">
          <w:rPr>
            <w:rFonts w:ascii="Times New Roman" w:eastAsia="Times New Roman" w:hAnsi="Times New Roman" w:cs="Times New Roman"/>
            <w:color w:val="0000FF"/>
            <w:sz w:val="24"/>
            <w:szCs w:val="24"/>
            <w:u w:val="single"/>
            <w:lang w:val="en-US"/>
          </w:rPr>
          <w:t>https://doi.org/10.1016/j.ecoinf.2020.101182</w:t>
        </w:r>
      </w:hyperlink>
    </w:p>
    <w:p w14:paraId="50A595D2"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Barbedo, J. G. A. (2018). Factors influencing the use of deep learning for plant disease recognition. </w:t>
      </w:r>
      <w:r w:rsidRPr="00D43F9A">
        <w:rPr>
          <w:rFonts w:ascii="Times New Roman" w:eastAsia="Times New Roman" w:hAnsi="Times New Roman" w:cs="Times New Roman"/>
          <w:i/>
          <w:iCs/>
          <w:sz w:val="24"/>
          <w:szCs w:val="24"/>
          <w:lang w:val="en-US"/>
        </w:rPr>
        <w:t>Biosystems Engineering, 172</w:t>
      </w:r>
      <w:r w:rsidRPr="00D43F9A">
        <w:rPr>
          <w:rFonts w:ascii="Times New Roman" w:eastAsia="Times New Roman" w:hAnsi="Times New Roman" w:cs="Times New Roman"/>
          <w:sz w:val="24"/>
          <w:szCs w:val="24"/>
          <w:lang w:val="en-US"/>
        </w:rPr>
        <w:t xml:space="preserve">, 84–91. </w:t>
      </w:r>
      <w:hyperlink r:id="rId13" w:history="1">
        <w:r w:rsidRPr="00D43F9A">
          <w:rPr>
            <w:rFonts w:ascii="Times New Roman" w:eastAsia="Times New Roman" w:hAnsi="Times New Roman" w:cs="Times New Roman"/>
            <w:color w:val="0000FF"/>
            <w:sz w:val="24"/>
            <w:szCs w:val="24"/>
            <w:u w:val="single"/>
            <w:lang w:val="en-US"/>
          </w:rPr>
          <w:t>https://doi.org/10.1016/j.biosystemseng.2018.05.013</w:t>
        </w:r>
      </w:hyperlink>
    </w:p>
    <w:p w14:paraId="7B7168B6"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Barbedo, J. G. A. (2019). Plant disease identification from individual lesions and spots using deep learning. </w:t>
      </w:r>
      <w:r w:rsidRPr="00D43F9A">
        <w:rPr>
          <w:rFonts w:ascii="Times New Roman" w:eastAsia="Times New Roman" w:hAnsi="Times New Roman" w:cs="Times New Roman"/>
          <w:i/>
          <w:iCs/>
          <w:sz w:val="24"/>
          <w:szCs w:val="24"/>
          <w:lang w:val="en-US"/>
        </w:rPr>
        <w:t>Biosystems Engineering, 180</w:t>
      </w:r>
      <w:r w:rsidRPr="00D43F9A">
        <w:rPr>
          <w:rFonts w:ascii="Times New Roman" w:eastAsia="Times New Roman" w:hAnsi="Times New Roman" w:cs="Times New Roman"/>
          <w:sz w:val="24"/>
          <w:szCs w:val="24"/>
          <w:lang w:val="en-US"/>
        </w:rPr>
        <w:t xml:space="preserve">, 96–107. </w:t>
      </w:r>
      <w:hyperlink r:id="rId14" w:history="1">
        <w:r w:rsidRPr="00D43F9A">
          <w:rPr>
            <w:rFonts w:ascii="Times New Roman" w:eastAsia="Times New Roman" w:hAnsi="Times New Roman" w:cs="Times New Roman"/>
            <w:color w:val="0000FF"/>
            <w:sz w:val="24"/>
            <w:szCs w:val="24"/>
            <w:u w:val="single"/>
            <w:lang w:val="en-US"/>
          </w:rPr>
          <w:t>https://doi.org/10.1016/j.biosystemseng.2019.02.002</w:t>
        </w:r>
      </w:hyperlink>
    </w:p>
    <w:p w14:paraId="48CAFCA3"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Barbedo, J. G. A. (2023). A review on the combination of deep learning techniques with proximal hyperspectral images in agriculture. </w:t>
      </w:r>
      <w:r w:rsidRPr="00D43F9A">
        <w:rPr>
          <w:rFonts w:ascii="Times New Roman" w:eastAsia="Times New Roman" w:hAnsi="Times New Roman" w:cs="Times New Roman"/>
          <w:i/>
          <w:iCs/>
          <w:sz w:val="24"/>
          <w:szCs w:val="24"/>
          <w:lang w:val="en-US"/>
        </w:rPr>
        <w:t>Computers and Electronics in Agriculture, 210</w:t>
      </w:r>
      <w:r w:rsidRPr="00D43F9A">
        <w:rPr>
          <w:rFonts w:ascii="Times New Roman" w:eastAsia="Times New Roman" w:hAnsi="Times New Roman" w:cs="Times New Roman"/>
          <w:sz w:val="24"/>
          <w:szCs w:val="24"/>
          <w:lang w:val="en-US"/>
        </w:rPr>
        <w:t xml:space="preserve">, 107920. </w:t>
      </w:r>
      <w:hyperlink r:id="rId15" w:history="1">
        <w:r w:rsidRPr="00D43F9A">
          <w:rPr>
            <w:rFonts w:ascii="Times New Roman" w:eastAsia="Times New Roman" w:hAnsi="Times New Roman" w:cs="Times New Roman"/>
            <w:color w:val="0000FF"/>
            <w:sz w:val="24"/>
            <w:szCs w:val="24"/>
            <w:u w:val="single"/>
            <w:lang w:val="en-US"/>
          </w:rPr>
          <w:t>https://doi.org/10.1016/j.compag.2023.107920</w:t>
        </w:r>
      </w:hyperlink>
    </w:p>
    <w:p w14:paraId="2E4AD00F"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lastRenderedPageBreak/>
        <w:t xml:space="preserve">Bari, B. S., Islam, M. N., Rashid, M., Hasan, M. J., Razman, M. A. M., Musa, R. M., Ab Nasir, A. F., &amp; Abdul Majeed, A. P. P. (2021). A real-time approach of diagnosing rice leaf disease using deep learning-based faster R-CNN framework. </w:t>
      </w:r>
      <w:r w:rsidRPr="00D43F9A">
        <w:rPr>
          <w:rFonts w:ascii="Times New Roman" w:eastAsia="Times New Roman" w:hAnsi="Times New Roman" w:cs="Times New Roman"/>
          <w:i/>
          <w:iCs/>
          <w:sz w:val="24"/>
          <w:szCs w:val="24"/>
          <w:lang w:val="en-US"/>
        </w:rPr>
        <w:t>PeerJ Computer Science, 7</w:t>
      </w:r>
      <w:r w:rsidRPr="00D43F9A">
        <w:rPr>
          <w:rFonts w:ascii="Times New Roman" w:eastAsia="Times New Roman" w:hAnsi="Times New Roman" w:cs="Times New Roman"/>
          <w:sz w:val="24"/>
          <w:szCs w:val="24"/>
          <w:lang w:val="en-US"/>
        </w:rPr>
        <w:t xml:space="preserve">, e432. </w:t>
      </w:r>
      <w:hyperlink r:id="rId16" w:history="1">
        <w:r w:rsidRPr="00D43F9A">
          <w:rPr>
            <w:rFonts w:ascii="Times New Roman" w:eastAsia="Times New Roman" w:hAnsi="Times New Roman" w:cs="Times New Roman"/>
            <w:color w:val="0000FF"/>
            <w:sz w:val="24"/>
            <w:szCs w:val="24"/>
            <w:u w:val="single"/>
            <w:lang w:val="en-US"/>
          </w:rPr>
          <w:t>https://doi.org/10.7717/peerj-cs.432</w:t>
        </w:r>
      </w:hyperlink>
    </w:p>
    <w:p w14:paraId="071C96EF"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Chen, J., Chen, J., Zhang, D., Sun, Y., &amp; Nanehkaran, Y. A. (2020). Using deep transfer learning for image-based plant disease identification. </w:t>
      </w:r>
      <w:r w:rsidRPr="00D43F9A">
        <w:rPr>
          <w:rFonts w:ascii="Times New Roman" w:eastAsia="Times New Roman" w:hAnsi="Times New Roman" w:cs="Times New Roman"/>
          <w:i/>
          <w:iCs/>
          <w:sz w:val="24"/>
          <w:szCs w:val="24"/>
          <w:lang w:val="en-US"/>
        </w:rPr>
        <w:t>Computers and Electronics in Agriculture, 173</w:t>
      </w:r>
      <w:r w:rsidRPr="00D43F9A">
        <w:rPr>
          <w:rFonts w:ascii="Times New Roman" w:eastAsia="Times New Roman" w:hAnsi="Times New Roman" w:cs="Times New Roman"/>
          <w:sz w:val="24"/>
          <w:szCs w:val="24"/>
          <w:lang w:val="en-US"/>
        </w:rPr>
        <w:t xml:space="preserve">, 105393. </w:t>
      </w:r>
      <w:hyperlink r:id="rId17" w:history="1">
        <w:r w:rsidRPr="00D43F9A">
          <w:rPr>
            <w:rFonts w:ascii="Times New Roman" w:eastAsia="Times New Roman" w:hAnsi="Times New Roman" w:cs="Times New Roman"/>
            <w:color w:val="0000FF"/>
            <w:sz w:val="24"/>
            <w:szCs w:val="24"/>
            <w:u w:val="single"/>
            <w:lang w:val="en-US"/>
          </w:rPr>
          <w:t>https://doi.org/10.1016/j.compag.2020.105393</w:t>
        </w:r>
      </w:hyperlink>
    </w:p>
    <w:p w14:paraId="6ED70D3D"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Food and Agriculture Organization of the United Nations, International Fund for Agricultural Development, United Nations Children’s Fund, World Food Programme, &amp; World Health Organization. (2021). </w:t>
      </w:r>
      <w:r w:rsidRPr="00D43F9A">
        <w:rPr>
          <w:rFonts w:ascii="Times New Roman" w:eastAsia="Times New Roman" w:hAnsi="Times New Roman" w:cs="Times New Roman"/>
          <w:i/>
          <w:iCs/>
          <w:sz w:val="24"/>
          <w:szCs w:val="24"/>
          <w:lang w:val="en-US"/>
        </w:rPr>
        <w:t>The state of food security and nutrition in the world 2021: Transforming food systems for food security, improved nutrition and affordable healthy diets for all</w:t>
      </w:r>
      <w:r w:rsidRPr="00D43F9A">
        <w:rPr>
          <w:rFonts w:ascii="Times New Roman" w:eastAsia="Times New Roman" w:hAnsi="Times New Roman" w:cs="Times New Roman"/>
          <w:sz w:val="24"/>
          <w:szCs w:val="24"/>
          <w:lang w:val="en-US"/>
        </w:rPr>
        <w:t xml:space="preserve">. Food and Agriculture Organization of the United Nations. </w:t>
      </w:r>
      <w:hyperlink r:id="rId18" w:history="1">
        <w:r w:rsidRPr="00D43F9A">
          <w:rPr>
            <w:rFonts w:ascii="Times New Roman" w:eastAsia="Times New Roman" w:hAnsi="Times New Roman" w:cs="Times New Roman"/>
            <w:color w:val="0000FF"/>
            <w:sz w:val="24"/>
            <w:szCs w:val="24"/>
            <w:u w:val="single"/>
            <w:lang w:val="en-US"/>
          </w:rPr>
          <w:t>https://doi.org/10.4060/cb4474en</w:t>
        </w:r>
      </w:hyperlink>
    </w:p>
    <w:p w14:paraId="4B23C2C3"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Food and Agriculture Organization of the United Nations. (2023). </w:t>
      </w:r>
      <w:r w:rsidRPr="00D43F9A">
        <w:rPr>
          <w:rFonts w:ascii="Times New Roman" w:eastAsia="Times New Roman" w:hAnsi="Times New Roman" w:cs="Times New Roman"/>
          <w:i/>
          <w:iCs/>
          <w:sz w:val="24"/>
          <w:szCs w:val="24"/>
          <w:lang w:val="en-US"/>
        </w:rPr>
        <w:t>The state of food and agriculture 2023: Revealing the true cost of food to transform agrifood systems</w:t>
      </w:r>
      <w:r w:rsidRPr="00D43F9A">
        <w:rPr>
          <w:rFonts w:ascii="Times New Roman" w:eastAsia="Times New Roman" w:hAnsi="Times New Roman" w:cs="Times New Roman"/>
          <w:sz w:val="24"/>
          <w:szCs w:val="24"/>
          <w:lang w:val="en-US"/>
        </w:rPr>
        <w:t xml:space="preserve">. </w:t>
      </w:r>
      <w:hyperlink r:id="rId19" w:history="1">
        <w:r w:rsidRPr="00D43F9A">
          <w:rPr>
            <w:rFonts w:ascii="Times New Roman" w:eastAsia="Times New Roman" w:hAnsi="Times New Roman" w:cs="Times New Roman"/>
            <w:color w:val="0000FF"/>
            <w:sz w:val="24"/>
            <w:szCs w:val="24"/>
            <w:u w:val="single"/>
            <w:lang w:val="en-US"/>
          </w:rPr>
          <w:t>https://doi.org/10.4060/cc7724en</w:t>
        </w:r>
      </w:hyperlink>
    </w:p>
    <w:p w14:paraId="35F3985E"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Fenu, G., Malloci, F. M., &amp; Khan, A. (2021). Using multi-output learning to diagnose plant disease and stress severity. </w:t>
      </w:r>
      <w:r w:rsidRPr="00D43F9A">
        <w:rPr>
          <w:rFonts w:ascii="Times New Roman" w:eastAsia="Times New Roman" w:hAnsi="Times New Roman" w:cs="Times New Roman"/>
          <w:i/>
          <w:iCs/>
          <w:sz w:val="24"/>
          <w:szCs w:val="24"/>
          <w:lang w:val="en-US"/>
        </w:rPr>
        <w:t>Complexity, 2021</w:t>
      </w:r>
      <w:r w:rsidRPr="00D43F9A">
        <w:rPr>
          <w:rFonts w:ascii="Times New Roman" w:eastAsia="Times New Roman" w:hAnsi="Times New Roman" w:cs="Times New Roman"/>
          <w:sz w:val="24"/>
          <w:szCs w:val="24"/>
          <w:lang w:val="en-US"/>
        </w:rPr>
        <w:t xml:space="preserve">, 6663442. </w:t>
      </w:r>
      <w:hyperlink r:id="rId20" w:history="1">
        <w:r w:rsidRPr="00D43F9A">
          <w:rPr>
            <w:rFonts w:ascii="Times New Roman" w:eastAsia="Times New Roman" w:hAnsi="Times New Roman" w:cs="Times New Roman"/>
            <w:color w:val="0000FF"/>
            <w:sz w:val="24"/>
            <w:szCs w:val="24"/>
            <w:u w:val="single"/>
            <w:lang w:val="en-US"/>
          </w:rPr>
          <w:t>https://doi.org/10.1155/2021/6663442</w:t>
        </w:r>
      </w:hyperlink>
    </w:p>
    <w:p w14:paraId="5D292CB5"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Ferentinos, K. P. (2018). Deep learning models for plant disease detection and diagnosis. </w:t>
      </w:r>
      <w:r w:rsidRPr="00D43F9A">
        <w:rPr>
          <w:rFonts w:ascii="Times New Roman" w:eastAsia="Times New Roman" w:hAnsi="Times New Roman" w:cs="Times New Roman"/>
          <w:i/>
          <w:iCs/>
          <w:sz w:val="24"/>
          <w:szCs w:val="24"/>
          <w:lang w:val="en-US"/>
        </w:rPr>
        <w:t>Computers and Electronics in Agriculture, 145</w:t>
      </w:r>
      <w:r w:rsidRPr="00D43F9A">
        <w:rPr>
          <w:rFonts w:ascii="Times New Roman" w:eastAsia="Times New Roman" w:hAnsi="Times New Roman" w:cs="Times New Roman"/>
          <w:sz w:val="24"/>
          <w:szCs w:val="24"/>
          <w:lang w:val="en-US"/>
        </w:rPr>
        <w:t xml:space="preserve">, 311–318. </w:t>
      </w:r>
      <w:hyperlink r:id="rId21" w:history="1">
        <w:r w:rsidRPr="00D43F9A">
          <w:rPr>
            <w:rFonts w:ascii="Times New Roman" w:eastAsia="Times New Roman" w:hAnsi="Times New Roman" w:cs="Times New Roman"/>
            <w:color w:val="0000FF"/>
            <w:sz w:val="24"/>
            <w:szCs w:val="24"/>
            <w:u w:val="single"/>
            <w:lang w:val="en-US"/>
          </w:rPr>
          <w:t>https://doi.org/10.1016/j.compag.2018.01.009</w:t>
        </w:r>
      </w:hyperlink>
    </w:p>
    <w:p w14:paraId="0FA4FE70" w14:textId="4A1DFC74"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Fuentes, A., Yoon, S., Lee, J., &amp; Park, D. S. (2018). High-performance deep neural network-based tomato plant diseases and pests diagnosis system with refinement filter bank. </w:t>
      </w:r>
      <w:r w:rsidRPr="00D43F9A">
        <w:rPr>
          <w:rFonts w:ascii="Times New Roman" w:eastAsia="Times New Roman" w:hAnsi="Times New Roman" w:cs="Times New Roman"/>
          <w:i/>
          <w:iCs/>
          <w:sz w:val="24"/>
          <w:szCs w:val="24"/>
          <w:lang w:val="en-US"/>
        </w:rPr>
        <w:t>Frontiers in Plant Science, 9</w:t>
      </w:r>
      <w:r w:rsidRPr="00D43F9A">
        <w:rPr>
          <w:rFonts w:ascii="Times New Roman" w:eastAsia="Times New Roman" w:hAnsi="Times New Roman" w:cs="Times New Roman"/>
          <w:sz w:val="24"/>
          <w:szCs w:val="24"/>
          <w:lang w:val="en-US"/>
        </w:rPr>
        <w:t xml:space="preserve">, 1162. </w:t>
      </w:r>
      <w:hyperlink r:id="rId22" w:history="1">
        <w:r w:rsidRPr="00D43F9A">
          <w:rPr>
            <w:rFonts w:ascii="Times New Roman" w:eastAsia="Times New Roman" w:hAnsi="Times New Roman" w:cs="Times New Roman"/>
            <w:color w:val="0000FF"/>
            <w:sz w:val="24"/>
            <w:szCs w:val="24"/>
            <w:u w:val="single"/>
            <w:lang w:val="en-US"/>
          </w:rPr>
          <w:t>https://doi.org/10.3389/fpls.2018.01162</w:t>
        </w:r>
      </w:hyperlink>
      <w:r w:rsidRPr="00D43F9A">
        <w:rPr>
          <w:rFonts w:ascii="Times New Roman" w:eastAsia="Times New Roman" w:hAnsi="Times New Roman" w:cs="Times New Roman"/>
          <w:sz w:val="24"/>
          <w:szCs w:val="24"/>
          <w:lang w:val="en-US"/>
        </w:rPr>
        <w:t xml:space="preserve"> </w:t>
      </w:r>
    </w:p>
    <w:p w14:paraId="47C1CAA1"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Fuentes, A., Yoon, S., Kim, S. C., &amp; Park, D. S. (2017). A robust deep-learning-based detector for real-time tomato plant diseases and pests recognition. </w:t>
      </w:r>
      <w:r w:rsidRPr="00D43F9A">
        <w:rPr>
          <w:rFonts w:ascii="Times New Roman" w:eastAsia="Times New Roman" w:hAnsi="Times New Roman" w:cs="Times New Roman"/>
          <w:i/>
          <w:iCs/>
          <w:sz w:val="24"/>
          <w:szCs w:val="24"/>
          <w:lang w:val="en-US"/>
        </w:rPr>
        <w:t>Sensors, 17</w:t>
      </w:r>
      <w:r w:rsidRPr="00D43F9A">
        <w:rPr>
          <w:rFonts w:ascii="Times New Roman" w:eastAsia="Times New Roman" w:hAnsi="Times New Roman" w:cs="Times New Roman"/>
          <w:sz w:val="24"/>
          <w:szCs w:val="24"/>
          <w:lang w:val="en-US"/>
        </w:rPr>
        <w:t xml:space="preserve">(9), 2022. </w:t>
      </w:r>
      <w:hyperlink r:id="rId23" w:history="1">
        <w:r w:rsidRPr="00D43F9A">
          <w:rPr>
            <w:rFonts w:ascii="Times New Roman" w:eastAsia="Times New Roman" w:hAnsi="Times New Roman" w:cs="Times New Roman"/>
            <w:color w:val="0000FF"/>
            <w:sz w:val="24"/>
            <w:szCs w:val="24"/>
            <w:u w:val="single"/>
            <w:lang w:val="en-US"/>
          </w:rPr>
          <w:t>https://doi.org/10.3390/s17092022</w:t>
        </w:r>
      </w:hyperlink>
    </w:p>
    <w:p w14:paraId="70876850"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Geetharamani, G., &amp; Pandian, J. A. (2019). Identification of plant leaf diseases using a nine-layer deep convolutional neural network. </w:t>
      </w:r>
      <w:r w:rsidRPr="00D43F9A">
        <w:rPr>
          <w:rFonts w:ascii="Times New Roman" w:eastAsia="Times New Roman" w:hAnsi="Times New Roman" w:cs="Times New Roman"/>
          <w:i/>
          <w:iCs/>
          <w:sz w:val="24"/>
          <w:szCs w:val="24"/>
          <w:lang w:val="en-US"/>
        </w:rPr>
        <w:t>Computers &amp; Electrical Engineering, 76</w:t>
      </w:r>
      <w:r w:rsidRPr="00D43F9A">
        <w:rPr>
          <w:rFonts w:ascii="Times New Roman" w:eastAsia="Times New Roman" w:hAnsi="Times New Roman" w:cs="Times New Roman"/>
          <w:sz w:val="24"/>
          <w:szCs w:val="24"/>
          <w:lang w:val="en-US"/>
        </w:rPr>
        <w:t xml:space="preserve">, 323–338. </w:t>
      </w:r>
      <w:hyperlink r:id="rId24" w:history="1">
        <w:r w:rsidRPr="00D43F9A">
          <w:rPr>
            <w:rFonts w:ascii="Times New Roman" w:eastAsia="Times New Roman" w:hAnsi="Times New Roman" w:cs="Times New Roman"/>
            <w:color w:val="0000FF"/>
            <w:sz w:val="24"/>
            <w:szCs w:val="24"/>
            <w:u w:val="single"/>
            <w:lang w:val="en-US"/>
          </w:rPr>
          <w:t>https://doi.org/10.1016/j.compeleceng.2019.04.011</w:t>
        </w:r>
      </w:hyperlink>
    </w:p>
    <w:p w14:paraId="15B9BF80"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Golhani, K., Balasundram, S. K., Vadamalai, G., &amp; Pradhan, B. (2018). A review of neural networks in plant disease detection using hyperspectral data. </w:t>
      </w:r>
      <w:r w:rsidRPr="00D43F9A">
        <w:rPr>
          <w:rFonts w:ascii="Times New Roman" w:eastAsia="Times New Roman" w:hAnsi="Times New Roman" w:cs="Times New Roman"/>
          <w:i/>
          <w:iCs/>
          <w:sz w:val="24"/>
          <w:szCs w:val="24"/>
          <w:lang w:val="en-US"/>
        </w:rPr>
        <w:t>Information Processing in Agriculture, 5</w:t>
      </w:r>
      <w:r w:rsidRPr="00D43F9A">
        <w:rPr>
          <w:rFonts w:ascii="Times New Roman" w:eastAsia="Times New Roman" w:hAnsi="Times New Roman" w:cs="Times New Roman"/>
          <w:sz w:val="24"/>
          <w:szCs w:val="24"/>
          <w:lang w:val="en-US"/>
        </w:rPr>
        <w:t xml:space="preserve">(3), 354–371. </w:t>
      </w:r>
      <w:hyperlink r:id="rId25" w:history="1">
        <w:r w:rsidRPr="00D43F9A">
          <w:rPr>
            <w:rFonts w:ascii="Times New Roman" w:eastAsia="Times New Roman" w:hAnsi="Times New Roman" w:cs="Times New Roman"/>
            <w:color w:val="0000FF"/>
            <w:sz w:val="24"/>
            <w:szCs w:val="24"/>
            <w:u w:val="single"/>
            <w:lang w:val="en-US"/>
          </w:rPr>
          <w:t>https://doi.org/10.1016/j.inpa.2018.05.002</w:t>
        </w:r>
      </w:hyperlink>
    </w:p>
    <w:p w14:paraId="11F43D7C"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Jiang, F., Lu, Y., Chen, Y., Cai, D., &amp; Li, G. (2020). Image recognition of four rice leaf diseases based on deep learning and support vector machine. </w:t>
      </w:r>
      <w:r w:rsidRPr="00D43F9A">
        <w:rPr>
          <w:rFonts w:ascii="Times New Roman" w:eastAsia="Times New Roman" w:hAnsi="Times New Roman" w:cs="Times New Roman"/>
          <w:i/>
          <w:iCs/>
          <w:sz w:val="24"/>
          <w:szCs w:val="24"/>
          <w:lang w:val="en-US"/>
        </w:rPr>
        <w:t>Computers and Electronics in Agriculture, 179</w:t>
      </w:r>
      <w:r w:rsidRPr="00D43F9A">
        <w:rPr>
          <w:rFonts w:ascii="Times New Roman" w:eastAsia="Times New Roman" w:hAnsi="Times New Roman" w:cs="Times New Roman"/>
          <w:sz w:val="24"/>
          <w:szCs w:val="24"/>
          <w:lang w:val="en-US"/>
        </w:rPr>
        <w:t xml:space="preserve">, 105824. </w:t>
      </w:r>
      <w:hyperlink r:id="rId26" w:history="1">
        <w:r w:rsidRPr="00D43F9A">
          <w:rPr>
            <w:rFonts w:ascii="Times New Roman" w:eastAsia="Times New Roman" w:hAnsi="Times New Roman" w:cs="Times New Roman"/>
            <w:color w:val="0000FF"/>
            <w:sz w:val="24"/>
            <w:szCs w:val="24"/>
            <w:u w:val="single"/>
            <w:lang w:val="en-US"/>
          </w:rPr>
          <w:t>https://doi.org/10.1016/j.compag.2020.105824</w:t>
        </w:r>
      </w:hyperlink>
    </w:p>
    <w:p w14:paraId="61E7896C"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Jiang, P., Chen, Y., Liu, B., He, D., &amp; Liang, C. (2019). Real-time detection of apple leaf diseases using deep learning approach based on improved convolutional neural </w:t>
      </w:r>
      <w:r w:rsidRPr="00D43F9A">
        <w:rPr>
          <w:rFonts w:ascii="Times New Roman" w:eastAsia="Times New Roman" w:hAnsi="Times New Roman" w:cs="Times New Roman"/>
          <w:sz w:val="24"/>
          <w:szCs w:val="24"/>
          <w:lang w:val="en-US"/>
        </w:rPr>
        <w:lastRenderedPageBreak/>
        <w:t xml:space="preserve">networks. </w:t>
      </w:r>
      <w:r w:rsidRPr="00D43F9A">
        <w:rPr>
          <w:rFonts w:ascii="Times New Roman" w:eastAsia="Times New Roman" w:hAnsi="Times New Roman" w:cs="Times New Roman"/>
          <w:i/>
          <w:iCs/>
          <w:sz w:val="24"/>
          <w:szCs w:val="24"/>
          <w:lang w:val="en-US"/>
        </w:rPr>
        <w:t>IEEE Access, 7</w:t>
      </w:r>
      <w:r w:rsidRPr="00D43F9A">
        <w:rPr>
          <w:rFonts w:ascii="Times New Roman" w:eastAsia="Times New Roman" w:hAnsi="Times New Roman" w:cs="Times New Roman"/>
          <w:sz w:val="24"/>
          <w:szCs w:val="24"/>
          <w:lang w:val="en-US"/>
        </w:rPr>
        <w:t xml:space="preserve">, 59069–59080. </w:t>
      </w:r>
      <w:hyperlink r:id="rId27" w:history="1">
        <w:r w:rsidRPr="00D43F9A">
          <w:rPr>
            <w:rFonts w:ascii="Times New Roman" w:eastAsia="Times New Roman" w:hAnsi="Times New Roman" w:cs="Times New Roman"/>
            <w:color w:val="0000FF"/>
            <w:sz w:val="24"/>
            <w:szCs w:val="24"/>
            <w:u w:val="single"/>
            <w:lang w:val="en-US"/>
          </w:rPr>
          <w:t>https://doi.org/10.1109/ACCESS.2019.2914929</w:t>
        </w:r>
      </w:hyperlink>
    </w:p>
    <w:p w14:paraId="0A8FEA1A"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Kamilaris, A., &amp; Prenafeta-Boldú, F. X. (2018). Deep learning in agriculture: A survey. </w:t>
      </w:r>
      <w:r w:rsidRPr="00D43F9A">
        <w:rPr>
          <w:rFonts w:ascii="Times New Roman" w:eastAsia="Times New Roman" w:hAnsi="Times New Roman" w:cs="Times New Roman"/>
          <w:i/>
          <w:iCs/>
          <w:sz w:val="24"/>
          <w:szCs w:val="24"/>
          <w:lang w:val="en-US"/>
        </w:rPr>
        <w:t>Computers and Electronics in Agriculture, 147</w:t>
      </w:r>
      <w:r w:rsidRPr="00D43F9A">
        <w:rPr>
          <w:rFonts w:ascii="Times New Roman" w:eastAsia="Times New Roman" w:hAnsi="Times New Roman" w:cs="Times New Roman"/>
          <w:sz w:val="24"/>
          <w:szCs w:val="24"/>
          <w:lang w:val="en-US"/>
        </w:rPr>
        <w:t xml:space="preserve">, 70–90. </w:t>
      </w:r>
      <w:hyperlink r:id="rId28" w:history="1">
        <w:r w:rsidRPr="00D43F9A">
          <w:rPr>
            <w:rFonts w:ascii="Times New Roman" w:eastAsia="Times New Roman" w:hAnsi="Times New Roman" w:cs="Times New Roman"/>
            <w:color w:val="0000FF"/>
            <w:sz w:val="24"/>
            <w:szCs w:val="24"/>
            <w:u w:val="single"/>
            <w:lang w:val="en-US"/>
          </w:rPr>
          <w:t>https://doi.org/10.1016/j.compag.2018.02.016</w:t>
        </w:r>
      </w:hyperlink>
    </w:p>
    <w:p w14:paraId="4E149035"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Kaur, P., Harnal, S., Tiwari, R., Upadhyay, S., Bhatia, S., Mashat, A., &amp; Alabdali, A. M. (2022). Recognition of leaf disease using hybrid convolutional neural network by applying feature reduction. </w:t>
      </w:r>
      <w:r w:rsidRPr="00D43F9A">
        <w:rPr>
          <w:rFonts w:ascii="Times New Roman" w:eastAsia="Times New Roman" w:hAnsi="Times New Roman" w:cs="Times New Roman"/>
          <w:i/>
          <w:iCs/>
          <w:sz w:val="24"/>
          <w:szCs w:val="24"/>
          <w:lang w:val="en-US"/>
        </w:rPr>
        <w:t>Sensors, 22</w:t>
      </w:r>
      <w:r w:rsidRPr="00D43F9A">
        <w:rPr>
          <w:rFonts w:ascii="Times New Roman" w:eastAsia="Times New Roman" w:hAnsi="Times New Roman" w:cs="Times New Roman"/>
          <w:sz w:val="24"/>
          <w:szCs w:val="24"/>
          <w:lang w:val="en-US"/>
        </w:rPr>
        <w:t xml:space="preserve">(2), 575. </w:t>
      </w:r>
      <w:hyperlink r:id="rId29" w:history="1">
        <w:r w:rsidRPr="00D43F9A">
          <w:rPr>
            <w:rFonts w:ascii="Times New Roman" w:eastAsia="Times New Roman" w:hAnsi="Times New Roman" w:cs="Times New Roman"/>
            <w:color w:val="0000FF"/>
            <w:sz w:val="24"/>
            <w:szCs w:val="24"/>
            <w:u w:val="single"/>
            <w:lang w:val="en-US"/>
          </w:rPr>
          <w:t>https://doi.org/10.3390/s22020575</w:t>
        </w:r>
      </w:hyperlink>
    </w:p>
    <w:p w14:paraId="05ED13E7"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Kumar, M., Chandel, N. S., Singh, D., &amp; Rajput, L. S. (2023). Soybean disease detection and segmentation based on Mask-RCNN algorithm. </w:t>
      </w:r>
      <w:r w:rsidRPr="00D43F9A">
        <w:rPr>
          <w:rFonts w:ascii="Times New Roman" w:eastAsia="Times New Roman" w:hAnsi="Times New Roman" w:cs="Times New Roman"/>
          <w:i/>
          <w:iCs/>
          <w:sz w:val="24"/>
          <w:szCs w:val="24"/>
          <w:lang w:val="en-US"/>
        </w:rPr>
        <w:t>Journal of Experimental Agriculture International, 45</w:t>
      </w:r>
      <w:r w:rsidRPr="00D43F9A">
        <w:rPr>
          <w:rFonts w:ascii="Times New Roman" w:eastAsia="Times New Roman" w:hAnsi="Times New Roman" w:cs="Times New Roman"/>
          <w:sz w:val="24"/>
          <w:szCs w:val="24"/>
          <w:lang w:val="en-US"/>
        </w:rPr>
        <w:t xml:space="preserve">(5), 63–72. </w:t>
      </w:r>
      <w:hyperlink r:id="rId30" w:history="1">
        <w:r w:rsidRPr="00D43F9A">
          <w:rPr>
            <w:rFonts w:ascii="Times New Roman" w:eastAsia="Times New Roman" w:hAnsi="Times New Roman" w:cs="Times New Roman"/>
            <w:color w:val="0000FF"/>
            <w:sz w:val="24"/>
            <w:szCs w:val="24"/>
            <w:u w:val="single"/>
            <w:lang w:val="en-US"/>
          </w:rPr>
          <w:t>https://doi.org/10.9734/jeai/2023/v45i52132</w:t>
        </w:r>
      </w:hyperlink>
    </w:p>
    <w:p w14:paraId="732145CE"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Liakos, K. G., Busato, P., Moshou, D., Pearson, S., &amp; Bochtis, D. (2018). Machine learning in agriculture: A review. </w:t>
      </w:r>
      <w:r w:rsidRPr="00D43F9A">
        <w:rPr>
          <w:rFonts w:ascii="Times New Roman" w:eastAsia="Times New Roman" w:hAnsi="Times New Roman" w:cs="Times New Roman"/>
          <w:i/>
          <w:iCs/>
          <w:sz w:val="24"/>
          <w:szCs w:val="24"/>
          <w:lang w:val="en-US"/>
        </w:rPr>
        <w:t>Sensors, 18</w:t>
      </w:r>
      <w:r w:rsidRPr="00D43F9A">
        <w:rPr>
          <w:rFonts w:ascii="Times New Roman" w:eastAsia="Times New Roman" w:hAnsi="Times New Roman" w:cs="Times New Roman"/>
          <w:sz w:val="24"/>
          <w:szCs w:val="24"/>
          <w:lang w:val="en-US"/>
        </w:rPr>
        <w:t xml:space="preserve">(8), 2674. </w:t>
      </w:r>
      <w:hyperlink r:id="rId31" w:history="1">
        <w:r w:rsidRPr="00D43F9A">
          <w:rPr>
            <w:rFonts w:ascii="Times New Roman" w:eastAsia="Times New Roman" w:hAnsi="Times New Roman" w:cs="Times New Roman"/>
            <w:color w:val="0000FF"/>
            <w:sz w:val="24"/>
            <w:szCs w:val="24"/>
            <w:u w:val="single"/>
            <w:lang w:val="en-US"/>
          </w:rPr>
          <w:t>https://doi.org/10.3390/s18082674</w:t>
        </w:r>
      </w:hyperlink>
    </w:p>
    <w:p w14:paraId="5E7FD536"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Liu, J., &amp; Wang, X. (2021). Plant diseases and pests detection based on deep learning: A review. </w:t>
      </w:r>
      <w:r w:rsidRPr="00D43F9A">
        <w:rPr>
          <w:rFonts w:ascii="Times New Roman" w:eastAsia="Times New Roman" w:hAnsi="Times New Roman" w:cs="Times New Roman"/>
          <w:i/>
          <w:iCs/>
          <w:sz w:val="24"/>
          <w:szCs w:val="24"/>
          <w:lang w:val="en-US"/>
        </w:rPr>
        <w:t>Plant Methods, 17</w:t>
      </w:r>
      <w:r w:rsidRPr="00D43F9A">
        <w:rPr>
          <w:rFonts w:ascii="Times New Roman" w:eastAsia="Times New Roman" w:hAnsi="Times New Roman" w:cs="Times New Roman"/>
          <w:sz w:val="24"/>
          <w:szCs w:val="24"/>
          <w:lang w:val="en-US"/>
        </w:rPr>
        <w:t xml:space="preserve">(1), 22. </w:t>
      </w:r>
      <w:hyperlink r:id="rId32" w:history="1">
        <w:r w:rsidRPr="00D43F9A">
          <w:rPr>
            <w:rFonts w:ascii="Times New Roman" w:eastAsia="Times New Roman" w:hAnsi="Times New Roman" w:cs="Times New Roman"/>
            <w:color w:val="0000FF"/>
            <w:sz w:val="24"/>
            <w:szCs w:val="24"/>
            <w:u w:val="single"/>
            <w:lang w:val="en-US"/>
          </w:rPr>
          <w:t>https://doi.org/10.1186/s13007-021-00722-9</w:t>
        </w:r>
      </w:hyperlink>
    </w:p>
    <w:p w14:paraId="69236FAD"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Lu, J., Tan, L., &amp; Jiang, H. (2021). Review on convolutional neural network (CNN) applied to plant leaf disease classification. </w:t>
      </w:r>
      <w:r w:rsidRPr="00D43F9A">
        <w:rPr>
          <w:rFonts w:ascii="Times New Roman" w:eastAsia="Times New Roman" w:hAnsi="Times New Roman" w:cs="Times New Roman"/>
          <w:i/>
          <w:iCs/>
          <w:sz w:val="24"/>
          <w:szCs w:val="24"/>
          <w:lang w:val="en-US"/>
        </w:rPr>
        <w:t>Agriculture, 11</w:t>
      </w:r>
      <w:r w:rsidRPr="00D43F9A">
        <w:rPr>
          <w:rFonts w:ascii="Times New Roman" w:eastAsia="Times New Roman" w:hAnsi="Times New Roman" w:cs="Times New Roman"/>
          <w:sz w:val="24"/>
          <w:szCs w:val="24"/>
          <w:lang w:val="en-US"/>
        </w:rPr>
        <w:t xml:space="preserve">(8), 707. </w:t>
      </w:r>
      <w:hyperlink r:id="rId33" w:history="1">
        <w:r w:rsidRPr="00D43F9A">
          <w:rPr>
            <w:rFonts w:ascii="Times New Roman" w:eastAsia="Times New Roman" w:hAnsi="Times New Roman" w:cs="Times New Roman"/>
            <w:color w:val="0000FF"/>
            <w:sz w:val="24"/>
            <w:szCs w:val="24"/>
            <w:u w:val="single"/>
            <w:lang w:val="en-US"/>
          </w:rPr>
          <w:t>https://doi.org/10.3390/agriculture11080707</w:t>
        </w:r>
      </w:hyperlink>
    </w:p>
    <w:p w14:paraId="0F8031BE"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Mahlein, A.-K. (2016). Plant disease detection by imaging sensors: Parallels and specific demands for precision agriculture and plant phenotyping. </w:t>
      </w:r>
      <w:r w:rsidRPr="00D43F9A">
        <w:rPr>
          <w:rFonts w:ascii="Times New Roman" w:eastAsia="Times New Roman" w:hAnsi="Times New Roman" w:cs="Times New Roman"/>
          <w:i/>
          <w:iCs/>
          <w:sz w:val="24"/>
          <w:szCs w:val="24"/>
          <w:lang w:val="en-US"/>
        </w:rPr>
        <w:t>Plant Disease, 100</w:t>
      </w:r>
      <w:r w:rsidRPr="00D43F9A">
        <w:rPr>
          <w:rFonts w:ascii="Times New Roman" w:eastAsia="Times New Roman" w:hAnsi="Times New Roman" w:cs="Times New Roman"/>
          <w:sz w:val="24"/>
          <w:szCs w:val="24"/>
          <w:lang w:val="en-US"/>
        </w:rPr>
        <w:t xml:space="preserve">(2), 241–251. </w:t>
      </w:r>
      <w:hyperlink r:id="rId34" w:history="1">
        <w:r w:rsidRPr="00D43F9A">
          <w:rPr>
            <w:rFonts w:ascii="Times New Roman" w:eastAsia="Times New Roman" w:hAnsi="Times New Roman" w:cs="Times New Roman"/>
            <w:color w:val="0000FF"/>
            <w:sz w:val="24"/>
            <w:szCs w:val="24"/>
            <w:u w:val="single"/>
            <w:lang w:val="en-US"/>
          </w:rPr>
          <w:t>https://doi.org/10.1094/PDIS-03-15-0340-FE</w:t>
        </w:r>
      </w:hyperlink>
    </w:p>
    <w:p w14:paraId="4400FD19"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Mahlein, A.-K., Alisaac, E., Al Masri, A., Behmann, J., Dehne, H.-W., &amp; Oerke, E.-C. (2019). Comparison and combination of thermal, fluorescence, and hyperspectral imaging for monitoring Fusarium head blight of wheat on spikelet scale. </w:t>
      </w:r>
      <w:r w:rsidRPr="00D43F9A">
        <w:rPr>
          <w:rFonts w:ascii="Times New Roman" w:eastAsia="Times New Roman" w:hAnsi="Times New Roman" w:cs="Times New Roman"/>
          <w:i/>
          <w:iCs/>
          <w:sz w:val="24"/>
          <w:szCs w:val="24"/>
          <w:lang w:val="en-US"/>
        </w:rPr>
        <w:t>Sensors, 19</w:t>
      </w:r>
      <w:r w:rsidRPr="00D43F9A">
        <w:rPr>
          <w:rFonts w:ascii="Times New Roman" w:eastAsia="Times New Roman" w:hAnsi="Times New Roman" w:cs="Times New Roman"/>
          <w:sz w:val="24"/>
          <w:szCs w:val="24"/>
          <w:lang w:val="en-US"/>
        </w:rPr>
        <w:t xml:space="preserve">(10), 2281. </w:t>
      </w:r>
      <w:hyperlink r:id="rId35" w:history="1">
        <w:r w:rsidRPr="00D43F9A">
          <w:rPr>
            <w:rFonts w:ascii="Times New Roman" w:eastAsia="Times New Roman" w:hAnsi="Times New Roman" w:cs="Times New Roman"/>
            <w:color w:val="0000FF"/>
            <w:sz w:val="24"/>
            <w:szCs w:val="24"/>
            <w:u w:val="single"/>
            <w:lang w:val="en-US"/>
          </w:rPr>
          <w:t>https://doi.org/10.3390/s19102281</w:t>
        </w:r>
      </w:hyperlink>
    </w:p>
    <w:p w14:paraId="74FA6EF6"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Mohanty, S. P., Hughes, D. P., &amp; Salathé, M. (2016). Using deep learning for image-based plant disease detection. </w:t>
      </w:r>
      <w:r w:rsidRPr="00D43F9A">
        <w:rPr>
          <w:rFonts w:ascii="Times New Roman" w:eastAsia="Times New Roman" w:hAnsi="Times New Roman" w:cs="Times New Roman"/>
          <w:i/>
          <w:iCs/>
          <w:sz w:val="24"/>
          <w:szCs w:val="24"/>
          <w:lang w:val="en-US"/>
        </w:rPr>
        <w:t>Frontiers in Plant Science, 7</w:t>
      </w:r>
      <w:r w:rsidRPr="00D43F9A">
        <w:rPr>
          <w:rFonts w:ascii="Times New Roman" w:eastAsia="Times New Roman" w:hAnsi="Times New Roman" w:cs="Times New Roman"/>
          <w:sz w:val="24"/>
          <w:szCs w:val="24"/>
          <w:lang w:val="en-US"/>
        </w:rPr>
        <w:t xml:space="preserve">, 1419. </w:t>
      </w:r>
      <w:hyperlink r:id="rId36" w:history="1">
        <w:r w:rsidRPr="00D43F9A">
          <w:rPr>
            <w:rFonts w:ascii="Times New Roman" w:eastAsia="Times New Roman" w:hAnsi="Times New Roman" w:cs="Times New Roman"/>
            <w:color w:val="0000FF"/>
            <w:sz w:val="24"/>
            <w:szCs w:val="24"/>
            <w:u w:val="single"/>
            <w:lang w:val="en-US"/>
          </w:rPr>
          <w:t>https://doi.org/10.3389/fpls.2016.01419</w:t>
        </w:r>
      </w:hyperlink>
    </w:p>
    <w:p w14:paraId="467FCD20"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Nguyen, C., Sagan, V., Maimaitiyiming, M., Maimaitijiang, M., Bhadra, S., &amp; Kwasniewski, M. T. (2021). Early detection of plant viral disease using hyperspectral imaging and deep learning. </w:t>
      </w:r>
      <w:r w:rsidRPr="00D43F9A">
        <w:rPr>
          <w:rFonts w:ascii="Times New Roman" w:eastAsia="Times New Roman" w:hAnsi="Times New Roman" w:cs="Times New Roman"/>
          <w:i/>
          <w:iCs/>
          <w:sz w:val="24"/>
          <w:szCs w:val="24"/>
          <w:lang w:val="en-US"/>
        </w:rPr>
        <w:t>Sensors, 21</w:t>
      </w:r>
      <w:r w:rsidRPr="00D43F9A">
        <w:rPr>
          <w:rFonts w:ascii="Times New Roman" w:eastAsia="Times New Roman" w:hAnsi="Times New Roman" w:cs="Times New Roman"/>
          <w:sz w:val="24"/>
          <w:szCs w:val="24"/>
          <w:lang w:val="en-US"/>
        </w:rPr>
        <w:t xml:space="preserve">(3), 742. </w:t>
      </w:r>
      <w:hyperlink r:id="rId37" w:history="1">
        <w:r w:rsidRPr="00D43F9A">
          <w:rPr>
            <w:rFonts w:ascii="Times New Roman" w:eastAsia="Times New Roman" w:hAnsi="Times New Roman" w:cs="Times New Roman"/>
            <w:color w:val="0000FF"/>
            <w:sz w:val="24"/>
            <w:szCs w:val="24"/>
            <w:u w:val="single"/>
            <w:lang w:val="en-US"/>
          </w:rPr>
          <w:t>https://doi.org/10.3390/s21030742</w:t>
        </w:r>
      </w:hyperlink>
    </w:p>
    <w:p w14:paraId="2FED24E9"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Ozguven, M. M., &amp; Adem, K. (2019). Automatic detection and classification of leaf spot disease in sugar beet using deep learning algorithms. </w:t>
      </w:r>
      <w:r w:rsidRPr="00D43F9A">
        <w:rPr>
          <w:rFonts w:ascii="Times New Roman" w:eastAsia="Times New Roman" w:hAnsi="Times New Roman" w:cs="Times New Roman"/>
          <w:i/>
          <w:iCs/>
          <w:sz w:val="24"/>
          <w:szCs w:val="24"/>
          <w:lang w:val="en-US"/>
        </w:rPr>
        <w:t>Physica A: Statistical Mechanics and Its Applications, 535</w:t>
      </w:r>
      <w:r w:rsidRPr="00D43F9A">
        <w:rPr>
          <w:rFonts w:ascii="Times New Roman" w:eastAsia="Times New Roman" w:hAnsi="Times New Roman" w:cs="Times New Roman"/>
          <w:sz w:val="24"/>
          <w:szCs w:val="24"/>
          <w:lang w:val="en-US"/>
        </w:rPr>
        <w:t xml:space="preserve">, 122537. </w:t>
      </w:r>
      <w:hyperlink r:id="rId38" w:history="1">
        <w:r w:rsidRPr="00D43F9A">
          <w:rPr>
            <w:rFonts w:ascii="Times New Roman" w:eastAsia="Times New Roman" w:hAnsi="Times New Roman" w:cs="Times New Roman"/>
            <w:color w:val="0000FF"/>
            <w:sz w:val="24"/>
            <w:szCs w:val="24"/>
            <w:u w:val="single"/>
            <w:lang w:val="en-US"/>
          </w:rPr>
          <w:t>https://doi.org/10.1016/j.physa.2019.122537</w:t>
        </w:r>
      </w:hyperlink>
    </w:p>
    <w:p w14:paraId="37ADC1C8"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Pacal, I., Kunduracioglu, I., Alma, M. H., Deveci, M., Kadry, S., Nedoma, J., Slany, V., &amp; Martinek, R. (2024). A systematic review of deep learning techniques for plant diseases. </w:t>
      </w:r>
      <w:r w:rsidRPr="00D43F9A">
        <w:rPr>
          <w:rFonts w:ascii="Times New Roman" w:eastAsia="Times New Roman" w:hAnsi="Times New Roman" w:cs="Times New Roman"/>
          <w:i/>
          <w:iCs/>
          <w:sz w:val="24"/>
          <w:szCs w:val="24"/>
          <w:lang w:val="en-US"/>
        </w:rPr>
        <w:t>Artificial Intelligence Review, 57</w:t>
      </w:r>
      <w:r w:rsidRPr="00D43F9A">
        <w:rPr>
          <w:rFonts w:ascii="Times New Roman" w:eastAsia="Times New Roman" w:hAnsi="Times New Roman" w:cs="Times New Roman"/>
          <w:sz w:val="24"/>
          <w:szCs w:val="24"/>
          <w:lang w:val="en-US"/>
        </w:rPr>
        <w:t xml:space="preserve">, 304. </w:t>
      </w:r>
      <w:hyperlink r:id="rId39" w:history="1">
        <w:r w:rsidRPr="00D43F9A">
          <w:rPr>
            <w:rFonts w:ascii="Times New Roman" w:eastAsia="Times New Roman" w:hAnsi="Times New Roman" w:cs="Times New Roman"/>
            <w:color w:val="0000FF"/>
            <w:sz w:val="24"/>
            <w:szCs w:val="24"/>
            <w:u w:val="single"/>
            <w:lang w:val="en-US"/>
          </w:rPr>
          <w:t>https://doi.org/10.1007/s10462-024-10944-7</w:t>
        </w:r>
      </w:hyperlink>
    </w:p>
    <w:p w14:paraId="1FEFE5E8"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lastRenderedPageBreak/>
        <w:t xml:space="preserve">Pantazi, X. E., Moshou, D., &amp; Tamouridou, A. A. (2019). Automated leaf disease detection in different crop species through image features analysis and one-class classifiers. </w:t>
      </w:r>
      <w:r w:rsidRPr="00D43F9A">
        <w:rPr>
          <w:rFonts w:ascii="Times New Roman" w:eastAsia="Times New Roman" w:hAnsi="Times New Roman" w:cs="Times New Roman"/>
          <w:i/>
          <w:iCs/>
          <w:sz w:val="24"/>
          <w:szCs w:val="24"/>
          <w:lang w:val="en-US"/>
        </w:rPr>
        <w:t>Computers and Electronics in Agriculture, 156</w:t>
      </w:r>
      <w:r w:rsidRPr="00D43F9A">
        <w:rPr>
          <w:rFonts w:ascii="Times New Roman" w:eastAsia="Times New Roman" w:hAnsi="Times New Roman" w:cs="Times New Roman"/>
          <w:sz w:val="24"/>
          <w:szCs w:val="24"/>
          <w:lang w:val="en-US"/>
        </w:rPr>
        <w:t xml:space="preserve">, 96–104. </w:t>
      </w:r>
      <w:hyperlink r:id="rId40" w:history="1">
        <w:r w:rsidRPr="00D43F9A">
          <w:rPr>
            <w:rFonts w:ascii="Times New Roman" w:eastAsia="Times New Roman" w:hAnsi="Times New Roman" w:cs="Times New Roman"/>
            <w:color w:val="0000FF"/>
            <w:sz w:val="24"/>
            <w:szCs w:val="24"/>
            <w:u w:val="single"/>
            <w:lang w:val="en-US"/>
          </w:rPr>
          <w:t>https://doi.org/10.1016/j.compag.2018.11.005</w:t>
        </w:r>
      </w:hyperlink>
    </w:p>
    <w:p w14:paraId="5153BD5D"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Paymode, A. S., &amp; Malode, V. B. (2022). Transfer learning for multi-crop leaf disease image classification using convolutional neural network VGG. </w:t>
      </w:r>
      <w:r w:rsidRPr="00D43F9A">
        <w:rPr>
          <w:rFonts w:ascii="Times New Roman" w:eastAsia="Times New Roman" w:hAnsi="Times New Roman" w:cs="Times New Roman"/>
          <w:i/>
          <w:iCs/>
          <w:sz w:val="24"/>
          <w:szCs w:val="24"/>
          <w:lang w:val="en-US"/>
        </w:rPr>
        <w:t>Artificial Intelligence in Agriculture, 6</w:t>
      </w:r>
      <w:r w:rsidRPr="00D43F9A">
        <w:rPr>
          <w:rFonts w:ascii="Times New Roman" w:eastAsia="Times New Roman" w:hAnsi="Times New Roman" w:cs="Times New Roman"/>
          <w:sz w:val="24"/>
          <w:szCs w:val="24"/>
          <w:lang w:val="en-US"/>
        </w:rPr>
        <w:t xml:space="preserve">, 23–33. </w:t>
      </w:r>
      <w:hyperlink r:id="rId41" w:history="1">
        <w:r w:rsidRPr="00D43F9A">
          <w:rPr>
            <w:rFonts w:ascii="Times New Roman" w:eastAsia="Times New Roman" w:hAnsi="Times New Roman" w:cs="Times New Roman"/>
            <w:color w:val="0000FF"/>
            <w:sz w:val="24"/>
            <w:szCs w:val="24"/>
            <w:u w:val="single"/>
            <w:lang w:val="en-US"/>
          </w:rPr>
          <w:t>https://doi.org/10.1016/j.aiia.2021.12.002</w:t>
        </w:r>
      </w:hyperlink>
    </w:p>
    <w:p w14:paraId="14946896"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Ramcharan, A., Baranowski, K., McCloskey, P., Ahmed, B., Legg, J., &amp; Hughes, D. P. (2017). Deep learning for image-based cassava disease detection. </w:t>
      </w:r>
      <w:r w:rsidRPr="00D43F9A">
        <w:rPr>
          <w:rFonts w:ascii="Times New Roman" w:eastAsia="Times New Roman" w:hAnsi="Times New Roman" w:cs="Times New Roman"/>
          <w:i/>
          <w:iCs/>
          <w:sz w:val="24"/>
          <w:szCs w:val="24"/>
          <w:lang w:val="en-US"/>
        </w:rPr>
        <w:t>Frontiers in Plant Science, 8</w:t>
      </w:r>
      <w:r w:rsidRPr="00D43F9A">
        <w:rPr>
          <w:rFonts w:ascii="Times New Roman" w:eastAsia="Times New Roman" w:hAnsi="Times New Roman" w:cs="Times New Roman"/>
          <w:sz w:val="24"/>
          <w:szCs w:val="24"/>
          <w:lang w:val="en-US"/>
        </w:rPr>
        <w:t xml:space="preserve">, 1852. </w:t>
      </w:r>
      <w:hyperlink r:id="rId42" w:history="1">
        <w:r w:rsidRPr="00D43F9A">
          <w:rPr>
            <w:rFonts w:ascii="Times New Roman" w:eastAsia="Times New Roman" w:hAnsi="Times New Roman" w:cs="Times New Roman"/>
            <w:color w:val="0000FF"/>
            <w:sz w:val="24"/>
            <w:szCs w:val="24"/>
            <w:u w:val="single"/>
            <w:lang w:val="en-US"/>
          </w:rPr>
          <w:t>https://doi.org/10.3389/fpls.2017.01852</w:t>
        </w:r>
      </w:hyperlink>
    </w:p>
    <w:p w14:paraId="1C7D0721"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Rangarajan, A. K., &amp; Purushothaman, R. (2020). Disease classification in eggplant using pre-trained VGG16 and MSVM. </w:t>
      </w:r>
      <w:r w:rsidRPr="00D43F9A">
        <w:rPr>
          <w:rFonts w:ascii="Times New Roman" w:eastAsia="Times New Roman" w:hAnsi="Times New Roman" w:cs="Times New Roman"/>
          <w:i/>
          <w:iCs/>
          <w:sz w:val="24"/>
          <w:szCs w:val="24"/>
          <w:lang w:val="en-US"/>
        </w:rPr>
        <w:t>Scientific Reports, 10</w:t>
      </w:r>
      <w:r w:rsidRPr="00D43F9A">
        <w:rPr>
          <w:rFonts w:ascii="Times New Roman" w:eastAsia="Times New Roman" w:hAnsi="Times New Roman" w:cs="Times New Roman"/>
          <w:sz w:val="24"/>
          <w:szCs w:val="24"/>
          <w:lang w:val="en-US"/>
        </w:rPr>
        <w:t xml:space="preserve">(1), 2322. </w:t>
      </w:r>
      <w:hyperlink r:id="rId43" w:history="1">
        <w:r w:rsidRPr="00D43F9A">
          <w:rPr>
            <w:rFonts w:ascii="Times New Roman" w:eastAsia="Times New Roman" w:hAnsi="Times New Roman" w:cs="Times New Roman"/>
            <w:color w:val="0000FF"/>
            <w:sz w:val="24"/>
            <w:szCs w:val="24"/>
            <w:u w:val="single"/>
            <w:lang w:val="en-US"/>
          </w:rPr>
          <w:t>https://doi.org/10.1038/s41598-020-59108-x</w:t>
        </w:r>
      </w:hyperlink>
    </w:p>
    <w:p w14:paraId="03873F27"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Saleem, M. H., Potgieter, J., &amp; Arif, K. M. (2019). Plant disease detection and classification by deep learning. </w:t>
      </w:r>
      <w:r w:rsidRPr="00D43F9A">
        <w:rPr>
          <w:rFonts w:ascii="Times New Roman" w:eastAsia="Times New Roman" w:hAnsi="Times New Roman" w:cs="Times New Roman"/>
          <w:i/>
          <w:iCs/>
          <w:sz w:val="24"/>
          <w:szCs w:val="24"/>
          <w:lang w:val="en-US"/>
        </w:rPr>
        <w:t>Plants, 8</w:t>
      </w:r>
      <w:r w:rsidRPr="00D43F9A">
        <w:rPr>
          <w:rFonts w:ascii="Times New Roman" w:eastAsia="Times New Roman" w:hAnsi="Times New Roman" w:cs="Times New Roman"/>
          <w:sz w:val="24"/>
          <w:szCs w:val="24"/>
          <w:lang w:val="en-US"/>
        </w:rPr>
        <w:t xml:space="preserve">(11), 468. </w:t>
      </w:r>
      <w:hyperlink r:id="rId44" w:history="1">
        <w:r w:rsidRPr="00D43F9A">
          <w:rPr>
            <w:rFonts w:ascii="Times New Roman" w:eastAsia="Times New Roman" w:hAnsi="Times New Roman" w:cs="Times New Roman"/>
            <w:color w:val="0000FF"/>
            <w:sz w:val="24"/>
            <w:szCs w:val="24"/>
            <w:u w:val="single"/>
            <w:lang w:val="en-US"/>
          </w:rPr>
          <w:t>https://doi.org/10.3390/plants8110468</w:t>
        </w:r>
      </w:hyperlink>
    </w:p>
    <w:p w14:paraId="768E7D8D"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Savary, S., Willocquet, L., Pethybridge, S. J., Esker, P., McRoberts, N., &amp; Nelson, A. (2019). The global burden of pathogens and pests on major food crops. </w:t>
      </w:r>
      <w:r w:rsidRPr="00D43F9A">
        <w:rPr>
          <w:rFonts w:ascii="Times New Roman" w:eastAsia="Times New Roman" w:hAnsi="Times New Roman" w:cs="Times New Roman"/>
          <w:i/>
          <w:iCs/>
          <w:sz w:val="24"/>
          <w:szCs w:val="24"/>
          <w:lang w:val="en-US"/>
        </w:rPr>
        <w:t>Nature Ecology &amp; Evolution, 3</w:t>
      </w:r>
      <w:r w:rsidRPr="00D43F9A">
        <w:rPr>
          <w:rFonts w:ascii="Times New Roman" w:eastAsia="Times New Roman" w:hAnsi="Times New Roman" w:cs="Times New Roman"/>
          <w:sz w:val="24"/>
          <w:szCs w:val="24"/>
          <w:lang w:val="en-US"/>
        </w:rPr>
        <w:t xml:space="preserve">(3), 430–439. </w:t>
      </w:r>
      <w:hyperlink r:id="rId45" w:history="1">
        <w:r w:rsidRPr="00D43F9A">
          <w:rPr>
            <w:rFonts w:ascii="Times New Roman" w:eastAsia="Times New Roman" w:hAnsi="Times New Roman" w:cs="Times New Roman"/>
            <w:color w:val="0000FF"/>
            <w:sz w:val="24"/>
            <w:szCs w:val="24"/>
            <w:u w:val="single"/>
            <w:lang w:val="en-US"/>
          </w:rPr>
          <w:t>https://doi.org/10.1038/s41559-018-0793-y</w:t>
        </w:r>
      </w:hyperlink>
    </w:p>
    <w:p w14:paraId="537387E0"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Sharma, A., Jain, A., Gupta, P., &amp; Chowdary, V. (2021). Machine learning applications for precision agriculture: A comprehensive review. </w:t>
      </w:r>
      <w:r w:rsidRPr="00D43F9A">
        <w:rPr>
          <w:rFonts w:ascii="Times New Roman" w:eastAsia="Times New Roman" w:hAnsi="Times New Roman" w:cs="Times New Roman"/>
          <w:i/>
          <w:iCs/>
          <w:sz w:val="24"/>
          <w:szCs w:val="24"/>
          <w:lang w:val="en-US"/>
        </w:rPr>
        <w:t>IEEE Access, 9</w:t>
      </w:r>
      <w:r w:rsidRPr="00D43F9A">
        <w:rPr>
          <w:rFonts w:ascii="Times New Roman" w:eastAsia="Times New Roman" w:hAnsi="Times New Roman" w:cs="Times New Roman"/>
          <w:sz w:val="24"/>
          <w:szCs w:val="24"/>
          <w:lang w:val="en-US"/>
        </w:rPr>
        <w:t xml:space="preserve">, 4843–4873. </w:t>
      </w:r>
      <w:hyperlink r:id="rId46" w:history="1">
        <w:r w:rsidRPr="00D43F9A">
          <w:rPr>
            <w:rFonts w:ascii="Times New Roman" w:eastAsia="Times New Roman" w:hAnsi="Times New Roman" w:cs="Times New Roman"/>
            <w:color w:val="0000FF"/>
            <w:sz w:val="24"/>
            <w:szCs w:val="24"/>
            <w:u w:val="single"/>
            <w:lang w:val="en-US"/>
          </w:rPr>
          <w:t>https://doi.org/10.1109/ACCESS.2020.3048415</w:t>
        </w:r>
      </w:hyperlink>
    </w:p>
    <w:p w14:paraId="12308DBF"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Sladojevic, S., Arsenovic, M., Anderla, A., Culibrk, D., &amp; Stefanovic, D. (2016). Deep neural networks-based recognition of plant diseases by leaf image classification. </w:t>
      </w:r>
      <w:r w:rsidRPr="00D43F9A">
        <w:rPr>
          <w:rFonts w:ascii="Times New Roman" w:eastAsia="Times New Roman" w:hAnsi="Times New Roman" w:cs="Times New Roman"/>
          <w:i/>
          <w:iCs/>
          <w:sz w:val="24"/>
          <w:szCs w:val="24"/>
          <w:lang w:val="en-US"/>
        </w:rPr>
        <w:t>Computational Intelligence and Neuroscience, 2016</w:t>
      </w:r>
      <w:r w:rsidRPr="00D43F9A">
        <w:rPr>
          <w:rFonts w:ascii="Times New Roman" w:eastAsia="Times New Roman" w:hAnsi="Times New Roman" w:cs="Times New Roman"/>
          <w:sz w:val="24"/>
          <w:szCs w:val="24"/>
          <w:lang w:val="en-US"/>
        </w:rPr>
        <w:t xml:space="preserve">, 3289801. </w:t>
      </w:r>
      <w:hyperlink r:id="rId47" w:history="1">
        <w:r w:rsidRPr="00D43F9A">
          <w:rPr>
            <w:rFonts w:ascii="Times New Roman" w:eastAsia="Times New Roman" w:hAnsi="Times New Roman" w:cs="Times New Roman"/>
            <w:color w:val="0000FF"/>
            <w:sz w:val="24"/>
            <w:szCs w:val="24"/>
            <w:u w:val="single"/>
            <w:lang w:val="en-US"/>
          </w:rPr>
          <w:t>https://doi.org/10.1155/2016/3289801</w:t>
        </w:r>
      </w:hyperlink>
    </w:p>
    <w:p w14:paraId="6BBA850B"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Snyder, H. (2019). Literature review as a research methodology: An overview and guidelines. </w:t>
      </w:r>
      <w:r w:rsidRPr="00D43F9A">
        <w:rPr>
          <w:rFonts w:ascii="Times New Roman" w:eastAsia="Times New Roman" w:hAnsi="Times New Roman" w:cs="Times New Roman"/>
          <w:i/>
          <w:iCs/>
          <w:sz w:val="24"/>
          <w:szCs w:val="24"/>
          <w:lang w:val="en-US"/>
        </w:rPr>
        <w:t>Journal of Business Research, 104</w:t>
      </w:r>
      <w:r w:rsidRPr="00D43F9A">
        <w:rPr>
          <w:rFonts w:ascii="Times New Roman" w:eastAsia="Times New Roman" w:hAnsi="Times New Roman" w:cs="Times New Roman"/>
          <w:sz w:val="24"/>
          <w:szCs w:val="24"/>
          <w:lang w:val="en-US"/>
        </w:rPr>
        <w:t xml:space="preserve">, 333–339. </w:t>
      </w:r>
      <w:hyperlink r:id="rId48" w:history="1">
        <w:r w:rsidRPr="00D43F9A">
          <w:rPr>
            <w:rFonts w:ascii="Times New Roman" w:eastAsia="Times New Roman" w:hAnsi="Times New Roman" w:cs="Times New Roman"/>
            <w:color w:val="0000FF"/>
            <w:sz w:val="24"/>
            <w:szCs w:val="24"/>
            <w:u w:val="single"/>
            <w:lang w:val="en-US"/>
          </w:rPr>
          <w:t>https://doi.org/10.1016/j.jbusres.2019.07.039</w:t>
        </w:r>
      </w:hyperlink>
    </w:p>
    <w:p w14:paraId="6D8EDAB9"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Srilatha, P., Binseena, S. R., Roy, P., Verma, V. C., Kumar, R., Sharma, A., Kundal, S., Panigrahi, C. K., Sorahia, D., &amp; Kumar, V. (2025). AI-driven pest detection in agriculture: Enhancing accuracy and processing speed for sustainable crop protection. </w:t>
      </w:r>
      <w:r w:rsidRPr="00D43F9A">
        <w:rPr>
          <w:rFonts w:ascii="Times New Roman" w:eastAsia="Times New Roman" w:hAnsi="Times New Roman" w:cs="Times New Roman"/>
          <w:i/>
          <w:iCs/>
          <w:sz w:val="24"/>
          <w:szCs w:val="24"/>
          <w:lang w:val="en-US"/>
        </w:rPr>
        <w:t>Uttar Pradesh Journal of Zoology, 46</w:t>
      </w:r>
      <w:r w:rsidRPr="00D43F9A">
        <w:rPr>
          <w:rFonts w:ascii="Times New Roman" w:eastAsia="Times New Roman" w:hAnsi="Times New Roman" w:cs="Times New Roman"/>
          <w:sz w:val="24"/>
          <w:szCs w:val="24"/>
          <w:lang w:val="en-US"/>
        </w:rPr>
        <w:t xml:space="preserve">(20), 214–230. </w:t>
      </w:r>
      <w:hyperlink r:id="rId49" w:history="1">
        <w:r w:rsidRPr="00D43F9A">
          <w:rPr>
            <w:rFonts w:ascii="Times New Roman" w:eastAsia="Times New Roman" w:hAnsi="Times New Roman" w:cs="Times New Roman"/>
            <w:color w:val="0000FF"/>
            <w:sz w:val="24"/>
            <w:szCs w:val="24"/>
            <w:u w:val="single"/>
            <w:lang w:val="en-US"/>
          </w:rPr>
          <w:t>https://doi.org/10.56557/upjoz/2025/v46i205316</w:t>
        </w:r>
      </w:hyperlink>
    </w:p>
    <w:p w14:paraId="1C69E26C"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Sujatha, R., Chatterjee, J. M., Jhanjhi, N. Z., &amp; Brohi, S. N. (2021). Performance of deep learning vs machine learning in plant leaf disease detection. </w:t>
      </w:r>
      <w:r w:rsidRPr="00D43F9A">
        <w:rPr>
          <w:rFonts w:ascii="Times New Roman" w:eastAsia="Times New Roman" w:hAnsi="Times New Roman" w:cs="Times New Roman"/>
          <w:i/>
          <w:iCs/>
          <w:sz w:val="24"/>
          <w:szCs w:val="24"/>
          <w:lang w:val="en-US"/>
        </w:rPr>
        <w:t>Microprocessors and Microsystems, 80</w:t>
      </w:r>
      <w:r w:rsidRPr="00D43F9A">
        <w:rPr>
          <w:rFonts w:ascii="Times New Roman" w:eastAsia="Times New Roman" w:hAnsi="Times New Roman" w:cs="Times New Roman"/>
          <w:sz w:val="24"/>
          <w:szCs w:val="24"/>
          <w:lang w:val="en-US"/>
        </w:rPr>
        <w:t xml:space="preserve">, 103615. </w:t>
      </w:r>
      <w:hyperlink r:id="rId50" w:history="1">
        <w:r w:rsidRPr="00D43F9A">
          <w:rPr>
            <w:rFonts w:ascii="Times New Roman" w:eastAsia="Times New Roman" w:hAnsi="Times New Roman" w:cs="Times New Roman"/>
            <w:color w:val="0000FF"/>
            <w:sz w:val="24"/>
            <w:szCs w:val="24"/>
            <w:u w:val="single"/>
            <w:lang w:val="en-US"/>
          </w:rPr>
          <w:t>https://doi.org/10.1016/j.micpro.2020.103615</w:t>
        </w:r>
      </w:hyperlink>
    </w:p>
    <w:p w14:paraId="251FFC6A"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nl-BE"/>
        </w:rPr>
        <w:t xml:space="preserve">Tetila, E. C., Machado, B. B., Astolfi, G., de Souza Belete, N. A., Amorim, W. P., Roel, A. R., &amp; Pistori, H. (2020). </w:t>
      </w:r>
      <w:r w:rsidRPr="00D43F9A">
        <w:rPr>
          <w:rFonts w:ascii="Times New Roman" w:eastAsia="Times New Roman" w:hAnsi="Times New Roman" w:cs="Times New Roman"/>
          <w:sz w:val="24"/>
          <w:szCs w:val="24"/>
          <w:lang w:val="en-US"/>
        </w:rPr>
        <w:t xml:space="preserve">Detection and classification of soybean pests using deep </w:t>
      </w:r>
      <w:r w:rsidRPr="00D43F9A">
        <w:rPr>
          <w:rFonts w:ascii="Times New Roman" w:eastAsia="Times New Roman" w:hAnsi="Times New Roman" w:cs="Times New Roman"/>
          <w:sz w:val="24"/>
          <w:szCs w:val="24"/>
          <w:lang w:val="en-US"/>
        </w:rPr>
        <w:lastRenderedPageBreak/>
        <w:t xml:space="preserve">learning with UAV images. </w:t>
      </w:r>
      <w:r w:rsidRPr="00D43F9A">
        <w:rPr>
          <w:rFonts w:ascii="Times New Roman" w:eastAsia="Times New Roman" w:hAnsi="Times New Roman" w:cs="Times New Roman"/>
          <w:i/>
          <w:iCs/>
          <w:sz w:val="24"/>
          <w:szCs w:val="24"/>
          <w:lang w:val="en-US"/>
        </w:rPr>
        <w:t>Computers and Electronics in Agriculture, 179</w:t>
      </w:r>
      <w:r w:rsidRPr="00D43F9A">
        <w:rPr>
          <w:rFonts w:ascii="Times New Roman" w:eastAsia="Times New Roman" w:hAnsi="Times New Roman" w:cs="Times New Roman"/>
          <w:sz w:val="24"/>
          <w:szCs w:val="24"/>
          <w:lang w:val="en-US"/>
        </w:rPr>
        <w:t xml:space="preserve">, 105836. </w:t>
      </w:r>
      <w:hyperlink r:id="rId51" w:history="1">
        <w:r w:rsidRPr="00D43F9A">
          <w:rPr>
            <w:rFonts w:ascii="Times New Roman" w:eastAsia="Times New Roman" w:hAnsi="Times New Roman" w:cs="Times New Roman"/>
            <w:color w:val="0000FF"/>
            <w:sz w:val="24"/>
            <w:szCs w:val="24"/>
            <w:u w:val="single"/>
            <w:lang w:val="en-US"/>
          </w:rPr>
          <w:t>https://doi.org/10.1016/j.compag.2020.105836</w:t>
        </w:r>
      </w:hyperlink>
    </w:p>
    <w:p w14:paraId="5723244E"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Thenmozhi, K., &amp; Reddy, U. S. (2019). Crop pest classification based on deep convolutional neural network and transfer learning. </w:t>
      </w:r>
      <w:r w:rsidRPr="00D43F9A">
        <w:rPr>
          <w:rFonts w:ascii="Times New Roman" w:eastAsia="Times New Roman" w:hAnsi="Times New Roman" w:cs="Times New Roman"/>
          <w:i/>
          <w:iCs/>
          <w:sz w:val="24"/>
          <w:szCs w:val="24"/>
          <w:lang w:val="en-US"/>
        </w:rPr>
        <w:t>Computers and Electronics in Agriculture, 164</w:t>
      </w:r>
      <w:r w:rsidRPr="00D43F9A">
        <w:rPr>
          <w:rFonts w:ascii="Times New Roman" w:eastAsia="Times New Roman" w:hAnsi="Times New Roman" w:cs="Times New Roman"/>
          <w:sz w:val="24"/>
          <w:szCs w:val="24"/>
          <w:lang w:val="en-US"/>
        </w:rPr>
        <w:t xml:space="preserve">, 104906. </w:t>
      </w:r>
      <w:hyperlink r:id="rId52" w:history="1">
        <w:r w:rsidRPr="00D43F9A">
          <w:rPr>
            <w:rFonts w:ascii="Times New Roman" w:eastAsia="Times New Roman" w:hAnsi="Times New Roman" w:cs="Times New Roman"/>
            <w:color w:val="0000FF"/>
            <w:sz w:val="24"/>
            <w:szCs w:val="24"/>
            <w:u w:val="single"/>
            <w:lang w:val="en-US"/>
          </w:rPr>
          <w:t>https://doi.org/10.1016/j.compag.2019.104906</w:t>
        </w:r>
      </w:hyperlink>
    </w:p>
    <w:p w14:paraId="7A34AE35"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Too, E. C., Yujian, L., Njuki, S., &amp; Yingchun, L. (2019). A comparative study of fine-tuning deep learning models for plant disease identification. </w:t>
      </w:r>
      <w:r w:rsidRPr="00D43F9A">
        <w:rPr>
          <w:rFonts w:ascii="Times New Roman" w:eastAsia="Times New Roman" w:hAnsi="Times New Roman" w:cs="Times New Roman"/>
          <w:i/>
          <w:iCs/>
          <w:sz w:val="24"/>
          <w:szCs w:val="24"/>
          <w:lang w:val="en-US"/>
        </w:rPr>
        <w:t>Computers and Electronics in Agriculture, 161</w:t>
      </w:r>
      <w:r w:rsidRPr="00D43F9A">
        <w:rPr>
          <w:rFonts w:ascii="Times New Roman" w:eastAsia="Times New Roman" w:hAnsi="Times New Roman" w:cs="Times New Roman"/>
          <w:sz w:val="24"/>
          <w:szCs w:val="24"/>
          <w:lang w:val="en-US"/>
        </w:rPr>
        <w:t xml:space="preserve">, 272–279. </w:t>
      </w:r>
      <w:hyperlink r:id="rId53" w:history="1">
        <w:r w:rsidRPr="00D43F9A">
          <w:rPr>
            <w:rFonts w:ascii="Times New Roman" w:eastAsia="Times New Roman" w:hAnsi="Times New Roman" w:cs="Times New Roman"/>
            <w:color w:val="0000FF"/>
            <w:sz w:val="24"/>
            <w:szCs w:val="24"/>
            <w:u w:val="single"/>
            <w:lang w:val="en-US"/>
          </w:rPr>
          <w:t>https://doi.org/10.1016/j.compag.2018.03.032</w:t>
        </w:r>
      </w:hyperlink>
    </w:p>
    <w:p w14:paraId="520C1A58"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nl-BE"/>
        </w:rPr>
        <w:t xml:space="preserve">van Klompenburg, T., Kassahun, A., &amp; Catal, C. (2020). </w:t>
      </w:r>
      <w:r w:rsidRPr="00D43F9A">
        <w:rPr>
          <w:rFonts w:ascii="Times New Roman" w:eastAsia="Times New Roman" w:hAnsi="Times New Roman" w:cs="Times New Roman"/>
          <w:sz w:val="24"/>
          <w:szCs w:val="24"/>
          <w:lang w:val="en-US"/>
        </w:rPr>
        <w:t xml:space="preserve">Crop yield prediction using machine learning: A systematic literature review. </w:t>
      </w:r>
      <w:r w:rsidRPr="00D43F9A">
        <w:rPr>
          <w:rFonts w:ascii="Times New Roman" w:eastAsia="Times New Roman" w:hAnsi="Times New Roman" w:cs="Times New Roman"/>
          <w:i/>
          <w:iCs/>
          <w:sz w:val="24"/>
          <w:szCs w:val="24"/>
          <w:lang w:val="en-US"/>
        </w:rPr>
        <w:t>Computers and Electronics in Agriculture, 177</w:t>
      </w:r>
      <w:r w:rsidRPr="00D43F9A">
        <w:rPr>
          <w:rFonts w:ascii="Times New Roman" w:eastAsia="Times New Roman" w:hAnsi="Times New Roman" w:cs="Times New Roman"/>
          <w:sz w:val="24"/>
          <w:szCs w:val="24"/>
          <w:lang w:val="en-US"/>
        </w:rPr>
        <w:t xml:space="preserve">, 105709. </w:t>
      </w:r>
      <w:hyperlink r:id="rId54" w:history="1">
        <w:r w:rsidRPr="00D43F9A">
          <w:rPr>
            <w:rFonts w:ascii="Times New Roman" w:eastAsia="Times New Roman" w:hAnsi="Times New Roman" w:cs="Times New Roman"/>
            <w:color w:val="0000FF"/>
            <w:sz w:val="24"/>
            <w:szCs w:val="24"/>
            <w:u w:val="single"/>
            <w:lang w:val="en-US"/>
          </w:rPr>
          <w:t>https://doi.org/10.1016/j.compag.2020.105709</w:t>
        </w:r>
      </w:hyperlink>
    </w:p>
    <w:p w14:paraId="355B7BCF"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Waheed, A., Goyal, M., Gupta, D., Khanna, A., Hassanien, A. E., &amp; Pandey, H. M. (2020). An optimized dense convolutional neural network model for disease recognition and classification in corn leaf. </w:t>
      </w:r>
      <w:r w:rsidRPr="00D43F9A">
        <w:rPr>
          <w:rFonts w:ascii="Times New Roman" w:eastAsia="Times New Roman" w:hAnsi="Times New Roman" w:cs="Times New Roman"/>
          <w:i/>
          <w:iCs/>
          <w:sz w:val="24"/>
          <w:szCs w:val="24"/>
          <w:lang w:val="en-US"/>
        </w:rPr>
        <w:t>Computers and Electronics in Agriculture, 175</w:t>
      </w:r>
      <w:r w:rsidRPr="00D43F9A">
        <w:rPr>
          <w:rFonts w:ascii="Times New Roman" w:eastAsia="Times New Roman" w:hAnsi="Times New Roman" w:cs="Times New Roman"/>
          <w:sz w:val="24"/>
          <w:szCs w:val="24"/>
          <w:lang w:val="en-US"/>
        </w:rPr>
        <w:t xml:space="preserve">, 105456. </w:t>
      </w:r>
      <w:hyperlink r:id="rId55" w:history="1">
        <w:r w:rsidRPr="00D43F9A">
          <w:rPr>
            <w:rFonts w:ascii="Times New Roman" w:eastAsia="Times New Roman" w:hAnsi="Times New Roman" w:cs="Times New Roman"/>
            <w:color w:val="0000FF"/>
            <w:sz w:val="24"/>
            <w:szCs w:val="24"/>
            <w:u w:val="single"/>
            <w:lang w:val="en-US"/>
          </w:rPr>
          <w:t>https://doi.org/10.1016/j.compag.2020.105456</w:t>
        </w:r>
      </w:hyperlink>
    </w:p>
    <w:p w14:paraId="11A985E0"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Walter, A., Finger, R., Huber, R., &amp; Buchmann, N. (2017). Smart farming is key to developing sustainable agriculture. </w:t>
      </w:r>
      <w:r w:rsidRPr="00D43F9A">
        <w:rPr>
          <w:rFonts w:ascii="Times New Roman" w:eastAsia="Times New Roman" w:hAnsi="Times New Roman" w:cs="Times New Roman"/>
          <w:i/>
          <w:iCs/>
          <w:sz w:val="24"/>
          <w:szCs w:val="24"/>
          <w:lang w:val="en-US"/>
        </w:rPr>
        <w:t>Proceedings of the National Academy of Sciences, 114</w:t>
      </w:r>
      <w:r w:rsidRPr="00D43F9A">
        <w:rPr>
          <w:rFonts w:ascii="Times New Roman" w:eastAsia="Times New Roman" w:hAnsi="Times New Roman" w:cs="Times New Roman"/>
          <w:sz w:val="24"/>
          <w:szCs w:val="24"/>
          <w:lang w:val="en-US"/>
        </w:rPr>
        <w:t xml:space="preserve">(24), 6148–6150. </w:t>
      </w:r>
      <w:hyperlink r:id="rId56" w:history="1">
        <w:r w:rsidRPr="00D43F9A">
          <w:rPr>
            <w:rFonts w:ascii="Times New Roman" w:eastAsia="Times New Roman" w:hAnsi="Times New Roman" w:cs="Times New Roman"/>
            <w:color w:val="0000FF"/>
            <w:sz w:val="24"/>
            <w:szCs w:val="24"/>
            <w:u w:val="single"/>
            <w:lang w:val="en-US"/>
          </w:rPr>
          <w:t>https://doi.org/10.1073/pnas.1707462114</w:t>
        </w:r>
      </w:hyperlink>
    </w:p>
    <w:p w14:paraId="2F819567"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D43F9A">
        <w:rPr>
          <w:rFonts w:ascii="Times New Roman" w:eastAsia="Times New Roman" w:hAnsi="Times New Roman" w:cs="Times New Roman"/>
          <w:sz w:val="24"/>
          <w:szCs w:val="24"/>
          <w:lang w:val="en-US"/>
        </w:rPr>
        <w:t xml:space="preserve">Wiesner-Hanks, T., Stewart, E. L., Kaczmar, N., DeChant, C., Wu, H., Nelson, R. J., Lipson, H., &amp; Gore, M. A. (2018). Image set for deep learning: Field images of maize annotated with disease symptoms. </w:t>
      </w:r>
      <w:r w:rsidRPr="00D43F9A">
        <w:rPr>
          <w:rFonts w:ascii="Times New Roman" w:eastAsia="Times New Roman" w:hAnsi="Times New Roman" w:cs="Times New Roman"/>
          <w:i/>
          <w:iCs/>
          <w:sz w:val="24"/>
          <w:szCs w:val="24"/>
          <w:lang w:val="nl-BE"/>
        </w:rPr>
        <w:t>BMC Research Notes, 11</w:t>
      </w:r>
      <w:r w:rsidRPr="00D43F9A">
        <w:rPr>
          <w:rFonts w:ascii="Times New Roman" w:eastAsia="Times New Roman" w:hAnsi="Times New Roman" w:cs="Times New Roman"/>
          <w:sz w:val="24"/>
          <w:szCs w:val="24"/>
          <w:lang w:val="nl-BE"/>
        </w:rPr>
        <w:t xml:space="preserve">(1), 440. </w:t>
      </w:r>
      <w:hyperlink r:id="rId57" w:history="1">
        <w:r w:rsidRPr="00D43F9A">
          <w:rPr>
            <w:rFonts w:ascii="Times New Roman" w:eastAsia="Times New Roman" w:hAnsi="Times New Roman" w:cs="Times New Roman"/>
            <w:color w:val="0000FF"/>
            <w:sz w:val="24"/>
            <w:szCs w:val="24"/>
            <w:u w:val="single"/>
            <w:lang w:val="nl-BE"/>
          </w:rPr>
          <w:t>https://doi.org/10.1186/s13104-018-3548-6</w:t>
        </w:r>
      </w:hyperlink>
    </w:p>
    <w:p w14:paraId="194D5EA5"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nl-BE"/>
        </w:rPr>
        <w:t xml:space="preserve">Wolfert, S., Ge, L., Verdouw, C., &amp; Bogaardt, M.-J. (2017). </w:t>
      </w:r>
      <w:r w:rsidRPr="00D43F9A">
        <w:rPr>
          <w:rFonts w:ascii="Times New Roman" w:eastAsia="Times New Roman" w:hAnsi="Times New Roman" w:cs="Times New Roman"/>
          <w:sz w:val="24"/>
          <w:szCs w:val="24"/>
          <w:lang w:val="en-US"/>
        </w:rPr>
        <w:t xml:space="preserve">Big data in smart farming: A review. </w:t>
      </w:r>
      <w:r w:rsidRPr="00D43F9A">
        <w:rPr>
          <w:rFonts w:ascii="Times New Roman" w:eastAsia="Times New Roman" w:hAnsi="Times New Roman" w:cs="Times New Roman"/>
          <w:i/>
          <w:iCs/>
          <w:sz w:val="24"/>
          <w:szCs w:val="24"/>
          <w:lang w:val="en-US"/>
        </w:rPr>
        <w:t>Agricultural Systems, 153</w:t>
      </w:r>
      <w:r w:rsidRPr="00D43F9A">
        <w:rPr>
          <w:rFonts w:ascii="Times New Roman" w:eastAsia="Times New Roman" w:hAnsi="Times New Roman" w:cs="Times New Roman"/>
          <w:sz w:val="24"/>
          <w:szCs w:val="24"/>
          <w:lang w:val="en-US"/>
        </w:rPr>
        <w:t xml:space="preserve">, 69–80. </w:t>
      </w:r>
      <w:hyperlink r:id="rId58" w:history="1">
        <w:r w:rsidRPr="00D43F9A">
          <w:rPr>
            <w:rFonts w:ascii="Times New Roman" w:eastAsia="Times New Roman" w:hAnsi="Times New Roman" w:cs="Times New Roman"/>
            <w:color w:val="0000FF"/>
            <w:sz w:val="24"/>
            <w:szCs w:val="24"/>
            <w:u w:val="single"/>
            <w:lang w:val="en-US"/>
          </w:rPr>
          <w:t>https://doi.org/10.1016/j.agsy.2017.01.023</w:t>
        </w:r>
      </w:hyperlink>
    </w:p>
    <w:p w14:paraId="4834ABB2" w14:textId="77777777" w:rsidR="00D43F9A" w:rsidRPr="00D43F9A" w:rsidRDefault="00D43F9A" w:rsidP="00D43F9A">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D43F9A">
        <w:rPr>
          <w:rFonts w:ascii="Times New Roman" w:eastAsia="Times New Roman" w:hAnsi="Times New Roman" w:cs="Times New Roman"/>
          <w:sz w:val="24"/>
          <w:szCs w:val="24"/>
          <w:lang w:val="en-US"/>
        </w:rPr>
        <w:t xml:space="preserve">Zhang, X., Qiao, Y., Meng, F., Fan, C., &amp; Zhang, M. (2018). Identification of maize leaf diseases using improved deep convolutional neural networks. </w:t>
      </w:r>
      <w:r w:rsidRPr="00D43F9A">
        <w:rPr>
          <w:rFonts w:ascii="Times New Roman" w:eastAsia="Times New Roman" w:hAnsi="Times New Roman" w:cs="Times New Roman"/>
          <w:i/>
          <w:iCs/>
          <w:sz w:val="24"/>
          <w:szCs w:val="24"/>
          <w:lang w:val="en-US"/>
        </w:rPr>
        <w:t>IEEE Access, 6</w:t>
      </w:r>
      <w:r w:rsidRPr="00D43F9A">
        <w:rPr>
          <w:rFonts w:ascii="Times New Roman" w:eastAsia="Times New Roman" w:hAnsi="Times New Roman" w:cs="Times New Roman"/>
          <w:sz w:val="24"/>
          <w:szCs w:val="24"/>
          <w:lang w:val="en-US"/>
        </w:rPr>
        <w:t xml:space="preserve">, 30370–30377. </w:t>
      </w:r>
      <w:hyperlink r:id="rId59" w:history="1">
        <w:r w:rsidRPr="00D43F9A">
          <w:rPr>
            <w:rFonts w:ascii="Times New Roman" w:eastAsia="Times New Roman" w:hAnsi="Times New Roman" w:cs="Times New Roman"/>
            <w:color w:val="0000FF"/>
            <w:sz w:val="24"/>
            <w:szCs w:val="24"/>
            <w:u w:val="single"/>
            <w:lang w:val="en-US"/>
          </w:rPr>
          <w:t>https://doi.org/10.1109/ACCESS.2018.2844405</w:t>
        </w:r>
      </w:hyperlink>
    </w:p>
    <w:p w14:paraId="3E18E4BE" w14:textId="5766E82C" w:rsidR="00BF38E6" w:rsidRPr="00BF38E6" w:rsidRDefault="00BF38E6" w:rsidP="00D43F9A">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
    <w:sectPr w:rsidR="00BF38E6" w:rsidRPr="00BF38E6" w:rsidSect="004841B3">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9974D" w14:textId="77777777" w:rsidR="00CA0ECF" w:rsidRDefault="00CA0ECF" w:rsidP="00D7795E">
      <w:pPr>
        <w:spacing w:after="0" w:line="240" w:lineRule="auto"/>
      </w:pPr>
      <w:r>
        <w:separator/>
      </w:r>
    </w:p>
  </w:endnote>
  <w:endnote w:type="continuationSeparator" w:id="0">
    <w:p w14:paraId="7AA6FF8E" w14:textId="77777777" w:rsidR="00CA0ECF" w:rsidRDefault="00CA0ECF" w:rsidP="00D77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3E9C" w14:textId="77777777" w:rsidR="00D7795E" w:rsidRDefault="00D77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FB65" w14:textId="77777777" w:rsidR="00D7795E" w:rsidRDefault="00D77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49DE" w14:textId="77777777" w:rsidR="00D7795E" w:rsidRDefault="00D7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CE9E7" w14:textId="77777777" w:rsidR="00CA0ECF" w:rsidRDefault="00CA0ECF" w:rsidP="00D7795E">
      <w:pPr>
        <w:spacing w:after="0" w:line="240" w:lineRule="auto"/>
      </w:pPr>
      <w:r>
        <w:separator/>
      </w:r>
    </w:p>
  </w:footnote>
  <w:footnote w:type="continuationSeparator" w:id="0">
    <w:p w14:paraId="02DA672C" w14:textId="77777777" w:rsidR="00CA0ECF" w:rsidRDefault="00CA0ECF" w:rsidP="00D77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932A" w14:textId="77777777" w:rsidR="00D7795E" w:rsidRDefault="00000000">
    <w:pPr>
      <w:pStyle w:val="Header"/>
    </w:pPr>
    <w:r>
      <w:rPr>
        <w:noProof/>
      </w:rPr>
      <w:pict w14:anchorId="4A4B7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62454"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950C" w14:textId="77777777" w:rsidR="00D7795E" w:rsidRDefault="00000000">
    <w:pPr>
      <w:pStyle w:val="Header"/>
    </w:pPr>
    <w:r>
      <w:rPr>
        <w:noProof/>
      </w:rPr>
      <w:pict w14:anchorId="5A448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62455"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ADC1" w14:textId="77777777" w:rsidR="00D7795E" w:rsidRDefault="00000000">
    <w:pPr>
      <w:pStyle w:val="Header"/>
    </w:pPr>
    <w:r>
      <w:rPr>
        <w:noProof/>
      </w:rPr>
      <w:pict w14:anchorId="7D8BA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262453"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CF3"/>
    <w:multiLevelType w:val="hybridMultilevel"/>
    <w:tmpl w:val="624C5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525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M0MjY2sjC2sDQwNrVQ0lEKTi0uzszPAykwqgUAceeGJCwAAAA="/>
  </w:docVars>
  <w:rsids>
    <w:rsidRoot w:val="002865FC"/>
    <w:rsid w:val="00093A2A"/>
    <w:rsid w:val="000A3E0F"/>
    <w:rsid w:val="001B7B28"/>
    <w:rsid w:val="001C233E"/>
    <w:rsid w:val="00252558"/>
    <w:rsid w:val="002865FC"/>
    <w:rsid w:val="002F3B56"/>
    <w:rsid w:val="00312B76"/>
    <w:rsid w:val="004624D4"/>
    <w:rsid w:val="004841B3"/>
    <w:rsid w:val="00510091"/>
    <w:rsid w:val="00542387"/>
    <w:rsid w:val="005C1DB7"/>
    <w:rsid w:val="005E002E"/>
    <w:rsid w:val="006E64E2"/>
    <w:rsid w:val="007135B2"/>
    <w:rsid w:val="00872FC7"/>
    <w:rsid w:val="008961A2"/>
    <w:rsid w:val="00B54B4B"/>
    <w:rsid w:val="00BD26D9"/>
    <w:rsid w:val="00BF38E6"/>
    <w:rsid w:val="00CA0ECF"/>
    <w:rsid w:val="00CB783F"/>
    <w:rsid w:val="00CE0D76"/>
    <w:rsid w:val="00D43F9A"/>
    <w:rsid w:val="00D7795E"/>
    <w:rsid w:val="00E14C7D"/>
    <w:rsid w:val="00F31EBE"/>
    <w:rsid w:val="00F717F1"/>
    <w:rsid w:val="00F8220B"/>
    <w:rsid w:val="00F82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5CA7F"/>
  <w15:docId w15:val="{07FE06CD-2B09-4165-8E8E-F5FC1F9E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865F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865F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865F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65F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865F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865FC"/>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2865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65FC"/>
    <w:rPr>
      <w:b/>
      <w:bCs/>
    </w:rPr>
  </w:style>
  <w:style w:type="character" w:styleId="Emphasis">
    <w:name w:val="Emphasis"/>
    <w:basedOn w:val="DefaultParagraphFont"/>
    <w:uiPriority w:val="20"/>
    <w:qFormat/>
    <w:rsid w:val="002865FC"/>
    <w:rPr>
      <w:i/>
      <w:iCs/>
    </w:rPr>
  </w:style>
  <w:style w:type="character" w:styleId="Hyperlink">
    <w:name w:val="Hyperlink"/>
    <w:basedOn w:val="DefaultParagraphFont"/>
    <w:uiPriority w:val="99"/>
    <w:unhideWhenUsed/>
    <w:rsid w:val="002865FC"/>
    <w:rPr>
      <w:color w:val="0000FF"/>
      <w:u w:val="single"/>
    </w:rPr>
  </w:style>
  <w:style w:type="paragraph" w:styleId="ListParagraph">
    <w:name w:val="List Paragraph"/>
    <w:basedOn w:val="Normal"/>
    <w:uiPriority w:val="34"/>
    <w:qFormat/>
    <w:rsid w:val="00BD26D9"/>
    <w:pPr>
      <w:ind w:left="720"/>
      <w:contextualSpacing/>
    </w:pPr>
  </w:style>
  <w:style w:type="paragraph" w:styleId="NormalWeb">
    <w:name w:val="Normal (Web)"/>
    <w:basedOn w:val="Normal"/>
    <w:uiPriority w:val="99"/>
    <w:unhideWhenUsed/>
    <w:rsid w:val="00BD2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D26D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D26D9"/>
    <w:rPr>
      <w:rFonts w:ascii="Arial" w:eastAsia="Times New Roman" w:hAnsi="Arial" w:cs="Arial"/>
      <w:vanish/>
      <w:sz w:val="16"/>
      <w:szCs w:val="16"/>
      <w:lang w:eastAsia="en-GB"/>
    </w:rPr>
  </w:style>
  <w:style w:type="paragraph" w:customStyle="1" w:styleId="placeholder">
    <w:name w:val="placeholder"/>
    <w:basedOn w:val="Normal"/>
    <w:rsid w:val="00BD2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BD26D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D26D9"/>
    <w:rPr>
      <w:rFonts w:ascii="Arial" w:eastAsia="Times New Roman" w:hAnsi="Arial" w:cs="Arial"/>
      <w:vanish/>
      <w:sz w:val="16"/>
      <w:szCs w:val="16"/>
      <w:lang w:eastAsia="en-GB"/>
    </w:rPr>
  </w:style>
  <w:style w:type="table" w:styleId="TableGrid">
    <w:name w:val="Table Grid"/>
    <w:basedOn w:val="TableNormal"/>
    <w:uiPriority w:val="59"/>
    <w:rsid w:val="00BF3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7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5E"/>
  </w:style>
  <w:style w:type="paragraph" w:styleId="Footer">
    <w:name w:val="footer"/>
    <w:basedOn w:val="Normal"/>
    <w:link w:val="FooterChar"/>
    <w:uiPriority w:val="99"/>
    <w:unhideWhenUsed/>
    <w:rsid w:val="00D77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02415">
      <w:bodyDiv w:val="1"/>
      <w:marLeft w:val="0"/>
      <w:marRight w:val="0"/>
      <w:marTop w:val="0"/>
      <w:marBottom w:val="0"/>
      <w:divBdr>
        <w:top w:val="none" w:sz="0" w:space="0" w:color="auto"/>
        <w:left w:val="none" w:sz="0" w:space="0" w:color="auto"/>
        <w:bottom w:val="none" w:sz="0" w:space="0" w:color="auto"/>
        <w:right w:val="none" w:sz="0" w:space="0" w:color="auto"/>
      </w:divBdr>
      <w:divsChild>
        <w:div w:id="567813476">
          <w:marLeft w:val="0"/>
          <w:marRight w:val="0"/>
          <w:marTop w:val="0"/>
          <w:marBottom w:val="0"/>
          <w:divBdr>
            <w:top w:val="none" w:sz="0" w:space="0" w:color="auto"/>
            <w:left w:val="none" w:sz="0" w:space="0" w:color="auto"/>
            <w:bottom w:val="none" w:sz="0" w:space="0" w:color="auto"/>
            <w:right w:val="none" w:sz="0" w:space="0" w:color="auto"/>
          </w:divBdr>
        </w:div>
        <w:div w:id="1980184886">
          <w:marLeft w:val="0"/>
          <w:marRight w:val="0"/>
          <w:marTop w:val="0"/>
          <w:marBottom w:val="0"/>
          <w:divBdr>
            <w:top w:val="none" w:sz="0" w:space="0" w:color="auto"/>
            <w:left w:val="none" w:sz="0" w:space="0" w:color="auto"/>
            <w:bottom w:val="none" w:sz="0" w:space="0" w:color="auto"/>
            <w:right w:val="none" w:sz="0" w:space="0" w:color="auto"/>
          </w:divBdr>
        </w:div>
        <w:div w:id="1910730424">
          <w:marLeft w:val="0"/>
          <w:marRight w:val="0"/>
          <w:marTop w:val="0"/>
          <w:marBottom w:val="0"/>
          <w:divBdr>
            <w:top w:val="none" w:sz="0" w:space="0" w:color="auto"/>
            <w:left w:val="none" w:sz="0" w:space="0" w:color="auto"/>
            <w:bottom w:val="none" w:sz="0" w:space="0" w:color="auto"/>
            <w:right w:val="none" w:sz="0" w:space="0" w:color="auto"/>
          </w:divBdr>
        </w:div>
        <w:div w:id="879249339">
          <w:marLeft w:val="0"/>
          <w:marRight w:val="0"/>
          <w:marTop w:val="0"/>
          <w:marBottom w:val="0"/>
          <w:divBdr>
            <w:top w:val="none" w:sz="0" w:space="0" w:color="auto"/>
            <w:left w:val="none" w:sz="0" w:space="0" w:color="auto"/>
            <w:bottom w:val="none" w:sz="0" w:space="0" w:color="auto"/>
            <w:right w:val="none" w:sz="0" w:space="0" w:color="auto"/>
          </w:divBdr>
        </w:div>
        <w:div w:id="1837964087">
          <w:marLeft w:val="0"/>
          <w:marRight w:val="0"/>
          <w:marTop w:val="0"/>
          <w:marBottom w:val="0"/>
          <w:divBdr>
            <w:top w:val="none" w:sz="0" w:space="0" w:color="auto"/>
            <w:left w:val="none" w:sz="0" w:space="0" w:color="auto"/>
            <w:bottom w:val="none" w:sz="0" w:space="0" w:color="auto"/>
            <w:right w:val="none" w:sz="0" w:space="0" w:color="auto"/>
          </w:divBdr>
        </w:div>
      </w:divsChild>
    </w:div>
    <w:div w:id="842935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7626">
          <w:marLeft w:val="0"/>
          <w:marRight w:val="0"/>
          <w:marTop w:val="0"/>
          <w:marBottom w:val="0"/>
          <w:divBdr>
            <w:top w:val="none" w:sz="0" w:space="0" w:color="auto"/>
            <w:left w:val="none" w:sz="0" w:space="0" w:color="auto"/>
            <w:bottom w:val="none" w:sz="0" w:space="0" w:color="auto"/>
            <w:right w:val="none" w:sz="0" w:space="0" w:color="auto"/>
          </w:divBdr>
          <w:divsChild>
            <w:div w:id="1151602591">
              <w:marLeft w:val="0"/>
              <w:marRight w:val="0"/>
              <w:marTop w:val="0"/>
              <w:marBottom w:val="0"/>
              <w:divBdr>
                <w:top w:val="none" w:sz="0" w:space="0" w:color="auto"/>
                <w:left w:val="none" w:sz="0" w:space="0" w:color="auto"/>
                <w:bottom w:val="none" w:sz="0" w:space="0" w:color="auto"/>
                <w:right w:val="none" w:sz="0" w:space="0" w:color="auto"/>
              </w:divBdr>
              <w:divsChild>
                <w:div w:id="1183088544">
                  <w:marLeft w:val="0"/>
                  <w:marRight w:val="0"/>
                  <w:marTop w:val="0"/>
                  <w:marBottom w:val="0"/>
                  <w:divBdr>
                    <w:top w:val="none" w:sz="0" w:space="0" w:color="auto"/>
                    <w:left w:val="none" w:sz="0" w:space="0" w:color="auto"/>
                    <w:bottom w:val="none" w:sz="0" w:space="0" w:color="auto"/>
                    <w:right w:val="none" w:sz="0" w:space="0" w:color="auto"/>
                  </w:divBdr>
                  <w:divsChild>
                    <w:div w:id="910820821">
                      <w:marLeft w:val="0"/>
                      <w:marRight w:val="0"/>
                      <w:marTop w:val="0"/>
                      <w:marBottom w:val="0"/>
                      <w:divBdr>
                        <w:top w:val="none" w:sz="0" w:space="0" w:color="auto"/>
                        <w:left w:val="none" w:sz="0" w:space="0" w:color="auto"/>
                        <w:bottom w:val="none" w:sz="0" w:space="0" w:color="auto"/>
                        <w:right w:val="none" w:sz="0" w:space="0" w:color="auto"/>
                      </w:divBdr>
                      <w:divsChild>
                        <w:div w:id="1585457383">
                          <w:marLeft w:val="0"/>
                          <w:marRight w:val="0"/>
                          <w:marTop w:val="0"/>
                          <w:marBottom w:val="0"/>
                          <w:divBdr>
                            <w:top w:val="none" w:sz="0" w:space="0" w:color="auto"/>
                            <w:left w:val="none" w:sz="0" w:space="0" w:color="auto"/>
                            <w:bottom w:val="none" w:sz="0" w:space="0" w:color="auto"/>
                            <w:right w:val="none" w:sz="0" w:space="0" w:color="auto"/>
                          </w:divBdr>
                          <w:divsChild>
                            <w:div w:id="1144199943">
                              <w:marLeft w:val="0"/>
                              <w:marRight w:val="0"/>
                              <w:marTop w:val="0"/>
                              <w:marBottom w:val="0"/>
                              <w:divBdr>
                                <w:top w:val="none" w:sz="0" w:space="0" w:color="auto"/>
                                <w:left w:val="none" w:sz="0" w:space="0" w:color="auto"/>
                                <w:bottom w:val="none" w:sz="0" w:space="0" w:color="auto"/>
                                <w:right w:val="none" w:sz="0" w:space="0" w:color="auto"/>
                              </w:divBdr>
                              <w:divsChild>
                                <w:div w:id="470557680">
                                  <w:marLeft w:val="0"/>
                                  <w:marRight w:val="0"/>
                                  <w:marTop w:val="0"/>
                                  <w:marBottom w:val="0"/>
                                  <w:divBdr>
                                    <w:top w:val="none" w:sz="0" w:space="0" w:color="auto"/>
                                    <w:left w:val="none" w:sz="0" w:space="0" w:color="auto"/>
                                    <w:bottom w:val="none" w:sz="0" w:space="0" w:color="auto"/>
                                    <w:right w:val="none" w:sz="0" w:space="0" w:color="auto"/>
                                  </w:divBdr>
                                  <w:divsChild>
                                    <w:div w:id="806818688">
                                      <w:marLeft w:val="0"/>
                                      <w:marRight w:val="0"/>
                                      <w:marTop w:val="0"/>
                                      <w:marBottom w:val="0"/>
                                      <w:divBdr>
                                        <w:top w:val="none" w:sz="0" w:space="0" w:color="auto"/>
                                        <w:left w:val="none" w:sz="0" w:space="0" w:color="auto"/>
                                        <w:bottom w:val="none" w:sz="0" w:space="0" w:color="auto"/>
                                        <w:right w:val="none" w:sz="0" w:space="0" w:color="auto"/>
                                      </w:divBdr>
                                      <w:divsChild>
                                        <w:div w:id="2094159322">
                                          <w:marLeft w:val="0"/>
                                          <w:marRight w:val="0"/>
                                          <w:marTop w:val="0"/>
                                          <w:marBottom w:val="0"/>
                                          <w:divBdr>
                                            <w:top w:val="none" w:sz="0" w:space="0" w:color="auto"/>
                                            <w:left w:val="none" w:sz="0" w:space="0" w:color="auto"/>
                                            <w:bottom w:val="none" w:sz="0" w:space="0" w:color="auto"/>
                                            <w:right w:val="none" w:sz="0" w:space="0" w:color="auto"/>
                                          </w:divBdr>
                                          <w:divsChild>
                                            <w:div w:id="717054421">
                                              <w:marLeft w:val="0"/>
                                              <w:marRight w:val="0"/>
                                              <w:marTop w:val="0"/>
                                              <w:marBottom w:val="0"/>
                                              <w:divBdr>
                                                <w:top w:val="none" w:sz="0" w:space="0" w:color="auto"/>
                                                <w:left w:val="none" w:sz="0" w:space="0" w:color="auto"/>
                                                <w:bottom w:val="none" w:sz="0" w:space="0" w:color="auto"/>
                                                <w:right w:val="none" w:sz="0" w:space="0" w:color="auto"/>
                                              </w:divBdr>
                                              <w:divsChild>
                                                <w:div w:id="1113019709">
                                                  <w:marLeft w:val="0"/>
                                                  <w:marRight w:val="0"/>
                                                  <w:marTop w:val="0"/>
                                                  <w:marBottom w:val="0"/>
                                                  <w:divBdr>
                                                    <w:top w:val="none" w:sz="0" w:space="0" w:color="auto"/>
                                                    <w:left w:val="none" w:sz="0" w:space="0" w:color="auto"/>
                                                    <w:bottom w:val="none" w:sz="0" w:space="0" w:color="auto"/>
                                                    <w:right w:val="none" w:sz="0" w:space="0" w:color="auto"/>
                                                  </w:divBdr>
                                                  <w:divsChild>
                                                    <w:div w:id="2133816043">
                                                      <w:marLeft w:val="0"/>
                                                      <w:marRight w:val="0"/>
                                                      <w:marTop w:val="0"/>
                                                      <w:marBottom w:val="0"/>
                                                      <w:divBdr>
                                                        <w:top w:val="none" w:sz="0" w:space="0" w:color="auto"/>
                                                        <w:left w:val="none" w:sz="0" w:space="0" w:color="auto"/>
                                                        <w:bottom w:val="none" w:sz="0" w:space="0" w:color="auto"/>
                                                        <w:right w:val="none" w:sz="0" w:space="0" w:color="auto"/>
                                                      </w:divBdr>
                                                      <w:divsChild>
                                                        <w:div w:id="864169553">
                                                          <w:marLeft w:val="0"/>
                                                          <w:marRight w:val="0"/>
                                                          <w:marTop w:val="0"/>
                                                          <w:marBottom w:val="0"/>
                                                          <w:divBdr>
                                                            <w:top w:val="none" w:sz="0" w:space="0" w:color="auto"/>
                                                            <w:left w:val="none" w:sz="0" w:space="0" w:color="auto"/>
                                                            <w:bottom w:val="none" w:sz="0" w:space="0" w:color="auto"/>
                                                            <w:right w:val="none" w:sz="0" w:space="0" w:color="auto"/>
                                                          </w:divBdr>
                                                          <w:divsChild>
                                                            <w:div w:id="735202688">
                                                              <w:marLeft w:val="0"/>
                                                              <w:marRight w:val="0"/>
                                                              <w:marTop w:val="0"/>
                                                              <w:marBottom w:val="0"/>
                                                              <w:divBdr>
                                                                <w:top w:val="none" w:sz="0" w:space="0" w:color="auto"/>
                                                                <w:left w:val="none" w:sz="0" w:space="0" w:color="auto"/>
                                                                <w:bottom w:val="none" w:sz="0" w:space="0" w:color="auto"/>
                                                                <w:right w:val="none" w:sz="0" w:space="0" w:color="auto"/>
                                                              </w:divBdr>
                                                              <w:divsChild>
                                                                <w:div w:id="595748335">
                                                                  <w:marLeft w:val="0"/>
                                                                  <w:marRight w:val="0"/>
                                                                  <w:marTop w:val="0"/>
                                                                  <w:marBottom w:val="0"/>
                                                                  <w:divBdr>
                                                                    <w:top w:val="none" w:sz="0" w:space="0" w:color="auto"/>
                                                                    <w:left w:val="none" w:sz="0" w:space="0" w:color="auto"/>
                                                                    <w:bottom w:val="none" w:sz="0" w:space="0" w:color="auto"/>
                                                                    <w:right w:val="none" w:sz="0" w:space="0" w:color="auto"/>
                                                                  </w:divBdr>
                                                                  <w:divsChild>
                                                                    <w:div w:id="1261373658">
                                                                      <w:marLeft w:val="0"/>
                                                                      <w:marRight w:val="0"/>
                                                                      <w:marTop w:val="0"/>
                                                                      <w:marBottom w:val="0"/>
                                                                      <w:divBdr>
                                                                        <w:top w:val="none" w:sz="0" w:space="0" w:color="auto"/>
                                                                        <w:left w:val="none" w:sz="0" w:space="0" w:color="auto"/>
                                                                        <w:bottom w:val="none" w:sz="0" w:space="0" w:color="auto"/>
                                                                        <w:right w:val="none" w:sz="0" w:space="0" w:color="auto"/>
                                                                      </w:divBdr>
                                                                      <w:divsChild>
                                                                        <w:div w:id="256864940">
                                                                          <w:marLeft w:val="0"/>
                                                                          <w:marRight w:val="0"/>
                                                                          <w:marTop w:val="0"/>
                                                                          <w:marBottom w:val="0"/>
                                                                          <w:divBdr>
                                                                            <w:top w:val="none" w:sz="0" w:space="0" w:color="auto"/>
                                                                            <w:left w:val="none" w:sz="0" w:space="0" w:color="auto"/>
                                                                            <w:bottom w:val="none" w:sz="0" w:space="0" w:color="auto"/>
                                                                            <w:right w:val="none" w:sz="0" w:space="0" w:color="auto"/>
                                                                          </w:divBdr>
                                                                          <w:divsChild>
                                                                            <w:div w:id="794562408">
                                                                              <w:marLeft w:val="0"/>
                                                                              <w:marRight w:val="0"/>
                                                                              <w:marTop w:val="0"/>
                                                                              <w:marBottom w:val="0"/>
                                                                              <w:divBdr>
                                                                                <w:top w:val="none" w:sz="0" w:space="0" w:color="auto"/>
                                                                                <w:left w:val="none" w:sz="0" w:space="0" w:color="auto"/>
                                                                                <w:bottom w:val="none" w:sz="0" w:space="0" w:color="auto"/>
                                                                                <w:right w:val="none" w:sz="0" w:space="0" w:color="auto"/>
                                                                              </w:divBdr>
                                                                              <w:divsChild>
                                                                                <w:div w:id="44801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572142">
                                              <w:marLeft w:val="0"/>
                                              <w:marRight w:val="0"/>
                                              <w:marTop w:val="0"/>
                                              <w:marBottom w:val="0"/>
                                              <w:divBdr>
                                                <w:top w:val="none" w:sz="0" w:space="0" w:color="auto"/>
                                                <w:left w:val="none" w:sz="0" w:space="0" w:color="auto"/>
                                                <w:bottom w:val="none" w:sz="0" w:space="0" w:color="auto"/>
                                                <w:right w:val="none" w:sz="0" w:space="0" w:color="auto"/>
                                              </w:divBdr>
                                              <w:divsChild>
                                                <w:div w:id="738408165">
                                                  <w:marLeft w:val="0"/>
                                                  <w:marRight w:val="0"/>
                                                  <w:marTop w:val="0"/>
                                                  <w:marBottom w:val="0"/>
                                                  <w:divBdr>
                                                    <w:top w:val="none" w:sz="0" w:space="0" w:color="auto"/>
                                                    <w:left w:val="none" w:sz="0" w:space="0" w:color="auto"/>
                                                    <w:bottom w:val="none" w:sz="0" w:space="0" w:color="auto"/>
                                                    <w:right w:val="none" w:sz="0" w:space="0" w:color="auto"/>
                                                  </w:divBdr>
                                                  <w:divsChild>
                                                    <w:div w:id="472715757">
                                                      <w:marLeft w:val="0"/>
                                                      <w:marRight w:val="0"/>
                                                      <w:marTop w:val="0"/>
                                                      <w:marBottom w:val="0"/>
                                                      <w:divBdr>
                                                        <w:top w:val="none" w:sz="0" w:space="0" w:color="auto"/>
                                                        <w:left w:val="none" w:sz="0" w:space="0" w:color="auto"/>
                                                        <w:bottom w:val="none" w:sz="0" w:space="0" w:color="auto"/>
                                                        <w:right w:val="none" w:sz="0" w:space="0" w:color="auto"/>
                                                      </w:divBdr>
                                                      <w:divsChild>
                                                        <w:div w:id="329525291">
                                                          <w:marLeft w:val="0"/>
                                                          <w:marRight w:val="0"/>
                                                          <w:marTop w:val="0"/>
                                                          <w:marBottom w:val="0"/>
                                                          <w:divBdr>
                                                            <w:top w:val="none" w:sz="0" w:space="0" w:color="auto"/>
                                                            <w:left w:val="none" w:sz="0" w:space="0" w:color="auto"/>
                                                            <w:bottom w:val="none" w:sz="0" w:space="0" w:color="auto"/>
                                                            <w:right w:val="none" w:sz="0" w:space="0" w:color="auto"/>
                                                          </w:divBdr>
                                                          <w:divsChild>
                                                            <w:div w:id="1374884982">
                                                              <w:marLeft w:val="0"/>
                                                              <w:marRight w:val="0"/>
                                                              <w:marTop w:val="0"/>
                                                              <w:marBottom w:val="0"/>
                                                              <w:divBdr>
                                                                <w:top w:val="none" w:sz="0" w:space="0" w:color="auto"/>
                                                                <w:left w:val="none" w:sz="0" w:space="0" w:color="auto"/>
                                                                <w:bottom w:val="none" w:sz="0" w:space="0" w:color="auto"/>
                                                                <w:right w:val="none" w:sz="0" w:space="0" w:color="auto"/>
                                                              </w:divBdr>
                                                              <w:divsChild>
                                                                <w:div w:id="2087724340">
                                                                  <w:marLeft w:val="0"/>
                                                                  <w:marRight w:val="0"/>
                                                                  <w:marTop w:val="0"/>
                                                                  <w:marBottom w:val="0"/>
                                                                  <w:divBdr>
                                                                    <w:top w:val="none" w:sz="0" w:space="0" w:color="auto"/>
                                                                    <w:left w:val="none" w:sz="0" w:space="0" w:color="auto"/>
                                                                    <w:bottom w:val="none" w:sz="0" w:space="0" w:color="auto"/>
                                                                    <w:right w:val="none" w:sz="0" w:space="0" w:color="auto"/>
                                                                  </w:divBdr>
                                                                  <w:divsChild>
                                                                    <w:div w:id="477504484">
                                                                      <w:marLeft w:val="0"/>
                                                                      <w:marRight w:val="0"/>
                                                                      <w:marTop w:val="0"/>
                                                                      <w:marBottom w:val="0"/>
                                                                      <w:divBdr>
                                                                        <w:top w:val="none" w:sz="0" w:space="0" w:color="auto"/>
                                                                        <w:left w:val="none" w:sz="0" w:space="0" w:color="auto"/>
                                                                        <w:bottom w:val="none" w:sz="0" w:space="0" w:color="auto"/>
                                                                        <w:right w:val="none" w:sz="0" w:space="0" w:color="auto"/>
                                                                      </w:divBdr>
                                                                      <w:divsChild>
                                                                        <w:div w:id="214239884">
                                                                          <w:marLeft w:val="0"/>
                                                                          <w:marRight w:val="0"/>
                                                                          <w:marTop w:val="0"/>
                                                                          <w:marBottom w:val="0"/>
                                                                          <w:divBdr>
                                                                            <w:top w:val="none" w:sz="0" w:space="0" w:color="auto"/>
                                                                            <w:left w:val="none" w:sz="0" w:space="0" w:color="auto"/>
                                                                            <w:bottom w:val="none" w:sz="0" w:space="0" w:color="auto"/>
                                                                            <w:right w:val="none" w:sz="0" w:space="0" w:color="auto"/>
                                                                          </w:divBdr>
                                                                          <w:divsChild>
                                                                            <w:div w:id="1526210426">
                                                                              <w:marLeft w:val="0"/>
                                                                              <w:marRight w:val="0"/>
                                                                              <w:marTop w:val="0"/>
                                                                              <w:marBottom w:val="0"/>
                                                                              <w:divBdr>
                                                                                <w:top w:val="none" w:sz="0" w:space="0" w:color="auto"/>
                                                                                <w:left w:val="none" w:sz="0" w:space="0" w:color="auto"/>
                                                                                <w:bottom w:val="none" w:sz="0" w:space="0" w:color="auto"/>
                                                                                <w:right w:val="none" w:sz="0" w:space="0" w:color="auto"/>
                                                                              </w:divBdr>
                                                                              <w:divsChild>
                                                                                <w:div w:id="507674035">
                                                                                  <w:marLeft w:val="0"/>
                                                                                  <w:marRight w:val="0"/>
                                                                                  <w:marTop w:val="0"/>
                                                                                  <w:marBottom w:val="0"/>
                                                                                  <w:divBdr>
                                                                                    <w:top w:val="none" w:sz="0" w:space="0" w:color="auto"/>
                                                                                    <w:left w:val="none" w:sz="0" w:space="0" w:color="auto"/>
                                                                                    <w:bottom w:val="none" w:sz="0" w:space="0" w:color="auto"/>
                                                                                    <w:right w:val="none" w:sz="0" w:space="0" w:color="auto"/>
                                                                                  </w:divBdr>
                                                                                  <w:divsChild>
                                                                                    <w:div w:id="1390835711">
                                                                                      <w:marLeft w:val="0"/>
                                                                                      <w:marRight w:val="0"/>
                                                                                      <w:marTop w:val="0"/>
                                                                                      <w:marBottom w:val="0"/>
                                                                                      <w:divBdr>
                                                                                        <w:top w:val="none" w:sz="0" w:space="0" w:color="auto"/>
                                                                                        <w:left w:val="none" w:sz="0" w:space="0" w:color="auto"/>
                                                                                        <w:bottom w:val="none" w:sz="0" w:space="0" w:color="auto"/>
                                                                                        <w:right w:val="none" w:sz="0" w:space="0" w:color="auto"/>
                                                                                      </w:divBdr>
                                                                                      <w:divsChild>
                                                                                        <w:div w:id="186988857">
                                                                                          <w:marLeft w:val="0"/>
                                                                                          <w:marRight w:val="0"/>
                                                                                          <w:marTop w:val="0"/>
                                                                                          <w:marBottom w:val="0"/>
                                                                                          <w:divBdr>
                                                                                            <w:top w:val="none" w:sz="0" w:space="0" w:color="auto"/>
                                                                                            <w:left w:val="none" w:sz="0" w:space="0" w:color="auto"/>
                                                                                            <w:bottom w:val="none" w:sz="0" w:space="0" w:color="auto"/>
                                                                                            <w:right w:val="none" w:sz="0" w:space="0" w:color="auto"/>
                                                                                          </w:divBdr>
                                                                                          <w:divsChild>
                                                                                            <w:div w:id="108333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856477">
      <w:bodyDiv w:val="1"/>
      <w:marLeft w:val="0"/>
      <w:marRight w:val="0"/>
      <w:marTop w:val="0"/>
      <w:marBottom w:val="0"/>
      <w:divBdr>
        <w:top w:val="none" w:sz="0" w:space="0" w:color="auto"/>
        <w:left w:val="none" w:sz="0" w:space="0" w:color="auto"/>
        <w:bottom w:val="none" w:sz="0" w:space="0" w:color="auto"/>
        <w:right w:val="none" w:sz="0" w:space="0" w:color="auto"/>
      </w:divBdr>
      <w:divsChild>
        <w:div w:id="754789195">
          <w:marLeft w:val="0"/>
          <w:marRight w:val="0"/>
          <w:marTop w:val="0"/>
          <w:marBottom w:val="0"/>
          <w:divBdr>
            <w:top w:val="none" w:sz="0" w:space="0" w:color="auto"/>
            <w:left w:val="none" w:sz="0" w:space="0" w:color="auto"/>
            <w:bottom w:val="none" w:sz="0" w:space="0" w:color="auto"/>
            <w:right w:val="none" w:sz="0" w:space="0" w:color="auto"/>
          </w:divBdr>
          <w:divsChild>
            <w:div w:id="41366356">
              <w:marLeft w:val="0"/>
              <w:marRight w:val="0"/>
              <w:marTop w:val="0"/>
              <w:marBottom w:val="0"/>
              <w:divBdr>
                <w:top w:val="none" w:sz="0" w:space="0" w:color="auto"/>
                <w:left w:val="none" w:sz="0" w:space="0" w:color="auto"/>
                <w:bottom w:val="none" w:sz="0" w:space="0" w:color="auto"/>
                <w:right w:val="none" w:sz="0" w:space="0" w:color="auto"/>
              </w:divBdr>
              <w:divsChild>
                <w:div w:id="1676296507">
                  <w:marLeft w:val="0"/>
                  <w:marRight w:val="0"/>
                  <w:marTop w:val="0"/>
                  <w:marBottom w:val="0"/>
                  <w:divBdr>
                    <w:top w:val="none" w:sz="0" w:space="0" w:color="auto"/>
                    <w:left w:val="none" w:sz="0" w:space="0" w:color="auto"/>
                    <w:bottom w:val="none" w:sz="0" w:space="0" w:color="auto"/>
                    <w:right w:val="none" w:sz="0" w:space="0" w:color="auto"/>
                  </w:divBdr>
                  <w:divsChild>
                    <w:div w:id="1842887443">
                      <w:marLeft w:val="0"/>
                      <w:marRight w:val="0"/>
                      <w:marTop w:val="0"/>
                      <w:marBottom w:val="0"/>
                      <w:divBdr>
                        <w:top w:val="none" w:sz="0" w:space="0" w:color="auto"/>
                        <w:left w:val="none" w:sz="0" w:space="0" w:color="auto"/>
                        <w:bottom w:val="none" w:sz="0" w:space="0" w:color="auto"/>
                        <w:right w:val="none" w:sz="0" w:space="0" w:color="auto"/>
                      </w:divBdr>
                      <w:divsChild>
                        <w:div w:id="914586482">
                          <w:marLeft w:val="0"/>
                          <w:marRight w:val="0"/>
                          <w:marTop w:val="0"/>
                          <w:marBottom w:val="0"/>
                          <w:divBdr>
                            <w:top w:val="none" w:sz="0" w:space="0" w:color="auto"/>
                            <w:left w:val="none" w:sz="0" w:space="0" w:color="auto"/>
                            <w:bottom w:val="none" w:sz="0" w:space="0" w:color="auto"/>
                            <w:right w:val="none" w:sz="0" w:space="0" w:color="auto"/>
                          </w:divBdr>
                          <w:divsChild>
                            <w:div w:id="579218219">
                              <w:marLeft w:val="0"/>
                              <w:marRight w:val="0"/>
                              <w:marTop w:val="0"/>
                              <w:marBottom w:val="0"/>
                              <w:divBdr>
                                <w:top w:val="none" w:sz="0" w:space="0" w:color="auto"/>
                                <w:left w:val="none" w:sz="0" w:space="0" w:color="auto"/>
                                <w:bottom w:val="none" w:sz="0" w:space="0" w:color="auto"/>
                                <w:right w:val="none" w:sz="0" w:space="0" w:color="auto"/>
                              </w:divBdr>
                              <w:divsChild>
                                <w:div w:id="1354721018">
                                  <w:marLeft w:val="0"/>
                                  <w:marRight w:val="0"/>
                                  <w:marTop w:val="0"/>
                                  <w:marBottom w:val="0"/>
                                  <w:divBdr>
                                    <w:top w:val="none" w:sz="0" w:space="0" w:color="auto"/>
                                    <w:left w:val="none" w:sz="0" w:space="0" w:color="auto"/>
                                    <w:bottom w:val="none" w:sz="0" w:space="0" w:color="auto"/>
                                    <w:right w:val="none" w:sz="0" w:space="0" w:color="auto"/>
                                  </w:divBdr>
                                  <w:divsChild>
                                    <w:div w:id="17739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ompag.2020.105824" TargetMode="External"/><Relationship Id="rId21" Type="http://schemas.openxmlformats.org/officeDocument/2006/relationships/hyperlink" Target="https://doi.org/10.1016/j.compag.2018.01.009" TargetMode="External"/><Relationship Id="rId34" Type="http://schemas.openxmlformats.org/officeDocument/2006/relationships/hyperlink" Target="https://doi.org/10.1094/PDIS-03-15-0340-FE" TargetMode="External"/><Relationship Id="rId42" Type="http://schemas.openxmlformats.org/officeDocument/2006/relationships/hyperlink" Target="https://doi.org/10.3389/fpls.2017.01852" TargetMode="External"/><Relationship Id="rId47" Type="http://schemas.openxmlformats.org/officeDocument/2006/relationships/hyperlink" Target="https://doi.org/10.1155/2016/3289801" TargetMode="External"/><Relationship Id="rId50" Type="http://schemas.openxmlformats.org/officeDocument/2006/relationships/hyperlink" Target="https://doi.org/10.1016/j.micpro.2020.103615" TargetMode="External"/><Relationship Id="rId55" Type="http://schemas.openxmlformats.org/officeDocument/2006/relationships/hyperlink" Target="https://doi.org/10.1016/j.compag.2020.105456" TargetMode="External"/><Relationship Id="rId63" Type="http://schemas.openxmlformats.org/officeDocument/2006/relationships/footer" Target="footer2.xml"/><Relationship Id="rId7" Type="http://schemas.openxmlformats.org/officeDocument/2006/relationships/hyperlink" Target="https://doi.org/10.1016/j.compag.2021.106125" TargetMode="External"/><Relationship Id="rId2" Type="http://schemas.openxmlformats.org/officeDocument/2006/relationships/styles" Target="styles.xml"/><Relationship Id="rId16" Type="http://schemas.openxmlformats.org/officeDocument/2006/relationships/hyperlink" Target="https://doi.org/10.7717/peerj-cs.432" TargetMode="External"/><Relationship Id="rId29" Type="http://schemas.openxmlformats.org/officeDocument/2006/relationships/hyperlink" Target="https://doi.org/10.3390/s22020575" TargetMode="External"/><Relationship Id="rId11" Type="http://schemas.openxmlformats.org/officeDocument/2006/relationships/hyperlink" Target="https://doi.org/10.1109/ACCESS.2021.3051196" TargetMode="External"/><Relationship Id="rId24" Type="http://schemas.openxmlformats.org/officeDocument/2006/relationships/hyperlink" Target="https://doi.org/10.1016/j.compeleceng.2019.04.011" TargetMode="External"/><Relationship Id="rId32" Type="http://schemas.openxmlformats.org/officeDocument/2006/relationships/hyperlink" Target="https://doi.org/10.1186/s13007-021-00722-9" TargetMode="External"/><Relationship Id="rId37" Type="http://schemas.openxmlformats.org/officeDocument/2006/relationships/hyperlink" Target="https://doi.org/10.3390/s21030742" TargetMode="External"/><Relationship Id="rId40" Type="http://schemas.openxmlformats.org/officeDocument/2006/relationships/hyperlink" Target="https://doi.org/10.1016/j.compag.2018.11.005" TargetMode="External"/><Relationship Id="rId45" Type="http://schemas.openxmlformats.org/officeDocument/2006/relationships/hyperlink" Target="https://doi.org/10.1038/s41559-018-0793-y" TargetMode="External"/><Relationship Id="rId53" Type="http://schemas.openxmlformats.org/officeDocument/2006/relationships/hyperlink" Target="https://doi.org/10.1016/j.compag.2018.03.032" TargetMode="External"/><Relationship Id="rId58" Type="http://schemas.openxmlformats.org/officeDocument/2006/relationships/hyperlink" Target="https://doi.org/10.1016/j.agsy.2017.01.023"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hyperlink" Target="https://doi.org/10.4060/cc7724en" TargetMode="External"/><Relationship Id="rId14" Type="http://schemas.openxmlformats.org/officeDocument/2006/relationships/hyperlink" Target="https://doi.org/10.1016/j.biosystemseng.2019.02.002" TargetMode="External"/><Relationship Id="rId22" Type="http://schemas.openxmlformats.org/officeDocument/2006/relationships/hyperlink" Target="https://doi.org/10.3389/fpls.2018.01162" TargetMode="External"/><Relationship Id="rId27" Type="http://schemas.openxmlformats.org/officeDocument/2006/relationships/hyperlink" Target="https://doi.org/10.1109/ACCESS.2019.2914929" TargetMode="External"/><Relationship Id="rId30" Type="http://schemas.openxmlformats.org/officeDocument/2006/relationships/hyperlink" Target="https://doi.org/10.9734/jeai/2023/v45i52132" TargetMode="External"/><Relationship Id="rId35" Type="http://schemas.openxmlformats.org/officeDocument/2006/relationships/hyperlink" Target="https://doi.org/10.3390/s19102281" TargetMode="External"/><Relationship Id="rId43" Type="http://schemas.openxmlformats.org/officeDocument/2006/relationships/hyperlink" Target="https://doi.org/10.1038/s41598-020-59108-x" TargetMode="External"/><Relationship Id="rId48" Type="http://schemas.openxmlformats.org/officeDocument/2006/relationships/hyperlink" Target="https://doi.org/10.1016/j.jbusres.2019.07.039" TargetMode="External"/><Relationship Id="rId56" Type="http://schemas.openxmlformats.org/officeDocument/2006/relationships/hyperlink" Target="https://doi.org/10.1073/pnas.1707462114" TargetMode="External"/><Relationship Id="rId64" Type="http://schemas.openxmlformats.org/officeDocument/2006/relationships/header" Target="header3.xml"/><Relationship Id="rId8" Type="http://schemas.openxmlformats.org/officeDocument/2006/relationships/hyperlink" Target="https://doi.org/10.3389/fpls.2024.1355941" TargetMode="External"/><Relationship Id="rId51" Type="http://schemas.openxmlformats.org/officeDocument/2006/relationships/hyperlink" Target="https://doi.org/10.1016/j.compag.2020.105836" TargetMode="External"/><Relationship Id="rId3" Type="http://schemas.openxmlformats.org/officeDocument/2006/relationships/settings" Target="settings.xml"/><Relationship Id="rId12" Type="http://schemas.openxmlformats.org/officeDocument/2006/relationships/hyperlink" Target="https://doi.org/10.1016/j.ecoinf.2020.101182" TargetMode="External"/><Relationship Id="rId17" Type="http://schemas.openxmlformats.org/officeDocument/2006/relationships/hyperlink" Target="https://doi.org/10.1016/j.compag.2020.105393" TargetMode="External"/><Relationship Id="rId25" Type="http://schemas.openxmlformats.org/officeDocument/2006/relationships/hyperlink" Target="https://doi.org/10.1016/j.inpa.2018.05.002" TargetMode="External"/><Relationship Id="rId33" Type="http://schemas.openxmlformats.org/officeDocument/2006/relationships/hyperlink" Target="https://doi.org/10.3390/agriculture11080707" TargetMode="External"/><Relationship Id="rId38" Type="http://schemas.openxmlformats.org/officeDocument/2006/relationships/hyperlink" Target="https://doi.org/10.1016/j.physa.2019.122537" TargetMode="External"/><Relationship Id="rId46" Type="http://schemas.openxmlformats.org/officeDocument/2006/relationships/hyperlink" Target="https://doi.org/10.1109/ACCESS.2020.3048415" TargetMode="External"/><Relationship Id="rId59" Type="http://schemas.openxmlformats.org/officeDocument/2006/relationships/hyperlink" Target="https://doi.org/10.1109/ACCESS.2018.2844405" TargetMode="External"/><Relationship Id="rId67" Type="http://schemas.openxmlformats.org/officeDocument/2006/relationships/theme" Target="theme/theme1.xml"/><Relationship Id="rId20" Type="http://schemas.openxmlformats.org/officeDocument/2006/relationships/hyperlink" Target="https://doi.org/10.1155/2021/6663442" TargetMode="External"/><Relationship Id="rId41" Type="http://schemas.openxmlformats.org/officeDocument/2006/relationships/hyperlink" Target="https://doi.org/10.1016/j.aiia.2021.12.002" TargetMode="External"/><Relationship Id="rId54" Type="http://schemas.openxmlformats.org/officeDocument/2006/relationships/hyperlink" Target="https://doi.org/10.1016/j.compag.2020.105709"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compag.2023.107920" TargetMode="External"/><Relationship Id="rId23" Type="http://schemas.openxmlformats.org/officeDocument/2006/relationships/hyperlink" Target="https://doi.org/10.3390/s17092022" TargetMode="External"/><Relationship Id="rId28" Type="http://schemas.openxmlformats.org/officeDocument/2006/relationships/hyperlink" Target="https://doi.org/10.1016/j.compag.2018.02.016" TargetMode="External"/><Relationship Id="rId36" Type="http://schemas.openxmlformats.org/officeDocument/2006/relationships/hyperlink" Target="https://doi.org/10.3389/fpls.2016.01419" TargetMode="External"/><Relationship Id="rId49" Type="http://schemas.openxmlformats.org/officeDocument/2006/relationships/hyperlink" Target="https://doi.org/10.56557/upjoz/2025/v46i205316" TargetMode="External"/><Relationship Id="rId57" Type="http://schemas.openxmlformats.org/officeDocument/2006/relationships/hyperlink" Target="https://doi.org/10.1186/s13104-018-3548-6" TargetMode="External"/><Relationship Id="rId10" Type="http://schemas.openxmlformats.org/officeDocument/2006/relationships/hyperlink" Target="https://doi.org/10.1186/s40537-021-00444-8" TargetMode="External"/><Relationship Id="rId31" Type="http://schemas.openxmlformats.org/officeDocument/2006/relationships/hyperlink" Target="https://doi.org/10.3390/s18082674" TargetMode="External"/><Relationship Id="rId44" Type="http://schemas.openxmlformats.org/officeDocument/2006/relationships/hyperlink" Target="https://doi.org/10.3390/plants8110468" TargetMode="External"/><Relationship Id="rId52" Type="http://schemas.openxmlformats.org/officeDocument/2006/relationships/hyperlink" Target="https://doi.org/10.1016/j.compag.2019.104906"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3390/s21113830" TargetMode="External"/><Relationship Id="rId13" Type="http://schemas.openxmlformats.org/officeDocument/2006/relationships/hyperlink" Target="https://doi.org/10.1016/j.biosystemseng.2018.05.013" TargetMode="External"/><Relationship Id="rId18" Type="http://schemas.openxmlformats.org/officeDocument/2006/relationships/hyperlink" Target="https://doi.org/10.4060/cb4474en" TargetMode="External"/><Relationship Id="rId39" Type="http://schemas.openxmlformats.org/officeDocument/2006/relationships/hyperlink" Target="https://doi.org/10.1007/s10462-024-109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26</Pages>
  <Words>12985</Words>
  <Characters>74016</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30</cp:revision>
  <dcterms:created xsi:type="dcterms:W3CDTF">2026-06-21T14:06:00Z</dcterms:created>
  <dcterms:modified xsi:type="dcterms:W3CDTF">2026-06-30T04:43:00Z</dcterms:modified>
</cp:coreProperties>
</file>